
<file path=[Content_Types].xml><?xml version="1.0" encoding="utf-8"?>
<Types xmlns="http://schemas.openxmlformats.org/package/2006/content-types">
  <Override PartName="/word/header18.xml" ContentType="application/vnd.openxmlformats-officedocument.wordprocessingml.header+xml"/>
  <Override PartName="/word/charts/chart10.xml" ContentType="application/vnd.openxmlformats-officedocument.drawingml.chart+xml"/>
  <Override PartName="/word/header29.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charts/chart9.xml" ContentType="application/vnd.openxmlformats-officedocument.drawingml.chart+xml"/>
  <Override PartName="/word/header32.xml" ContentType="application/vnd.openxmlformats-officedocument.wordprocessingml.header+xml"/>
  <Override PartName="/word/header50.xml" ContentType="application/vnd.openxmlformats-officedocument.wordprocessingml.header+xml"/>
  <Override PartName="/word/charts/colors8.xml" ContentType="application/vnd.ms-office.chartcolorstyle+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charts/chart7.xml" ContentType="application/vnd.openxmlformats-officedocument.drawingml.chart+xml"/>
  <Override PartName="/word/header30.xml" ContentType="application/vnd.openxmlformats-officedocument.wordprocessingml.header+xml"/>
  <Override PartName="/word/charts/style9.xml" ContentType="application/vnd.ms-office.chartstyle+xml"/>
  <Override PartName="/word/charts/colors6.xml" ContentType="application/vnd.ms-office.chartcolorstyle+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olors4.xml" ContentType="application/vnd.ms-office.chartcolorstyle+xml"/>
  <Override PartName="/word/charts/style7.xml" ContentType="application/vnd.ms-office.chartstyle+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glossary/settings.xml" ContentType="application/vnd.openxmlformats-officedocument.wordprocessingml.settings+xml"/>
  <Override PartName="/word/glossary/webSettings.xml" ContentType="application/vnd.openxmlformats-officedocument.wordprocessingml.webSettings+xml"/>
  <Override PartName="/word/charts/colors2.xml" ContentType="application/vnd.ms-office.chartcolorstyle+xml"/>
  <Override PartName="/word/charts/style5.xml" ContentType="application/vnd.ms-office.chartstyle+xml"/>
  <Override PartName="/word/charts/style3.xml" ContentType="application/vnd.ms-office.chartstyle+xml"/>
  <Override PartName="/word/charts/chart1.xml" ContentType="application/vnd.openxmlformats-officedocument.drawingml.chart+xml"/>
  <Override PartName="/word/charts/chart11.xml" ContentType="application/vnd.openxmlformats-officedocument.drawingml.chart+xml"/>
  <Override PartName="/word/header39.xml" ContentType="application/vnd.openxmlformats-officedocument.wordprocessingml.header+xml"/>
  <Override PartName="/word/charts/style1.xml" ContentType="application/vnd.ms-office.chartstyle+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Default Extension="emf" ContentType="image/x-emf"/>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glossary/fontTable.xml" ContentType="application/vnd.openxmlformats-officedocument.wordprocessingml.fontTable+xml"/>
  <Override PartName="/word/charts/colors9.xml" ContentType="application/vnd.ms-office.chartcolorsty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charts/chart8.xml" ContentType="application/vnd.openxmlformats-officedocument.drawingml.chart+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Override PartName="/word/charts/colors7.xml" ContentType="application/vnd.ms-office.chartcolorstyle+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charts/chart6.xml" ContentType="application/vnd.openxmlformats-officedocument.drawingml.chart+xml"/>
  <Override PartName="/word/drawings/drawing1.xml" ContentType="application/vnd.openxmlformats-officedocument.drawingml.chartshapes+xml"/>
  <Override PartName="/word/glossary/document.xml" ContentType="application/vnd.openxmlformats-officedocument.wordprocessingml.document.glossary+xml"/>
  <Override PartName="/word/charts/colors5.xml" ContentType="application/vnd.ms-office.chartcolorstyle+xml"/>
  <Override PartName="/word/charts/style8.xml" ContentType="application/vnd.ms-office.chartstyle+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charts/style10.xml" ContentType="application/vnd.ms-office.chartstyle+xml"/>
  <Override PartName="/word/charts/colors10.xml" ContentType="application/vnd.ms-office.chartcolorstyle+xml"/>
  <Override PartName="/word/charts/colors3.xml" ContentType="application/vnd.ms-office.chartcolorstyle+xml"/>
  <Override PartName="/word/charts/style6.xml" ContentType="application/vnd.ms-office.chartstyl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charts/style4.xml" ContentType="application/vnd.ms-office.chartsty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header49.xml" ContentType="application/vnd.openxmlformats-officedocument.wordprocessingml.header+xml"/>
  <Override PartName="/docProps/core.xml" ContentType="application/vnd.openxmlformats-package.core-properties+xml"/>
  <Override PartName="/word/charts/style2.xml" ContentType="application/vnd.ms-office.chartstyle+xml"/>
  <Override PartName="/word/footnotes.xml" ContentType="application/vnd.openxmlformats-officedocument.wordprocessingml.footnotes+xml"/>
  <Override PartName="/word/header38.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Default Extension="wmf" ContentType="image/x-wmf"/>
  <Override PartName="/word/header34.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906" w:rsidRPr="00263720" w:rsidRDefault="00A50906" w:rsidP="008A1C91">
      <w:pPr>
        <w:pStyle w:val="References"/>
        <w:rPr>
          <w:lang w:val="en-AU"/>
        </w:rPr>
      </w:pPr>
      <w:bookmarkStart w:id="0" w:name="_top"/>
      <w:bookmarkEnd w:id="0"/>
    </w:p>
    <w:p w:rsidR="00A50906" w:rsidRPr="00D11A5A" w:rsidRDefault="00A50906" w:rsidP="008A1C91">
      <w:pPr>
        <w:pStyle w:val="References"/>
        <w:rPr>
          <w:lang w:val="en-AU"/>
        </w:rPr>
      </w:pPr>
    </w:p>
    <w:p w:rsidR="00A50906" w:rsidRPr="00D11A5A" w:rsidRDefault="00A50906" w:rsidP="008A1C91">
      <w:pPr>
        <w:pStyle w:val="References"/>
        <w:rPr>
          <w:lang w:val="en-AU"/>
        </w:rPr>
      </w:pPr>
    </w:p>
    <w:p w:rsidR="00A50906" w:rsidRPr="00D11A5A" w:rsidRDefault="00A50906" w:rsidP="008A1C91">
      <w:pPr>
        <w:pStyle w:val="References"/>
        <w:rPr>
          <w:lang w:val="en-AU"/>
        </w:rPr>
      </w:pPr>
    </w:p>
    <w:p w:rsidR="00796887" w:rsidRPr="00D11A5A" w:rsidRDefault="00796887" w:rsidP="008A1C91">
      <w:pPr>
        <w:pStyle w:val="References"/>
        <w:rPr>
          <w:lang w:val="en-AU"/>
        </w:rPr>
      </w:pPr>
    </w:p>
    <w:p w:rsidR="00796887" w:rsidRPr="00D11A5A" w:rsidRDefault="00C04337" w:rsidP="008A1C91">
      <w:pPr>
        <w:pStyle w:val="References"/>
        <w:rPr>
          <w:lang w:val="en-AU"/>
        </w:rPr>
      </w:pPr>
      <w:r w:rsidRPr="00C04337">
        <w:rPr>
          <w:bCs/>
          <w:noProof/>
          <w:lang w:val="en-AU"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118.6pt;margin-top:361.25pt;width:290.25pt;height:18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" stroked="f">
            <v:textbox style="mso-fit-shape-to-text:t">
              <w:txbxContent>
                <w:p w:rsidR="00F231C9" w:rsidRDefault="00F231C9" w:rsidP="009334E1">
                  <w:pPr>
                    <w:pStyle w:val="CoverInquiry"/>
                  </w:pPr>
                  <w:r>
                    <w:t>Technical paper 2</w:t>
                  </w:r>
                </w:p>
                <w:p w:rsidR="00F231C9" w:rsidRDefault="00F231C9" w:rsidP="009334E1">
                  <w:pPr>
                    <w:pStyle w:val="CoverReport"/>
                    <w:rPr>
                      <w:sz w:val="48"/>
                      <w:szCs w:val="48"/>
                    </w:rPr>
                  </w:pPr>
                  <w:r>
                    <w:rPr>
                      <w:sz w:val="48"/>
                      <w:szCs w:val="48"/>
                    </w:rPr>
                    <w:t xml:space="preserve">Marginal cost pricing </w:t>
                  </w:r>
                </w:p>
                <w:p w:rsidR="00F231C9" w:rsidRPr="00DB0AD7" w:rsidRDefault="00F231C9" w:rsidP="009334E1">
                  <w:pPr>
                    <w:pStyle w:val="CoverReport"/>
                    <w:rPr>
                      <w:sz w:val="48"/>
                      <w:szCs w:val="48"/>
                    </w:rPr>
                  </w:pPr>
                  <w:r>
                    <w:rPr>
                      <w:sz w:val="48"/>
                      <w:szCs w:val="48"/>
                    </w:rPr>
                    <w:t>in the ACT</w:t>
                  </w:r>
                  <w:r w:rsidRPr="00DB0AD7">
                    <w:rPr>
                      <w:sz w:val="48"/>
                      <w:szCs w:val="48"/>
                    </w:rPr>
                    <w:t xml:space="preserve"> </w:t>
                  </w:r>
                </w:p>
                <w:p w:rsidR="00F231C9" w:rsidRDefault="00F231C9" w:rsidP="009334E1">
                  <w:pPr>
                    <w:pStyle w:val="CoverReport"/>
                  </w:pPr>
                  <w:r>
                    <w:t xml:space="preserve">Tariff Review 2016 </w:t>
                  </w:r>
                </w:p>
                <w:p w:rsidR="00F231C9" w:rsidRDefault="00C04337" w:rsidP="009334E1">
                  <w:pPr>
                    <w:pStyle w:val="CoverReportNumMonth"/>
                  </w:pPr>
                  <w:sdt>
                    <w:sdtPr>
                      <w:alias w:val="Title"/>
                      <w:id w:val="1186123"/>
                      <w:placeholder>
                        <w:docPart w:val="BEC3A54377E54BA4BC2549893CE933A7"/>
                      </w:placeholder>
                      <w:dataBinding w:prefixMappings="xmlns:ns0='http://purl.org/dc/elements/1.1/' xmlns:ns1='http://schemas.openxmlformats.org/package/2006/metadata/core-properties' " w:xpath="/ns1:coreProperties[1]/ns0:title[1]" w:storeItemID="{6C3C8BC8-F283-45AE-878A-BAB7291924A1}"/>
                      <w:text/>
                    </w:sdtPr>
                    <w:sdtContent>
                      <w:r w:rsidR="00F231C9">
                        <w:t>Regulated water and sewerage services</w:t>
                      </w:r>
                    </w:sdtContent>
                  </w:sdt>
                  <w:bookmarkStart w:id="1" w:name="_Toc265597563"/>
                  <w:r w:rsidR="00F231C9" w:rsidRPr="00166C87">
                    <w:t xml:space="preserve"> </w:t>
                  </w:r>
                </w:p>
                <w:p w:rsidR="00F231C9" w:rsidRPr="00E729F4" w:rsidRDefault="00F231C9" w:rsidP="00287869">
                  <w:pPr>
                    <w:pStyle w:val="CoverReportNumMonth"/>
                    <w:rPr>
                      <w:rStyle w:val="Bold"/>
                    </w:rPr>
                  </w:pPr>
                  <w:r w:rsidRPr="00E729F4">
                    <w:rPr>
                      <w:rStyle w:val="Bold"/>
                    </w:rPr>
                    <w:t xml:space="preserve">Report </w:t>
                  </w:r>
                  <w:r w:rsidR="00C07578">
                    <w:rPr>
                      <w:rStyle w:val="Bold"/>
                    </w:rPr>
                    <w:t>4</w:t>
                  </w:r>
                  <w:r w:rsidRPr="00E729F4">
                    <w:rPr>
                      <w:rStyle w:val="Bold"/>
                    </w:rPr>
                    <w:t xml:space="preserve"> of 201</w:t>
                  </w:r>
                  <w:r>
                    <w:rPr>
                      <w:rStyle w:val="Bold"/>
                    </w:rPr>
                    <w:t>6</w:t>
                  </w:r>
                  <w:r w:rsidRPr="00E729F4">
                    <w:rPr>
                      <w:rStyle w:val="Bold"/>
                    </w:rPr>
                    <w:t xml:space="preserve">, </w:t>
                  </w:r>
                  <w:r>
                    <w:rPr>
                      <w:rStyle w:val="Bold"/>
                    </w:rPr>
                    <w:t>June</w:t>
                  </w:r>
                  <w:r w:rsidRPr="00E729F4">
                    <w:rPr>
                      <w:rStyle w:val="Bold"/>
                    </w:rPr>
                    <w:t xml:space="preserve"> 201</w:t>
                  </w:r>
                  <w:bookmarkEnd w:id="1"/>
                  <w:r>
                    <w:rPr>
                      <w:rStyle w:val="Bold"/>
                    </w:rPr>
                    <w:t>6</w:t>
                  </w:r>
                </w:p>
              </w:txbxContent>
            </v:textbox>
          </v:shape>
        </w:pict>
      </w:r>
    </w:p>
    <w:p w:rsidR="00796887" w:rsidRPr="004A66E2" w:rsidRDefault="00796887" w:rsidP="008A1C91">
      <w:pPr>
        <w:pStyle w:val="References"/>
        <w:sectPr w:rsidR="00796887" w:rsidRPr="004A66E2" w:rsidSect="00FD0141">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2268" w:right="2098" w:bottom="1701" w:left="2098" w:header="578" w:footer="578" w:gutter="0"/>
          <w:pgNumType w:fmt="lowerRoman" w:start="1"/>
          <w:cols w:space="720"/>
          <w:titlePg/>
          <w:docGrid w:linePitch="299"/>
        </w:sectPr>
      </w:pPr>
      <w:bookmarkStart w:id="2" w:name="_Toc27649604"/>
      <w:bookmarkStart w:id="3" w:name="_Toc43786474"/>
      <w:bookmarkStart w:id="4" w:name="_Toc44217184"/>
    </w:p>
    <w:p w:rsidR="000721C4" w:rsidRPr="00B5530C" w:rsidRDefault="000721C4" w:rsidP="0088522D">
      <w:pPr>
        <w:pStyle w:val="References"/>
        <w:jc w:val="center"/>
      </w:pPr>
      <w:bookmarkStart w:id="5" w:name="_Toc44217186"/>
      <w:bookmarkStart w:id="6" w:name="_Toc118359366"/>
      <w:bookmarkEnd w:id="2"/>
      <w:bookmarkEnd w:id="3"/>
      <w:bookmarkEnd w:id="4"/>
      <w:r w:rsidRPr="00B5530C">
        <w:lastRenderedPageBreak/>
        <w:t xml:space="preserve">The Independent Competition and Regulatory Commission is a Territory Authority established under the </w:t>
      </w:r>
      <w:r w:rsidRPr="00C04AA0">
        <w:rPr>
          <w:rStyle w:val="Italic"/>
        </w:rPr>
        <w:t>Independent Competition and Regulatory Commission Act 1997</w:t>
      </w:r>
      <w:r w:rsidRPr="00B5530C">
        <w:t xml:space="preserve"> (</w:t>
      </w:r>
      <w:r w:rsidR="00C04AA0">
        <w:t xml:space="preserve">the </w:t>
      </w:r>
      <w:r w:rsidRPr="00B5530C">
        <w:t>ICRC Act). The Commission is constituted under the ICRC Act by one or more standing</w:t>
      </w:r>
      <w:r w:rsidR="00767AA8">
        <w:t xml:space="preserve"> commissioners and </w:t>
      </w:r>
      <w:r w:rsidRPr="00B5530C">
        <w:t xml:space="preserve">any associated commissioners appointed for particular purposes. </w:t>
      </w:r>
      <w:r w:rsidR="009E0EE0" w:rsidRPr="00B5530C">
        <w:t>Commissioners are statutory appointments</w:t>
      </w:r>
      <w:r w:rsidR="009E0EE0">
        <w:t xml:space="preserve">. Joe Dimasi is the current Senior </w:t>
      </w:r>
      <w:r w:rsidR="009E0EE0" w:rsidRPr="00B5530C">
        <w:t>Commissioner who constitute</w:t>
      </w:r>
      <w:r w:rsidR="009E0EE0">
        <w:t>s</w:t>
      </w:r>
      <w:r w:rsidR="009E0EE0" w:rsidRPr="00B5530C">
        <w:t xml:space="preserve"> the Commission</w:t>
      </w:r>
      <w:r w:rsidR="009E0EE0">
        <w:t xml:space="preserve"> and </w:t>
      </w:r>
      <w:r w:rsidR="009E0EE0" w:rsidRPr="00B5530C">
        <w:t>take</w:t>
      </w:r>
      <w:r w:rsidR="009E0EE0">
        <w:t>s</w:t>
      </w:r>
      <w:r w:rsidR="009E0EE0" w:rsidRPr="00B5530C">
        <w:t xml:space="preserve"> direct responsibility for delivery of the outcomes of the Commission.</w:t>
      </w:r>
    </w:p>
    <w:p w:rsidR="000721C4" w:rsidRPr="00B5530C" w:rsidRDefault="00085D96" w:rsidP="0088522D">
      <w:pPr>
        <w:pStyle w:val="References"/>
        <w:jc w:val="center"/>
      </w:pPr>
      <w:r>
        <w:t>The Commission</w:t>
      </w:r>
      <w:r w:rsidR="000721C4" w:rsidRPr="00B5530C">
        <w:t xml:space="preserve"> ha</w:t>
      </w:r>
      <w:r>
        <w:t>s</w:t>
      </w:r>
      <w:r w:rsidR="000721C4" w:rsidRPr="00B5530C">
        <w:t xml:space="preserve"> responsibilities for a broad range of regulatory and utility administrative matters. </w:t>
      </w:r>
      <w:r>
        <w:t>The Commission</w:t>
      </w:r>
      <w:r w:rsidR="000721C4" w:rsidRPr="00B5530C">
        <w:t xml:space="preserve"> ha</w:t>
      </w:r>
      <w:r>
        <w:t>s</w:t>
      </w:r>
      <w:r w:rsidR="000721C4" w:rsidRPr="00B5530C">
        <w:t xml:space="preserve"> responsibility under the ICRC Act for regulating and advising government about pricing and other matters for monopoly, near-monopoly and ministerially declared regulated industries, </w:t>
      </w:r>
      <w:r w:rsidR="000271A9">
        <w:t xml:space="preserve">and </w:t>
      </w:r>
      <w:r w:rsidR="000721C4" w:rsidRPr="00B5530C">
        <w:t xml:space="preserve">providing advice on competitive neutrality complaints and government-regulated activities. </w:t>
      </w:r>
      <w:r>
        <w:t xml:space="preserve">The Commission </w:t>
      </w:r>
      <w:r w:rsidR="000721C4" w:rsidRPr="00B5530C">
        <w:t>also ha</w:t>
      </w:r>
      <w:r>
        <w:t>s</w:t>
      </w:r>
      <w:r w:rsidR="000721C4" w:rsidRPr="00B5530C">
        <w:t xml:space="preserve"> responsibility for arbitrating infrastructure access disputes under the ICRC Act. In discharging </w:t>
      </w:r>
      <w:r w:rsidR="00C85DC5">
        <w:t xml:space="preserve">its </w:t>
      </w:r>
      <w:r w:rsidR="000721C4" w:rsidRPr="00B5530C">
        <w:t xml:space="preserve">objectives and functions, </w:t>
      </w:r>
      <w:r>
        <w:t xml:space="preserve">the Commission </w:t>
      </w:r>
      <w:r w:rsidR="000721C4" w:rsidRPr="00B5530C">
        <w:t>provide</w:t>
      </w:r>
      <w:r>
        <w:t>s</w:t>
      </w:r>
      <w:r w:rsidR="000721C4" w:rsidRPr="00B5530C">
        <w:t xml:space="preserve"> independent robust analysis and advice.</w:t>
      </w:r>
    </w:p>
    <w:p w:rsidR="000721C4" w:rsidRPr="00B5530C" w:rsidRDefault="00085D96" w:rsidP="0088522D">
      <w:pPr>
        <w:pStyle w:val="References"/>
        <w:jc w:val="center"/>
      </w:pPr>
      <w:r>
        <w:t>The Commission’s</w:t>
      </w:r>
      <w:r w:rsidR="000721C4" w:rsidRPr="00B5530C">
        <w:t xml:space="preserve"> objectives are set out in section 7 of the ICRC Act and section 3 of the </w:t>
      </w:r>
      <w:r w:rsidR="000721C4" w:rsidRPr="0036790F">
        <w:rPr>
          <w:i/>
        </w:rPr>
        <w:t>Utilities</w:t>
      </w:r>
      <w:r w:rsidR="0036790F">
        <w:rPr>
          <w:i/>
        </w:rPr>
        <w:t> </w:t>
      </w:r>
      <w:r w:rsidR="000721C4" w:rsidRPr="0036790F">
        <w:rPr>
          <w:i/>
        </w:rPr>
        <w:t>Act</w:t>
      </w:r>
      <w:r w:rsidR="0036790F">
        <w:rPr>
          <w:i/>
        </w:rPr>
        <w:t> </w:t>
      </w:r>
      <w:r w:rsidR="0036790F" w:rsidRPr="0036790F">
        <w:rPr>
          <w:i/>
        </w:rPr>
        <w:t>2000</w:t>
      </w:r>
      <w:r w:rsidR="000721C4" w:rsidRPr="00B5530C">
        <w:t>.</w:t>
      </w:r>
    </w:p>
    <w:p w:rsidR="000721C4" w:rsidRPr="00B5530C" w:rsidRDefault="000721C4" w:rsidP="0088522D">
      <w:pPr>
        <w:pStyle w:val="References"/>
        <w:jc w:val="center"/>
      </w:pPr>
      <w:r w:rsidRPr="00B5530C">
        <w:t xml:space="preserve">Correspondence or other inquiries may be directed to </w:t>
      </w:r>
      <w:r w:rsidR="00B2762C">
        <w:t>the Commission</w:t>
      </w:r>
      <w:r w:rsidRPr="00B5530C">
        <w:t xml:space="preserve"> at the </w:t>
      </w:r>
      <w:r w:rsidR="00314A3B">
        <w:t xml:space="preserve">following </w:t>
      </w:r>
      <w:r w:rsidRPr="00B5530C">
        <w:t>addresses:</w:t>
      </w:r>
    </w:p>
    <w:p w:rsidR="000721C4" w:rsidRPr="00B5530C" w:rsidRDefault="000721C4" w:rsidP="0088522D">
      <w:pPr>
        <w:pStyle w:val="References"/>
        <w:jc w:val="center"/>
      </w:pPr>
      <w:r w:rsidRPr="00B5530C">
        <w:t>Independent Competition and Regulatory Commission</w:t>
      </w:r>
      <w:r w:rsidRPr="00B5530C">
        <w:br/>
        <w:t>PO Box 161</w:t>
      </w:r>
      <w:r w:rsidRPr="00B5530C">
        <w:br/>
        <w:t>Civic Square ACT 2608</w:t>
      </w:r>
    </w:p>
    <w:p w:rsidR="000721C4" w:rsidRPr="00B5530C" w:rsidRDefault="000721C4" w:rsidP="0088522D">
      <w:pPr>
        <w:pStyle w:val="References"/>
        <w:jc w:val="center"/>
      </w:pPr>
      <w:r w:rsidRPr="00B5530C">
        <w:t>Level 8</w:t>
      </w:r>
      <w:r w:rsidRPr="00B5530C">
        <w:br/>
        <w:t>221 London Circuit</w:t>
      </w:r>
      <w:r w:rsidRPr="00B5530C">
        <w:br/>
        <w:t>Canberra ACT 2601</w:t>
      </w:r>
    </w:p>
    <w:p w:rsidR="000721C4" w:rsidRDefault="00085D96" w:rsidP="0088522D">
      <w:pPr>
        <w:pStyle w:val="References"/>
        <w:jc w:val="center"/>
      </w:pPr>
      <w:r>
        <w:t xml:space="preserve">The Commission </w:t>
      </w:r>
      <w:r w:rsidR="000721C4" w:rsidRPr="00B5530C">
        <w:t xml:space="preserve">may be contacted at the above addresses, by telephone on (02) 6205 0799, or by fax on (02) 6207 5887. </w:t>
      </w:r>
      <w:r>
        <w:t xml:space="preserve">The Commission’s </w:t>
      </w:r>
      <w:r w:rsidR="000721C4" w:rsidRPr="00B5530C">
        <w:t xml:space="preserve">website is at </w:t>
      </w:r>
      <w:hyperlink r:id="rId14" w:history="1">
        <w:r w:rsidR="000721C4" w:rsidRPr="00B5530C">
          <w:rPr>
            <w:rStyle w:val="Hyperlink"/>
          </w:rPr>
          <w:t>www.icrc.act.gov.au</w:t>
        </w:r>
      </w:hyperlink>
      <w:r w:rsidR="000721C4" w:rsidRPr="00B5530C">
        <w:t xml:space="preserve"> and </w:t>
      </w:r>
      <w:r w:rsidR="00C85DC5">
        <w:t xml:space="preserve">its </w:t>
      </w:r>
      <w:r w:rsidR="000721C4" w:rsidRPr="00B5530C">
        <w:t xml:space="preserve">email address is </w:t>
      </w:r>
      <w:hyperlink r:id="rId15" w:history="1">
        <w:r w:rsidR="000721C4" w:rsidRPr="00B5530C">
          <w:rPr>
            <w:rStyle w:val="Hyperlink"/>
          </w:rPr>
          <w:t>icrc@act.gov.au</w:t>
        </w:r>
      </w:hyperlink>
      <w:r w:rsidR="000721C4" w:rsidRPr="00B5530C">
        <w:t>.</w:t>
      </w:r>
    </w:p>
    <w:p w:rsidR="00341230" w:rsidRDefault="00341230" w:rsidP="008A1C91">
      <w:pPr>
        <w:pStyle w:val="References"/>
      </w:pPr>
    </w:p>
    <w:p w:rsidR="00341230" w:rsidRDefault="00341230" w:rsidP="008A1C91">
      <w:pPr>
        <w:pStyle w:val="References"/>
        <w:sectPr w:rsidR="00341230" w:rsidSect="00AE2F9D">
          <w:headerReference w:type="even" r:id="rId16"/>
          <w:headerReference w:type="default" r:id="rId17"/>
          <w:footerReference w:type="even" r:id="rId18"/>
          <w:footerReference w:type="default" r:id="rId19"/>
          <w:headerReference w:type="first" r:id="rId20"/>
          <w:endnotePr>
            <w:numFmt w:val="decimal"/>
          </w:endnotePr>
          <w:type w:val="oddPage"/>
          <w:pgSz w:w="11907" w:h="16840" w:code="9"/>
          <w:pgMar w:top="2268" w:right="2098" w:bottom="1701" w:left="2098" w:header="578" w:footer="578" w:gutter="0"/>
          <w:pgNumType w:fmt="lowerRoman" w:start="1"/>
          <w:cols w:space="720"/>
        </w:sectPr>
      </w:pPr>
    </w:p>
    <w:p w:rsidR="00341230" w:rsidRDefault="00341230" w:rsidP="0088522D">
      <w:pPr>
        <w:pStyle w:val="Heading1a"/>
      </w:pPr>
      <w:bookmarkStart w:id="7" w:name="_Toc368572030"/>
      <w:bookmarkStart w:id="8" w:name="_Toc453920852"/>
      <w:r w:rsidRPr="001E53CC">
        <w:lastRenderedPageBreak/>
        <w:t>How to make a submission</w:t>
      </w:r>
      <w:bookmarkEnd w:id="7"/>
      <w:bookmarkEnd w:id="8"/>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80"/>
      </w:tblGrid>
      <w:tr w:rsidR="00341230" w:rsidRPr="00C6335A" w:rsidTr="00FD2BFE">
        <w:tc>
          <w:tcPr>
            <w:tcW w:w="5000" w:type="pct"/>
          </w:tcPr>
          <w:p w:rsidR="00341230" w:rsidRDefault="00341230" w:rsidP="00B222E3">
            <w:pPr>
              <w:rPr>
                <w:lang w:val="en-AU"/>
              </w:rPr>
            </w:pPr>
            <w:r w:rsidRPr="004834A1">
              <w:rPr>
                <w:lang w:val="en-AU"/>
              </w:rPr>
              <w:t xml:space="preserve">The </w:t>
            </w:r>
            <w:r w:rsidR="00E70D44">
              <w:rPr>
                <w:lang w:val="en-AU"/>
              </w:rPr>
              <w:t xml:space="preserve">technical paper on </w:t>
            </w:r>
            <w:r w:rsidR="00963833">
              <w:rPr>
                <w:lang w:val="en-AU"/>
              </w:rPr>
              <w:t xml:space="preserve">the marginal cost of </w:t>
            </w:r>
            <w:r w:rsidR="00E70D44">
              <w:rPr>
                <w:lang w:val="en-AU"/>
              </w:rPr>
              <w:t xml:space="preserve">water </w:t>
            </w:r>
            <w:r w:rsidR="00963833">
              <w:rPr>
                <w:lang w:val="en-AU"/>
              </w:rPr>
              <w:t xml:space="preserve">and sewerage services </w:t>
            </w:r>
            <w:r w:rsidR="00E70D44">
              <w:rPr>
                <w:lang w:val="en-AU"/>
              </w:rPr>
              <w:t xml:space="preserve">in the ACT </w:t>
            </w:r>
            <w:r w:rsidRPr="004834A1">
              <w:rPr>
                <w:lang w:val="en-AU"/>
              </w:rPr>
              <w:t>provides a</w:t>
            </w:r>
            <w:r>
              <w:rPr>
                <w:lang w:val="en-AU"/>
              </w:rPr>
              <w:t>n</w:t>
            </w:r>
            <w:r w:rsidR="00E70D44">
              <w:rPr>
                <w:lang w:val="en-AU"/>
              </w:rPr>
              <w:t>other</w:t>
            </w:r>
            <w:r w:rsidRPr="004834A1">
              <w:rPr>
                <w:lang w:val="en-AU"/>
              </w:rPr>
              <w:t xml:space="preserve"> opportunity for </w:t>
            </w:r>
            <w:r>
              <w:rPr>
                <w:lang w:val="en-AU"/>
              </w:rPr>
              <w:t>stakeholders</w:t>
            </w:r>
            <w:r w:rsidRPr="004834A1">
              <w:rPr>
                <w:lang w:val="en-AU"/>
              </w:rPr>
              <w:t xml:space="preserve"> to inform the </w:t>
            </w:r>
            <w:r>
              <w:t xml:space="preserve">development of </w:t>
            </w:r>
            <w:r w:rsidR="00E85DDD">
              <w:t>the</w:t>
            </w:r>
            <w:r w:rsidR="000C33DA">
              <w:t xml:space="preserve"> </w:t>
            </w:r>
            <w:r>
              <w:t xml:space="preserve">draft </w:t>
            </w:r>
            <w:r w:rsidRPr="004834A1">
              <w:rPr>
                <w:lang w:val="en-AU"/>
              </w:rPr>
              <w:t>report. It will also ensure that relevant information and views are made public and brought to the Commission</w:t>
            </w:r>
            <w:r>
              <w:rPr>
                <w:lang w:val="en-AU"/>
              </w:rPr>
              <w:t>’</w:t>
            </w:r>
            <w:r w:rsidRPr="004834A1">
              <w:rPr>
                <w:lang w:val="en-AU"/>
              </w:rPr>
              <w:t>s attention.</w:t>
            </w:r>
          </w:p>
          <w:p w:rsidR="00341230" w:rsidRPr="00C6335A" w:rsidRDefault="00341230" w:rsidP="00B222E3">
            <w:pPr>
              <w:rPr>
                <w:rFonts w:eastAsia="SimSun"/>
                <w:lang w:val="en-AU"/>
              </w:rPr>
            </w:pPr>
            <w:r w:rsidRPr="00C6335A">
              <w:rPr>
                <w:rFonts w:eastAsia="SimSun"/>
                <w:lang w:val="en-AU"/>
              </w:rPr>
              <w:t>Submissions may be mailed to the Commission at:</w:t>
            </w:r>
          </w:p>
          <w:p w:rsidR="00341230" w:rsidRPr="00C6335A" w:rsidRDefault="00341230" w:rsidP="00B222E3">
            <w:pPr>
              <w:rPr>
                <w:rFonts w:eastAsia="SimSun"/>
                <w:lang w:val="en-AU"/>
              </w:rPr>
            </w:pPr>
            <w:r w:rsidRPr="00C6335A">
              <w:rPr>
                <w:rFonts w:eastAsia="SimSun"/>
                <w:lang w:val="en-AU"/>
              </w:rPr>
              <w:t>Independent Competition and R</w:t>
            </w:r>
            <w:r>
              <w:rPr>
                <w:rFonts w:eastAsia="SimSun"/>
                <w:lang w:val="en-AU"/>
              </w:rPr>
              <w:t>egulatory Commission</w:t>
            </w:r>
            <w:r>
              <w:rPr>
                <w:rFonts w:eastAsia="SimSun"/>
                <w:lang w:val="en-AU"/>
              </w:rPr>
              <w:br/>
              <w:t>PO Box 161</w:t>
            </w:r>
            <w:r>
              <w:rPr>
                <w:rFonts w:eastAsia="SimSun"/>
                <w:lang w:val="en-AU"/>
              </w:rPr>
              <w:br/>
              <w:t>Civic Square</w:t>
            </w:r>
            <w:r w:rsidRPr="00C6335A">
              <w:rPr>
                <w:rFonts w:eastAsia="SimSun"/>
                <w:lang w:val="en-AU"/>
              </w:rPr>
              <w:t xml:space="preserve"> ACT</w:t>
            </w:r>
            <w:r>
              <w:rPr>
                <w:rFonts w:eastAsia="SimSun"/>
                <w:lang w:val="en-AU"/>
              </w:rPr>
              <w:t xml:space="preserve"> </w:t>
            </w:r>
            <w:r w:rsidRPr="00C6335A">
              <w:rPr>
                <w:rFonts w:eastAsia="SimSun"/>
                <w:lang w:val="en-AU"/>
              </w:rPr>
              <w:t>260</w:t>
            </w:r>
            <w:r>
              <w:rPr>
                <w:rFonts w:eastAsia="SimSun"/>
                <w:lang w:val="en-AU"/>
              </w:rPr>
              <w:t>8</w:t>
            </w:r>
          </w:p>
          <w:p w:rsidR="00341230" w:rsidRDefault="00341230" w:rsidP="00B222E3">
            <w:pPr>
              <w:rPr>
                <w:rFonts w:eastAsia="SimSun"/>
                <w:lang w:val="en-AU"/>
              </w:rPr>
            </w:pPr>
            <w:r w:rsidRPr="00C6335A">
              <w:rPr>
                <w:rFonts w:eastAsia="SimSun"/>
                <w:lang w:val="en-AU"/>
              </w:rPr>
              <w:t xml:space="preserve">Alternatively, submissions may be emailed to the Commission at </w:t>
            </w:r>
            <w:hyperlink r:id="rId21" w:history="1">
              <w:r w:rsidRPr="00C36951">
                <w:rPr>
                  <w:rFonts w:eastAsia="SimSun"/>
                  <w:lang w:val="en-AU"/>
                </w:rPr>
                <w:t>icrc@act.gov.au</w:t>
              </w:r>
            </w:hyperlink>
            <w:r w:rsidRPr="00C6335A">
              <w:rPr>
                <w:rFonts w:eastAsia="SimSun"/>
                <w:lang w:val="en-AU"/>
              </w:rPr>
              <w:t>.</w:t>
            </w:r>
            <w:r>
              <w:rPr>
                <w:rFonts w:eastAsia="SimSun"/>
                <w:lang w:val="en-AU"/>
              </w:rPr>
              <w:t xml:space="preserve"> </w:t>
            </w:r>
            <w:r w:rsidRPr="00692BCF">
              <w:rPr>
                <w:rFonts w:eastAsia="SimSun"/>
                <w:lang w:val="en-AU"/>
              </w:rPr>
              <w:t xml:space="preserve">The </w:t>
            </w:r>
            <w:r>
              <w:rPr>
                <w:rFonts w:eastAsia="SimSun"/>
                <w:lang w:val="en-AU"/>
              </w:rPr>
              <w:t xml:space="preserve">Commission </w:t>
            </w:r>
            <w:r w:rsidRPr="00692BCF">
              <w:rPr>
                <w:rFonts w:eastAsia="SimSun"/>
                <w:lang w:val="en-AU"/>
              </w:rPr>
              <w:t>encourages</w:t>
            </w:r>
            <w:r>
              <w:rPr>
                <w:rFonts w:eastAsia="SimSun"/>
                <w:lang w:val="en-AU"/>
              </w:rPr>
              <w:t xml:space="preserve"> stakeholders </w:t>
            </w:r>
            <w:r w:rsidRPr="00692BCF">
              <w:rPr>
                <w:rFonts w:eastAsia="SimSun"/>
                <w:lang w:val="en-AU"/>
              </w:rPr>
              <w:t>to make submissions in either Microsoft Word format or PDF (OCR</w:t>
            </w:r>
            <w:r>
              <w:rPr>
                <w:rFonts w:eastAsia="SimSun"/>
                <w:lang w:val="en-AU"/>
              </w:rPr>
              <w:t xml:space="preserve"> </w:t>
            </w:r>
            <w:r w:rsidRPr="00692BCF">
              <w:rPr>
                <w:rFonts w:eastAsia="SimSun"/>
                <w:lang w:val="en-AU"/>
              </w:rPr>
              <w:t>readable text format</w:t>
            </w:r>
            <w:r>
              <w:rPr>
                <w:rFonts w:eastAsia="SimSun"/>
                <w:lang w:val="en-AU"/>
              </w:rPr>
              <w:t xml:space="preserve"> – </w:t>
            </w:r>
            <w:r w:rsidRPr="00692BCF">
              <w:rPr>
                <w:rFonts w:eastAsia="SimSun"/>
                <w:lang w:val="en-AU"/>
              </w:rPr>
              <w:t>that is</w:t>
            </w:r>
            <w:r>
              <w:rPr>
                <w:rFonts w:eastAsia="SimSun"/>
                <w:lang w:val="en-AU"/>
              </w:rPr>
              <w:t>,</w:t>
            </w:r>
            <w:r w:rsidRPr="00692BCF">
              <w:rPr>
                <w:rFonts w:eastAsia="SimSun"/>
                <w:lang w:val="en-AU"/>
              </w:rPr>
              <w:t xml:space="preserve"> they should be direct conversions from the word</w:t>
            </w:r>
            <w:r>
              <w:rPr>
                <w:rFonts w:eastAsia="SimSun"/>
                <w:lang w:val="en-AU"/>
              </w:rPr>
              <w:t>-</w:t>
            </w:r>
            <w:r w:rsidRPr="00692BCF">
              <w:rPr>
                <w:rFonts w:eastAsia="SimSun"/>
                <w:lang w:val="en-AU"/>
              </w:rPr>
              <w:t>processing program, rather than scanned copies in which the text cannot be searched)</w:t>
            </w:r>
            <w:r>
              <w:rPr>
                <w:rFonts w:eastAsia="SimSun"/>
                <w:lang w:val="en-AU"/>
              </w:rPr>
              <w:t>.</w:t>
            </w:r>
            <w:r w:rsidRPr="002D502F">
              <w:rPr>
                <w:rFonts w:eastAsia="SimSun"/>
                <w:lang w:val="en-AU"/>
              </w:rPr>
              <w:t xml:space="preserve"> </w:t>
            </w:r>
          </w:p>
          <w:p w:rsidR="00341230" w:rsidRPr="002D502F" w:rsidRDefault="00341230" w:rsidP="00B222E3">
            <w:pPr>
              <w:rPr>
                <w:rFonts w:eastAsia="SimSun"/>
                <w:lang w:val="en-AU"/>
              </w:rPr>
            </w:pPr>
            <w:r w:rsidRPr="00E5541B">
              <w:rPr>
                <w:rFonts w:eastAsia="SimSun"/>
                <w:lang w:val="en-AU"/>
              </w:rPr>
              <w:t>For submissions received from individuals, all personal details (for example</w:t>
            </w:r>
            <w:r>
              <w:rPr>
                <w:rFonts w:eastAsia="SimSun"/>
                <w:lang w:val="en-AU"/>
              </w:rPr>
              <w:t>,</w:t>
            </w:r>
            <w:r w:rsidRPr="00E5541B">
              <w:rPr>
                <w:rFonts w:eastAsia="SimSun"/>
                <w:lang w:val="en-AU"/>
              </w:rPr>
              <w:t xml:space="preserve"> home and email address</w:t>
            </w:r>
            <w:r>
              <w:rPr>
                <w:rFonts w:eastAsia="SimSun"/>
                <w:lang w:val="en-AU"/>
              </w:rPr>
              <w:t>es</w:t>
            </w:r>
            <w:r w:rsidRPr="00E5541B">
              <w:rPr>
                <w:rFonts w:eastAsia="SimSun"/>
                <w:lang w:val="en-AU"/>
              </w:rPr>
              <w:t xml:space="preserve">, </w:t>
            </w:r>
            <w:r>
              <w:rPr>
                <w:rFonts w:eastAsia="SimSun"/>
                <w:lang w:val="en-AU"/>
              </w:rPr>
              <w:t>and tele</w:t>
            </w:r>
            <w:r w:rsidRPr="00E5541B">
              <w:rPr>
                <w:rFonts w:eastAsia="SimSun"/>
                <w:lang w:val="en-AU"/>
              </w:rPr>
              <w:t>phone and fax number</w:t>
            </w:r>
            <w:r>
              <w:rPr>
                <w:rFonts w:eastAsia="SimSun"/>
                <w:lang w:val="en-AU"/>
              </w:rPr>
              <w:t>s</w:t>
            </w:r>
            <w:r w:rsidRPr="00E5541B">
              <w:rPr>
                <w:rFonts w:eastAsia="SimSun"/>
                <w:lang w:val="en-AU"/>
              </w:rPr>
              <w:t xml:space="preserve">) will be removed for privacy reasons before </w:t>
            </w:r>
            <w:r>
              <w:rPr>
                <w:rFonts w:eastAsia="SimSun"/>
                <w:lang w:val="en-AU"/>
              </w:rPr>
              <w:t>the submissions</w:t>
            </w:r>
            <w:r w:rsidRPr="00E5541B">
              <w:rPr>
                <w:rFonts w:eastAsia="SimSun"/>
                <w:lang w:val="en-AU"/>
              </w:rPr>
              <w:t xml:space="preserve"> </w:t>
            </w:r>
            <w:r>
              <w:rPr>
                <w:rFonts w:eastAsia="SimSun"/>
                <w:lang w:val="en-AU"/>
              </w:rPr>
              <w:t>are</w:t>
            </w:r>
            <w:r w:rsidRPr="00E5541B">
              <w:rPr>
                <w:rFonts w:eastAsia="SimSun"/>
                <w:lang w:val="en-AU"/>
              </w:rPr>
              <w:t xml:space="preserve"> published on the website.</w:t>
            </w:r>
            <w:r w:rsidRPr="00E5541B">
              <w:rPr>
                <w:rFonts w:eastAsia="SimSun"/>
                <w:shd w:val="clear" w:color="auto" w:fill="FFFF00"/>
                <w:lang w:val="en-AU"/>
              </w:rPr>
              <w:t xml:space="preserve"> </w:t>
            </w:r>
          </w:p>
          <w:p w:rsidR="00341230" w:rsidRDefault="00341230" w:rsidP="00B222E3">
            <w:pPr>
              <w:rPr>
                <w:rFonts w:eastAsia="SimSun"/>
                <w:lang w:val="en-AU"/>
              </w:rPr>
            </w:pPr>
            <w:r w:rsidRPr="00C6335A">
              <w:rPr>
                <w:rFonts w:eastAsia="SimSun"/>
                <w:lang w:val="en-AU"/>
              </w:rPr>
              <w:t xml:space="preserve">The Commission is guided by and believes strongly in the principles of openness, transparency, consistency and accountability. Public consultation is a crucial element of </w:t>
            </w:r>
            <w:r>
              <w:rPr>
                <w:rFonts w:eastAsia="SimSun"/>
                <w:lang w:val="en-AU"/>
              </w:rPr>
              <w:t xml:space="preserve">the </w:t>
            </w:r>
            <w:r w:rsidRPr="00C6335A">
              <w:rPr>
                <w:rFonts w:eastAsia="SimSun"/>
                <w:lang w:val="en-AU"/>
              </w:rPr>
              <w:t>Commission</w:t>
            </w:r>
            <w:r>
              <w:rPr>
                <w:rFonts w:eastAsia="SimSun"/>
                <w:lang w:val="en-AU"/>
              </w:rPr>
              <w:t>’</w:t>
            </w:r>
            <w:r w:rsidRPr="00C6335A">
              <w:rPr>
                <w:rFonts w:eastAsia="SimSun"/>
                <w:lang w:val="en-AU"/>
              </w:rPr>
              <w:t xml:space="preserve">s processes. </w:t>
            </w:r>
            <w:r>
              <w:rPr>
                <w:rFonts w:eastAsia="SimSun"/>
                <w:lang w:val="en-AU"/>
              </w:rPr>
              <w:t>T</w:t>
            </w:r>
            <w:r w:rsidRPr="00FB72CD">
              <w:t>he Commission</w:t>
            </w:r>
            <w:r>
              <w:t>’</w:t>
            </w:r>
            <w:r w:rsidRPr="00FB72CD">
              <w:t>s preference that all submissions it receives be treated as public and be published on the Commission</w:t>
            </w:r>
            <w:r>
              <w:t>’</w:t>
            </w:r>
            <w:r w:rsidRPr="00FB72CD">
              <w:t xml:space="preserve">s website unless the author of the submission indicates clearly that all or part of the submission is confidential and not to be made available publicly. Where confidential material is claimed, the Commission prefers that this be under a separate cover and clearly marked </w:t>
            </w:r>
            <w:r>
              <w:t>‘</w:t>
            </w:r>
            <w:r w:rsidRPr="00FB72CD">
              <w:t>In Confidence</w:t>
            </w:r>
            <w:r>
              <w:t>’</w:t>
            </w:r>
            <w:r w:rsidRPr="00FB72CD">
              <w:t>. The Commission will assess the author</w:t>
            </w:r>
            <w:r>
              <w:t>’</w:t>
            </w:r>
            <w:r w:rsidRPr="00FB72CD">
              <w:t>s claim and discuss appropriate steps to ensure that confidential material is</w:t>
            </w:r>
            <w:r w:rsidRPr="00FF5F02">
              <w:t xml:space="preserve"> protected while</w:t>
            </w:r>
            <w:r w:rsidRPr="00C6335A">
              <w:rPr>
                <w:rFonts w:eastAsia="SimSun"/>
                <w:lang w:val="en-AU"/>
              </w:rPr>
              <w:t xml:space="preserve"> maintaining the principles of openness, transparency, consistency and accountability.</w:t>
            </w:r>
          </w:p>
          <w:p w:rsidR="00341230" w:rsidRPr="00C6335A" w:rsidRDefault="00384301" w:rsidP="00B222E3">
            <w:pPr>
              <w:rPr>
                <w:rFonts w:eastAsia="SimSun"/>
                <w:lang w:val="en-AU"/>
              </w:rPr>
            </w:pPr>
            <w:r>
              <w:rPr>
                <w:rFonts w:eastAsia="SimSun"/>
                <w:lang w:val="en-AU"/>
              </w:rPr>
              <w:t>The Commission</w:t>
            </w:r>
            <w:r w:rsidR="00341230">
              <w:rPr>
                <w:rFonts w:eastAsia="SimSun"/>
                <w:lang w:val="en-AU"/>
              </w:rPr>
              <w:t xml:space="preserve"> </w:t>
            </w:r>
            <w:r w:rsidR="00341230" w:rsidRPr="00C6335A">
              <w:rPr>
                <w:rFonts w:eastAsia="SimSun"/>
                <w:lang w:val="en-AU"/>
              </w:rPr>
              <w:t>may be contacted at the above addresses, by telephone on (02)</w:t>
            </w:r>
            <w:r w:rsidR="00341230">
              <w:rPr>
                <w:rFonts w:eastAsia="SimSun"/>
                <w:lang w:val="en-AU"/>
              </w:rPr>
              <w:t> </w:t>
            </w:r>
            <w:r w:rsidR="00341230" w:rsidRPr="00C6335A">
              <w:rPr>
                <w:rFonts w:eastAsia="SimSun"/>
                <w:lang w:val="en-AU"/>
              </w:rPr>
              <w:t>6205</w:t>
            </w:r>
            <w:r w:rsidR="00341230">
              <w:rPr>
                <w:rFonts w:eastAsia="SimSun"/>
                <w:lang w:val="en-AU"/>
              </w:rPr>
              <w:t> </w:t>
            </w:r>
            <w:r w:rsidR="00341230" w:rsidRPr="00C6335A">
              <w:rPr>
                <w:rFonts w:eastAsia="SimSun"/>
                <w:lang w:val="en-AU"/>
              </w:rPr>
              <w:t>0799 or by fax on (02) 6207 5887. The Commission</w:t>
            </w:r>
            <w:r w:rsidR="00341230">
              <w:rPr>
                <w:rFonts w:eastAsia="SimSun"/>
                <w:lang w:val="en-AU"/>
              </w:rPr>
              <w:t>’</w:t>
            </w:r>
            <w:r w:rsidR="00341230" w:rsidRPr="00C6335A">
              <w:rPr>
                <w:rFonts w:eastAsia="SimSun"/>
                <w:lang w:val="en-AU"/>
              </w:rPr>
              <w:t>s website is at www.icrc.act.gov.au.</w:t>
            </w:r>
          </w:p>
          <w:p w:rsidR="00341230" w:rsidRPr="00C6335A" w:rsidRDefault="00E85DDD" w:rsidP="00963833">
            <w:pPr>
              <w:rPr>
                <w:rFonts w:eastAsia="SimSun"/>
              </w:rPr>
            </w:pPr>
            <w:r>
              <w:t xml:space="preserve">The </w:t>
            </w:r>
            <w:r w:rsidRPr="007F56C7">
              <w:t>closing date for s</w:t>
            </w:r>
            <w:r w:rsidR="00341230" w:rsidRPr="007F56C7">
              <w:rPr>
                <w:rFonts w:eastAsia="SimSun"/>
              </w:rPr>
              <w:t>ubmissions on the issues paper</w:t>
            </w:r>
            <w:r w:rsidR="00E70D44" w:rsidRPr="007F56C7">
              <w:rPr>
                <w:rFonts w:eastAsia="SimSun"/>
              </w:rPr>
              <w:t>, th</w:t>
            </w:r>
            <w:r w:rsidR="00963833">
              <w:rPr>
                <w:rFonts w:eastAsia="SimSun"/>
              </w:rPr>
              <w:t xml:space="preserve">e technical paper on water demand elasticity and this technical paper </w:t>
            </w:r>
            <w:r w:rsidRPr="007F56C7">
              <w:t xml:space="preserve">is </w:t>
            </w:r>
            <w:r w:rsidR="00341230" w:rsidRPr="007F56C7">
              <w:rPr>
                <w:rFonts w:eastAsia="SimSun"/>
                <w:b/>
              </w:rPr>
              <w:t xml:space="preserve">5 pm, </w:t>
            </w:r>
            <w:r w:rsidR="0047476A" w:rsidRPr="00C31B19">
              <w:rPr>
                <w:rStyle w:val="Bold"/>
              </w:rPr>
              <w:t>1</w:t>
            </w:r>
            <w:r w:rsidR="005F195F">
              <w:rPr>
                <w:rStyle w:val="Bold"/>
              </w:rPr>
              <w:t>5</w:t>
            </w:r>
            <w:r w:rsidR="0047476A" w:rsidRPr="00C31B19">
              <w:rPr>
                <w:rStyle w:val="Bold"/>
              </w:rPr>
              <w:t> July 2016</w:t>
            </w:r>
            <w:r w:rsidR="00341230" w:rsidRPr="007F56C7">
              <w:rPr>
                <w:rStyle w:val="Bold"/>
              </w:rPr>
              <w:t>.</w:t>
            </w:r>
          </w:p>
        </w:tc>
      </w:tr>
    </w:tbl>
    <w:p w:rsidR="00341230" w:rsidRDefault="00341230" w:rsidP="008A1C91">
      <w:pPr>
        <w:pStyle w:val="References"/>
      </w:pPr>
    </w:p>
    <w:p w:rsidR="00043BCD" w:rsidRDefault="00043BCD" w:rsidP="008A1C91">
      <w:pPr>
        <w:pStyle w:val="References"/>
      </w:pPr>
    </w:p>
    <w:p w:rsidR="00866575" w:rsidRDefault="00866575" w:rsidP="008A1C91">
      <w:pPr>
        <w:pStyle w:val="References"/>
        <w:sectPr w:rsidR="00866575" w:rsidSect="00AE2F9D">
          <w:headerReference w:type="even" r:id="rId22"/>
          <w:headerReference w:type="default" r:id="rId23"/>
          <w:footerReference w:type="default" r:id="rId24"/>
          <w:headerReference w:type="first" r:id="rId25"/>
          <w:endnotePr>
            <w:numFmt w:val="decimal"/>
          </w:endnotePr>
          <w:type w:val="oddPage"/>
          <w:pgSz w:w="11907" w:h="16840" w:code="9"/>
          <w:pgMar w:top="2268" w:right="2098" w:bottom="1701" w:left="2098" w:header="578" w:footer="578" w:gutter="0"/>
          <w:pgNumType w:fmt="lowerRoman"/>
          <w:cols w:space="720"/>
        </w:sectPr>
      </w:pPr>
    </w:p>
    <w:p w:rsidR="00206261" w:rsidRDefault="00206261" w:rsidP="008A1C91">
      <w:pPr>
        <w:pStyle w:val="References"/>
        <w:sectPr w:rsidR="00206261" w:rsidSect="006868F3">
          <w:endnotePr>
            <w:numFmt w:val="decimal"/>
          </w:endnotePr>
          <w:pgSz w:w="11907" w:h="16840" w:code="9"/>
          <w:pgMar w:top="2268" w:right="2098" w:bottom="1701" w:left="2098" w:header="578" w:footer="578" w:gutter="0"/>
          <w:pgNumType w:fmt="lowerRoman"/>
          <w:cols w:space="720"/>
          <w:docGrid w:linePitch="299"/>
        </w:sectPr>
      </w:pPr>
    </w:p>
    <w:p w:rsidR="00D5242B" w:rsidRPr="005E1CF9" w:rsidRDefault="00D5242B" w:rsidP="008A1C91">
      <w:pPr>
        <w:pStyle w:val="References"/>
        <w:rPr>
          <w:rFonts w:ascii="Tahoma" w:hAnsi="Tahoma" w:cs="Tahoma"/>
          <w:b/>
          <w:color w:val="000033"/>
          <w:sz w:val="40"/>
          <w:lang w:val="en-AU"/>
        </w:rPr>
      </w:pPr>
      <w:bookmarkStart w:id="9" w:name="Tariff_review_at_a_glance"/>
      <w:bookmarkEnd w:id="5"/>
      <w:bookmarkEnd w:id="6"/>
      <w:bookmarkEnd w:id="9"/>
      <w:r w:rsidRPr="005E1CF9">
        <w:rPr>
          <w:rFonts w:ascii="Tahoma" w:hAnsi="Tahoma" w:cs="Tahoma"/>
          <w:b/>
          <w:color w:val="000033"/>
          <w:sz w:val="40"/>
          <w:lang w:val="en-AU"/>
        </w:rPr>
        <w:lastRenderedPageBreak/>
        <w:t>Contents</w:t>
      </w:r>
    </w:p>
    <w:bookmarkStart w:id="10" w:name="_Toc44217187"/>
    <w:p w:rsidR="00FE3216" w:rsidRDefault="00C04337">
      <w:pPr>
        <w:pStyle w:val="TOC1"/>
        <w:rPr>
          <w:rFonts w:asciiTheme="minorHAnsi" w:eastAsiaTheme="minorEastAsia" w:hAnsiTheme="minorHAnsi" w:cstheme="minorBidi"/>
          <w:b w:val="0"/>
          <w:szCs w:val="22"/>
          <w:lang w:val="en-AU" w:eastAsia="en-AU"/>
        </w:rPr>
      </w:pPr>
      <w:r w:rsidRPr="00C04337">
        <w:rPr>
          <w:b w:val="0"/>
          <w:lang w:val="en-AU"/>
        </w:rPr>
        <w:fldChar w:fldCharType="begin"/>
      </w:r>
      <w:r w:rsidR="00111A0A">
        <w:rPr>
          <w:b w:val="0"/>
          <w:lang w:val="en-AU"/>
        </w:rPr>
        <w:instrText xml:space="preserve"> TOC \o "1-2" \h \z \u </w:instrText>
      </w:r>
      <w:r w:rsidRPr="00C04337">
        <w:rPr>
          <w:b w:val="0"/>
          <w:lang w:val="en-AU"/>
        </w:rPr>
        <w:fldChar w:fldCharType="separate"/>
      </w:r>
      <w:hyperlink w:anchor="_Toc453920852" w:history="1">
        <w:r w:rsidR="00FE3216" w:rsidRPr="008F65B6">
          <w:rPr>
            <w:rStyle w:val="Hyperlink"/>
          </w:rPr>
          <w:t>How to make a submission</w:t>
        </w:r>
        <w:r w:rsidR="00FE3216">
          <w:rPr>
            <w:webHidden/>
          </w:rPr>
          <w:tab/>
        </w:r>
        <w:r>
          <w:rPr>
            <w:webHidden/>
          </w:rPr>
          <w:fldChar w:fldCharType="begin"/>
        </w:r>
        <w:r w:rsidR="00FE3216">
          <w:rPr>
            <w:webHidden/>
          </w:rPr>
          <w:instrText xml:space="preserve"> PAGEREF _Toc453920852 \h </w:instrText>
        </w:r>
        <w:r>
          <w:rPr>
            <w:webHidden/>
          </w:rPr>
        </w:r>
        <w:r>
          <w:rPr>
            <w:webHidden/>
          </w:rPr>
          <w:fldChar w:fldCharType="separate"/>
        </w:r>
        <w:r w:rsidR="00FE3216">
          <w:rPr>
            <w:webHidden/>
          </w:rPr>
          <w:t>iii</w:t>
        </w:r>
        <w:r>
          <w:rPr>
            <w:webHidden/>
          </w:rPr>
          <w:fldChar w:fldCharType="end"/>
        </w:r>
      </w:hyperlink>
    </w:p>
    <w:p w:rsidR="00FE3216" w:rsidRDefault="00C04337">
      <w:pPr>
        <w:pStyle w:val="TOC1"/>
        <w:rPr>
          <w:rFonts w:asciiTheme="minorHAnsi" w:eastAsiaTheme="minorEastAsia" w:hAnsiTheme="minorHAnsi" w:cstheme="minorBidi"/>
          <w:b w:val="0"/>
          <w:szCs w:val="22"/>
          <w:lang w:val="en-AU" w:eastAsia="en-AU"/>
        </w:rPr>
      </w:pPr>
      <w:hyperlink w:anchor="_Toc453920853" w:history="1">
        <w:r w:rsidR="00FE3216" w:rsidRPr="008F65B6">
          <w:rPr>
            <w:rStyle w:val="Hyperlink"/>
          </w:rPr>
          <w:t>Executive summary</w:t>
        </w:r>
        <w:r w:rsidR="00FE3216">
          <w:rPr>
            <w:webHidden/>
          </w:rPr>
          <w:tab/>
        </w:r>
        <w:r>
          <w:rPr>
            <w:webHidden/>
          </w:rPr>
          <w:fldChar w:fldCharType="begin"/>
        </w:r>
        <w:r w:rsidR="00FE3216">
          <w:rPr>
            <w:webHidden/>
          </w:rPr>
          <w:instrText xml:space="preserve"> PAGEREF _Toc453920853 \h </w:instrText>
        </w:r>
        <w:r>
          <w:rPr>
            <w:webHidden/>
          </w:rPr>
        </w:r>
        <w:r>
          <w:rPr>
            <w:webHidden/>
          </w:rPr>
          <w:fldChar w:fldCharType="separate"/>
        </w:r>
        <w:r w:rsidR="00FE3216">
          <w:rPr>
            <w:webHidden/>
          </w:rPr>
          <w:t>ix</w:t>
        </w:r>
        <w:r>
          <w:rPr>
            <w:webHidden/>
          </w:rPr>
          <w:fldChar w:fldCharType="end"/>
        </w:r>
      </w:hyperlink>
    </w:p>
    <w:p w:rsidR="00FE3216" w:rsidRDefault="00C04337">
      <w:pPr>
        <w:pStyle w:val="TOC1"/>
        <w:rPr>
          <w:rFonts w:asciiTheme="minorHAnsi" w:eastAsiaTheme="minorEastAsia" w:hAnsiTheme="minorHAnsi" w:cstheme="minorBidi"/>
          <w:b w:val="0"/>
          <w:szCs w:val="22"/>
          <w:lang w:val="en-AU" w:eastAsia="en-AU"/>
        </w:rPr>
      </w:pPr>
      <w:hyperlink w:anchor="_Toc453920854" w:history="1">
        <w:r w:rsidR="00FE3216" w:rsidRPr="008F65B6">
          <w:rPr>
            <w:rStyle w:val="Hyperlink"/>
          </w:rPr>
          <w:t>1</w:t>
        </w:r>
        <w:r w:rsidR="00FE3216">
          <w:rPr>
            <w:rFonts w:asciiTheme="minorHAnsi" w:eastAsiaTheme="minorEastAsia" w:hAnsiTheme="minorHAnsi" w:cstheme="minorBidi"/>
            <w:b w:val="0"/>
            <w:szCs w:val="22"/>
            <w:lang w:val="en-AU" w:eastAsia="en-AU"/>
          </w:rPr>
          <w:tab/>
        </w:r>
        <w:r w:rsidR="00FE3216" w:rsidRPr="008F65B6">
          <w:rPr>
            <w:rStyle w:val="Hyperlink"/>
          </w:rPr>
          <w:t>Introduction</w:t>
        </w:r>
        <w:r w:rsidR="00FE3216">
          <w:rPr>
            <w:webHidden/>
          </w:rPr>
          <w:tab/>
        </w:r>
        <w:r>
          <w:rPr>
            <w:webHidden/>
          </w:rPr>
          <w:fldChar w:fldCharType="begin"/>
        </w:r>
        <w:r w:rsidR="00FE3216">
          <w:rPr>
            <w:webHidden/>
          </w:rPr>
          <w:instrText xml:space="preserve"> PAGEREF _Toc453920854 \h </w:instrText>
        </w:r>
        <w:r>
          <w:rPr>
            <w:webHidden/>
          </w:rPr>
        </w:r>
        <w:r>
          <w:rPr>
            <w:webHidden/>
          </w:rPr>
          <w:fldChar w:fldCharType="separate"/>
        </w:r>
        <w:r w:rsidR="00FE3216">
          <w:rPr>
            <w:webHidden/>
          </w:rPr>
          <w:t>1</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55" w:history="1">
        <w:r w:rsidR="00FE3216" w:rsidRPr="008F65B6">
          <w:rPr>
            <w:rStyle w:val="Hyperlink"/>
          </w:rPr>
          <w:t>1.1</w:t>
        </w:r>
        <w:r w:rsidR="00FE3216">
          <w:rPr>
            <w:rFonts w:asciiTheme="minorHAnsi" w:eastAsiaTheme="minorEastAsia" w:hAnsiTheme="minorHAnsi" w:cstheme="minorBidi"/>
            <w:szCs w:val="22"/>
            <w:lang w:val="en-AU" w:eastAsia="en-AU"/>
          </w:rPr>
          <w:tab/>
        </w:r>
        <w:r w:rsidR="00FE3216" w:rsidRPr="008F65B6">
          <w:rPr>
            <w:rStyle w:val="Hyperlink"/>
          </w:rPr>
          <w:t>Background and purpose of this technical paper</w:t>
        </w:r>
        <w:r w:rsidR="00FE3216">
          <w:rPr>
            <w:webHidden/>
          </w:rPr>
          <w:tab/>
        </w:r>
        <w:r>
          <w:rPr>
            <w:webHidden/>
          </w:rPr>
          <w:fldChar w:fldCharType="begin"/>
        </w:r>
        <w:r w:rsidR="00FE3216">
          <w:rPr>
            <w:webHidden/>
          </w:rPr>
          <w:instrText xml:space="preserve"> PAGEREF _Toc453920855 \h </w:instrText>
        </w:r>
        <w:r>
          <w:rPr>
            <w:webHidden/>
          </w:rPr>
        </w:r>
        <w:r>
          <w:rPr>
            <w:webHidden/>
          </w:rPr>
          <w:fldChar w:fldCharType="separate"/>
        </w:r>
        <w:r w:rsidR="00FE3216">
          <w:rPr>
            <w:webHidden/>
          </w:rPr>
          <w:t>1</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56" w:history="1">
        <w:r w:rsidR="00FE3216" w:rsidRPr="008F65B6">
          <w:rPr>
            <w:rStyle w:val="Hyperlink"/>
          </w:rPr>
          <w:t>1.2</w:t>
        </w:r>
        <w:r w:rsidR="00FE3216">
          <w:rPr>
            <w:rFonts w:asciiTheme="minorHAnsi" w:eastAsiaTheme="minorEastAsia" w:hAnsiTheme="minorHAnsi" w:cstheme="minorBidi"/>
            <w:szCs w:val="22"/>
            <w:lang w:val="en-AU" w:eastAsia="en-AU"/>
          </w:rPr>
          <w:tab/>
        </w:r>
        <w:r w:rsidR="00FE3216" w:rsidRPr="008F65B6">
          <w:rPr>
            <w:rStyle w:val="Hyperlink"/>
          </w:rPr>
          <w:t>Tariff review timeline and submission process</w:t>
        </w:r>
        <w:r w:rsidR="00FE3216">
          <w:rPr>
            <w:webHidden/>
          </w:rPr>
          <w:tab/>
        </w:r>
        <w:r>
          <w:rPr>
            <w:webHidden/>
          </w:rPr>
          <w:fldChar w:fldCharType="begin"/>
        </w:r>
        <w:r w:rsidR="00FE3216">
          <w:rPr>
            <w:webHidden/>
          </w:rPr>
          <w:instrText xml:space="preserve"> PAGEREF _Toc453920856 \h </w:instrText>
        </w:r>
        <w:r>
          <w:rPr>
            <w:webHidden/>
          </w:rPr>
        </w:r>
        <w:r>
          <w:rPr>
            <w:webHidden/>
          </w:rPr>
          <w:fldChar w:fldCharType="separate"/>
        </w:r>
        <w:r w:rsidR="00FE3216">
          <w:rPr>
            <w:webHidden/>
          </w:rPr>
          <w:t>4</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57" w:history="1">
        <w:r w:rsidR="00FE3216" w:rsidRPr="008F65B6">
          <w:rPr>
            <w:rStyle w:val="Hyperlink"/>
          </w:rPr>
          <w:t>1.3</w:t>
        </w:r>
        <w:r w:rsidR="00FE3216">
          <w:rPr>
            <w:rFonts w:asciiTheme="minorHAnsi" w:eastAsiaTheme="minorEastAsia" w:hAnsiTheme="minorHAnsi" w:cstheme="minorBidi"/>
            <w:szCs w:val="22"/>
            <w:lang w:val="en-AU" w:eastAsia="en-AU"/>
          </w:rPr>
          <w:tab/>
        </w:r>
        <w:r w:rsidR="00FE3216" w:rsidRPr="008F65B6">
          <w:rPr>
            <w:rStyle w:val="Hyperlink"/>
          </w:rPr>
          <w:t>Technical paper structure</w:t>
        </w:r>
        <w:r w:rsidR="00FE3216">
          <w:rPr>
            <w:webHidden/>
          </w:rPr>
          <w:tab/>
        </w:r>
        <w:r>
          <w:rPr>
            <w:webHidden/>
          </w:rPr>
          <w:fldChar w:fldCharType="begin"/>
        </w:r>
        <w:r w:rsidR="00FE3216">
          <w:rPr>
            <w:webHidden/>
          </w:rPr>
          <w:instrText xml:space="preserve"> PAGEREF _Toc453920857 \h </w:instrText>
        </w:r>
        <w:r>
          <w:rPr>
            <w:webHidden/>
          </w:rPr>
        </w:r>
        <w:r>
          <w:rPr>
            <w:webHidden/>
          </w:rPr>
          <w:fldChar w:fldCharType="separate"/>
        </w:r>
        <w:r w:rsidR="00FE3216">
          <w:rPr>
            <w:webHidden/>
          </w:rPr>
          <w:t>4</w:t>
        </w:r>
        <w:r>
          <w:rPr>
            <w:webHidden/>
          </w:rPr>
          <w:fldChar w:fldCharType="end"/>
        </w:r>
      </w:hyperlink>
    </w:p>
    <w:p w:rsidR="00FE3216" w:rsidRDefault="00C04337">
      <w:pPr>
        <w:pStyle w:val="TOC1"/>
        <w:rPr>
          <w:rFonts w:asciiTheme="minorHAnsi" w:eastAsiaTheme="minorEastAsia" w:hAnsiTheme="minorHAnsi" w:cstheme="minorBidi"/>
          <w:b w:val="0"/>
          <w:szCs w:val="22"/>
          <w:lang w:val="en-AU" w:eastAsia="en-AU"/>
        </w:rPr>
      </w:pPr>
      <w:hyperlink w:anchor="_Toc453920858" w:history="1">
        <w:r w:rsidR="00FE3216" w:rsidRPr="008F65B6">
          <w:rPr>
            <w:rStyle w:val="Hyperlink"/>
          </w:rPr>
          <w:t>2</w:t>
        </w:r>
        <w:r w:rsidR="00FE3216">
          <w:rPr>
            <w:rFonts w:asciiTheme="minorHAnsi" w:eastAsiaTheme="minorEastAsia" w:hAnsiTheme="minorHAnsi" w:cstheme="minorBidi"/>
            <w:b w:val="0"/>
            <w:szCs w:val="22"/>
            <w:lang w:val="en-AU" w:eastAsia="en-AU"/>
          </w:rPr>
          <w:tab/>
        </w:r>
        <w:r w:rsidR="00FE3216" w:rsidRPr="008F65B6">
          <w:rPr>
            <w:rStyle w:val="Hyperlink"/>
          </w:rPr>
          <w:t>Theory and application of marginal cost pricing</w:t>
        </w:r>
        <w:r w:rsidR="00FE3216">
          <w:rPr>
            <w:webHidden/>
          </w:rPr>
          <w:tab/>
        </w:r>
        <w:r>
          <w:rPr>
            <w:webHidden/>
          </w:rPr>
          <w:fldChar w:fldCharType="begin"/>
        </w:r>
        <w:r w:rsidR="00FE3216">
          <w:rPr>
            <w:webHidden/>
          </w:rPr>
          <w:instrText xml:space="preserve"> PAGEREF _Toc453920858 \h </w:instrText>
        </w:r>
        <w:r>
          <w:rPr>
            <w:webHidden/>
          </w:rPr>
        </w:r>
        <w:r>
          <w:rPr>
            <w:webHidden/>
          </w:rPr>
          <w:fldChar w:fldCharType="separate"/>
        </w:r>
        <w:r w:rsidR="00FE3216">
          <w:rPr>
            <w:webHidden/>
          </w:rPr>
          <w:t>7</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59" w:history="1">
        <w:r w:rsidR="00FE3216" w:rsidRPr="008F65B6">
          <w:rPr>
            <w:rStyle w:val="Hyperlink"/>
          </w:rPr>
          <w:t>2.1</w:t>
        </w:r>
        <w:r w:rsidR="00FE3216">
          <w:rPr>
            <w:rFonts w:asciiTheme="minorHAnsi" w:eastAsiaTheme="minorEastAsia" w:hAnsiTheme="minorHAnsi" w:cstheme="minorBidi"/>
            <w:szCs w:val="22"/>
            <w:lang w:val="en-AU" w:eastAsia="en-AU"/>
          </w:rPr>
          <w:tab/>
        </w:r>
        <w:r w:rsidR="00FE3216" w:rsidRPr="008F65B6">
          <w:rPr>
            <w:rStyle w:val="Hyperlink"/>
          </w:rPr>
          <w:t>Introduction</w:t>
        </w:r>
        <w:r w:rsidR="00FE3216">
          <w:rPr>
            <w:webHidden/>
          </w:rPr>
          <w:tab/>
        </w:r>
        <w:r>
          <w:rPr>
            <w:webHidden/>
          </w:rPr>
          <w:fldChar w:fldCharType="begin"/>
        </w:r>
        <w:r w:rsidR="00FE3216">
          <w:rPr>
            <w:webHidden/>
          </w:rPr>
          <w:instrText xml:space="preserve"> PAGEREF _Toc453920859 \h </w:instrText>
        </w:r>
        <w:r>
          <w:rPr>
            <w:webHidden/>
          </w:rPr>
        </w:r>
        <w:r>
          <w:rPr>
            <w:webHidden/>
          </w:rPr>
          <w:fldChar w:fldCharType="separate"/>
        </w:r>
        <w:r w:rsidR="00FE3216">
          <w:rPr>
            <w:webHidden/>
          </w:rPr>
          <w:t>7</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60" w:history="1">
        <w:r w:rsidR="00FE3216" w:rsidRPr="008F65B6">
          <w:rPr>
            <w:rStyle w:val="Hyperlink"/>
          </w:rPr>
          <w:t>2.2</w:t>
        </w:r>
        <w:r w:rsidR="00FE3216">
          <w:rPr>
            <w:rFonts w:asciiTheme="minorHAnsi" w:eastAsiaTheme="minorEastAsia" w:hAnsiTheme="minorHAnsi" w:cstheme="minorBidi"/>
            <w:szCs w:val="22"/>
            <w:lang w:val="en-AU" w:eastAsia="en-AU"/>
          </w:rPr>
          <w:tab/>
        </w:r>
        <w:r w:rsidR="00FE3216" w:rsidRPr="008F65B6">
          <w:rPr>
            <w:rStyle w:val="Hyperlink"/>
          </w:rPr>
          <w:t>Textbook motivation for marginal cost pricing</w:t>
        </w:r>
        <w:r w:rsidR="00FE3216">
          <w:rPr>
            <w:webHidden/>
          </w:rPr>
          <w:tab/>
        </w:r>
        <w:r>
          <w:rPr>
            <w:webHidden/>
          </w:rPr>
          <w:fldChar w:fldCharType="begin"/>
        </w:r>
        <w:r w:rsidR="00FE3216">
          <w:rPr>
            <w:webHidden/>
          </w:rPr>
          <w:instrText xml:space="preserve"> PAGEREF _Toc453920860 \h </w:instrText>
        </w:r>
        <w:r>
          <w:rPr>
            <w:webHidden/>
          </w:rPr>
        </w:r>
        <w:r>
          <w:rPr>
            <w:webHidden/>
          </w:rPr>
          <w:fldChar w:fldCharType="separate"/>
        </w:r>
        <w:r w:rsidR="00FE3216">
          <w:rPr>
            <w:webHidden/>
          </w:rPr>
          <w:t>7</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61" w:history="1">
        <w:r w:rsidR="00FE3216" w:rsidRPr="008F65B6">
          <w:rPr>
            <w:rStyle w:val="Hyperlink"/>
          </w:rPr>
          <w:t>2.3</w:t>
        </w:r>
        <w:r w:rsidR="00FE3216">
          <w:rPr>
            <w:rFonts w:asciiTheme="minorHAnsi" w:eastAsiaTheme="minorEastAsia" w:hAnsiTheme="minorHAnsi" w:cstheme="minorBidi"/>
            <w:szCs w:val="22"/>
            <w:lang w:val="en-AU" w:eastAsia="en-AU"/>
          </w:rPr>
          <w:tab/>
        </w:r>
        <w:r w:rsidR="00FE3216" w:rsidRPr="008F65B6">
          <w:rPr>
            <w:rStyle w:val="Hyperlink"/>
          </w:rPr>
          <w:t>Do consumers respond to average or marginal prices?</w:t>
        </w:r>
        <w:r w:rsidR="00FE3216">
          <w:rPr>
            <w:webHidden/>
          </w:rPr>
          <w:tab/>
        </w:r>
        <w:r>
          <w:rPr>
            <w:webHidden/>
          </w:rPr>
          <w:fldChar w:fldCharType="begin"/>
        </w:r>
        <w:r w:rsidR="00FE3216">
          <w:rPr>
            <w:webHidden/>
          </w:rPr>
          <w:instrText xml:space="preserve"> PAGEREF _Toc453920861 \h </w:instrText>
        </w:r>
        <w:r>
          <w:rPr>
            <w:webHidden/>
          </w:rPr>
        </w:r>
        <w:r>
          <w:rPr>
            <w:webHidden/>
          </w:rPr>
          <w:fldChar w:fldCharType="separate"/>
        </w:r>
        <w:r w:rsidR="00FE3216">
          <w:rPr>
            <w:webHidden/>
          </w:rPr>
          <w:t>9</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62" w:history="1">
        <w:r w:rsidR="00FE3216" w:rsidRPr="008F65B6">
          <w:rPr>
            <w:rStyle w:val="Hyperlink"/>
          </w:rPr>
          <w:t>2.4</w:t>
        </w:r>
        <w:r w:rsidR="00FE3216">
          <w:rPr>
            <w:rFonts w:asciiTheme="minorHAnsi" w:eastAsiaTheme="minorEastAsia" w:hAnsiTheme="minorHAnsi" w:cstheme="minorBidi"/>
            <w:szCs w:val="22"/>
            <w:lang w:val="en-AU" w:eastAsia="en-AU"/>
          </w:rPr>
          <w:tab/>
        </w:r>
        <w:r w:rsidR="00FE3216" w:rsidRPr="008F65B6">
          <w:rPr>
            <w:rStyle w:val="Hyperlink"/>
          </w:rPr>
          <w:t>Short- versus long-run marginal cost</w:t>
        </w:r>
        <w:r w:rsidR="00FE3216">
          <w:rPr>
            <w:webHidden/>
          </w:rPr>
          <w:tab/>
        </w:r>
        <w:r>
          <w:rPr>
            <w:webHidden/>
          </w:rPr>
          <w:fldChar w:fldCharType="begin"/>
        </w:r>
        <w:r w:rsidR="00FE3216">
          <w:rPr>
            <w:webHidden/>
          </w:rPr>
          <w:instrText xml:space="preserve"> PAGEREF _Toc453920862 \h </w:instrText>
        </w:r>
        <w:r>
          <w:rPr>
            <w:webHidden/>
          </w:rPr>
        </w:r>
        <w:r>
          <w:rPr>
            <w:webHidden/>
          </w:rPr>
          <w:fldChar w:fldCharType="separate"/>
        </w:r>
        <w:r w:rsidR="00FE3216">
          <w:rPr>
            <w:webHidden/>
          </w:rPr>
          <w:t>11</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63" w:history="1">
        <w:r w:rsidR="00FE3216" w:rsidRPr="008F65B6">
          <w:rPr>
            <w:rStyle w:val="Hyperlink"/>
          </w:rPr>
          <w:t>2.5</w:t>
        </w:r>
        <w:r w:rsidR="00FE3216">
          <w:rPr>
            <w:rFonts w:asciiTheme="minorHAnsi" w:eastAsiaTheme="minorEastAsia" w:hAnsiTheme="minorHAnsi" w:cstheme="minorBidi"/>
            <w:szCs w:val="22"/>
            <w:lang w:val="en-AU" w:eastAsia="en-AU"/>
          </w:rPr>
          <w:tab/>
        </w:r>
        <w:r w:rsidR="00FE3216" w:rsidRPr="008F65B6">
          <w:rPr>
            <w:rStyle w:val="Hyperlink"/>
          </w:rPr>
          <w:t>Marginal resource cost</w:t>
        </w:r>
        <w:r w:rsidR="00FE3216">
          <w:rPr>
            <w:webHidden/>
          </w:rPr>
          <w:tab/>
        </w:r>
        <w:r>
          <w:rPr>
            <w:webHidden/>
          </w:rPr>
          <w:fldChar w:fldCharType="begin"/>
        </w:r>
        <w:r w:rsidR="00FE3216">
          <w:rPr>
            <w:webHidden/>
          </w:rPr>
          <w:instrText xml:space="preserve"> PAGEREF _Toc453920863 \h </w:instrText>
        </w:r>
        <w:r>
          <w:rPr>
            <w:webHidden/>
          </w:rPr>
        </w:r>
        <w:r>
          <w:rPr>
            <w:webHidden/>
          </w:rPr>
          <w:fldChar w:fldCharType="separate"/>
        </w:r>
        <w:r w:rsidR="00FE3216">
          <w:rPr>
            <w:webHidden/>
          </w:rPr>
          <w:t>16</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64" w:history="1">
        <w:r w:rsidR="00FE3216" w:rsidRPr="008F65B6">
          <w:rPr>
            <w:rStyle w:val="Hyperlink"/>
          </w:rPr>
          <w:t>2.6</w:t>
        </w:r>
        <w:r w:rsidR="00FE3216">
          <w:rPr>
            <w:rFonts w:asciiTheme="minorHAnsi" w:eastAsiaTheme="minorEastAsia" w:hAnsiTheme="minorHAnsi" w:cstheme="minorBidi"/>
            <w:szCs w:val="22"/>
            <w:lang w:val="en-AU" w:eastAsia="en-AU"/>
          </w:rPr>
          <w:tab/>
        </w:r>
        <w:r w:rsidR="00FE3216" w:rsidRPr="008F65B6">
          <w:rPr>
            <w:rStyle w:val="Hyperlink"/>
          </w:rPr>
          <w:t>Marginal cost pricing in a decreasing cost industry</w:t>
        </w:r>
        <w:r w:rsidR="00FE3216">
          <w:rPr>
            <w:webHidden/>
          </w:rPr>
          <w:tab/>
        </w:r>
        <w:r>
          <w:rPr>
            <w:webHidden/>
          </w:rPr>
          <w:fldChar w:fldCharType="begin"/>
        </w:r>
        <w:r w:rsidR="00FE3216">
          <w:rPr>
            <w:webHidden/>
          </w:rPr>
          <w:instrText xml:space="preserve"> PAGEREF _Toc453920864 \h </w:instrText>
        </w:r>
        <w:r>
          <w:rPr>
            <w:webHidden/>
          </w:rPr>
        </w:r>
        <w:r>
          <w:rPr>
            <w:webHidden/>
          </w:rPr>
          <w:fldChar w:fldCharType="separate"/>
        </w:r>
        <w:r w:rsidR="00FE3216">
          <w:rPr>
            <w:webHidden/>
          </w:rPr>
          <w:t>18</w:t>
        </w:r>
        <w:r>
          <w:rPr>
            <w:webHidden/>
          </w:rPr>
          <w:fldChar w:fldCharType="end"/>
        </w:r>
      </w:hyperlink>
    </w:p>
    <w:p w:rsidR="00FE3216" w:rsidRDefault="00C04337">
      <w:pPr>
        <w:pStyle w:val="TOC1"/>
        <w:rPr>
          <w:rFonts w:asciiTheme="minorHAnsi" w:eastAsiaTheme="minorEastAsia" w:hAnsiTheme="minorHAnsi" w:cstheme="minorBidi"/>
          <w:b w:val="0"/>
          <w:szCs w:val="22"/>
          <w:lang w:val="en-AU" w:eastAsia="en-AU"/>
        </w:rPr>
      </w:pPr>
      <w:hyperlink w:anchor="_Toc453920865" w:history="1">
        <w:r w:rsidR="00FE3216" w:rsidRPr="008F65B6">
          <w:rPr>
            <w:rStyle w:val="Hyperlink"/>
          </w:rPr>
          <w:t>3</w:t>
        </w:r>
        <w:r w:rsidR="00FE3216">
          <w:rPr>
            <w:rFonts w:asciiTheme="minorHAnsi" w:eastAsiaTheme="minorEastAsia" w:hAnsiTheme="minorHAnsi" w:cstheme="minorBidi"/>
            <w:b w:val="0"/>
            <w:szCs w:val="22"/>
            <w:lang w:val="en-AU" w:eastAsia="en-AU"/>
          </w:rPr>
          <w:tab/>
        </w:r>
        <w:r w:rsidR="00FE3216" w:rsidRPr="008F65B6">
          <w:rPr>
            <w:rStyle w:val="Hyperlink"/>
          </w:rPr>
          <w:t>Measuring marginal cost in practice</w:t>
        </w:r>
        <w:r w:rsidR="00FE3216">
          <w:rPr>
            <w:webHidden/>
          </w:rPr>
          <w:tab/>
        </w:r>
        <w:r>
          <w:rPr>
            <w:webHidden/>
          </w:rPr>
          <w:fldChar w:fldCharType="begin"/>
        </w:r>
        <w:r w:rsidR="00FE3216">
          <w:rPr>
            <w:webHidden/>
          </w:rPr>
          <w:instrText xml:space="preserve"> PAGEREF _Toc453920865 \h </w:instrText>
        </w:r>
        <w:r>
          <w:rPr>
            <w:webHidden/>
          </w:rPr>
        </w:r>
        <w:r>
          <w:rPr>
            <w:webHidden/>
          </w:rPr>
          <w:fldChar w:fldCharType="separate"/>
        </w:r>
        <w:r w:rsidR="00FE3216">
          <w:rPr>
            <w:webHidden/>
          </w:rPr>
          <w:t>27</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66" w:history="1">
        <w:r w:rsidR="00FE3216" w:rsidRPr="008F65B6">
          <w:rPr>
            <w:rStyle w:val="Hyperlink"/>
          </w:rPr>
          <w:t>3.1</w:t>
        </w:r>
        <w:r w:rsidR="00FE3216">
          <w:rPr>
            <w:rFonts w:asciiTheme="minorHAnsi" w:eastAsiaTheme="minorEastAsia" w:hAnsiTheme="minorHAnsi" w:cstheme="minorBidi"/>
            <w:szCs w:val="22"/>
            <w:lang w:val="en-AU" w:eastAsia="en-AU"/>
          </w:rPr>
          <w:tab/>
        </w:r>
        <w:r w:rsidR="00FE3216" w:rsidRPr="008F65B6">
          <w:rPr>
            <w:rStyle w:val="Hyperlink"/>
          </w:rPr>
          <w:t>Introduction</w:t>
        </w:r>
        <w:r w:rsidR="00FE3216">
          <w:rPr>
            <w:webHidden/>
          </w:rPr>
          <w:tab/>
        </w:r>
        <w:r>
          <w:rPr>
            <w:webHidden/>
          </w:rPr>
          <w:fldChar w:fldCharType="begin"/>
        </w:r>
        <w:r w:rsidR="00FE3216">
          <w:rPr>
            <w:webHidden/>
          </w:rPr>
          <w:instrText xml:space="preserve"> PAGEREF _Toc453920866 \h </w:instrText>
        </w:r>
        <w:r>
          <w:rPr>
            <w:webHidden/>
          </w:rPr>
        </w:r>
        <w:r>
          <w:rPr>
            <w:webHidden/>
          </w:rPr>
          <w:fldChar w:fldCharType="separate"/>
        </w:r>
        <w:r w:rsidR="00FE3216">
          <w:rPr>
            <w:webHidden/>
          </w:rPr>
          <w:t>27</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67" w:history="1">
        <w:r w:rsidR="00FE3216" w:rsidRPr="008F65B6">
          <w:rPr>
            <w:rStyle w:val="Hyperlink"/>
          </w:rPr>
          <w:t>3.2</w:t>
        </w:r>
        <w:r w:rsidR="00FE3216">
          <w:rPr>
            <w:rFonts w:asciiTheme="minorHAnsi" w:eastAsiaTheme="minorEastAsia" w:hAnsiTheme="minorHAnsi" w:cstheme="minorBidi"/>
            <w:szCs w:val="22"/>
            <w:lang w:val="en-AU" w:eastAsia="en-AU"/>
          </w:rPr>
          <w:tab/>
        </w:r>
        <w:r w:rsidR="00FE3216" w:rsidRPr="008F65B6">
          <w:rPr>
            <w:rStyle w:val="Hyperlink"/>
          </w:rPr>
          <w:t>Defining marginal cost</w:t>
        </w:r>
        <w:r w:rsidR="00FE3216">
          <w:rPr>
            <w:webHidden/>
          </w:rPr>
          <w:tab/>
        </w:r>
        <w:r>
          <w:rPr>
            <w:webHidden/>
          </w:rPr>
          <w:fldChar w:fldCharType="begin"/>
        </w:r>
        <w:r w:rsidR="00FE3216">
          <w:rPr>
            <w:webHidden/>
          </w:rPr>
          <w:instrText xml:space="preserve"> PAGEREF _Toc453920867 \h </w:instrText>
        </w:r>
        <w:r>
          <w:rPr>
            <w:webHidden/>
          </w:rPr>
        </w:r>
        <w:r>
          <w:rPr>
            <w:webHidden/>
          </w:rPr>
          <w:fldChar w:fldCharType="separate"/>
        </w:r>
        <w:r w:rsidR="00FE3216">
          <w:rPr>
            <w:webHidden/>
          </w:rPr>
          <w:t>27</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68" w:history="1">
        <w:r w:rsidR="00FE3216" w:rsidRPr="008F65B6">
          <w:rPr>
            <w:rStyle w:val="Hyperlink"/>
          </w:rPr>
          <w:t>3.3</w:t>
        </w:r>
        <w:r w:rsidR="00FE3216">
          <w:rPr>
            <w:rFonts w:asciiTheme="minorHAnsi" w:eastAsiaTheme="minorEastAsia" w:hAnsiTheme="minorHAnsi" w:cstheme="minorBidi"/>
            <w:szCs w:val="22"/>
            <w:lang w:val="en-AU" w:eastAsia="en-AU"/>
          </w:rPr>
          <w:tab/>
        </w:r>
        <w:r w:rsidR="00FE3216" w:rsidRPr="008F65B6">
          <w:rPr>
            <w:rStyle w:val="Hyperlink"/>
          </w:rPr>
          <w:t>Marginal cost estimation methods</w:t>
        </w:r>
        <w:r w:rsidR="00FE3216">
          <w:rPr>
            <w:webHidden/>
          </w:rPr>
          <w:tab/>
        </w:r>
        <w:r>
          <w:rPr>
            <w:webHidden/>
          </w:rPr>
          <w:fldChar w:fldCharType="begin"/>
        </w:r>
        <w:r w:rsidR="00FE3216">
          <w:rPr>
            <w:webHidden/>
          </w:rPr>
          <w:instrText xml:space="preserve"> PAGEREF _Toc453920868 \h </w:instrText>
        </w:r>
        <w:r>
          <w:rPr>
            <w:webHidden/>
          </w:rPr>
        </w:r>
        <w:r>
          <w:rPr>
            <w:webHidden/>
          </w:rPr>
          <w:fldChar w:fldCharType="separate"/>
        </w:r>
        <w:r w:rsidR="00FE3216">
          <w:rPr>
            <w:webHidden/>
          </w:rPr>
          <w:t>28</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69" w:history="1">
        <w:r w:rsidR="00FE3216" w:rsidRPr="008F65B6">
          <w:rPr>
            <w:rStyle w:val="Hyperlink"/>
          </w:rPr>
          <w:t>3.4</w:t>
        </w:r>
        <w:r w:rsidR="00FE3216">
          <w:rPr>
            <w:rFonts w:asciiTheme="minorHAnsi" w:eastAsiaTheme="minorEastAsia" w:hAnsiTheme="minorHAnsi" w:cstheme="minorBidi"/>
            <w:szCs w:val="22"/>
            <w:lang w:val="en-AU" w:eastAsia="en-AU"/>
          </w:rPr>
          <w:tab/>
        </w:r>
        <w:r w:rsidR="00FE3216" w:rsidRPr="008F65B6">
          <w:rPr>
            <w:rStyle w:val="Hyperlink"/>
          </w:rPr>
          <w:t>Experience in other jurisdictions</w:t>
        </w:r>
        <w:r w:rsidR="00FE3216">
          <w:rPr>
            <w:webHidden/>
          </w:rPr>
          <w:tab/>
        </w:r>
        <w:r>
          <w:rPr>
            <w:webHidden/>
          </w:rPr>
          <w:fldChar w:fldCharType="begin"/>
        </w:r>
        <w:r w:rsidR="00FE3216">
          <w:rPr>
            <w:webHidden/>
          </w:rPr>
          <w:instrText xml:space="preserve"> PAGEREF _Toc453920869 \h </w:instrText>
        </w:r>
        <w:r>
          <w:rPr>
            <w:webHidden/>
          </w:rPr>
        </w:r>
        <w:r>
          <w:rPr>
            <w:webHidden/>
          </w:rPr>
          <w:fldChar w:fldCharType="separate"/>
        </w:r>
        <w:r w:rsidR="00FE3216">
          <w:rPr>
            <w:webHidden/>
          </w:rPr>
          <w:t>38</w:t>
        </w:r>
        <w:r>
          <w:rPr>
            <w:webHidden/>
          </w:rPr>
          <w:fldChar w:fldCharType="end"/>
        </w:r>
      </w:hyperlink>
    </w:p>
    <w:p w:rsidR="00FE3216" w:rsidRDefault="00C04337">
      <w:pPr>
        <w:pStyle w:val="TOC1"/>
        <w:rPr>
          <w:rFonts w:asciiTheme="minorHAnsi" w:eastAsiaTheme="minorEastAsia" w:hAnsiTheme="minorHAnsi" w:cstheme="minorBidi"/>
          <w:b w:val="0"/>
          <w:szCs w:val="22"/>
          <w:lang w:val="en-AU" w:eastAsia="en-AU"/>
        </w:rPr>
      </w:pPr>
      <w:hyperlink w:anchor="_Toc453920870" w:history="1">
        <w:r w:rsidR="00FE3216" w:rsidRPr="008F65B6">
          <w:rPr>
            <w:rStyle w:val="Hyperlink"/>
          </w:rPr>
          <w:t>4</w:t>
        </w:r>
        <w:r w:rsidR="00FE3216">
          <w:rPr>
            <w:rFonts w:asciiTheme="minorHAnsi" w:eastAsiaTheme="minorEastAsia" w:hAnsiTheme="minorHAnsi" w:cstheme="minorBidi"/>
            <w:b w:val="0"/>
            <w:szCs w:val="22"/>
            <w:lang w:val="en-AU" w:eastAsia="en-AU"/>
          </w:rPr>
          <w:tab/>
        </w:r>
        <w:r w:rsidR="00FE3216" w:rsidRPr="008F65B6">
          <w:rPr>
            <w:rStyle w:val="Hyperlink"/>
          </w:rPr>
          <w:t>Marginal cost of water in the ACT</w:t>
        </w:r>
        <w:r w:rsidR="00FE3216">
          <w:rPr>
            <w:webHidden/>
          </w:rPr>
          <w:tab/>
        </w:r>
        <w:r>
          <w:rPr>
            <w:webHidden/>
          </w:rPr>
          <w:fldChar w:fldCharType="begin"/>
        </w:r>
        <w:r w:rsidR="00FE3216">
          <w:rPr>
            <w:webHidden/>
          </w:rPr>
          <w:instrText xml:space="preserve"> PAGEREF _Toc453920870 \h </w:instrText>
        </w:r>
        <w:r>
          <w:rPr>
            <w:webHidden/>
          </w:rPr>
        </w:r>
        <w:r>
          <w:rPr>
            <w:webHidden/>
          </w:rPr>
          <w:fldChar w:fldCharType="separate"/>
        </w:r>
        <w:r w:rsidR="00FE3216">
          <w:rPr>
            <w:webHidden/>
          </w:rPr>
          <w:t>43</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71" w:history="1">
        <w:r w:rsidR="00FE3216" w:rsidRPr="008F65B6">
          <w:rPr>
            <w:rStyle w:val="Hyperlink"/>
          </w:rPr>
          <w:t>4.1</w:t>
        </w:r>
        <w:r w:rsidR="00FE3216">
          <w:rPr>
            <w:rFonts w:asciiTheme="minorHAnsi" w:eastAsiaTheme="minorEastAsia" w:hAnsiTheme="minorHAnsi" w:cstheme="minorBidi"/>
            <w:szCs w:val="22"/>
            <w:lang w:val="en-AU" w:eastAsia="en-AU"/>
          </w:rPr>
          <w:tab/>
        </w:r>
        <w:r w:rsidR="00FE3216" w:rsidRPr="008F65B6">
          <w:rPr>
            <w:rStyle w:val="Hyperlink"/>
          </w:rPr>
          <w:t>The water network</w:t>
        </w:r>
        <w:r w:rsidR="00FE3216">
          <w:rPr>
            <w:webHidden/>
          </w:rPr>
          <w:tab/>
        </w:r>
        <w:r>
          <w:rPr>
            <w:webHidden/>
          </w:rPr>
          <w:fldChar w:fldCharType="begin"/>
        </w:r>
        <w:r w:rsidR="00FE3216">
          <w:rPr>
            <w:webHidden/>
          </w:rPr>
          <w:instrText xml:space="preserve"> PAGEREF _Toc453920871 \h </w:instrText>
        </w:r>
        <w:r>
          <w:rPr>
            <w:webHidden/>
          </w:rPr>
        </w:r>
        <w:r>
          <w:rPr>
            <w:webHidden/>
          </w:rPr>
          <w:fldChar w:fldCharType="separate"/>
        </w:r>
        <w:r w:rsidR="00FE3216">
          <w:rPr>
            <w:webHidden/>
          </w:rPr>
          <w:t>43</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72" w:history="1">
        <w:r w:rsidR="00FE3216" w:rsidRPr="008F65B6">
          <w:rPr>
            <w:rStyle w:val="Hyperlink"/>
          </w:rPr>
          <w:t>4.2</w:t>
        </w:r>
        <w:r w:rsidR="00FE3216">
          <w:rPr>
            <w:rFonts w:asciiTheme="minorHAnsi" w:eastAsiaTheme="minorEastAsia" w:hAnsiTheme="minorHAnsi" w:cstheme="minorBidi"/>
            <w:szCs w:val="22"/>
            <w:lang w:val="en-AU" w:eastAsia="en-AU"/>
          </w:rPr>
          <w:tab/>
        </w:r>
        <w:r w:rsidR="00FE3216" w:rsidRPr="008F65B6">
          <w:rPr>
            <w:rStyle w:val="Hyperlink"/>
          </w:rPr>
          <w:t>Short-run marginal cost estimate</w:t>
        </w:r>
        <w:r w:rsidR="00FE3216">
          <w:rPr>
            <w:webHidden/>
          </w:rPr>
          <w:tab/>
        </w:r>
        <w:r>
          <w:rPr>
            <w:webHidden/>
          </w:rPr>
          <w:fldChar w:fldCharType="begin"/>
        </w:r>
        <w:r w:rsidR="00FE3216">
          <w:rPr>
            <w:webHidden/>
          </w:rPr>
          <w:instrText xml:space="preserve"> PAGEREF _Toc453920872 \h </w:instrText>
        </w:r>
        <w:r>
          <w:rPr>
            <w:webHidden/>
          </w:rPr>
        </w:r>
        <w:r>
          <w:rPr>
            <w:webHidden/>
          </w:rPr>
          <w:fldChar w:fldCharType="separate"/>
        </w:r>
        <w:r w:rsidR="00FE3216">
          <w:rPr>
            <w:webHidden/>
          </w:rPr>
          <w:t>44</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73" w:history="1">
        <w:r w:rsidR="00FE3216" w:rsidRPr="008F65B6">
          <w:rPr>
            <w:rStyle w:val="Hyperlink"/>
          </w:rPr>
          <w:t>4.3</w:t>
        </w:r>
        <w:r w:rsidR="00FE3216">
          <w:rPr>
            <w:rFonts w:asciiTheme="minorHAnsi" w:eastAsiaTheme="minorEastAsia" w:hAnsiTheme="minorHAnsi" w:cstheme="minorBidi"/>
            <w:szCs w:val="22"/>
            <w:lang w:val="en-AU" w:eastAsia="en-AU"/>
          </w:rPr>
          <w:tab/>
        </w:r>
        <w:r w:rsidR="00FE3216" w:rsidRPr="008F65B6">
          <w:rPr>
            <w:rStyle w:val="Hyperlink"/>
          </w:rPr>
          <w:t>Water supply and demand modelling</w:t>
        </w:r>
        <w:r w:rsidR="00FE3216">
          <w:rPr>
            <w:webHidden/>
          </w:rPr>
          <w:tab/>
        </w:r>
        <w:r>
          <w:rPr>
            <w:webHidden/>
          </w:rPr>
          <w:fldChar w:fldCharType="begin"/>
        </w:r>
        <w:r w:rsidR="00FE3216">
          <w:rPr>
            <w:webHidden/>
          </w:rPr>
          <w:instrText xml:space="preserve"> PAGEREF _Toc453920873 \h </w:instrText>
        </w:r>
        <w:r>
          <w:rPr>
            <w:webHidden/>
          </w:rPr>
        </w:r>
        <w:r>
          <w:rPr>
            <w:webHidden/>
          </w:rPr>
          <w:fldChar w:fldCharType="separate"/>
        </w:r>
        <w:r w:rsidR="00FE3216">
          <w:rPr>
            <w:webHidden/>
          </w:rPr>
          <w:t>46</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74" w:history="1">
        <w:r w:rsidR="00FE3216" w:rsidRPr="008F65B6">
          <w:rPr>
            <w:rStyle w:val="Hyperlink"/>
          </w:rPr>
          <w:t>4.4</w:t>
        </w:r>
        <w:r w:rsidR="00FE3216">
          <w:rPr>
            <w:rFonts w:asciiTheme="minorHAnsi" w:eastAsiaTheme="minorEastAsia" w:hAnsiTheme="minorHAnsi" w:cstheme="minorBidi"/>
            <w:szCs w:val="22"/>
            <w:lang w:val="en-AU" w:eastAsia="en-AU"/>
          </w:rPr>
          <w:tab/>
        </w:r>
        <w:r w:rsidR="00FE3216" w:rsidRPr="008F65B6">
          <w:rPr>
            <w:rStyle w:val="Hyperlink"/>
          </w:rPr>
          <w:t>Modelling results</w:t>
        </w:r>
        <w:r w:rsidR="00FE3216">
          <w:rPr>
            <w:webHidden/>
          </w:rPr>
          <w:tab/>
        </w:r>
        <w:r>
          <w:rPr>
            <w:webHidden/>
          </w:rPr>
          <w:fldChar w:fldCharType="begin"/>
        </w:r>
        <w:r w:rsidR="00FE3216">
          <w:rPr>
            <w:webHidden/>
          </w:rPr>
          <w:instrText xml:space="preserve"> PAGEREF _Toc453920874 \h </w:instrText>
        </w:r>
        <w:r>
          <w:rPr>
            <w:webHidden/>
          </w:rPr>
        </w:r>
        <w:r>
          <w:rPr>
            <w:webHidden/>
          </w:rPr>
          <w:fldChar w:fldCharType="separate"/>
        </w:r>
        <w:r w:rsidR="00FE3216">
          <w:rPr>
            <w:webHidden/>
          </w:rPr>
          <w:t>56</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75" w:history="1">
        <w:r w:rsidR="00FE3216" w:rsidRPr="008F65B6">
          <w:rPr>
            <w:rStyle w:val="Hyperlink"/>
          </w:rPr>
          <w:t>4.5</w:t>
        </w:r>
        <w:r w:rsidR="00FE3216">
          <w:rPr>
            <w:rFonts w:asciiTheme="minorHAnsi" w:eastAsiaTheme="minorEastAsia" w:hAnsiTheme="minorHAnsi" w:cstheme="minorBidi"/>
            <w:szCs w:val="22"/>
            <w:lang w:val="en-AU" w:eastAsia="en-AU"/>
          </w:rPr>
          <w:tab/>
        </w:r>
        <w:r w:rsidR="00FE3216" w:rsidRPr="008F65B6">
          <w:rPr>
            <w:rStyle w:val="Hyperlink"/>
          </w:rPr>
          <w:t>Long-run marginal cost estimate</w:t>
        </w:r>
        <w:r w:rsidR="00FE3216">
          <w:rPr>
            <w:webHidden/>
          </w:rPr>
          <w:tab/>
        </w:r>
        <w:r>
          <w:rPr>
            <w:webHidden/>
          </w:rPr>
          <w:fldChar w:fldCharType="begin"/>
        </w:r>
        <w:r w:rsidR="00FE3216">
          <w:rPr>
            <w:webHidden/>
          </w:rPr>
          <w:instrText xml:space="preserve"> PAGEREF _Toc453920875 \h </w:instrText>
        </w:r>
        <w:r>
          <w:rPr>
            <w:webHidden/>
          </w:rPr>
        </w:r>
        <w:r>
          <w:rPr>
            <w:webHidden/>
          </w:rPr>
          <w:fldChar w:fldCharType="separate"/>
        </w:r>
        <w:r w:rsidR="00FE3216">
          <w:rPr>
            <w:webHidden/>
          </w:rPr>
          <w:t>58</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76" w:history="1">
        <w:r w:rsidR="00FE3216" w:rsidRPr="008F65B6">
          <w:rPr>
            <w:rStyle w:val="Hyperlink"/>
          </w:rPr>
          <w:t>4.6</w:t>
        </w:r>
        <w:r w:rsidR="00FE3216">
          <w:rPr>
            <w:rFonts w:asciiTheme="minorHAnsi" w:eastAsiaTheme="minorEastAsia" w:hAnsiTheme="minorHAnsi" w:cstheme="minorBidi"/>
            <w:szCs w:val="22"/>
            <w:lang w:val="en-AU" w:eastAsia="en-AU"/>
          </w:rPr>
          <w:tab/>
        </w:r>
        <w:r w:rsidR="00FE3216" w:rsidRPr="008F65B6">
          <w:rPr>
            <w:rStyle w:val="Hyperlink"/>
          </w:rPr>
          <w:t>Summary</w:t>
        </w:r>
        <w:r w:rsidR="00FE3216">
          <w:rPr>
            <w:webHidden/>
          </w:rPr>
          <w:tab/>
        </w:r>
        <w:r>
          <w:rPr>
            <w:webHidden/>
          </w:rPr>
          <w:fldChar w:fldCharType="begin"/>
        </w:r>
        <w:r w:rsidR="00FE3216">
          <w:rPr>
            <w:webHidden/>
          </w:rPr>
          <w:instrText xml:space="preserve"> PAGEREF _Toc453920876 \h </w:instrText>
        </w:r>
        <w:r>
          <w:rPr>
            <w:webHidden/>
          </w:rPr>
        </w:r>
        <w:r>
          <w:rPr>
            <w:webHidden/>
          </w:rPr>
          <w:fldChar w:fldCharType="separate"/>
        </w:r>
        <w:r w:rsidR="00FE3216">
          <w:rPr>
            <w:webHidden/>
          </w:rPr>
          <w:t>60</w:t>
        </w:r>
        <w:r>
          <w:rPr>
            <w:webHidden/>
          </w:rPr>
          <w:fldChar w:fldCharType="end"/>
        </w:r>
      </w:hyperlink>
    </w:p>
    <w:p w:rsidR="00FE3216" w:rsidRDefault="00C04337">
      <w:pPr>
        <w:pStyle w:val="TOC1"/>
        <w:rPr>
          <w:rFonts w:asciiTheme="minorHAnsi" w:eastAsiaTheme="minorEastAsia" w:hAnsiTheme="minorHAnsi" w:cstheme="minorBidi"/>
          <w:b w:val="0"/>
          <w:szCs w:val="22"/>
          <w:lang w:val="en-AU" w:eastAsia="en-AU"/>
        </w:rPr>
      </w:pPr>
      <w:hyperlink w:anchor="_Toc453920877" w:history="1">
        <w:r w:rsidR="00FE3216" w:rsidRPr="008F65B6">
          <w:rPr>
            <w:rStyle w:val="Hyperlink"/>
          </w:rPr>
          <w:t>5</w:t>
        </w:r>
        <w:r w:rsidR="00FE3216">
          <w:rPr>
            <w:rFonts w:asciiTheme="minorHAnsi" w:eastAsiaTheme="minorEastAsia" w:hAnsiTheme="minorHAnsi" w:cstheme="minorBidi"/>
            <w:b w:val="0"/>
            <w:szCs w:val="22"/>
            <w:lang w:val="en-AU" w:eastAsia="en-AU"/>
          </w:rPr>
          <w:tab/>
        </w:r>
        <w:r w:rsidR="00FE3216" w:rsidRPr="008F65B6">
          <w:rPr>
            <w:rStyle w:val="Hyperlink"/>
          </w:rPr>
          <w:t>Marginal cost of sewerage services in the ACT</w:t>
        </w:r>
        <w:r w:rsidR="00FE3216">
          <w:rPr>
            <w:webHidden/>
          </w:rPr>
          <w:tab/>
        </w:r>
        <w:r>
          <w:rPr>
            <w:webHidden/>
          </w:rPr>
          <w:fldChar w:fldCharType="begin"/>
        </w:r>
        <w:r w:rsidR="00FE3216">
          <w:rPr>
            <w:webHidden/>
          </w:rPr>
          <w:instrText xml:space="preserve"> PAGEREF _Toc453920877 \h </w:instrText>
        </w:r>
        <w:r>
          <w:rPr>
            <w:webHidden/>
          </w:rPr>
        </w:r>
        <w:r>
          <w:rPr>
            <w:webHidden/>
          </w:rPr>
          <w:fldChar w:fldCharType="separate"/>
        </w:r>
        <w:r w:rsidR="00FE3216">
          <w:rPr>
            <w:webHidden/>
          </w:rPr>
          <w:t>61</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78" w:history="1">
        <w:r w:rsidR="00FE3216" w:rsidRPr="008F65B6">
          <w:rPr>
            <w:rStyle w:val="Hyperlink"/>
          </w:rPr>
          <w:t>5.1</w:t>
        </w:r>
        <w:r w:rsidR="00FE3216">
          <w:rPr>
            <w:rFonts w:asciiTheme="minorHAnsi" w:eastAsiaTheme="minorEastAsia" w:hAnsiTheme="minorHAnsi" w:cstheme="minorBidi"/>
            <w:szCs w:val="22"/>
            <w:lang w:val="en-AU" w:eastAsia="en-AU"/>
          </w:rPr>
          <w:tab/>
        </w:r>
        <w:r w:rsidR="00FE3216" w:rsidRPr="008F65B6">
          <w:rPr>
            <w:rStyle w:val="Hyperlink"/>
          </w:rPr>
          <w:t>The sewerage network</w:t>
        </w:r>
        <w:r w:rsidR="00FE3216">
          <w:rPr>
            <w:webHidden/>
          </w:rPr>
          <w:tab/>
        </w:r>
        <w:r>
          <w:rPr>
            <w:webHidden/>
          </w:rPr>
          <w:fldChar w:fldCharType="begin"/>
        </w:r>
        <w:r w:rsidR="00FE3216">
          <w:rPr>
            <w:webHidden/>
          </w:rPr>
          <w:instrText xml:space="preserve"> PAGEREF _Toc453920878 \h </w:instrText>
        </w:r>
        <w:r>
          <w:rPr>
            <w:webHidden/>
          </w:rPr>
        </w:r>
        <w:r>
          <w:rPr>
            <w:webHidden/>
          </w:rPr>
          <w:fldChar w:fldCharType="separate"/>
        </w:r>
        <w:r w:rsidR="00FE3216">
          <w:rPr>
            <w:webHidden/>
          </w:rPr>
          <w:t>61</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79" w:history="1">
        <w:r w:rsidR="00FE3216" w:rsidRPr="008F65B6">
          <w:rPr>
            <w:rStyle w:val="Hyperlink"/>
          </w:rPr>
          <w:t>5.2</w:t>
        </w:r>
        <w:r w:rsidR="00FE3216">
          <w:rPr>
            <w:rFonts w:asciiTheme="minorHAnsi" w:eastAsiaTheme="minorEastAsia" w:hAnsiTheme="minorHAnsi" w:cstheme="minorBidi"/>
            <w:szCs w:val="22"/>
            <w:lang w:val="en-AU" w:eastAsia="en-AU"/>
          </w:rPr>
          <w:tab/>
        </w:r>
        <w:r w:rsidR="00FE3216" w:rsidRPr="008F65B6">
          <w:rPr>
            <w:rStyle w:val="Hyperlink"/>
          </w:rPr>
          <w:t>Short- or long-run?</w:t>
        </w:r>
        <w:r w:rsidR="00FE3216">
          <w:rPr>
            <w:webHidden/>
          </w:rPr>
          <w:tab/>
        </w:r>
        <w:r>
          <w:rPr>
            <w:webHidden/>
          </w:rPr>
          <w:fldChar w:fldCharType="begin"/>
        </w:r>
        <w:r w:rsidR="00FE3216">
          <w:rPr>
            <w:webHidden/>
          </w:rPr>
          <w:instrText xml:space="preserve"> PAGEREF _Toc453920879 \h </w:instrText>
        </w:r>
        <w:r>
          <w:rPr>
            <w:webHidden/>
          </w:rPr>
        </w:r>
        <w:r>
          <w:rPr>
            <w:webHidden/>
          </w:rPr>
          <w:fldChar w:fldCharType="separate"/>
        </w:r>
        <w:r w:rsidR="00FE3216">
          <w:rPr>
            <w:webHidden/>
          </w:rPr>
          <w:t>61</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80" w:history="1">
        <w:r w:rsidR="00FE3216" w:rsidRPr="008F65B6">
          <w:rPr>
            <w:rStyle w:val="Hyperlink"/>
          </w:rPr>
          <w:t>5.3</w:t>
        </w:r>
        <w:r w:rsidR="00FE3216">
          <w:rPr>
            <w:rFonts w:asciiTheme="minorHAnsi" w:eastAsiaTheme="minorEastAsia" w:hAnsiTheme="minorHAnsi" w:cstheme="minorBidi"/>
            <w:szCs w:val="22"/>
            <w:lang w:val="en-AU" w:eastAsia="en-AU"/>
          </w:rPr>
          <w:tab/>
        </w:r>
        <w:r w:rsidR="00FE3216" w:rsidRPr="008F65B6">
          <w:rPr>
            <w:rStyle w:val="Hyperlink"/>
          </w:rPr>
          <w:t>Short-run marginal cost estimate</w:t>
        </w:r>
        <w:r w:rsidR="00FE3216">
          <w:rPr>
            <w:webHidden/>
          </w:rPr>
          <w:tab/>
        </w:r>
        <w:r>
          <w:rPr>
            <w:webHidden/>
          </w:rPr>
          <w:fldChar w:fldCharType="begin"/>
        </w:r>
        <w:r w:rsidR="00FE3216">
          <w:rPr>
            <w:webHidden/>
          </w:rPr>
          <w:instrText xml:space="preserve"> PAGEREF _Toc453920880 \h </w:instrText>
        </w:r>
        <w:r>
          <w:rPr>
            <w:webHidden/>
          </w:rPr>
        </w:r>
        <w:r>
          <w:rPr>
            <w:webHidden/>
          </w:rPr>
          <w:fldChar w:fldCharType="separate"/>
        </w:r>
        <w:r w:rsidR="00FE3216">
          <w:rPr>
            <w:webHidden/>
          </w:rPr>
          <w:t>62</w:t>
        </w:r>
        <w:r>
          <w:rPr>
            <w:webHidden/>
          </w:rPr>
          <w:fldChar w:fldCharType="end"/>
        </w:r>
      </w:hyperlink>
    </w:p>
    <w:p w:rsidR="00FE3216" w:rsidRDefault="00C04337">
      <w:pPr>
        <w:pStyle w:val="TOC1"/>
        <w:rPr>
          <w:rFonts w:asciiTheme="minorHAnsi" w:eastAsiaTheme="minorEastAsia" w:hAnsiTheme="minorHAnsi" w:cstheme="minorBidi"/>
          <w:b w:val="0"/>
          <w:szCs w:val="22"/>
          <w:lang w:val="en-AU" w:eastAsia="en-AU"/>
        </w:rPr>
      </w:pPr>
      <w:hyperlink w:anchor="_Toc453920881" w:history="1">
        <w:r w:rsidR="00FE3216" w:rsidRPr="008F65B6">
          <w:rPr>
            <w:rStyle w:val="Hyperlink"/>
          </w:rPr>
          <w:t>6</w:t>
        </w:r>
        <w:r w:rsidR="00FE3216">
          <w:rPr>
            <w:rFonts w:asciiTheme="minorHAnsi" w:eastAsiaTheme="minorEastAsia" w:hAnsiTheme="minorHAnsi" w:cstheme="minorBidi"/>
            <w:b w:val="0"/>
            <w:szCs w:val="22"/>
            <w:lang w:val="en-AU" w:eastAsia="en-AU"/>
          </w:rPr>
          <w:tab/>
        </w:r>
        <w:r w:rsidR="00FE3216" w:rsidRPr="008F65B6">
          <w:rPr>
            <w:rStyle w:val="Hyperlink"/>
          </w:rPr>
          <w:t>Concluding remarks on marginal cost pricing in the ACT</w:t>
        </w:r>
        <w:r w:rsidR="00FE3216">
          <w:rPr>
            <w:webHidden/>
          </w:rPr>
          <w:tab/>
        </w:r>
        <w:r>
          <w:rPr>
            <w:webHidden/>
          </w:rPr>
          <w:fldChar w:fldCharType="begin"/>
        </w:r>
        <w:r w:rsidR="00FE3216">
          <w:rPr>
            <w:webHidden/>
          </w:rPr>
          <w:instrText xml:space="preserve"> PAGEREF _Toc453920881 \h </w:instrText>
        </w:r>
        <w:r>
          <w:rPr>
            <w:webHidden/>
          </w:rPr>
        </w:r>
        <w:r>
          <w:rPr>
            <w:webHidden/>
          </w:rPr>
          <w:fldChar w:fldCharType="separate"/>
        </w:r>
        <w:r w:rsidR="00FE3216">
          <w:rPr>
            <w:webHidden/>
          </w:rPr>
          <w:t>63</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82" w:history="1">
        <w:r w:rsidR="00FE3216" w:rsidRPr="008F65B6">
          <w:rPr>
            <w:rStyle w:val="Hyperlink"/>
          </w:rPr>
          <w:t>6.1</w:t>
        </w:r>
        <w:r w:rsidR="00FE3216">
          <w:rPr>
            <w:rFonts w:asciiTheme="minorHAnsi" w:eastAsiaTheme="minorEastAsia" w:hAnsiTheme="minorHAnsi" w:cstheme="minorBidi"/>
            <w:szCs w:val="22"/>
            <w:lang w:val="en-AU" w:eastAsia="en-AU"/>
          </w:rPr>
          <w:tab/>
        </w:r>
        <w:r w:rsidR="00FE3216" w:rsidRPr="008F65B6">
          <w:rPr>
            <w:rStyle w:val="Hyperlink"/>
          </w:rPr>
          <w:t>Introduction</w:t>
        </w:r>
        <w:r w:rsidR="00FE3216">
          <w:rPr>
            <w:webHidden/>
          </w:rPr>
          <w:tab/>
        </w:r>
        <w:r>
          <w:rPr>
            <w:webHidden/>
          </w:rPr>
          <w:fldChar w:fldCharType="begin"/>
        </w:r>
        <w:r w:rsidR="00FE3216">
          <w:rPr>
            <w:webHidden/>
          </w:rPr>
          <w:instrText xml:space="preserve"> PAGEREF _Toc453920882 \h </w:instrText>
        </w:r>
        <w:r>
          <w:rPr>
            <w:webHidden/>
          </w:rPr>
        </w:r>
        <w:r>
          <w:rPr>
            <w:webHidden/>
          </w:rPr>
          <w:fldChar w:fldCharType="separate"/>
        </w:r>
        <w:r w:rsidR="00FE3216">
          <w:rPr>
            <w:webHidden/>
          </w:rPr>
          <w:t>63</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83" w:history="1">
        <w:r w:rsidR="00FE3216" w:rsidRPr="008F65B6">
          <w:rPr>
            <w:rStyle w:val="Hyperlink"/>
          </w:rPr>
          <w:t>6.2</w:t>
        </w:r>
        <w:r w:rsidR="00FE3216">
          <w:rPr>
            <w:rFonts w:asciiTheme="minorHAnsi" w:eastAsiaTheme="minorEastAsia" w:hAnsiTheme="minorHAnsi" w:cstheme="minorBidi"/>
            <w:szCs w:val="22"/>
            <w:lang w:val="en-AU" w:eastAsia="en-AU"/>
          </w:rPr>
          <w:tab/>
        </w:r>
        <w:r w:rsidR="00FE3216" w:rsidRPr="008F65B6">
          <w:rPr>
            <w:rStyle w:val="Hyperlink"/>
          </w:rPr>
          <w:t>Water</w:t>
        </w:r>
        <w:r w:rsidR="00FE3216">
          <w:rPr>
            <w:webHidden/>
          </w:rPr>
          <w:tab/>
        </w:r>
        <w:r>
          <w:rPr>
            <w:webHidden/>
          </w:rPr>
          <w:fldChar w:fldCharType="begin"/>
        </w:r>
        <w:r w:rsidR="00FE3216">
          <w:rPr>
            <w:webHidden/>
          </w:rPr>
          <w:instrText xml:space="preserve"> PAGEREF _Toc453920883 \h </w:instrText>
        </w:r>
        <w:r>
          <w:rPr>
            <w:webHidden/>
          </w:rPr>
        </w:r>
        <w:r>
          <w:rPr>
            <w:webHidden/>
          </w:rPr>
          <w:fldChar w:fldCharType="separate"/>
        </w:r>
        <w:r w:rsidR="00FE3216">
          <w:rPr>
            <w:webHidden/>
          </w:rPr>
          <w:t>63</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84" w:history="1">
        <w:r w:rsidR="00FE3216" w:rsidRPr="008F65B6">
          <w:rPr>
            <w:rStyle w:val="Hyperlink"/>
          </w:rPr>
          <w:t>6.3</w:t>
        </w:r>
        <w:r w:rsidR="00FE3216">
          <w:rPr>
            <w:rFonts w:asciiTheme="minorHAnsi" w:eastAsiaTheme="minorEastAsia" w:hAnsiTheme="minorHAnsi" w:cstheme="minorBidi"/>
            <w:szCs w:val="22"/>
            <w:lang w:val="en-AU" w:eastAsia="en-AU"/>
          </w:rPr>
          <w:tab/>
        </w:r>
        <w:r w:rsidR="00FE3216" w:rsidRPr="008F65B6">
          <w:rPr>
            <w:rStyle w:val="Hyperlink"/>
          </w:rPr>
          <w:t>Sewerage services</w:t>
        </w:r>
        <w:r w:rsidR="00FE3216">
          <w:rPr>
            <w:webHidden/>
          </w:rPr>
          <w:tab/>
        </w:r>
        <w:r>
          <w:rPr>
            <w:webHidden/>
          </w:rPr>
          <w:fldChar w:fldCharType="begin"/>
        </w:r>
        <w:r w:rsidR="00FE3216">
          <w:rPr>
            <w:webHidden/>
          </w:rPr>
          <w:instrText xml:space="preserve"> PAGEREF _Toc453920884 \h </w:instrText>
        </w:r>
        <w:r>
          <w:rPr>
            <w:webHidden/>
          </w:rPr>
        </w:r>
        <w:r>
          <w:rPr>
            <w:webHidden/>
          </w:rPr>
          <w:fldChar w:fldCharType="separate"/>
        </w:r>
        <w:r w:rsidR="00FE3216">
          <w:rPr>
            <w:webHidden/>
          </w:rPr>
          <w:t>65</w:t>
        </w:r>
        <w:r>
          <w:rPr>
            <w:webHidden/>
          </w:rPr>
          <w:fldChar w:fldCharType="end"/>
        </w:r>
      </w:hyperlink>
    </w:p>
    <w:p w:rsidR="00FE3216" w:rsidRDefault="00C04337">
      <w:pPr>
        <w:pStyle w:val="TOC1"/>
        <w:tabs>
          <w:tab w:val="left" w:pos="1800"/>
        </w:tabs>
        <w:rPr>
          <w:rFonts w:asciiTheme="minorHAnsi" w:eastAsiaTheme="minorEastAsia" w:hAnsiTheme="minorHAnsi" w:cstheme="minorBidi"/>
          <w:b w:val="0"/>
          <w:szCs w:val="22"/>
          <w:lang w:val="en-AU" w:eastAsia="en-AU"/>
        </w:rPr>
      </w:pPr>
      <w:hyperlink w:anchor="_Toc453920885" w:history="1">
        <w:r w:rsidR="00FE3216" w:rsidRPr="008F65B6">
          <w:rPr>
            <w:rStyle w:val="Hyperlink"/>
          </w:rPr>
          <w:t>Appendix 1</w:t>
        </w:r>
        <w:r w:rsidR="00FE3216">
          <w:rPr>
            <w:rFonts w:asciiTheme="minorHAnsi" w:eastAsiaTheme="minorEastAsia" w:hAnsiTheme="minorHAnsi" w:cstheme="minorBidi"/>
            <w:b w:val="0"/>
            <w:szCs w:val="22"/>
            <w:lang w:val="en-AU" w:eastAsia="en-AU"/>
          </w:rPr>
          <w:tab/>
        </w:r>
        <w:r w:rsidR="00FE3216" w:rsidRPr="008F65B6">
          <w:rPr>
            <w:rStyle w:val="Hyperlink"/>
          </w:rPr>
          <w:t>The marginal cost controversy</w:t>
        </w:r>
        <w:r w:rsidR="00FE3216">
          <w:rPr>
            <w:webHidden/>
          </w:rPr>
          <w:tab/>
        </w:r>
        <w:r>
          <w:rPr>
            <w:webHidden/>
          </w:rPr>
          <w:fldChar w:fldCharType="begin"/>
        </w:r>
        <w:r w:rsidR="00FE3216">
          <w:rPr>
            <w:webHidden/>
          </w:rPr>
          <w:instrText xml:space="preserve"> PAGEREF _Toc453920885 \h </w:instrText>
        </w:r>
        <w:r>
          <w:rPr>
            <w:webHidden/>
          </w:rPr>
        </w:r>
        <w:r>
          <w:rPr>
            <w:webHidden/>
          </w:rPr>
          <w:fldChar w:fldCharType="separate"/>
        </w:r>
        <w:r w:rsidR="00FE3216">
          <w:rPr>
            <w:webHidden/>
          </w:rPr>
          <w:t>67</w:t>
        </w:r>
        <w:r>
          <w:rPr>
            <w:webHidden/>
          </w:rPr>
          <w:fldChar w:fldCharType="end"/>
        </w:r>
      </w:hyperlink>
    </w:p>
    <w:p w:rsidR="00FE3216" w:rsidRDefault="00C04337">
      <w:pPr>
        <w:pStyle w:val="TOC1"/>
        <w:tabs>
          <w:tab w:val="left" w:pos="1800"/>
        </w:tabs>
        <w:rPr>
          <w:rFonts w:asciiTheme="minorHAnsi" w:eastAsiaTheme="minorEastAsia" w:hAnsiTheme="minorHAnsi" w:cstheme="minorBidi"/>
          <w:b w:val="0"/>
          <w:szCs w:val="22"/>
          <w:lang w:val="en-AU" w:eastAsia="en-AU"/>
        </w:rPr>
      </w:pPr>
      <w:hyperlink w:anchor="_Toc453920886" w:history="1">
        <w:r w:rsidR="00FE3216" w:rsidRPr="008F65B6">
          <w:rPr>
            <w:rStyle w:val="Hyperlink"/>
          </w:rPr>
          <w:t>Appendix 2</w:t>
        </w:r>
        <w:r w:rsidR="00FE3216">
          <w:rPr>
            <w:rFonts w:asciiTheme="minorHAnsi" w:eastAsiaTheme="minorEastAsia" w:hAnsiTheme="minorHAnsi" w:cstheme="minorBidi"/>
            <w:b w:val="0"/>
            <w:szCs w:val="22"/>
            <w:lang w:val="en-AU" w:eastAsia="en-AU"/>
          </w:rPr>
          <w:tab/>
        </w:r>
        <w:r w:rsidR="00FE3216" w:rsidRPr="008F65B6">
          <w:rPr>
            <w:rStyle w:val="Hyperlink"/>
          </w:rPr>
          <w:t>Water supply and demand modelling process</w:t>
        </w:r>
        <w:r w:rsidR="00FE3216">
          <w:rPr>
            <w:webHidden/>
          </w:rPr>
          <w:tab/>
        </w:r>
        <w:r>
          <w:rPr>
            <w:webHidden/>
          </w:rPr>
          <w:fldChar w:fldCharType="begin"/>
        </w:r>
        <w:r w:rsidR="00FE3216">
          <w:rPr>
            <w:webHidden/>
          </w:rPr>
          <w:instrText xml:space="preserve"> PAGEREF _Toc453920886 \h </w:instrText>
        </w:r>
        <w:r>
          <w:rPr>
            <w:webHidden/>
          </w:rPr>
        </w:r>
        <w:r>
          <w:rPr>
            <w:webHidden/>
          </w:rPr>
          <w:fldChar w:fldCharType="separate"/>
        </w:r>
        <w:r w:rsidR="00FE3216">
          <w:rPr>
            <w:webHidden/>
          </w:rPr>
          <w:t>71</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87" w:history="1">
        <w:r w:rsidR="00FE3216" w:rsidRPr="008F65B6">
          <w:rPr>
            <w:rStyle w:val="Hyperlink"/>
          </w:rPr>
          <w:t>A2.1</w:t>
        </w:r>
        <w:r w:rsidR="00FE3216">
          <w:rPr>
            <w:rFonts w:asciiTheme="minorHAnsi" w:eastAsiaTheme="minorEastAsia" w:hAnsiTheme="minorHAnsi" w:cstheme="minorBidi"/>
            <w:szCs w:val="22"/>
            <w:lang w:val="en-AU" w:eastAsia="en-AU"/>
          </w:rPr>
          <w:tab/>
        </w:r>
        <w:r w:rsidR="00FE3216" w:rsidRPr="008F65B6">
          <w:rPr>
            <w:rStyle w:val="Hyperlink"/>
          </w:rPr>
          <w:t>Introduction</w:t>
        </w:r>
        <w:r w:rsidR="00FE3216">
          <w:rPr>
            <w:webHidden/>
          </w:rPr>
          <w:tab/>
        </w:r>
        <w:r>
          <w:rPr>
            <w:webHidden/>
          </w:rPr>
          <w:fldChar w:fldCharType="begin"/>
        </w:r>
        <w:r w:rsidR="00FE3216">
          <w:rPr>
            <w:webHidden/>
          </w:rPr>
          <w:instrText xml:space="preserve"> PAGEREF _Toc453920887 \h </w:instrText>
        </w:r>
        <w:r>
          <w:rPr>
            <w:webHidden/>
          </w:rPr>
        </w:r>
        <w:r>
          <w:rPr>
            <w:webHidden/>
          </w:rPr>
          <w:fldChar w:fldCharType="separate"/>
        </w:r>
        <w:r w:rsidR="00FE3216">
          <w:rPr>
            <w:webHidden/>
          </w:rPr>
          <w:t>71</w:t>
        </w:r>
        <w:r>
          <w:rPr>
            <w:webHidden/>
          </w:rPr>
          <w:fldChar w:fldCharType="end"/>
        </w:r>
      </w:hyperlink>
    </w:p>
    <w:p w:rsidR="00FE3216" w:rsidRDefault="00C04337">
      <w:pPr>
        <w:pStyle w:val="TOC2"/>
        <w:rPr>
          <w:rFonts w:asciiTheme="minorHAnsi" w:eastAsiaTheme="minorEastAsia" w:hAnsiTheme="minorHAnsi" w:cstheme="minorBidi"/>
          <w:szCs w:val="22"/>
          <w:lang w:val="en-AU" w:eastAsia="en-AU"/>
        </w:rPr>
      </w:pPr>
      <w:hyperlink w:anchor="_Toc453920888" w:history="1">
        <w:r w:rsidR="00FE3216" w:rsidRPr="008F65B6">
          <w:rPr>
            <w:rStyle w:val="Hyperlink"/>
          </w:rPr>
          <w:t>A2.2</w:t>
        </w:r>
        <w:r w:rsidR="00FE3216">
          <w:rPr>
            <w:rFonts w:asciiTheme="minorHAnsi" w:eastAsiaTheme="minorEastAsia" w:hAnsiTheme="minorHAnsi" w:cstheme="minorBidi"/>
            <w:szCs w:val="22"/>
            <w:lang w:val="en-AU" w:eastAsia="en-AU"/>
          </w:rPr>
          <w:tab/>
        </w:r>
        <w:r w:rsidR="00FE3216" w:rsidRPr="008F65B6">
          <w:rPr>
            <w:rStyle w:val="Hyperlink"/>
          </w:rPr>
          <w:t>The model</w:t>
        </w:r>
        <w:r w:rsidR="00FE3216">
          <w:rPr>
            <w:webHidden/>
          </w:rPr>
          <w:tab/>
        </w:r>
        <w:r>
          <w:rPr>
            <w:webHidden/>
          </w:rPr>
          <w:fldChar w:fldCharType="begin"/>
        </w:r>
        <w:r w:rsidR="00FE3216">
          <w:rPr>
            <w:webHidden/>
          </w:rPr>
          <w:instrText xml:space="preserve"> PAGEREF _Toc453920888 \h </w:instrText>
        </w:r>
        <w:r>
          <w:rPr>
            <w:webHidden/>
          </w:rPr>
        </w:r>
        <w:r>
          <w:rPr>
            <w:webHidden/>
          </w:rPr>
          <w:fldChar w:fldCharType="separate"/>
        </w:r>
        <w:r w:rsidR="00FE3216">
          <w:rPr>
            <w:webHidden/>
          </w:rPr>
          <w:t>71</w:t>
        </w:r>
        <w:r>
          <w:rPr>
            <w:webHidden/>
          </w:rPr>
          <w:fldChar w:fldCharType="end"/>
        </w:r>
      </w:hyperlink>
    </w:p>
    <w:p w:rsidR="00FE3216" w:rsidRDefault="00C04337">
      <w:pPr>
        <w:pStyle w:val="TOC1"/>
        <w:rPr>
          <w:rFonts w:asciiTheme="minorHAnsi" w:eastAsiaTheme="minorEastAsia" w:hAnsiTheme="minorHAnsi" w:cstheme="minorBidi"/>
          <w:b w:val="0"/>
          <w:szCs w:val="22"/>
          <w:lang w:val="en-AU" w:eastAsia="en-AU"/>
        </w:rPr>
      </w:pPr>
      <w:hyperlink w:anchor="_Toc453920889" w:history="1">
        <w:r w:rsidR="00FE3216" w:rsidRPr="008F65B6">
          <w:rPr>
            <w:rStyle w:val="Hyperlink"/>
          </w:rPr>
          <w:t>Abbreviations and acronyms</w:t>
        </w:r>
        <w:r w:rsidR="00FE3216">
          <w:rPr>
            <w:webHidden/>
          </w:rPr>
          <w:tab/>
        </w:r>
        <w:r>
          <w:rPr>
            <w:webHidden/>
          </w:rPr>
          <w:fldChar w:fldCharType="begin"/>
        </w:r>
        <w:r w:rsidR="00FE3216">
          <w:rPr>
            <w:webHidden/>
          </w:rPr>
          <w:instrText xml:space="preserve"> PAGEREF _Toc453920889 \h </w:instrText>
        </w:r>
        <w:r>
          <w:rPr>
            <w:webHidden/>
          </w:rPr>
        </w:r>
        <w:r>
          <w:rPr>
            <w:webHidden/>
          </w:rPr>
          <w:fldChar w:fldCharType="separate"/>
        </w:r>
        <w:r w:rsidR="00FE3216">
          <w:rPr>
            <w:webHidden/>
          </w:rPr>
          <w:t>75</w:t>
        </w:r>
        <w:r>
          <w:rPr>
            <w:webHidden/>
          </w:rPr>
          <w:fldChar w:fldCharType="end"/>
        </w:r>
      </w:hyperlink>
    </w:p>
    <w:p w:rsidR="00FE3216" w:rsidRDefault="00C04337">
      <w:pPr>
        <w:pStyle w:val="TOC1"/>
        <w:rPr>
          <w:rFonts w:asciiTheme="minorHAnsi" w:eastAsiaTheme="minorEastAsia" w:hAnsiTheme="minorHAnsi" w:cstheme="minorBidi"/>
          <w:b w:val="0"/>
          <w:szCs w:val="22"/>
          <w:lang w:val="en-AU" w:eastAsia="en-AU"/>
        </w:rPr>
      </w:pPr>
      <w:hyperlink w:anchor="_Toc453920890" w:history="1">
        <w:r w:rsidR="00FE3216" w:rsidRPr="008F65B6">
          <w:rPr>
            <w:rStyle w:val="Hyperlink"/>
          </w:rPr>
          <w:t>References</w:t>
        </w:r>
        <w:r w:rsidR="00FE3216">
          <w:rPr>
            <w:webHidden/>
          </w:rPr>
          <w:tab/>
        </w:r>
        <w:r>
          <w:rPr>
            <w:webHidden/>
          </w:rPr>
          <w:fldChar w:fldCharType="begin"/>
        </w:r>
        <w:r w:rsidR="00FE3216">
          <w:rPr>
            <w:webHidden/>
          </w:rPr>
          <w:instrText xml:space="preserve"> PAGEREF _Toc453920890 \h </w:instrText>
        </w:r>
        <w:r>
          <w:rPr>
            <w:webHidden/>
          </w:rPr>
        </w:r>
        <w:r>
          <w:rPr>
            <w:webHidden/>
          </w:rPr>
          <w:fldChar w:fldCharType="separate"/>
        </w:r>
        <w:r w:rsidR="00FE3216">
          <w:rPr>
            <w:webHidden/>
          </w:rPr>
          <w:t>77</w:t>
        </w:r>
        <w:r>
          <w:rPr>
            <w:webHidden/>
          </w:rPr>
          <w:fldChar w:fldCharType="end"/>
        </w:r>
      </w:hyperlink>
    </w:p>
    <w:p w:rsidR="00640A28" w:rsidRDefault="00C04337" w:rsidP="007F026C">
      <w:pPr>
        <w:pStyle w:val="References"/>
        <w:rPr>
          <w:rFonts w:ascii="Arial" w:hAnsi="Arial" w:cs="Arial"/>
          <w:b/>
          <w:sz w:val="26"/>
          <w:szCs w:val="26"/>
        </w:rPr>
      </w:pPr>
      <w:r>
        <w:rPr>
          <w:b/>
          <w:noProof/>
          <w:szCs w:val="40"/>
          <w:lang w:val="en-AU"/>
        </w:rPr>
        <w:fldChar w:fldCharType="end"/>
      </w:r>
      <w:r w:rsidR="00640A28">
        <w:rPr>
          <w:rFonts w:ascii="Arial" w:hAnsi="Arial" w:cs="Arial"/>
          <w:b/>
          <w:sz w:val="26"/>
          <w:szCs w:val="26"/>
        </w:rPr>
        <w:br w:type="page"/>
      </w:r>
    </w:p>
    <w:p w:rsidR="00DE3143" w:rsidRPr="001E3780" w:rsidRDefault="00043BCD" w:rsidP="008A1C91">
      <w:pPr>
        <w:pStyle w:val="References"/>
        <w:rPr>
          <w:rFonts w:ascii="Arial" w:hAnsi="Arial" w:cs="Arial"/>
          <w:b/>
          <w:sz w:val="26"/>
          <w:szCs w:val="26"/>
        </w:rPr>
      </w:pPr>
      <w:r w:rsidRPr="001E3780">
        <w:rPr>
          <w:rFonts w:ascii="Arial" w:hAnsi="Arial" w:cs="Arial"/>
          <w:b/>
          <w:sz w:val="26"/>
          <w:szCs w:val="26"/>
        </w:rPr>
        <w:lastRenderedPageBreak/>
        <w:t>List of tables</w:t>
      </w:r>
    </w:p>
    <w:p w:rsidR="00156031" w:rsidRDefault="00C04337">
      <w:pPr>
        <w:pStyle w:val="TableofFigures"/>
        <w:rPr>
          <w:rFonts w:asciiTheme="minorHAnsi" w:eastAsiaTheme="minorEastAsia" w:hAnsiTheme="minorHAnsi" w:cstheme="minorBidi"/>
          <w:szCs w:val="22"/>
          <w:lang w:val="en-AU" w:eastAsia="en-AU"/>
        </w:rPr>
      </w:pPr>
      <w:r w:rsidRPr="00C04337">
        <w:rPr>
          <w:lang w:val="en-AU"/>
        </w:rPr>
        <w:fldChar w:fldCharType="begin"/>
      </w:r>
      <w:r w:rsidR="00874740">
        <w:rPr>
          <w:lang w:val="en-AU"/>
        </w:rPr>
        <w:instrText xml:space="preserve"> TOC \h \z \c "Table" </w:instrText>
      </w:r>
      <w:r w:rsidRPr="00C04337">
        <w:rPr>
          <w:lang w:val="en-AU"/>
        </w:rPr>
        <w:fldChar w:fldCharType="separate"/>
      </w:r>
      <w:hyperlink w:anchor="_Toc453920891" w:history="1">
        <w:r w:rsidR="00156031" w:rsidRPr="00A8056C">
          <w:rPr>
            <w:rStyle w:val="Hyperlink"/>
          </w:rPr>
          <w:t>Table ES.1</w:t>
        </w:r>
        <w:r w:rsidR="00156031">
          <w:rPr>
            <w:rFonts w:asciiTheme="minorHAnsi" w:eastAsiaTheme="minorEastAsia" w:hAnsiTheme="minorHAnsi" w:cstheme="minorBidi"/>
            <w:szCs w:val="22"/>
            <w:lang w:val="en-AU" w:eastAsia="en-AU"/>
          </w:rPr>
          <w:tab/>
        </w:r>
        <w:r w:rsidR="00156031" w:rsidRPr="00A8056C">
          <w:rPr>
            <w:rStyle w:val="Hyperlink"/>
          </w:rPr>
          <w:t>Indicative augmentation timing, by scenario</w:t>
        </w:r>
        <w:r w:rsidR="00156031">
          <w:rPr>
            <w:webHidden/>
          </w:rPr>
          <w:tab/>
        </w:r>
        <w:r>
          <w:rPr>
            <w:webHidden/>
          </w:rPr>
          <w:fldChar w:fldCharType="begin"/>
        </w:r>
        <w:r w:rsidR="00156031">
          <w:rPr>
            <w:webHidden/>
          </w:rPr>
          <w:instrText xml:space="preserve"> PAGEREF _Toc453920891 \h </w:instrText>
        </w:r>
        <w:r>
          <w:rPr>
            <w:webHidden/>
          </w:rPr>
        </w:r>
        <w:r>
          <w:rPr>
            <w:webHidden/>
          </w:rPr>
          <w:fldChar w:fldCharType="separate"/>
        </w:r>
        <w:r w:rsidR="00156031">
          <w:rPr>
            <w:webHidden/>
          </w:rPr>
          <w:t>xv</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892" w:history="1">
        <w:r w:rsidR="00156031" w:rsidRPr="00A8056C">
          <w:rPr>
            <w:rStyle w:val="Hyperlink"/>
          </w:rPr>
          <w:t>Table 1.1</w:t>
        </w:r>
        <w:r w:rsidR="00156031">
          <w:rPr>
            <w:rFonts w:asciiTheme="minorHAnsi" w:eastAsiaTheme="minorEastAsia" w:hAnsiTheme="minorHAnsi" w:cstheme="minorBidi"/>
            <w:szCs w:val="22"/>
            <w:lang w:val="en-AU" w:eastAsia="en-AU"/>
          </w:rPr>
          <w:tab/>
        </w:r>
        <w:r w:rsidR="00156031" w:rsidRPr="00A8056C">
          <w:rPr>
            <w:rStyle w:val="Hyperlink"/>
          </w:rPr>
          <w:t>Indicative timeline for the tariff review</w:t>
        </w:r>
        <w:r w:rsidR="00156031">
          <w:rPr>
            <w:webHidden/>
          </w:rPr>
          <w:tab/>
        </w:r>
        <w:r>
          <w:rPr>
            <w:webHidden/>
          </w:rPr>
          <w:fldChar w:fldCharType="begin"/>
        </w:r>
        <w:r w:rsidR="00156031">
          <w:rPr>
            <w:webHidden/>
          </w:rPr>
          <w:instrText xml:space="preserve"> PAGEREF _Toc453920892 \h </w:instrText>
        </w:r>
        <w:r>
          <w:rPr>
            <w:webHidden/>
          </w:rPr>
        </w:r>
        <w:r>
          <w:rPr>
            <w:webHidden/>
          </w:rPr>
          <w:fldChar w:fldCharType="separate"/>
        </w:r>
        <w:r w:rsidR="00156031">
          <w:rPr>
            <w:webHidden/>
          </w:rPr>
          <w:t>4</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893" w:history="1">
        <w:r w:rsidR="00156031" w:rsidRPr="00A8056C">
          <w:rPr>
            <w:rStyle w:val="Hyperlink"/>
          </w:rPr>
          <w:t>Table 2.1</w:t>
        </w:r>
        <w:r w:rsidR="00156031">
          <w:rPr>
            <w:rFonts w:asciiTheme="minorHAnsi" w:eastAsiaTheme="minorEastAsia" w:hAnsiTheme="minorHAnsi" w:cstheme="minorBidi"/>
            <w:szCs w:val="22"/>
            <w:lang w:val="en-AU" w:eastAsia="en-AU"/>
          </w:rPr>
          <w:tab/>
        </w:r>
        <w:r w:rsidR="00156031" w:rsidRPr="00A8056C">
          <w:rPr>
            <w:rStyle w:val="Hyperlink"/>
          </w:rPr>
          <w:t>Price elasticities of demand for water in the ACT, 1999 to 2015</w:t>
        </w:r>
        <w:r w:rsidR="00156031">
          <w:rPr>
            <w:webHidden/>
          </w:rPr>
          <w:tab/>
        </w:r>
        <w:r>
          <w:rPr>
            <w:webHidden/>
          </w:rPr>
          <w:fldChar w:fldCharType="begin"/>
        </w:r>
        <w:r w:rsidR="00156031">
          <w:rPr>
            <w:webHidden/>
          </w:rPr>
          <w:instrText xml:space="preserve"> PAGEREF _Toc453920893 \h </w:instrText>
        </w:r>
        <w:r>
          <w:rPr>
            <w:webHidden/>
          </w:rPr>
        </w:r>
        <w:r>
          <w:rPr>
            <w:webHidden/>
          </w:rPr>
          <w:fldChar w:fldCharType="separate"/>
        </w:r>
        <w:r w:rsidR="00156031">
          <w:rPr>
            <w:webHidden/>
          </w:rPr>
          <w:t>24</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894" w:history="1">
        <w:r w:rsidR="00156031" w:rsidRPr="00A8056C">
          <w:rPr>
            <w:rStyle w:val="Hyperlink"/>
          </w:rPr>
          <w:t>Table 4.1</w:t>
        </w:r>
        <w:r w:rsidR="00156031">
          <w:rPr>
            <w:rFonts w:asciiTheme="minorHAnsi" w:eastAsiaTheme="minorEastAsia" w:hAnsiTheme="minorHAnsi" w:cstheme="minorBidi"/>
            <w:szCs w:val="22"/>
            <w:lang w:val="en-AU" w:eastAsia="en-AU"/>
          </w:rPr>
          <w:tab/>
        </w:r>
        <w:r w:rsidR="00156031" w:rsidRPr="00A8056C">
          <w:rPr>
            <w:rStyle w:val="Hyperlink"/>
          </w:rPr>
          <w:t>Estimated short-run marginal cost of water by supply source, current prices</w:t>
        </w:r>
        <w:r w:rsidR="00156031">
          <w:rPr>
            <w:webHidden/>
          </w:rPr>
          <w:tab/>
        </w:r>
        <w:r>
          <w:rPr>
            <w:webHidden/>
          </w:rPr>
          <w:fldChar w:fldCharType="begin"/>
        </w:r>
        <w:r w:rsidR="00156031">
          <w:rPr>
            <w:webHidden/>
          </w:rPr>
          <w:instrText xml:space="preserve"> PAGEREF _Toc453920894 \h </w:instrText>
        </w:r>
        <w:r>
          <w:rPr>
            <w:webHidden/>
          </w:rPr>
        </w:r>
        <w:r>
          <w:rPr>
            <w:webHidden/>
          </w:rPr>
          <w:fldChar w:fldCharType="separate"/>
        </w:r>
        <w:r w:rsidR="00156031">
          <w:rPr>
            <w:webHidden/>
          </w:rPr>
          <w:t>45</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895" w:history="1">
        <w:r w:rsidR="00156031" w:rsidRPr="00A8056C">
          <w:rPr>
            <w:rStyle w:val="Hyperlink"/>
          </w:rPr>
          <w:t>Table 4.2</w:t>
        </w:r>
        <w:r w:rsidR="00156031">
          <w:rPr>
            <w:rFonts w:asciiTheme="minorHAnsi" w:eastAsiaTheme="minorEastAsia" w:hAnsiTheme="minorHAnsi" w:cstheme="minorBidi"/>
            <w:szCs w:val="22"/>
            <w:lang w:val="en-AU" w:eastAsia="en-AU"/>
          </w:rPr>
          <w:tab/>
        </w:r>
        <w:r w:rsidR="00156031" w:rsidRPr="00A8056C">
          <w:rPr>
            <w:rStyle w:val="Hyperlink"/>
          </w:rPr>
          <w:t>Commission model scenarios</w:t>
        </w:r>
        <w:r w:rsidR="00156031">
          <w:rPr>
            <w:webHidden/>
          </w:rPr>
          <w:tab/>
        </w:r>
        <w:r>
          <w:rPr>
            <w:webHidden/>
          </w:rPr>
          <w:fldChar w:fldCharType="begin"/>
        </w:r>
        <w:r w:rsidR="00156031">
          <w:rPr>
            <w:webHidden/>
          </w:rPr>
          <w:instrText xml:space="preserve"> PAGEREF _Toc453920895 \h </w:instrText>
        </w:r>
        <w:r>
          <w:rPr>
            <w:webHidden/>
          </w:rPr>
        </w:r>
        <w:r>
          <w:rPr>
            <w:webHidden/>
          </w:rPr>
          <w:fldChar w:fldCharType="separate"/>
        </w:r>
        <w:r w:rsidR="00156031">
          <w:rPr>
            <w:webHidden/>
          </w:rPr>
          <w:t>49</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896" w:history="1">
        <w:r w:rsidR="00156031" w:rsidRPr="00A8056C">
          <w:rPr>
            <w:rStyle w:val="Hyperlink"/>
          </w:rPr>
          <w:t>Table 4.3</w:t>
        </w:r>
        <w:r w:rsidR="00156031">
          <w:rPr>
            <w:rFonts w:asciiTheme="minorHAnsi" w:eastAsiaTheme="minorEastAsia" w:hAnsiTheme="minorHAnsi" w:cstheme="minorBidi"/>
            <w:szCs w:val="22"/>
            <w:lang w:val="en-AU" w:eastAsia="en-AU"/>
          </w:rPr>
          <w:tab/>
        </w:r>
        <w:r w:rsidR="00156031" w:rsidRPr="00A8056C">
          <w:rPr>
            <w:rStyle w:val="Hyperlink"/>
          </w:rPr>
          <w:t>Commission medium series population projection assumptions</w:t>
        </w:r>
        <w:r w:rsidR="00156031">
          <w:rPr>
            <w:webHidden/>
          </w:rPr>
          <w:tab/>
        </w:r>
        <w:r>
          <w:rPr>
            <w:webHidden/>
          </w:rPr>
          <w:fldChar w:fldCharType="begin"/>
        </w:r>
        <w:r w:rsidR="00156031">
          <w:rPr>
            <w:webHidden/>
          </w:rPr>
          <w:instrText xml:space="preserve"> PAGEREF _Toc453920896 \h </w:instrText>
        </w:r>
        <w:r>
          <w:rPr>
            <w:webHidden/>
          </w:rPr>
        </w:r>
        <w:r>
          <w:rPr>
            <w:webHidden/>
          </w:rPr>
          <w:fldChar w:fldCharType="separate"/>
        </w:r>
        <w:r w:rsidR="00156031">
          <w:rPr>
            <w:webHidden/>
          </w:rPr>
          <w:t>53</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897" w:history="1">
        <w:r w:rsidR="00156031" w:rsidRPr="00A8056C">
          <w:rPr>
            <w:rStyle w:val="Hyperlink"/>
          </w:rPr>
          <w:t>Table 4.4</w:t>
        </w:r>
        <w:r w:rsidR="00156031">
          <w:rPr>
            <w:rFonts w:asciiTheme="minorHAnsi" w:eastAsiaTheme="minorEastAsia" w:hAnsiTheme="minorHAnsi" w:cstheme="minorBidi"/>
            <w:szCs w:val="22"/>
            <w:lang w:val="en-AU" w:eastAsia="en-AU"/>
          </w:rPr>
          <w:tab/>
        </w:r>
        <w:r w:rsidR="00156031" w:rsidRPr="00A8056C">
          <w:rPr>
            <w:rStyle w:val="Hyperlink"/>
          </w:rPr>
          <w:t>Indicative augmentation timing, by scenario</w:t>
        </w:r>
        <w:r w:rsidR="00156031">
          <w:rPr>
            <w:webHidden/>
          </w:rPr>
          <w:tab/>
        </w:r>
        <w:r>
          <w:rPr>
            <w:webHidden/>
          </w:rPr>
          <w:fldChar w:fldCharType="begin"/>
        </w:r>
        <w:r w:rsidR="00156031">
          <w:rPr>
            <w:webHidden/>
          </w:rPr>
          <w:instrText xml:space="preserve"> PAGEREF _Toc453920897 \h </w:instrText>
        </w:r>
        <w:r>
          <w:rPr>
            <w:webHidden/>
          </w:rPr>
        </w:r>
        <w:r>
          <w:rPr>
            <w:webHidden/>
          </w:rPr>
          <w:fldChar w:fldCharType="separate"/>
        </w:r>
        <w:r w:rsidR="00156031">
          <w:rPr>
            <w:webHidden/>
          </w:rPr>
          <w:t>57</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898" w:history="1">
        <w:r w:rsidR="00156031" w:rsidRPr="00A8056C">
          <w:rPr>
            <w:rStyle w:val="Hyperlink"/>
          </w:rPr>
          <w:t>Table 4.5</w:t>
        </w:r>
        <w:r w:rsidR="00156031">
          <w:rPr>
            <w:rFonts w:asciiTheme="minorHAnsi" w:eastAsiaTheme="minorEastAsia" w:hAnsiTheme="minorHAnsi" w:cstheme="minorBidi"/>
            <w:szCs w:val="22"/>
            <w:lang w:val="en-AU" w:eastAsia="en-AU"/>
          </w:rPr>
          <w:tab/>
        </w:r>
        <w:r w:rsidR="00156031" w:rsidRPr="00A8056C">
          <w:rPr>
            <w:rStyle w:val="Hyperlink"/>
          </w:rPr>
          <w:t>Long-run marginal cost sensitivity to discount rates</w:t>
        </w:r>
        <w:r w:rsidR="00156031">
          <w:rPr>
            <w:webHidden/>
          </w:rPr>
          <w:tab/>
        </w:r>
        <w:r>
          <w:rPr>
            <w:webHidden/>
          </w:rPr>
          <w:fldChar w:fldCharType="begin"/>
        </w:r>
        <w:r w:rsidR="00156031">
          <w:rPr>
            <w:webHidden/>
          </w:rPr>
          <w:instrText xml:space="preserve"> PAGEREF _Toc453920898 \h </w:instrText>
        </w:r>
        <w:r>
          <w:rPr>
            <w:webHidden/>
          </w:rPr>
        </w:r>
        <w:r>
          <w:rPr>
            <w:webHidden/>
          </w:rPr>
          <w:fldChar w:fldCharType="separate"/>
        </w:r>
        <w:r w:rsidR="00156031">
          <w:rPr>
            <w:webHidden/>
          </w:rPr>
          <w:t>60</w:t>
        </w:r>
        <w:r>
          <w:rPr>
            <w:webHidden/>
          </w:rPr>
          <w:fldChar w:fldCharType="end"/>
        </w:r>
      </w:hyperlink>
    </w:p>
    <w:p w:rsidR="00022CFE" w:rsidRDefault="00C04337" w:rsidP="008A1C91">
      <w:pPr>
        <w:pStyle w:val="References"/>
        <w:rPr>
          <w:lang w:val="en-AU"/>
        </w:rPr>
      </w:pPr>
      <w:r>
        <w:rPr>
          <w:lang w:val="en-AU"/>
        </w:rPr>
        <w:fldChar w:fldCharType="end"/>
      </w:r>
    </w:p>
    <w:p w:rsidR="00043BCD" w:rsidRPr="001E3780" w:rsidRDefault="00043BCD" w:rsidP="008A1C91">
      <w:pPr>
        <w:pStyle w:val="References"/>
        <w:rPr>
          <w:rFonts w:ascii="Arial" w:hAnsi="Arial" w:cs="Arial"/>
          <w:b/>
          <w:sz w:val="26"/>
          <w:szCs w:val="26"/>
        </w:rPr>
      </w:pPr>
      <w:r w:rsidRPr="001E3780">
        <w:rPr>
          <w:rFonts w:ascii="Arial" w:hAnsi="Arial" w:cs="Arial"/>
          <w:b/>
          <w:sz w:val="26"/>
          <w:szCs w:val="26"/>
        </w:rPr>
        <w:t>List of figures</w:t>
      </w:r>
    </w:p>
    <w:p w:rsidR="00156031" w:rsidRDefault="00C04337">
      <w:pPr>
        <w:pStyle w:val="TableofFigures"/>
        <w:rPr>
          <w:rFonts w:asciiTheme="minorHAnsi" w:eastAsiaTheme="minorEastAsia" w:hAnsiTheme="minorHAnsi" w:cstheme="minorBidi"/>
          <w:szCs w:val="22"/>
          <w:lang w:val="en-AU" w:eastAsia="en-AU"/>
        </w:rPr>
      </w:pPr>
      <w:r w:rsidRPr="00C04337">
        <w:rPr>
          <w:lang w:val="en-AU"/>
        </w:rPr>
        <w:fldChar w:fldCharType="begin"/>
      </w:r>
      <w:r w:rsidR="005859F1">
        <w:rPr>
          <w:lang w:val="en-AU"/>
        </w:rPr>
        <w:instrText xml:space="preserve"> TOC \h \z \c "Figure" </w:instrText>
      </w:r>
      <w:r w:rsidRPr="00C04337">
        <w:rPr>
          <w:lang w:val="en-AU"/>
        </w:rPr>
        <w:fldChar w:fldCharType="separate"/>
      </w:r>
      <w:hyperlink w:anchor="_Toc453920899" w:history="1">
        <w:r w:rsidR="00156031" w:rsidRPr="006F2F78">
          <w:rPr>
            <w:rStyle w:val="Hyperlink"/>
          </w:rPr>
          <w:t>Figure ES.1</w:t>
        </w:r>
        <w:r w:rsidR="00156031">
          <w:rPr>
            <w:rFonts w:asciiTheme="minorHAnsi" w:eastAsiaTheme="minorEastAsia" w:hAnsiTheme="minorHAnsi" w:cstheme="minorBidi"/>
            <w:szCs w:val="22"/>
            <w:lang w:val="en-AU" w:eastAsia="en-AU"/>
          </w:rPr>
          <w:tab/>
        </w:r>
        <w:r w:rsidR="00156031" w:rsidRPr="006F2F78">
          <w:rPr>
            <w:rStyle w:val="Hyperlink"/>
          </w:rPr>
          <w:t>Marginal cost estimate for water, summary</w:t>
        </w:r>
        <w:r w:rsidR="00156031">
          <w:rPr>
            <w:webHidden/>
          </w:rPr>
          <w:tab/>
        </w:r>
        <w:r>
          <w:rPr>
            <w:webHidden/>
          </w:rPr>
          <w:fldChar w:fldCharType="begin"/>
        </w:r>
        <w:r w:rsidR="00156031">
          <w:rPr>
            <w:webHidden/>
          </w:rPr>
          <w:instrText xml:space="preserve"> PAGEREF _Toc453920899 \h </w:instrText>
        </w:r>
        <w:r>
          <w:rPr>
            <w:webHidden/>
          </w:rPr>
        </w:r>
        <w:r>
          <w:rPr>
            <w:webHidden/>
          </w:rPr>
          <w:fldChar w:fldCharType="separate"/>
        </w:r>
        <w:r w:rsidR="00156031">
          <w:rPr>
            <w:webHidden/>
          </w:rPr>
          <w:t>xvi</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00" w:history="1">
        <w:r w:rsidR="00156031" w:rsidRPr="006F2F78">
          <w:rPr>
            <w:rStyle w:val="Hyperlink"/>
          </w:rPr>
          <w:t>Figure ES.2</w:t>
        </w:r>
        <w:r w:rsidR="00156031">
          <w:rPr>
            <w:rFonts w:asciiTheme="minorHAnsi" w:eastAsiaTheme="minorEastAsia" w:hAnsiTheme="minorHAnsi" w:cstheme="minorBidi"/>
            <w:szCs w:val="22"/>
            <w:lang w:val="en-AU" w:eastAsia="en-AU"/>
          </w:rPr>
          <w:tab/>
        </w:r>
        <w:r w:rsidR="00156031" w:rsidRPr="006F2F78">
          <w:rPr>
            <w:rStyle w:val="Hyperlink"/>
          </w:rPr>
          <w:t>Indicative water supply charge, with single volumetric charge set at marginal cost</w:t>
        </w:r>
        <w:r w:rsidR="00156031">
          <w:rPr>
            <w:webHidden/>
          </w:rPr>
          <w:tab/>
        </w:r>
        <w:r>
          <w:rPr>
            <w:webHidden/>
          </w:rPr>
          <w:fldChar w:fldCharType="begin"/>
        </w:r>
        <w:r w:rsidR="00156031">
          <w:rPr>
            <w:webHidden/>
          </w:rPr>
          <w:instrText xml:space="preserve"> PAGEREF _Toc453920900 \h </w:instrText>
        </w:r>
        <w:r>
          <w:rPr>
            <w:webHidden/>
          </w:rPr>
        </w:r>
        <w:r>
          <w:rPr>
            <w:webHidden/>
          </w:rPr>
          <w:fldChar w:fldCharType="separate"/>
        </w:r>
        <w:r w:rsidR="00156031">
          <w:rPr>
            <w:webHidden/>
          </w:rPr>
          <w:t>xviii</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01" w:history="1">
        <w:r w:rsidR="00156031" w:rsidRPr="006F2F78">
          <w:rPr>
            <w:rStyle w:val="Hyperlink"/>
          </w:rPr>
          <w:t>Figure ES.3</w:t>
        </w:r>
        <w:r w:rsidR="00156031">
          <w:rPr>
            <w:rFonts w:asciiTheme="minorHAnsi" w:eastAsiaTheme="minorEastAsia" w:hAnsiTheme="minorHAnsi" w:cstheme="minorBidi"/>
            <w:szCs w:val="22"/>
            <w:lang w:val="en-AU" w:eastAsia="en-AU"/>
          </w:rPr>
          <w:tab/>
        </w:r>
        <w:r w:rsidR="00156031" w:rsidRPr="006F2F78">
          <w:rPr>
            <w:rStyle w:val="Hyperlink"/>
          </w:rPr>
          <w:t>Indicative sewerage service supply and fixture charges, with volumetric charge set at short-run marginal cost</w:t>
        </w:r>
        <w:r w:rsidR="00156031">
          <w:rPr>
            <w:webHidden/>
          </w:rPr>
          <w:tab/>
        </w:r>
        <w:r>
          <w:rPr>
            <w:webHidden/>
          </w:rPr>
          <w:fldChar w:fldCharType="begin"/>
        </w:r>
        <w:r w:rsidR="00156031">
          <w:rPr>
            <w:webHidden/>
          </w:rPr>
          <w:instrText xml:space="preserve"> PAGEREF _Toc453920901 \h </w:instrText>
        </w:r>
        <w:r>
          <w:rPr>
            <w:webHidden/>
          </w:rPr>
        </w:r>
        <w:r>
          <w:rPr>
            <w:webHidden/>
          </w:rPr>
          <w:fldChar w:fldCharType="separate"/>
        </w:r>
        <w:r w:rsidR="00156031">
          <w:rPr>
            <w:webHidden/>
          </w:rPr>
          <w:t>xix</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02" w:history="1">
        <w:r w:rsidR="00156031" w:rsidRPr="006F2F78">
          <w:rPr>
            <w:rStyle w:val="Hyperlink"/>
          </w:rPr>
          <w:t>Figure 2.1</w:t>
        </w:r>
        <w:r w:rsidR="00156031">
          <w:rPr>
            <w:rFonts w:asciiTheme="minorHAnsi" w:eastAsiaTheme="minorEastAsia" w:hAnsiTheme="minorHAnsi" w:cstheme="minorBidi"/>
            <w:szCs w:val="22"/>
            <w:lang w:val="en-AU" w:eastAsia="en-AU"/>
          </w:rPr>
          <w:tab/>
        </w:r>
        <w:r w:rsidR="00156031" w:rsidRPr="006F2F78">
          <w:rPr>
            <w:rStyle w:val="Hyperlink"/>
          </w:rPr>
          <w:t>The socially optimal competitive equilibrium</w:t>
        </w:r>
        <w:r w:rsidR="00156031">
          <w:rPr>
            <w:webHidden/>
          </w:rPr>
          <w:tab/>
        </w:r>
        <w:r>
          <w:rPr>
            <w:webHidden/>
          </w:rPr>
          <w:fldChar w:fldCharType="begin"/>
        </w:r>
        <w:r w:rsidR="00156031">
          <w:rPr>
            <w:webHidden/>
          </w:rPr>
          <w:instrText xml:space="preserve"> PAGEREF _Toc453920902 \h </w:instrText>
        </w:r>
        <w:r>
          <w:rPr>
            <w:webHidden/>
          </w:rPr>
        </w:r>
        <w:r>
          <w:rPr>
            <w:webHidden/>
          </w:rPr>
          <w:fldChar w:fldCharType="separate"/>
        </w:r>
        <w:r w:rsidR="00156031">
          <w:rPr>
            <w:webHidden/>
          </w:rPr>
          <w:t>8</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03" w:history="1">
        <w:r w:rsidR="00156031" w:rsidRPr="006F2F78">
          <w:rPr>
            <w:rStyle w:val="Hyperlink"/>
          </w:rPr>
          <w:t>Figure 2.2</w:t>
        </w:r>
        <w:r w:rsidR="00156031">
          <w:rPr>
            <w:rFonts w:asciiTheme="minorHAnsi" w:eastAsiaTheme="minorEastAsia" w:hAnsiTheme="minorHAnsi" w:cstheme="minorBidi"/>
            <w:szCs w:val="22"/>
            <w:lang w:val="en-AU" w:eastAsia="en-AU"/>
          </w:rPr>
          <w:tab/>
        </w:r>
        <w:r w:rsidR="00156031" w:rsidRPr="006F2F78">
          <w:rPr>
            <w:rStyle w:val="Hyperlink"/>
          </w:rPr>
          <w:t>Deadweight welfare loss under monopoly</w:t>
        </w:r>
        <w:r w:rsidR="00156031">
          <w:rPr>
            <w:webHidden/>
          </w:rPr>
          <w:tab/>
        </w:r>
        <w:r>
          <w:rPr>
            <w:webHidden/>
          </w:rPr>
          <w:fldChar w:fldCharType="begin"/>
        </w:r>
        <w:r w:rsidR="00156031">
          <w:rPr>
            <w:webHidden/>
          </w:rPr>
          <w:instrText xml:space="preserve"> PAGEREF _Toc453920903 \h </w:instrText>
        </w:r>
        <w:r>
          <w:rPr>
            <w:webHidden/>
          </w:rPr>
        </w:r>
        <w:r>
          <w:rPr>
            <w:webHidden/>
          </w:rPr>
          <w:fldChar w:fldCharType="separate"/>
        </w:r>
        <w:r w:rsidR="00156031">
          <w:rPr>
            <w:webHidden/>
          </w:rPr>
          <w:t>19</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04" w:history="1">
        <w:r w:rsidR="00156031" w:rsidRPr="006F2F78">
          <w:rPr>
            <w:rStyle w:val="Hyperlink"/>
          </w:rPr>
          <w:t>Figure 3.1</w:t>
        </w:r>
        <w:r w:rsidR="00156031">
          <w:rPr>
            <w:rFonts w:asciiTheme="minorHAnsi" w:eastAsiaTheme="minorEastAsia" w:hAnsiTheme="minorHAnsi" w:cstheme="minorBidi"/>
            <w:szCs w:val="22"/>
            <w:lang w:val="en-AU" w:eastAsia="en-AU"/>
          </w:rPr>
          <w:tab/>
        </w:r>
        <w:r w:rsidR="00156031" w:rsidRPr="006F2F78">
          <w:rPr>
            <w:rStyle w:val="Hyperlink"/>
          </w:rPr>
          <w:t>Short-run marginal cost variability</w:t>
        </w:r>
        <w:r w:rsidR="00156031">
          <w:rPr>
            <w:webHidden/>
          </w:rPr>
          <w:tab/>
        </w:r>
        <w:r>
          <w:rPr>
            <w:webHidden/>
          </w:rPr>
          <w:fldChar w:fldCharType="begin"/>
        </w:r>
        <w:r w:rsidR="00156031">
          <w:rPr>
            <w:webHidden/>
          </w:rPr>
          <w:instrText xml:space="preserve"> PAGEREF _Toc453920904 \h </w:instrText>
        </w:r>
        <w:r>
          <w:rPr>
            <w:webHidden/>
          </w:rPr>
        </w:r>
        <w:r>
          <w:rPr>
            <w:webHidden/>
          </w:rPr>
          <w:fldChar w:fldCharType="separate"/>
        </w:r>
        <w:r w:rsidR="00156031">
          <w:rPr>
            <w:webHidden/>
          </w:rPr>
          <w:t>29</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05" w:history="1">
        <w:r w:rsidR="00156031" w:rsidRPr="006F2F78">
          <w:rPr>
            <w:rStyle w:val="Hyperlink"/>
          </w:rPr>
          <w:t>Figure 3.2</w:t>
        </w:r>
        <w:r w:rsidR="00156031">
          <w:rPr>
            <w:rFonts w:asciiTheme="minorHAnsi" w:eastAsiaTheme="minorEastAsia" w:hAnsiTheme="minorHAnsi" w:cstheme="minorBidi"/>
            <w:szCs w:val="22"/>
            <w:lang w:val="en-AU" w:eastAsia="en-AU"/>
          </w:rPr>
          <w:tab/>
        </w:r>
        <w:r w:rsidR="00156031" w:rsidRPr="006F2F78">
          <w:rPr>
            <w:rStyle w:val="Hyperlink"/>
          </w:rPr>
          <w:t>Marginal incremental cost illustration</w:t>
        </w:r>
        <w:r w:rsidR="00156031">
          <w:rPr>
            <w:webHidden/>
          </w:rPr>
          <w:tab/>
        </w:r>
        <w:r>
          <w:rPr>
            <w:webHidden/>
          </w:rPr>
          <w:fldChar w:fldCharType="begin"/>
        </w:r>
        <w:r w:rsidR="00156031">
          <w:rPr>
            <w:webHidden/>
          </w:rPr>
          <w:instrText xml:space="preserve"> PAGEREF _Toc453920905 \h </w:instrText>
        </w:r>
        <w:r>
          <w:rPr>
            <w:webHidden/>
          </w:rPr>
        </w:r>
        <w:r>
          <w:rPr>
            <w:webHidden/>
          </w:rPr>
          <w:fldChar w:fldCharType="separate"/>
        </w:r>
        <w:r w:rsidR="00156031">
          <w:rPr>
            <w:webHidden/>
          </w:rPr>
          <w:t>32</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06" w:history="1">
        <w:r w:rsidR="00156031" w:rsidRPr="006F2F78">
          <w:rPr>
            <w:rStyle w:val="Hyperlink"/>
          </w:rPr>
          <w:t>Figure 3.3</w:t>
        </w:r>
        <w:r w:rsidR="00156031">
          <w:rPr>
            <w:rFonts w:asciiTheme="minorHAnsi" w:eastAsiaTheme="minorEastAsia" w:hAnsiTheme="minorHAnsi" w:cstheme="minorBidi"/>
            <w:szCs w:val="22"/>
            <w:lang w:val="en-AU" w:eastAsia="en-AU"/>
          </w:rPr>
          <w:tab/>
        </w:r>
        <w:r w:rsidR="00156031" w:rsidRPr="006F2F78">
          <w:rPr>
            <w:rStyle w:val="Hyperlink"/>
          </w:rPr>
          <w:t>Average incremental cost illustration</w:t>
        </w:r>
        <w:r w:rsidR="00156031">
          <w:rPr>
            <w:webHidden/>
          </w:rPr>
          <w:tab/>
        </w:r>
        <w:r>
          <w:rPr>
            <w:webHidden/>
          </w:rPr>
          <w:fldChar w:fldCharType="begin"/>
        </w:r>
        <w:r w:rsidR="00156031">
          <w:rPr>
            <w:webHidden/>
          </w:rPr>
          <w:instrText xml:space="preserve"> PAGEREF _Toc453920906 \h </w:instrText>
        </w:r>
        <w:r>
          <w:rPr>
            <w:webHidden/>
          </w:rPr>
        </w:r>
        <w:r>
          <w:rPr>
            <w:webHidden/>
          </w:rPr>
          <w:fldChar w:fldCharType="separate"/>
        </w:r>
        <w:r w:rsidR="00156031">
          <w:rPr>
            <w:webHidden/>
          </w:rPr>
          <w:t>33</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07" w:history="1">
        <w:r w:rsidR="00156031" w:rsidRPr="006F2F78">
          <w:rPr>
            <w:rStyle w:val="Hyperlink"/>
          </w:rPr>
          <w:t>Figure 4.1</w:t>
        </w:r>
        <w:r w:rsidR="00156031">
          <w:rPr>
            <w:rFonts w:asciiTheme="minorHAnsi" w:eastAsiaTheme="minorEastAsia" w:hAnsiTheme="minorHAnsi" w:cstheme="minorBidi"/>
            <w:szCs w:val="22"/>
            <w:lang w:val="en-AU" w:eastAsia="en-AU"/>
          </w:rPr>
          <w:tab/>
        </w:r>
        <w:r w:rsidR="00156031" w:rsidRPr="006F2F78">
          <w:rPr>
            <w:rStyle w:val="Hyperlink"/>
          </w:rPr>
          <w:t>Icon Water dam storage capacity and levels</w:t>
        </w:r>
        <w:r w:rsidR="00156031">
          <w:rPr>
            <w:webHidden/>
          </w:rPr>
          <w:tab/>
        </w:r>
        <w:r>
          <w:rPr>
            <w:webHidden/>
          </w:rPr>
          <w:fldChar w:fldCharType="begin"/>
        </w:r>
        <w:r w:rsidR="00156031">
          <w:rPr>
            <w:webHidden/>
          </w:rPr>
          <w:instrText xml:space="preserve"> PAGEREF _Toc453920907 \h </w:instrText>
        </w:r>
        <w:r>
          <w:rPr>
            <w:webHidden/>
          </w:rPr>
        </w:r>
        <w:r>
          <w:rPr>
            <w:webHidden/>
          </w:rPr>
          <w:fldChar w:fldCharType="separate"/>
        </w:r>
        <w:r w:rsidR="00156031">
          <w:rPr>
            <w:webHidden/>
          </w:rPr>
          <w:t>43</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08" w:history="1">
        <w:r w:rsidR="00156031" w:rsidRPr="006F2F78">
          <w:rPr>
            <w:rStyle w:val="Hyperlink"/>
          </w:rPr>
          <w:t>Figure 4.2</w:t>
        </w:r>
        <w:r w:rsidR="00156031">
          <w:rPr>
            <w:rFonts w:asciiTheme="minorHAnsi" w:eastAsiaTheme="minorEastAsia" w:hAnsiTheme="minorHAnsi" w:cstheme="minorBidi"/>
            <w:szCs w:val="22"/>
            <w:lang w:val="en-AU" w:eastAsia="en-AU"/>
          </w:rPr>
          <w:tab/>
        </w:r>
        <w:r w:rsidR="00156031" w:rsidRPr="006F2F78">
          <w:rPr>
            <w:rStyle w:val="Hyperlink"/>
          </w:rPr>
          <w:t>Icon Water dam releases and billed consumption, 2000 to 2015</w:t>
        </w:r>
        <w:r w:rsidR="00156031">
          <w:rPr>
            <w:webHidden/>
          </w:rPr>
          <w:tab/>
        </w:r>
        <w:r>
          <w:rPr>
            <w:webHidden/>
          </w:rPr>
          <w:fldChar w:fldCharType="begin"/>
        </w:r>
        <w:r w:rsidR="00156031">
          <w:rPr>
            <w:webHidden/>
          </w:rPr>
          <w:instrText xml:space="preserve"> PAGEREF _Toc453920908 \h </w:instrText>
        </w:r>
        <w:r>
          <w:rPr>
            <w:webHidden/>
          </w:rPr>
        </w:r>
        <w:r>
          <w:rPr>
            <w:webHidden/>
          </w:rPr>
          <w:fldChar w:fldCharType="separate"/>
        </w:r>
        <w:r w:rsidR="00156031">
          <w:rPr>
            <w:webHidden/>
          </w:rPr>
          <w:t>44</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09" w:history="1">
        <w:r w:rsidR="00156031" w:rsidRPr="006F2F78">
          <w:rPr>
            <w:rStyle w:val="Hyperlink"/>
          </w:rPr>
          <w:t>Figure 4.3</w:t>
        </w:r>
        <w:r w:rsidR="00156031">
          <w:rPr>
            <w:rFonts w:asciiTheme="minorHAnsi" w:eastAsiaTheme="minorEastAsia" w:hAnsiTheme="minorHAnsi" w:cstheme="minorBidi"/>
            <w:szCs w:val="22"/>
            <w:lang w:val="en-AU" w:eastAsia="en-AU"/>
          </w:rPr>
          <w:tab/>
        </w:r>
        <w:r w:rsidR="00156031" w:rsidRPr="006F2F78">
          <w:rPr>
            <w:rStyle w:val="Hyperlink"/>
          </w:rPr>
          <w:t>Short-run marginal cost of water by component and supply source, current prices</w:t>
        </w:r>
        <w:r w:rsidR="00156031">
          <w:rPr>
            <w:webHidden/>
          </w:rPr>
          <w:tab/>
        </w:r>
        <w:r>
          <w:rPr>
            <w:webHidden/>
          </w:rPr>
          <w:fldChar w:fldCharType="begin"/>
        </w:r>
        <w:r w:rsidR="00156031">
          <w:rPr>
            <w:webHidden/>
          </w:rPr>
          <w:instrText xml:space="preserve"> PAGEREF _Toc453920909 \h </w:instrText>
        </w:r>
        <w:r>
          <w:rPr>
            <w:webHidden/>
          </w:rPr>
        </w:r>
        <w:r>
          <w:rPr>
            <w:webHidden/>
          </w:rPr>
          <w:fldChar w:fldCharType="separate"/>
        </w:r>
        <w:r w:rsidR="00156031">
          <w:rPr>
            <w:webHidden/>
          </w:rPr>
          <w:t>45</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10" w:history="1">
        <w:r w:rsidR="00156031" w:rsidRPr="006F2F78">
          <w:rPr>
            <w:rStyle w:val="Hyperlink"/>
          </w:rPr>
          <w:t>Figure 4.4</w:t>
        </w:r>
        <w:r w:rsidR="00156031">
          <w:rPr>
            <w:rFonts w:asciiTheme="minorHAnsi" w:eastAsiaTheme="minorEastAsia" w:hAnsiTheme="minorHAnsi" w:cstheme="minorBidi"/>
            <w:szCs w:val="22"/>
            <w:lang w:val="en-AU" w:eastAsia="en-AU"/>
          </w:rPr>
          <w:tab/>
        </w:r>
        <w:r w:rsidR="00156031" w:rsidRPr="006F2F78">
          <w:rPr>
            <w:rStyle w:val="Hyperlink"/>
          </w:rPr>
          <w:t>Water supply and demand model representation</w:t>
        </w:r>
        <w:r w:rsidR="00156031">
          <w:rPr>
            <w:webHidden/>
          </w:rPr>
          <w:tab/>
        </w:r>
        <w:r>
          <w:rPr>
            <w:webHidden/>
          </w:rPr>
          <w:fldChar w:fldCharType="begin"/>
        </w:r>
        <w:r w:rsidR="00156031">
          <w:rPr>
            <w:webHidden/>
          </w:rPr>
          <w:instrText xml:space="preserve"> PAGEREF _Toc453920910 \h </w:instrText>
        </w:r>
        <w:r>
          <w:rPr>
            <w:webHidden/>
          </w:rPr>
        </w:r>
        <w:r>
          <w:rPr>
            <w:webHidden/>
          </w:rPr>
          <w:fldChar w:fldCharType="separate"/>
        </w:r>
        <w:r w:rsidR="00156031">
          <w:rPr>
            <w:webHidden/>
          </w:rPr>
          <w:t>47</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11" w:history="1">
        <w:r w:rsidR="00156031" w:rsidRPr="006F2F78">
          <w:rPr>
            <w:rStyle w:val="Hyperlink"/>
          </w:rPr>
          <w:t>Figure 4.5</w:t>
        </w:r>
        <w:r w:rsidR="00156031">
          <w:rPr>
            <w:rFonts w:asciiTheme="minorHAnsi" w:eastAsiaTheme="minorEastAsia" w:hAnsiTheme="minorHAnsi" w:cstheme="minorBidi"/>
            <w:szCs w:val="22"/>
            <w:lang w:val="en-AU" w:eastAsia="en-AU"/>
          </w:rPr>
          <w:tab/>
        </w:r>
        <w:r w:rsidR="00156031" w:rsidRPr="006F2F78">
          <w:rPr>
            <w:rStyle w:val="Hyperlink"/>
          </w:rPr>
          <w:t xml:space="preserve">Annual Icon Water </w:t>
        </w:r>
        <w:r w:rsidR="00156031" w:rsidRPr="006F2F78">
          <w:rPr>
            <w:rStyle w:val="Hyperlink"/>
            <w:lang w:val="en-AU"/>
          </w:rPr>
          <w:t>dam releases per capita, 1999 to 2015</w:t>
        </w:r>
        <w:r w:rsidR="00156031">
          <w:rPr>
            <w:webHidden/>
          </w:rPr>
          <w:tab/>
        </w:r>
        <w:r>
          <w:rPr>
            <w:webHidden/>
          </w:rPr>
          <w:fldChar w:fldCharType="begin"/>
        </w:r>
        <w:r w:rsidR="00156031">
          <w:rPr>
            <w:webHidden/>
          </w:rPr>
          <w:instrText xml:space="preserve"> PAGEREF _Toc453920911 \h </w:instrText>
        </w:r>
        <w:r>
          <w:rPr>
            <w:webHidden/>
          </w:rPr>
        </w:r>
        <w:r>
          <w:rPr>
            <w:webHidden/>
          </w:rPr>
          <w:fldChar w:fldCharType="separate"/>
        </w:r>
        <w:r w:rsidR="00156031">
          <w:rPr>
            <w:webHidden/>
          </w:rPr>
          <w:t>51</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12" w:history="1">
        <w:r w:rsidR="00156031" w:rsidRPr="006F2F78">
          <w:rPr>
            <w:rStyle w:val="Hyperlink"/>
          </w:rPr>
          <w:t>Figure 4.6</w:t>
        </w:r>
        <w:r w:rsidR="00156031">
          <w:rPr>
            <w:rFonts w:asciiTheme="minorHAnsi" w:eastAsiaTheme="minorEastAsia" w:hAnsiTheme="minorHAnsi" w:cstheme="minorBidi"/>
            <w:szCs w:val="22"/>
            <w:lang w:val="en-AU" w:eastAsia="en-AU"/>
          </w:rPr>
          <w:tab/>
        </w:r>
        <w:r w:rsidR="00156031" w:rsidRPr="006F2F78">
          <w:rPr>
            <w:rStyle w:val="Hyperlink"/>
            <w:lang w:val="en-AU"/>
          </w:rPr>
          <w:t>ACT observed and projected population—high versus medium growth</w:t>
        </w:r>
        <w:r w:rsidR="00156031">
          <w:rPr>
            <w:webHidden/>
          </w:rPr>
          <w:tab/>
        </w:r>
        <w:r>
          <w:rPr>
            <w:webHidden/>
          </w:rPr>
          <w:fldChar w:fldCharType="begin"/>
        </w:r>
        <w:r w:rsidR="00156031">
          <w:rPr>
            <w:webHidden/>
          </w:rPr>
          <w:instrText xml:space="preserve"> PAGEREF _Toc453920912 \h </w:instrText>
        </w:r>
        <w:r>
          <w:rPr>
            <w:webHidden/>
          </w:rPr>
        </w:r>
        <w:r>
          <w:rPr>
            <w:webHidden/>
          </w:rPr>
          <w:fldChar w:fldCharType="separate"/>
        </w:r>
        <w:r w:rsidR="00156031">
          <w:rPr>
            <w:webHidden/>
          </w:rPr>
          <w:t>52</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13" w:history="1">
        <w:r w:rsidR="00156031" w:rsidRPr="006F2F78">
          <w:rPr>
            <w:rStyle w:val="Hyperlink"/>
          </w:rPr>
          <w:t>Figure 4.7</w:t>
        </w:r>
        <w:r w:rsidR="00156031">
          <w:rPr>
            <w:rFonts w:asciiTheme="minorHAnsi" w:eastAsiaTheme="minorEastAsia" w:hAnsiTheme="minorHAnsi" w:cstheme="minorBidi"/>
            <w:szCs w:val="22"/>
            <w:lang w:val="en-AU" w:eastAsia="en-AU"/>
          </w:rPr>
          <w:tab/>
        </w:r>
        <w:r w:rsidR="00156031" w:rsidRPr="006F2F78">
          <w:rPr>
            <w:rStyle w:val="Hyperlink"/>
            <w:lang w:val="en-AU"/>
          </w:rPr>
          <w:t>ACT historical and projected population ten-year average growth rates</w:t>
        </w:r>
        <w:r w:rsidR="00156031">
          <w:rPr>
            <w:webHidden/>
          </w:rPr>
          <w:tab/>
        </w:r>
        <w:r>
          <w:rPr>
            <w:webHidden/>
          </w:rPr>
          <w:fldChar w:fldCharType="begin"/>
        </w:r>
        <w:r w:rsidR="00156031">
          <w:rPr>
            <w:webHidden/>
          </w:rPr>
          <w:instrText xml:space="preserve"> PAGEREF _Toc453920913 \h </w:instrText>
        </w:r>
        <w:r>
          <w:rPr>
            <w:webHidden/>
          </w:rPr>
        </w:r>
        <w:r>
          <w:rPr>
            <w:webHidden/>
          </w:rPr>
          <w:fldChar w:fldCharType="separate"/>
        </w:r>
        <w:r w:rsidR="00156031">
          <w:rPr>
            <w:webHidden/>
          </w:rPr>
          <w:t>53</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14" w:history="1">
        <w:r w:rsidR="00156031" w:rsidRPr="006F2F78">
          <w:rPr>
            <w:rStyle w:val="Hyperlink"/>
          </w:rPr>
          <w:t>Figure 4.8</w:t>
        </w:r>
        <w:r w:rsidR="00156031">
          <w:rPr>
            <w:rFonts w:asciiTheme="minorHAnsi" w:eastAsiaTheme="minorEastAsia" w:hAnsiTheme="minorHAnsi" w:cstheme="minorBidi"/>
            <w:szCs w:val="22"/>
            <w:lang w:val="en-AU" w:eastAsia="en-AU"/>
          </w:rPr>
          <w:tab/>
        </w:r>
        <w:r w:rsidR="00156031" w:rsidRPr="006F2F78">
          <w:rPr>
            <w:rStyle w:val="Hyperlink"/>
          </w:rPr>
          <w:t>Probability of water restrictions, all scenarios</w:t>
        </w:r>
        <w:r w:rsidR="00156031">
          <w:rPr>
            <w:webHidden/>
          </w:rPr>
          <w:tab/>
        </w:r>
        <w:r>
          <w:rPr>
            <w:webHidden/>
          </w:rPr>
          <w:fldChar w:fldCharType="begin"/>
        </w:r>
        <w:r w:rsidR="00156031">
          <w:rPr>
            <w:webHidden/>
          </w:rPr>
          <w:instrText xml:space="preserve"> PAGEREF _Toc453920914 \h </w:instrText>
        </w:r>
        <w:r>
          <w:rPr>
            <w:webHidden/>
          </w:rPr>
        </w:r>
        <w:r>
          <w:rPr>
            <w:webHidden/>
          </w:rPr>
          <w:fldChar w:fldCharType="separate"/>
        </w:r>
        <w:r w:rsidR="00156031">
          <w:rPr>
            <w:webHidden/>
          </w:rPr>
          <w:t>57</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15" w:history="1">
        <w:r w:rsidR="00156031" w:rsidRPr="006F2F78">
          <w:rPr>
            <w:rStyle w:val="Hyperlink"/>
          </w:rPr>
          <w:t>Figure 4.9</w:t>
        </w:r>
        <w:r w:rsidR="00156031">
          <w:rPr>
            <w:rFonts w:asciiTheme="minorHAnsi" w:eastAsiaTheme="minorEastAsia" w:hAnsiTheme="minorHAnsi" w:cstheme="minorBidi"/>
            <w:szCs w:val="22"/>
            <w:lang w:val="en-AU" w:eastAsia="en-AU"/>
          </w:rPr>
          <w:tab/>
        </w:r>
        <w:r w:rsidR="00156031" w:rsidRPr="006F2F78">
          <w:rPr>
            <w:rStyle w:val="Hyperlink"/>
          </w:rPr>
          <w:t>Marginal cost estimate for water, summary</w:t>
        </w:r>
        <w:r w:rsidR="00156031">
          <w:rPr>
            <w:webHidden/>
          </w:rPr>
          <w:tab/>
        </w:r>
        <w:r>
          <w:rPr>
            <w:webHidden/>
          </w:rPr>
          <w:fldChar w:fldCharType="begin"/>
        </w:r>
        <w:r w:rsidR="00156031">
          <w:rPr>
            <w:webHidden/>
          </w:rPr>
          <w:instrText xml:space="preserve"> PAGEREF _Toc453920915 \h </w:instrText>
        </w:r>
        <w:r>
          <w:rPr>
            <w:webHidden/>
          </w:rPr>
        </w:r>
        <w:r>
          <w:rPr>
            <w:webHidden/>
          </w:rPr>
          <w:fldChar w:fldCharType="separate"/>
        </w:r>
        <w:r w:rsidR="00156031">
          <w:rPr>
            <w:webHidden/>
          </w:rPr>
          <w:t>60</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16" w:history="1">
        <w:r w:rsidR="00156031" w:rsidRPr="006F2F78">
          <w:rPr>
            <w:rStyle w:val="Hyperlink"/>
          </w:rPr>
          <w:t>Figure 5.1</w:t>
        </w:r>
        <w:r w:rsidR="00156031">
          <w:rPr>
            <w:rFonts w:asciiTheme="minorHAnsi" w:eastAsiaTheme="minorEastAsia" w:hAnsiTheme="minorHAnsi" w:cstheme="minorBidi"/>
            <w:szCs w:val="22"/>
            <w:lang w:val="en-AU" w:eastAsia="en-AU"/>
          </w:rPr>
          <w:tab/>
        </w:r>
        <w:r w:rsidR="00156031" w:rsidRPr="006F2F78">
          <w:rPr>
            <w:rStyle w:val="Hyperlink"/>
          </w:rPr>
          <w:t>Icon Water total sewage collected, 2006 to 2015</w:t>
        </w:r>
        <w:r w:rsidR="00156031">
          <w:rPr>
            <w:webHidden/>
          </w:rPr>
          <w:tab/>
        </w:r>
        <w:r>
          <w:rPr>
            <w:webHidden/>
          </w:rPr>
          <w:fldChar w:fldCharType="begin"/>
        </w:r>
        <w:r w:rsidR="00156031">
          <w:rPr>
            <w:webHidden/>
          </w:rPr>
          <w:instrText xml:space="preserve"> PAGEREF _Toc453920916 \h </w:instrText>
        </w:r>
        <w:r>
          <w:rPr>
            <w:webHidden/>
          </w:rPr>
        </w:r>
        <w:r>
          <w:rPr>
            <w:webHidden/>
          </w:rPr>
          <w:fldChar w:fldCharType="separate"/>
        </w:r>
        <w:r w:rsidR="00156031">
          <w:rPr>
            <w:webHidden/>
          </w:rPr>
          <w:t>61</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17" w:history="1">
        <w:r w:rsidR="00156031" w:rsidRPr="006F2F78">
          <w:rPr>
            <w:rStyle w:val="Hyperlink"/>
          </w:rPr>
          <w:t>Figure 6.1</w:t>
        </w:r>
        <w:r w:rsidR="00156031">
          <w:rPr>
            <w:rFonts w:asciiTheme="minorHAnsi" w:eastAsiaTheme="minorEastAsia" w:hAnsiTheme="minorHAnsi" w:cstheme="minorBidi"/>
            <w:szCs w:val="22"/>
            <w:lang w:val="en-AU" w:eastAsia="en-AU"/>
          </w:rPr>
          <w:tab/>
        </w:r>
        <w:r w:rsidR="00156031" w:rsidRPr="006F2F78">
          <w:rPr>
            <w:rStyle w:val="Hyperlink"/>
          </w:rPr>
          <w:t>Indicative water supply charge, with single volumetric charge set at marginal cost</w:t>
        </w:r>
        <w:r w:rsidR="00156031">
          <w:rPr>
            <w:webHidden/>
          </w:rPr>
          <w:tab/>
        </w:r>
        <w:r>
          <w:rPr>
            <w:webHidden/>
          </w:rPr>
          <w:fldChar w:fldCharType="begin"/>
        </w:r>
        <w:r w:rsidR="00156031">
          <w:rPr>
            <w:webHidden/>
          </w:rPr>
          <w:instrText xml:space="preserve"> PAGEREF _Toc453920917 \h </w:instrText>
        </w:r>
        <w:r>
          <w:rPr>
            <w:webHidden/>
          </w:rPr>
        </w:r>
        <w:r>
          <w:rPr>
            <w:webHidden/>
          </w:rPr>
          <w:fldChar w:fldCharType="separate"/>
        </w:r>
        <w:r w:rsidR="00156031">
          <w:rPr>
            <w:webHidden/>
          </w:rPr>
          <w:t>64</w:t>
        </w:r>
        <w:r>
          <w:rPr>
            <w:webHidden/>
          </w:rPr>
          <w:fldChar w:fldCharType="end"/>
        </w:r>
      </w:hyperlink>
    </w:p>
    <w:p w:rsidR="00156031" w:rsidRDefault="00C04337">
      <w:pPr>
        <w:pStyle w:val="TableofFigures"/>
        <w:rPr>
          <w:rFonts w:asciiTheme="minorHAnsi" w:eastAsiaTheme="minorEastAsia" w:hAnsiTheme="minorHAnsi" w:cstheme="minorBidi"/>
          <w:szCs w:val="22"/>
          <w:lang w:val="en-AU" w:eastAsia="en-AU"/>
        </w:rPr>
      </w:pPr>
      <w:hyperlink w:anchor="_Toc453920918" w:history="1">
        <w:r w:rsidR="00156031" w:rsidRPr="006F2F78">
          <w:rPr>
            <w:rStyle w:val="Hyperlink"/>
          </w:rPr>
          <w:t>Figure 6.2</w:t>
        </w:r>
        <w:r w:rsidR="00156031">
          <w:rPr>
            <w:rFonts w:asciiTheme="minorHAnsi" w:eastAsiaTheme="minorEastAsia" w:hAnsiTheme="minorHAnsi" w:cstheme="minorBidi"/>
            <w:szCs w:val="22"/>
            <w:lang w:val="en-AU" w:eastAsia="en-AU"/>
          </w:rPr>
          <w:tab/>
        </w:r>
        <w:r w:rsidR="00156031" w:rsidRPr="006F2F78">
          <w:rPr>
            <w:rStyle w:val="Hyperlink"/>
          </w:rPr>
          <w:t>Indicative sewerage service supply and fixture charges, with volumetric charge set at short-run marginal cost</w:t>
        </w:r>
        <w:r w:rsidR="00156031">
          <w:rPr>
            <w:webHidden/>
          </w:rPr>
          <w:tab/>
        </w:r>
        <w:r>
          <w:rPr>
            <w:webHidden/>
          </w:rPr>
          <w:fldChar w:fldCharType="begin"/>
        </w:r>
        <w:r w:rsidR="00156031">
          <w:rPr>
            <w:webHidden/>
          </w:rPr>
          <w:instrText xml:space="preserve"> PAGEREF _Toc453920918 \h </w:instrText>
        </w:r>
        <w:r>
          <w:rPr>
            <w:webHidden/>
          </w:rPr>
        </w:r>
        <w:r>
          <w:rPr>
            <w:webHidden/>
          </w:rPr>
          <w:fldChar w:fldCharType="separate"/>
        </w:r>
        <w:r w:rsidR="00156031">
          <w:rPr>
            <w:webHidden/>
          </w:rPr>
          <w:t>66</w:t>
        </w:r>
        <w:r>
          <w:rPr>
            <w:webHidden/>
          </w:rPr>
          <w:fldChar w:fldCharType="end"/>
        </w:r>
      </w:hyperlink>
    </w:p>
    <w:p w:rsidR="00022CFE" w:rsidRDefault="00C04337" w:rsidP="008A1C91">
      <w:pPr>
        <w:pStyle w:val="References"/>
        <w:rPr>
          <w:lang w:val="en-AU"/>
        </w:rPr>
      </w:pPr>
      <w:r>
        <w:rPr>
          <w:lang w:val="en-AU"/>
        </w:rPr>
        <w:fldChar w:fldCharType="end"/>
      </w:r>
      <w:bookmarkStart w:id="11" w:name="_Toc118359367"/>
      <w:bookmarkStart w:id="12" w:name="_Toc202785427"/>
      <w:bookmarkStart w:id="13" w:name="_Toc260327869"/>
    </w:p>
    <w:p w:rsidR="006C2D0B" w:rsidRPr="001E3780" w:rsidRDefault="006C2D0B" w:rsidP="008A1C91">
      <w:pPr>
        <w:pStyle w:val="References"/>
        <w:rPr>
          <w:rFonts w:ascii="Arial" w:hAnsi="Arial" w:cs="Arial"/>
          <w:b/>
          <w:sz w:val="26"/>
          <w:szCs w:val="26"/>
        </w:rPr>
      </w:pPr>
      <w:r w:rsidRPr="001E3780">
        <w:rPr>
          <w:rFonts w:ascii="Arial" w:hAnsi="Arial" w:cs="Arial"/>
          <w:b/>
          <w:sz w:val="26"/>
          <w:szCs w:val="26"/>
        </w:rPr>
        <w:t>List of boxes</w:t>
      </w:r>
    </w:p>
    <w:bookmarkStart w:id="14" w:name="_GoBack"/>
    <w:bookmarkEnd w:id="14"/>
    <w:p w:rsidR="00156031" w:rsidRDefault="00C04337">
      <w:pPr>
        <w:pStyle w:val="TableofFigures"/>
        <w:rPr>
          <w:rFonts w:asciiTheme="minorHAnsi" w:eastAsiaTheme="minorEastAsia" w:hAnsiTheme="minorHAnsi" w:cstheme="minorBidi"/>
          <w:szCs w:val="22"/>
          <w:lang w:val="en-AU" w:eastAsia="en-AU"/>
        </w:rPr>
      </w:pPr>
      <w:r w:rsidRPr="00C04337">
        <w:rPr>
          <w:lang w:val="en-AU"/>
        </w:rPr>
        <w:fldChar w:fldCharType="begin"/>
      </w:r>
      <w:r w:rsidR="006C2D0B">
        <w:rPr>
          <w:lang w:val="en-AU"/>
        </w:rPr>
        <w:instrText xml:space="preserve"> TOC \h \z \c "Box" </w:instrText>
      </w:r>
      <w:r w:rsidRPr="00C04337">
        <w:rPr>
          <w:lang w:val="en-AU"/>
        </w:rPr>
        <w:fldChar w:fldCharType="separate"/>
      </w:r>
      <w:hyperlink w:anchor="_Toc453920919" w:history="1">
        <w:r w:rsidR="00156031" w:rsidRPr="00814D0F">
          <w:rPr>
            <w:rStyle w:val="Hyperlink"/>
          </w:rPr>
          <w:t>Box ES.1</w:t>
        </w:r>
        <w:r w:rsidR="00156031">
          <w:rPr>
            <w:rFonts w:asciiTheme="minorHAnsi" w:eastAsiaTheme="minorEastAsia" w:hAnsiTheme="minorHAnsi" w:cstheme="minorBidi"/>
            <w:szCs w:val="22"/>
            <w:lang w:val="en-AU" w:eastAsia="en-AU"/>
          </w:rPr>
          <w:tab/>
        </w:r>
        <w:r w:rsidR="00156031" w:rsidRPr="00814D0F">
          <w:rPr>
            <w:rStyle w:val="Hyperlink"/>
          </w:rPr>
          <w:t>Commission’s proposed economic regulation objective and pricing principles</w:t>
        </w:r>
        <w:r w:rsidR="00156031">
          <w:rPr>
            <w:webHidden/>
          </w:rPr>
          <w:tab/>
        </w:r>
        <w:r>
          <w:rPr>
            <w:webHidden/>
          </w:rPr>
          <w:fldChar w:fldCharType="begin"/>
        </w:r>
        <w:r w:rsidR="00156031">
          <w:rPr>
            <w:webHidden/>
          </w:rPr>
          <w:instrText xml:space="preserve"> PAGEREF _Toc453920919 \h </w:instrText>
        </w:r>
        <w:r>
          <w:rPr>
            <w:webHidden/>
          </w:rPr>
        </w:r>
        <w:r>
          <w:rPr>
            <w:webHidden/>
          </w:rPr>
          <w:fldChar w:fldCharType="separate"/>
        </w:r>
        <w:r w:rsidR="00156031">
          <w:rPr>
            <w:webHidden/>
          </w:rPr>
          <w:t>x</w:t>
        </w:r>
        <w:r>
          <w:rPr>
            <w:webHidden/>
          </w:rPr>
          <w:fldChar w:fldCharType="end"/>
        </w:r>
      </w:hyperlink>
    </w:p>
    <w:p w:rsidR="00B1692C" w:rsidRDefault="00C04337" w:rsidP="008A1C91">
      <w:pPr>
        <w:pStyle w:val="References"/>
      </w:pPr>
      <w:r>
        <w:rPr>
          <w:lang w:val="en-AU"/>
        </w:rPr>
        <w:fldChar w:fldCharType="end"/>
      </w:r>
    </w:p>
    <w:p w:rsidR="00440F18" w:rsidRDefault="00440F18" w:rsidP="00440F18">
      <w:pPr>
        <w:rPr>
          <w:sz w:val="24"/>
          <w:szCs w:val="24"/>
          <w:lang w:val="en-AU"/>
        </w:rPr>
      </w:pPr>
    </w:p>
    <w:p w:rsidR="00440F18" w:rsidRDefault="00440F18" w:rsidP="00440F18">
      <w:pPr>
        <w:rPr>
          <w:sz w:val="24"/>
          <w:szCs w:val="24"/>
          <w:lang w:val="en-AU"/>
        </w:rPr>
        <w:sectPr w:rsidR="00440F18" w:rsidSect="00174668">
          <w:headerReference w:type="even" r:id="rId26"/>
          <w:headerReference w:type="default" r:id="rId27"/>
          <w:endnotePr>
            <w:numFmt w:val="decimal"/>
          </w:endnotePr>
          <w:type w:val="continuous"/>
          <w:pgSz w:w="11907" w:h="16840" w:code="9"/>
          <w:pgMar w:top="2268" w:right="2098" w:bottom="1701" w:left="2098" w:header="578" w:footer="578" w:gutter="0"/>
          <w:pgNumType w:fmt="lowerRoman"/>
          <w:cols w:space="720"/>
          <w:docGrid w:linePitch="299"/>
        </w:sectPr>
      </w:pPr>
    </w:p>
    <w:p w:rsidR="00440F18" w:rsidRDefault="00440F18" w:rsidP="00440F18">
      <w:pPr>
        <w:pStyle w:val="Heading1a"/>
        <w:sectPr w:rsidR="00440F18" w:rsidSect="005F1A78">
          <w:headerReference w:type="default" r:id="rId28"/>
          <w:endnotePr>
            <w:numFmt w:val="decimal"/>
          </w:endnotePr>
          <w:type w:val="oddPage"/>
          <w:pgSz w:w="11907" w:h="16840" w:code="9"/>
          <w:pgMar w:top="2268" w:right="2098" w:bottom="1701" w:left="2098" w:header="578" w:footer="578" w:gutter="0"/>
          <w:pgNumType w:fmt="lowerRoman"/>
          <w:cols w:space="720"/>
          <w:docGrid w:linePitch="299"/>
        </w:sectPr>
      </w:pPr>
      <w:bookmarkStart w:id="15" w:name="_Toc380050991"/>
      <w:bookmarkStart w:id="16" w:name="_Toc453920853"/>
      <w:r>
        <w:lastRenderedPageBreak/>
        <w:t>Executive summary</w:t>
      </w:r>
      <w:bookmarkEnd w:id="15"/>
      <w:bookmarkEnd w:id="16"/>
    </w:p>
    <w:p w:rsidR="00440F18" w:rsidRDefault="00440F18" w:rsidP="00440F18">
      <w:pPr>
        <w:pStyle w:val="Heading4"/>
      </w:pPr>
      <w:r>
        <w:lastRenderedPageBreak/>
        <w:t>Introduction</w:t>
      </w:r>
    </w:p>
    <w:p w:rsidR="00B9759B" w:rsidRDefault="00B9759B" w:rsidP="00B9759B">
      <w:r>
        <w:t>This technical paper is the third paper published by the Commission as part of its review of Icon Water's water and sewerage services tariff structure. The first publication was an issues paper released by the Commission in November 2015.</w:t>
      </w:r>
      <w:r>
        <w:rPr>
          <w:rStyle w:val="FootnoteReference"/>
        </w:rPr>
        <w:footnoteReference w:id="2"/>
      </w:r>
      <w:r>
        <w:t xml:space="preserve"> The second was a technical paper on the elasticity of demand for water in the ACT released in February 2016.</w:t>
      </w:r>
      <w:r>
        <w:rPr>
          <w:rStyle w:val="FootnoteReference"/>
        </w:rPr>
        <w:footnoteReference w:id="3"/>
      </w:r>
    </w:p>
    <w:p w:rsidR="00F50D8A" w:rsidRDefault="00F50D8A" w:rsidP="00F50D8A">
      <w:r>
        <w:t>The current ACT water tariff structure comprises an annual supply charge and a two-tier volumetric charge that with a lower price for the first 200 kilolitres (kL) of water use and a higher water price, double that of the first tier price, for water used above that level. This is known as a two part inclining block tariff. The level of prices is set using a backward-looking approach</w:t>
      </w:r>
      <w:r w:rsidR="000D598B">
        <w:t>,</w:t>
      </w:r>
      <w:r>
        <w:t xml:space="preserve"> </w:t>
      </w:r>
      <w:r w:rsidR="000D598B">
        <w:t xml:space="preserve">based </w:t>
      </w:r>
      <w:r>
        <w:t xml:space="preserve">on the cost </w:t>
      </w:r>
      <w:r w:rsidRPr="00470428">
        <w:t>of providing the most recent reali</w:t>
      </w:r>
      <w:r>
        <w:t>s</w:t>
      </w:r>
      <w:r w:rsidRPr="00470428">
        <w:t>ed supply augmentation</w:t>
      </w:r>
      <w:r>
        <w:t>.</w:t>
      </w:r>
      <w:r w:rsidR="00B919D3">
        <w:t xml:space="preserve"> At the current level of prices, Icon Water recovers about 10 per cent of its water revenue from the fixed charge, with the remaining 90 per cent recovered from </w:t>
      </w:r>
      <w:r w:rsidR="009C62DD">
        <w:t>volumetric charges.</w:t>
      </w:r>
      <w:r w:rsidR="00D71612">
        <w:rPr>
          <w:rStyle w:val="FootnoteReference"/>
        </w:rPr>
        <w:footnoteReference w:id="4"/>
      </w:r>
    </w:p>
    <w:p w:rsidR="008F520E" w:rsidRDefault="00F50D8A" w:rsidP="008F520E">
      <w:r>
        <w:t>The current sewerage services tariff structure comprises a fixed annual supply charge for residential premises, and the same fixed supply charge plus an annual charge per flushing fixture (in excess of two) for non-residential premises.</w:t>
      </w:r>
      <w:r w:rsidR="000D598B">
        <w:t xml:space="preserve"> The same backward-looking approach as for water is applied to determine the level of sewerage service prices.  </w:t>
      </w:r>
    </w:p>
    <w:p w:rsidR="00D5401F" w:rsidRDefault="00D5401F" w:rsidP="00D5401F">
      <w:pPr>
        <w:pStyle w:val="Heading4"/>
      </w:pPr>
      <w:r>
        <w:t>The hierarchy of objectives</w:t>
      </w:r>
    </w:p>
    <w:p w:rsidR="00F50D8A" w:rsidRDefault="008F520E" w:rsidP="00F50D8A">
      <w:r>
        <w:t>The current structure of Icon Water’s water and sewerage services tariffs has served the ACT community well over the last 15 or so years. Nonetheless, in recent years a number of questions have been raised about whether improvements could be made to the way tariffs are structured.</w:t>
      </w:r>
    </w:p>
    <w:p w:rsidR="008F520E" w:rsidRDefault="008F520E" w:rsidP="008F520E">
      <w:r>
        <w:t>The issues paper proposed a frame of reference to guide the Commission’s evaluation of Icon Water’s existing tariff structure and potential alternatives. The framework comprises an overarching economic regulation objective and set of pricing principles (see Box ES.1).</w:t>
      </w:r>
    </w:p>
    <w:p w:rsidR="007176CC" w:rsidRDefault="007176CC" w:rsidP="007176CC">
      <w:r>
        <w:t xml:space="preserve">The </w:t>
      </w:r>
      <w:r w:rsidR="00A97C78">
        <w:t xml:space="preserve">proposed </w:t>
      </w:r>
      <w:r>
        <w:t xml:space="preserve">overarching </w:t>
      </w:r>
      <w:r w:rsidR="00AE1E12">
        <w:t xml:space="preserve">efficiency </w:t>
      </w:r>
      <w:r>
        <w:t xml:space="preserve">objective </w:t>
      </w:r>
      <w:r w:rsidR="00A97C78">
        <w:t xml:space="preserve">is to </w:t>
      </w:r>
      <w:r>
        <w:t>promote the efficient investment in, and efficient operation and use of, Icon Water’s regulated water and sewerage services to maximise the social welfare of the community over the long term.</w:t>
      </w:r>
    </w:p>
    <w:p w:rsidR="007176CC" w:rsidRDefault="007176CC" w:rsidP="007176CC"/>
    <w:p w:rsidR="007176CC" w:rsidRDefault="007176CC" w:rsidP="007176CC">
      <w:pPr>
        <w:pStyle w:val="FigureName"/>
        <w:keepNext/>
        <w:widowControl w:val="0"/>
      </w:pPr>
      <w:bookmarkStart w:id="17" w:name="_Toc450562754"/>
      <w:bookmarkStart w:id="18" w:name="_Toc453920919"/>
      <w:r w:rsidRPr="00425D02">
        <w:t>Box</w:t>
      </w:r>
      <w:r>
        <w:t xml:space="preserve"> ES</w:t>
      </w:r>
      <w:r w:rsidRPr="00425D02">
        <w:t>.</w:t>
      </w:r>
      <w:r w:rsidR="00C04337">
        <w:fldChar w:fldCharType="begin"/>
      </w:r>
      <w:r>
        <w:instrText xml:space="preserve"> SEQ Box \* ARABIC \s 1 </w:instrText>
      </w:r>
      <w:r w:rsidR="00C04337">
        <w:fldChar w:fldCharType="separate"/>
      </w:r>
      <w:r w:rsidR="00027D28">
        <w:rPr>
          <w:noProof/>
        </w:rPr>
        <w:t>1</w:t>
      </w:r>
      <w:r w:rsidR="00C04337">
        <w:fldChar w:fldCharType="end"/>
      </w:r>
      <w:r w:rsidRPr="00425D02">
        <w:tab/>
      </w:r>
      <w:r>
        <w:t>Commission’s proposed economic regulation objective and pricing principles</w:t>
      </w:r>
      <w:bookmarkEnd w:id="17"/>
      <w:bookmarkEnd w:id="18"/>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7176CC" w:rsidTr="007176CC">
        <w:trPr>
          <w:cantSplit/>
          <w:trHeight w:val="2069"/>
        </w:trPr>
        <w:tc>
          <w:tcPr>
            <w:tcW w:w="7927" w:type="dxa"/>
            <w:shd w:val="clear" w:color="auto" w:fill="DBE5F1"/>
          </w:tcPr>
          <w:p w:rsidR="007176CC" w:rsidRDefault="007176CC" w:rsidP="007176CC">
            <w:pPr>
              <w:rPr>
                <w:rStyle w:val="Italic"/>
              </w:rPr>
            </w:pPr>
            <w:r>
              <w:rPr>
                <w:rStyle w:val="Italic"/>
                <w:b/>
              </w:rPr>
              <w:t>Economic regulation o</w:t>
            </w:r>
            <w:r w:rsidRPr="00256588">
              <w:rPr>
                <w:rStyle w:val="Italic"/>
                <w:b/>
              </w:rPr>
              <w:t>bjective</w:t>
            </w:r>
            <w:r>
              <w:rPr>
                <w:rStyle w:val="Italic"/>
              </w:rPr>
              <w:t xml:space="preserve"> </w:t>
            </w:r>
          </w:p>
          <w:p w:rsidR="007176CC" w:rsidRPr="008B6707" w:rsidRDefault="007176CC" w:rsidP="007176CC">
            <w:pPr>
              <w:rPr>
                <w:rStyle w:val="Italic"/>
                <w:i w:val="0"/>
              </w:rPr>
            </w:pPr>
            <w:r w:rsidRPr="008B6707">
              <w:rPr>
                <w:rStyle w:val="Italic"/>
                <w:i w:val="0"/>
              </w:rPr>
              <w:t>To promote the efficient investment in, and efficient operation and use of, Icon Water’s regulated water and sewerage services to maximise the social welfare of the community over the long term.</w:t>
            </w:r>
          </w:p>
          <w:p w:rsidR="007176CC" w:rsidRDefault="007176CC" w:rsidP="007176CC">
            <w:pPr>
              <w:rPr>
                <w:rStyle w:val="Italic"/>
                <w:b/>
              </w:rPr>
            </w:pPr>
            <w:r>
              <w:rPr>
                <w:rStyle w:val="Italic"/>
                <w:b/>
              </w:rPr>
              <w:t>Pricing principles</w:t>
            </w:r>
          </w:p>
          <w:p w:rsidR="007176CC" w:rsidRPr="007145BC" w:rsidRDefault="007176CC" w:rsidP="007176CC">
            <w:pPr>
              <w:rPr>
                <w:rStyle w:val="Italic"/>
              </w:rPr>
            </w:pPr>
            <w:r w:rsidRPr="007145BC">
              <w:rPr>
                <w:rStyle w:val="Italic"/>
              </w:rPr>
              <w:t>Economic efficiency stream</w:t>
            </w:r>
          </w:p>
          <w:p w:rsidR="007176CC" w:rsidRPr="008B6707" w:rsidRDefault="007176CC" w:rsidP="007176CC">
            <w:pPr>
              <w:rPr>
                <w:rStyle w:val="Italic"/>
                <w:i w:val="0"/>
              </w:rPr>
            </w:pPr>
            <w:r w:rsidRPr="008B6707">
              <w:rPr>
                <w:rStyle w:val="Italic"/>
                <w:b/>
                <w:i w:val="0"/>
              </w:rPr>
              <w:t>Principle 1:</w:t>
            </w:r>
            <w:r w:rsidRPr="008B6707">
              <w:rPr>
                <w:rStyle w:val="Italic"/>
                <w:i w:val="0"/>
              </w:rPr>
              <w:t xml:space="preserve"> Tariff structures and prices should promote the economically efficient use of Icon Water’s water and sewerage services infrastructure, and in the case of water should also encourage economically efficient use of the water resource.</w:t>
            </w:r>
          </w:p>
          <w:p w:rsidR="007176CC" w:rsidRDefault="007176CC" w:rsidP="007176CC">
            <w:pPr>
              <w:rPr>
                <w:rStyle w:val="Italic"/>
              </w:rPr>
            </w:pPr>
            <w:r>
              <w:rPr>
                <w:rStyle w:val="Italic"/>
              </w:rPr>
              <w:t>Financial viability stream</w:t>
            </w:r>
          </w:p>
          <w:p w:rsidR="007176CC" w:rsidRPr="008B6707" w:rsidRDefault="007176CC" w:rsidP="007176CC">
            <w:pPr>
              <w:rPr>
                <w:rStyle w:val="Italic"/>
                <w:i w:val="0"/>
              </w:rPr>
            </w:pPr>
            <w:r w:rsidRPr="008B6707">
              <w:rPr>
                <w:rStyle w:val="Italic"/>
                <w:b/>
                <w:i w:val="0"/>
              </w:rPr>
              <w:t>Pricing principle 2:</w:t>
            </w:r>
            <w:r w:rsidRPr="008B6707">
              <w:rPr>
                <w:rStyle w:val="Italic"/>
                <w:i w:val="0"/>
              </w:rPr>
              <w:t xml:space="preserve"> Tariff structures and prices should reflect the full recovery of the prudent and efficient costs of providing regulated water and sewerage services to ensure business viability.</w:t>
            </w:r>
          </w:p>
          <w:p w:rsidR="007176CC" w:rsidRPr="008B6707" w:rsidRDefault="007176CC" w:rsidP="007176CC">
            <w:pPr>
              <w:rPr>
                <w:rStyle w:val="Italic"/>
                <w:i w:val="0"/>
              </w:rPr>
            </w:pPr>
            <w:r w:rsidRPr="008B6707">
              <w:rPr>
                <w:rStyle w:val="Italic"/>
                <w:b/>
                <w:i w:val="0"/>
              </w:rPr>
              <w:t>Pricing principle 3:</w:t>
            </w:r>
            <w:r w:rsidRPr="008B6707">
              <w:rPr>
                <w:rStyle w:val="Italic"/>
                <w:i w:val="0"/>
              </w:rPr>
              <w:t xml:space="preserve"> Tariff structures and prices should facilitate the recovery of Icon Water’s allowed revenue over the regulatory period.</w:t>
            </w:r>
          </w:p>
          <w:p w:rsidR="007176CC" w:rsidRPr="00463FFE" w:rsidRDefault="007176CC" w:rsidP="007176CC">
            <w:pPr>
              <w:rPr>
                <w:rStyle w:val="Italic"/>
              </w:rPr>
            </w:pPr>
            <w:r>
              <w:rPr>
                <w:rStyle w:val="Italic"/>
              </w:rPr>
              <w:t>Community impact stream</w:t>
            </w:r>
          </w:p>
          <w:p w:rsidR="007176CC" w:rsidRPr="00A04EEA" w:rsidRDefault="007176CC" w:rsidP="007176CC">
            <w:pPr>
              <w:rPr>
                <w:rStyle w:val="Italic"/>
                <w:i w:val="0"/>
              </w:rPr>
            </w:pPr>
            <w:r w:rsidRPr="00A04EEA">
              <w:rPr>
                <w:rStyle w:val="Italic"/>
                <w:b/>
                <w:i w:val="0"/>
              </w:rPr>
              <w:t>Pricing principle 4:</w:t>
            </w:r>
            <w:r w:rsidRPr="00A04EEA">
              <w:rPr>
                <w:rStyle w:val="Italic"/>
                <w:i w:val="0"/>
              </w:rPr>
              <w:t xml:space="preserve"> Tariff structures should be robust enough to promote the economically efficient use of Icon Water’s water and sewerage services infrastructure over a reasonable period of time.</w:t>
            </w:r>
          </w:p>
          <w:p w:rsidR="007176CC" w:rsidRPr="00A04EEA" w:rsidRDefault="007176CC" w:rsidP="007176CC">
            <w:pPr>
              <w:rPr>
                <w:rStyle w:val="Italic"/>
                <w:i w:val="0"/>
              </w:rPr>
            </w:pPr>
            <w:r w:rsidRPr="00A04EEA">
              <w:rPr>
                <w:rStyle w:val="Italic"/>
                <w:b/>
                <w:i w:val="0"/>
              </w:rPr>
              <w:t>Pricing principle 5:</w:t>
            </w:r>
            <w:r w:rsidRPr="00A04EEA">
              <w:rPr>
                <w:rStyle w:val="Italic"/>
                <w:i w:val="0"/>
              </w:rPr>
              <w:t xml:space="preserve"> Any change to the structure of tariffs and prices that will have substantial customer impacts should be phased in over a transition period to allow customers reasonable time to adjust to the change.</w:t>
            </w:r>
          </w:p>
          <w:p w:rsidR="007176CC" w:rsidRPr="00A04EEA" w:rsidRDefault="007176CC" w:rsidP="007176CC">
            <w:pPr>
              <w:rPr>
                <w:i/>
              </w:rPr>
            </w:pPr>
            <w:r w:rsidRPr="00A04EEA">
              <w:rPr>
                <w:rStyle w:val="Italic"/>
                <w:b/>
                <w:i w:val="0"/>
              </w:rPr>
              <w:t>Pricing principle 6:</w:t>
            </w:r>
            <w:r w:rsidRPr="00A04EEA">
              <w:rPr>
                <w:rStyle w:val="Italic"/>
                <w:i w:val="0"/>
              </w:rPr>
              <w:t xml:space="preserve"> Tariff structures should be simple for customers to understand and straightforward for the utility to implement.</w:t>
            </w:r>
          </w:p>
          <w:p w:rsidR="007176CC" w:rsidRDefault="007176CC" w:rsidP="007176CC">
            <w:pPr>
              <w:keepNext/>
              <w:widowControl w:val="0"/>
            </w:pPr>
            <w:r w:rsidRPr="00A04EEA">
              <w:rPr>
                <w:rStyle w:val="Italic"/>
                <w:b/>
                <w:i w:val="0"/>
              </w:rPr>
              <w:t>Pricing principle 7:</w:t>
            </w:r>
            <w:r w:rsidRPr="00A04EEA">
              <w:rPr>
                <w:rStyle w:val="Italic"/>
                <w:i w:val="0"/>
              </w:rPr>
              <w:t xml:space="preserve"> Tariffs should be set using a transparent methodology and subject to public consultation and scrutiny.</w:t>
            </w:r>
          </w:p>
        </w:tc>
      </w:tr>
    </w:tbl>
    <w:p w:rsidR="007176CC" w:rsidRDefault="007176CC" w:rsidP="007176CC">
      <w:pPr>
        <w:pStyle w:val="TableNotesLast"/>
      </w:pPr>
      <w:r>
        <w:t>Source:</w:t>
      </w:r>
      <w:r>
        <w:tab/>
        <w:t>ICRC, 2015: 46.</w:t>
      </w:r>
    </w:p>
    <w:p w:rsidR="00657AB5" w:rsidRDefault="00657AB5" w:rsidP="00657AB5">
      <w:r>
        <w:t xml:space="preserve">The purpose of the tariff review is to assess whether the current water and sewerage services tariff structure will continue to deliver the best social welfare outcome for the ACT community, or whether changes are required. More specifically, the objective of </w:t>
      </w:r>
      <w:r>
        <w:lastRenderedPageBreak/>
        <w:t>the tariff review is to ensure that Icon Water has in place a tariff structure that best enables the overarching efficiency objective to be achieved.</w:t>
      </w:r>
    </w:p>
    <w:p w:rsidR="00657AB5" w:rsidRDefault="00657AB5" w:rsidP="00657AB5">
      <w:r>
        <w:t>An economically efficient tariff structure and component prices is one that provides price signals</w:t>
      </w:r>
      <w:r>
        <w:sym w:font="Symbol" w:char="F02D"/>
      </w:r>
      <w:r>
        <w:t>often called cost-reflective pricing</w:t>
      </w:r>
      <w:r>
        <w:sym w:font="Symbol" w:char="F02D"/>
      </w:r>
      <w:r>
        <w:t>to customers about the efficient costs and therefore the efficient use of the service infrastructure and water resource.</w:t>
      </w:r>
    </w:p>
    <w:p w:rsidR="00657AB5" w:rsidRDefault="00657AB5" w:rsidP="00657AB5">
      <w:r>
        <w:t>The objective of this technical paper is therefore to answer two questions:</w:t>
      </w:r>
    </w:p>
    <w:p w:rsidR="00657AB5" w:rsidRDefault="00657AB5" w:rsidP="00657AB5">
      <w:pPr>
        <w:pStyle w:val="ListNumber"/>
      </w:pPr>
      <w:r>
        <w:t>Is Icon Water’s current tariff structure providing suitable price signals to its customers about the efficient costs of water and sewerage services?</w:t>
      </w:r>
    </w:p>
    <w:p w:rsidR="00657AB5" w:rsidRDefault="00657AB5" w:rsidP="00F41A3D">
      <w:pPr>
        <w:pStyle w:val="ListNumber"/>
        <w:spacing w:before="120" w:after="360"/>
      </w:pPr>
      <w:r>
        <w:t xml:space="preserve">If not, what would a more efficient tariff structure look like?     </w:t>
      </w:r>
    </w:p>
    <w:p w:rsidR="00F245F3" w:rsidRDefault="00D4335F" w:rsidP="00F41A3D">
      <w:pPr>
        <w:pStyle w:val="Heading4"/>
      </w:pPr>
      <w:r>
        <w:t>The link between m</w:t>
      </w:r>
      <w:r w:rsidR="00F41A3D">
        <w:t>arginal cost</w:t>
      </w:r>
      <w:r w:rsidR="00D66623">
        <w:t>,</w:t>
      </w:r>
      <w:r w:rsidR="00F41A3D">
        <w:t xml:space="preserve"> pricing and </w:t>
      </w:r>
      <w:r w:rsidR="00AD6E96">
        <w:t>efficiency</w:t>
      </w:r>
    </w:p>
    <w:p w:rsidR="00981829" w:rsidRPr="00F245F3" w:rsidRDefault="00AD6E96" w:rsidP="00981829">
      <w:r>
        <w:t xml:space="preserve">The set of proposed pricing principles for the tariff review is categorised into three streams: economic efficiency, financial viability and community impacts. The first principle follows directly from the overarching </w:t>
      </w:r>
      <w:r w:rsidR="00981829">
        <w:t xml:space="preserve">economic regulation </w:t>
      </w:r>
      <w:r>
        <w:t>objective and deals with the efficient allocation of water and sewerage services to Icon Water customers.</w:t>
      </w:r>
      <w:r w:rsidR="00CA5557">
        <w:t xml:space="preserve"> While the</w:t>
      </w:r>
      <w:r w:rsidR="00CA5557" w:rsidRPr="00F245F3">
        <w:t xml:space="preserve"> </w:t>
      </w:r>
      <w:r w:rsidR="00CA5557">
        <w:t>focus here is on the efficiency stream, when making its final decision about the structure of tariffs at the conclusion of the tariff review, the Commission will take into account all three streams.</w:t>
      </w:r>
    </w:p>
    <w:p w:rsidR="00D66623" w:rsidRDefault="00D66623" w:rsidP="00D66623">
      <w:r w:rsidRPr="00A1723E">
        <w:t xml:space="preserve">Marginal cost, </w:t>
      </w:r>
      <w:r>
        <w:t xml:space="preserve">as defined by </w:t>
      </w:r>
      <w:r w:rsidR="00C04337">
        <w:fldChar w:fldCharType="begin"/>
      </w:r>
      <w:r>
        <w:instrText xml:space="preserve"> ADDIN EN.CITE &lt;EndNote&gt;&lt;Cite&gt;&lt;Author&gt;Turvey&lt;/Author&gt;&lt;Year&gt;1976&lt;/Year&gt;&lt;RecNum&gt;519&lt;/RecNum&gt;&lt;DisplayText&gt;Turvey (1976)&lt;/DisplayText&gt;&lt;record&gt;&lt;rec-number&gt;519&lt;/rec-number&gt;&lt;foreign-keys&gt;&lt;key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hyperlink w:anchor="_ENREF_72" w:tooltip="Turvey, 1976 #519" w:history="1">
        <w:r w:rsidR="000F2FEB">
          <w:rPr>
            <w:noProof/>
          </w:rPr>
          <w:t>Turvey (1976</w:t>
        </w:r>
      </w:hyperlink>
      <w:r>
        <w:rPr>
          <w:noProof/>
        </w:rPr>
        <w:t>)</w:t>
      </w:r>
      <w:r w:rsidR="00C04337">
        <w:fldChar w:fldCharType="end"/>
      </w:r>
      <w:r w:rsidR="00BF7501">
        <w:t>,</w:t>
      </w:r>
      <w:r>
        <w:t xml:space="preserve"> ‘</w:t>
      </w:r>
      <w:r w:rsidRPr="00A1723E">
        <w:t>is the effect upon future system costs of a small increment or decrement to the projected growth of demand</w:t>
      </w:r>
      <w:r>
        <w:t>.</w:t>
      </w:r>
      <w:r>
        <w:rPr>
          <w:rStyle w:val="FootnoteReference"/>
        </w:rPr>
        <w:footnoteReference w:id="5"/>
      </w:r>
      <w:r>
        <w:t xml:space="preserve"> M</w:t>
      </w:r>
      <w:r w:rsidRPr="00470428">
        <w:t xml:space="preserve">arginal cost is </w:t>
      </w:r>
      <w:r>
        <w:t xml:space="preserve">therefore a </w:t>
      </w:r>
      <w:r w:rsidRPr="00470428">
        <w:t>forward-looking concept</w:t>
      </w:r>
      <w:r w:rsidR="00AD524A">
        <w:t xml:space="preserve"> as it is only concerned with future costs</w:t>
      </w:r>
      <w:r w:rsidRPr="00470428">
        <w:t>.</w:t>
      </w:r>
    </w:p>
    <w:p w:rsidR="00F510DC" w:rsidRDefault="00BF7501" w:rsidP="00F245F3">
      <w:r>
        <w:t>Economic theory suggests that m</w:t>
      </w:r>
      <w:r w:rsidR="00F245F3">
        <w:t>arginal cost pricing</w:t>
      </w:r>
      <w:r w:rsidR="00F245F3">
        <w:sym w:font="Symbol" w:char="F02D"/>
      </w:r>
      <w:r w:rsidR="00F245F3">
        <w:t>that is setting price with reference to the marginal cost of providing an additional unit of the service</w:t>
      </w:r>
      <w:r w:rsidR="002E3A8A">
        <w:t xml:space="preserve"> in question</w:t>
      </w:r>
      <w:r w:rsidR="00F245F3">
        <w:sym w:font="Symbol" w:char="F02D"/>
      </w:r>
      <w:r>
        <w:t xml:space="preserve">is the key to ensuring that </w:t>
      </w:r>
      <w:r w:rsidR="00F245F3">
        <w:t xml:space="preserve">cost-reflective price signals are provided to customers </w:t>
      </w:r>
      <w:r>
        <w:t>to enable them to make efficient consumption decisions.</w:t>
      </w:r>
      <w:r w:rsidR="00AC19B5">
        <w:rPr>
          <w:rStyle w:val="FootnoteReference"/>
        </w:rPr>
        <w:footnoteReference w:id="6"/>
      </w:r>
      <w:r>
        <w:t xml:space="preserve"> </w:t>
      </w:r>
    </w:p>
    <w:p w:rsidR="002D7E3D" w:rsidRDefault="00BF7501" w:rsidP="00F245F3">
      <w:r>
        <w:t xml:space="preserve">This </w:t>
      </w:r>
      <w:r w:rsidR="00AD524A">
        <w:t xml:space="preserve">forward-looking </w:t>
      </w:r>
      <w:r>
        <w:t>pricing approach</w:t>
      </w:r>
      <w:r w:rsidR="00881882">
        <w:t xml:space="preserve">, which </w:t>
      </w:r>
      <w:r>
        <w:t xml:space="preserve">is commonly advocated </w:t>
      </w:r>
      <w:r w:rsidR="00F245F3">
        <w:t xml:space="preserve">when </w:t>
      </w:r>
      <w:r>
        <w:t xml:space="preserve">setting </w:t>
      </w:r>
      <w:r w:rsidR="00F245F3">
        <w:t>regulat</w:t>
      </w:r>
      <w:r>
        <w:t>ed</w:t>
      </w:r>
      <w:r w:rsidR="00F245F3">
        <w:t xml:space="preserve"> monopoly utility prices</w:t>
      </w:r>
      <w:r w:rsidR="00881882">
        <w:t>, provides a yardstick by which to assess the efficiency of Icon Water’s current tariff structure</w:t>
      </w:r>
      <w:r w:rsidR="00F245F3">
        <w:t>.</w:t>
      </w:r>
    </w:p>
    <w:p w:rsidR="00F245F3" w:rsidRDefault="001D20BE" w:rsidP="00F245F3">
      <w:r>
        <w:t>This paper f</w:t>
      </w:r>
      <w:r w:rsidR="00CE42AF">
        <w:t>irst</w:t>
      </w:r>
      <w:r>
        <w:t xml:space="preserve"> examines </w:t>
      </w:r>
      <w:r w:rsidR="00CE42AF">
        <w:t xml:space="preserve">a number of </w:t>
      </w:r>
      <w:r w:rsidR="007268AB">
        <w:t>theoretical issues relevant to the development of marginal cost pricing and its application in public utility pricing</w:t>
      </w:r>
      <w:r>
        <w:t xml:space="preserve"> as well as </w:t>
      </w:r>
      <w:r w:rsidR="00CE42AF">
        <w:t>a range of issues associated with measuring marginal cost in a public utility industry</w:t>
      </w:r>
      <w:r>
        <w:t>.</w:t>
      </w:r>
      <w:r w:rsidR="00CE42AF">
        <w:t xml:space="preserve"> </w:t>
      </w:r>
    </w:p>
    <w:p w:rsidR="00440F18" w:rsidRDefault="00445347" w:rsidP="00440F18">
      <w:pPr>
        <w:pStyle w:val="Heading4"/>
      </w:pPr>
      <w:r>
        <w:lastRenderedPageBreak/>
        <w:t>Theory and application of m</w:t>
      </w:r>
      <w:r w:rsidR="00A12ED9">
        <w:t>arginal cost pricing</w:t>
      </w:r>
    </w:p>
    <w:p w:rsidR="002E78E5" w:rsidRDefault="00B42B80" w:rsidP="002E78E5">
      <w:pPr>
        <w:pStyle w:val="Heading5"/>
      </w:pPr>
      <w:r>
        <w:t>Do consumers respond to a</w:t>
      </w:r>
      <w:r w:rsidR="002E78E5">
        <w:t xml:space="preserve">verage </w:t>
      </w:r>
      <w:r>
        <w:t xml:space="preserve">or </w:t>
      </w:r>
      <w:r w:rsidR="002E78E5">
        <w:t xml:space="preserve">marginal </w:t>
      </w:r>
      <w:r>
        <w:t>prices</w:t>
      </w:r>
    </w:p>
    <w:p w:rsidR="008B6790" w:rsidRDefault="008B6790" w:rsidP="008B6790">
      <w:r>
        <w:t>E</w:t>
      </w:r>
      <w:r w:rsidRPr="003706C9">
        <w:t>conomic theory suggests that consumers react to marginal prices when making consumption decisions. However, there are a number of characteristics of the water market</w:t>
      </w:r>
      <w:r w:rsidR="001E4D73">
        <w:t xml:space="preserve"> in particular</w:t>
      </w:r>
      <w:r w:rsidRPr="003706C9">
        <w:t>, including in the ACT, that indicate this may not necessarily be the case.</w:t>
      </w:r>
    </w:p>
    <w:p w:rsidR="00227ED0" w:rsidRDefault="008B6790" w:rsidP="00227ED0">
      <w:r>
        <w:t xml:space="preserve">In the ACT </w:t>
      </w:r>
      <w:r w:rsidR="001E4D73">
        <w:t xml:space="preserve">water </w:t>
      </w:r>
      <w:r w:rsidR="001E4D73" w:rsidRPr="00630AC5">
        <w:t>consumption is measured using accumulation meters</w:t>
      </w:r>
      <w:r w:rsidR="001E4D73">
        <w:t xml:space="preserve"> which </w:t>
      </w:r>
      <w:r w:rsidR="001E4D73" w:rsidRPr="00630AC5">
        <w:t>simply record the volume of water used, with customers billed on a quarterly basis</w:t>
      </w:r>
      <w:r w:rsidR="001E4D73">
        <w:t xml:space="preserve"> after consumption has taken place</w:t>
      </w:r>
      <w:r w:rsidR="001E4D73" w:rsidRPr="00630AC5">
        <w:t>.</w:t>
      </w:r>
      <w:r w:rsidR="001E4D73" w:rsidRPr="00F261D3">
        <w:t xml:space="preserve"> </w:t>
      </w:r>
      <w:r w:rsidR="00227ED0">
        <w:t xml:space="preserve">If customers </w:t>
      </w:r>
      <w:r w:rsidR="00227ED0" w:rsidRPr="00F261D3">
        <w:t>base their future consumption decisions on the most recent available information</w:t>
      </w:r>
      <w:r w:rsidR="00227ED0">
        <w:t>, th</w:t>
      </w:r>
      <w:r w:rsidR="00227ED0" w:rsidRPr="00F261D3">
        <w:t xml:space="preserve">is would </w:t>
      </w:r>
      <w:r w:rsidR="00D64E37">
        <w:t xml:space="preserve">mean </w:t>
      </w:r>
      <w:r w:rsidR="00622198">
        <w:t xml:space="preserve">basing them </w:t>
      </w:r>
      <w:r w:rsidR="00227ED0" w:rsidRPr="00F261D3">
        <w:t>upon an analysis of average costs calculated from recent bills</w:t>
      </w:r>
      <w:r w:rsidR="001E4D73">
        <w:t xml:space="preserve">, rather than the marginal price (the </w:t>
      </w:r>
      <w:r w:rsidR="001E4D73" w:rsidRPr="00630AC5">
        <w:t>tier price</w:t>
      </w:r>
      <w:r w:rsidR="001E4D73">
        <w:t>)</w:t>
      </w:r>
      <w:r w:rsidR="001E4D73" w:rsidRPr="00630AC5">
        <w:t xml:space="preserve"> to which they are exposed</w:t>
      </w:r>
      <w:r w:rsidR="001E4D73">
        <w:t>.</w:t>
      </w:r>
    </w:p>
    <w:p w:rsidR="00590BB3" w:rsidRDefault="0072564D" w:rsidP="0072564D">
      <w:r>
        <w:t xml:space="preserve">A review of the economic literature </w:t>
      </w:r>
      <w:r w:rsidR="007219A6">
        <w:t xml:space="preserve">reveals </w:t>
      </w:r>
      <w:r w:rsidR="00D64E37">
        <w:t xml:space="preserve">evidence </w:t>
      </w:r>
      <w:r w:rsidR="007219A6">
        <w:t xml:space="preserve">of consumers responding to marginal cost in some studies and to average </w:t>
      </w:r>
      <w:r w:rsidR="00622198">
        <w:t xml:space="preserve">price </w:t>
      </w:r>
      <w:r w:rsidR="007219A6">
        <w:t>in others.</w:t>
      </w:r>
      <w:r w:rsidR="00590BB3">
        <w:t xml:space="preserve"> The Commission examined this issue in its recent technical paper on demand elasticity and consistently found that using marginal price produced a better model fit than average price. As such, the </w:t>
      </w:r>
      <w:r w:rsidR="00AE335C">
        <w:t xml:space="preserve">evidence indicates that </w:t>
      </w:r>
      <w:r w:rsidR="00590BB3">
        <w:t>ACT water consumers are likely to respond to marginal price signals.</w:t>
      </w:r>
    </w:p>
    <w:p w:rsidR="002E78E5" w:rsidRDefault="002E78E5" w:rsidP="002E78E5">
      <w:pPr>
        <w:pStyle w:val="Heading5"/>
      </w:pPr>
      <w:r>
        <w:t>Short</w:t>
      </w:r>
      <w:r w:rsidR="00857093">
        <w:t>-</w:t>
      </w:r>
      <w:r>
        <w:t xml:space="preserve"> v</w:t>
      </w:r>
      <w:r w:rsidR="00857093">
        <w:t>ersus</w:t>
      </w:r>
      <w:r>
        <w:t xml:space="preserve"> long</w:t>
      </w:r>
      <w:r w:rsidR="00857093">
        <w:t>-</w:t>
      </w:r>
      <w:r>
        <w:t>run</w:t>
      </w:r>
      <w:r w:rsidR="00BB4E36">
        <w:t xml:space="preserve"> marginal cost</w:t>
      </w:r>
    </w:p>
    <w:p w:rsidR="002E78E5" w:rsidRPr="002E78E5" w:rsidRDefault="00A969BF" w:rsidP="002E78E5">
      <w:r>
        <w:t>T</w:t>
      </w:r>
      <w:r w:rsidR="00916F86">
        <w:t>he choice between using short- or long-run marginal cost when setting prices</w:t>
      </w:r>
      <w:r>
        <w:t xml:space="preserve"> is another matter requiring consideration</w:t>
      </w:r>
      <w:r w:rsidR="00916F86">
        <w:t>.</w:t>
      </w:r>
    </w:p>
    <w:p w:rsidR="00002CE1" w:rsidRDefault="00002CE1" w:rsidP="00002CE1">
      <w:r>
        <w:t xml:space="preserve">In the short-run, with capital equipment fixed, this cost is usually the operating cost associated with, for example, the additional pumping and chemical treatment of supplying an extra unit of water through the existing network. In the long-run, with </w:t>
      </w:r>
      <w:r w:rsidRPr="00E73437">
        <w:t xml:space="preserve">all inputs </w:t>
      </w:r>
      <w:r>
        <w:t>variable, the long-run marginal cost can be defined as ‘t</w:t>
      </w:r>
      <w:r w:rsidRPr="00975A5A">
        <w:t>he difference in the present value of the future</w:t>
      </w:r>
      <w:r>
        <w:t xml:space="preserve"> </w:t>
      </w:r>
      <w:r w:rsidRPr="00975A5A">
        <w:t>stream of costs associated with producing an additional unit of output.</w:t>
      </w:r>
      <w:r>
        <w:t>’</w:t>
      </w:r>
      <w:r>
        <w:rPr>
          <w:rStyle w:val="FootnoteReference"/>
        </w:rPr>
        <w:footnoteReference w:id="7"/>
      </w:r>
    </w:p>
    <w:p w:rsidR="00002CE1" w:rsidRDefault="00002CE1" w:rsidP="00002CE1">
      <w:r>
        <w:t>The distinction between short- and long-run marginal cost, and the debate about which to apply when setting prices, largely arises due to the presence of what is known as capital indivisibility, common in public utility industries such as the provision of water and sewerage services. What this means is that additions to capacity, such as a new dam, come in large indivisible lumps exceeding one year’s growth in demand.</w:t>
      </w:r>
    </w:p>
    <w:p w:rsidR="00002CE1" w:rsidRPr="002E78E5" w:rsidRDefault="00031B28" w:rsidP="002E78E5">
      <w:r>
        <w:t>I</w:t>
      </w:r>
      <w:r w:rsidR="00513373">
        <w:t xml:space="preserve">n principle, </w:t>
      </w:r>
      <w:r w:rsidR="00E04851">
        <w:t>short-run marginal cost pricing is the efficient basis for pricing. This is because the sale of water to consumers is a short-term agreement that does not bind the consumer to take any more water at a later date and the utility is therefore faced with the short-run problem of selling water given its current capacity.</w:t>
      </w:r>
      <w:r w:rsidR="007B2DE9">
        <w:t xml:space="preserve"> The downside of this approach is that it can result in price instability</w:t>
      </w:r>
      <w:r w:rsidR="00D71612">
        <w:t>. From a practical perspective th</w:t>
      </w:r>
      <w:r w:rsidR="00F231C9">
        <w:t>e</w:t>
      </w:r>
      <w:r w:rsidR="00D71612">
        <w:t xml:space="preserve">refore, </w:t>
      </w:r>
      <w:r w:rsidR="00D71612">
        <w:lastRenderedPageBreak/>
        <w:t xml:space="preserve">the Commission </w:t>
      </w:r>
      <w:r>
        <w:t xml:space="preserve">will </w:t>
      </w:r>
      <w:r w:rsidR="00D71612">
        <w:t>need to be mindful of the broader set of proposed pricing principles for this tariff review, and in particular those concerning price path stability.</w:t>
      </w:r>
    </w:p>
    <w:p w:rsidR="002E78E5" w:rsidRDefault="002E78E5" w:rsidP="002E78E5">
      <w:pPr>
        <w:pStyle w:val="Heading5"/>
      </w:pPr>
      <w:r>
        <w:t>Marginal resource cost</w:t>
      </w:r>
    </w:p>
    <w:p w:rsidR="002E78E5" w:rsidRDefault="00CD216D" w:rsidP="002E78E5">
      <w:r>
        <w:t>Another matter, specific to water, is whether the marginal cost or value of the resource itself, that is the water stored in Icon Water’s dams, should be considered in addition to relevant marginal infrastructure costs</w:t>
      </w:r>
      <w:r w:rsidR="00F4586E">
        <w:t xml:space="preserve"> associated with delivering water to customers</w:t>
      </w:r>
      <w:r>
        <w:t>.</w:t>
      </w:r>
      <w:r w:rsidR="00F4586E">
        <w:t xml:space="preserve"> T</w:t>
      </w:r>
      <w:r w:rsidR="00AE2207">
        <w:t>h</w:t>
      </w:r>
      <w:r w:rsidR="00F4586E">
        <w:t xml:space="preserve">is </w:t>
      </w:r>
      <w:r w:rsidR="00AE2207">
        <w:t>notion brings into play the short-term flexibility to adjust price to respond to periods of unusual climate, such as a prolonged drought,</w:t>
      </w:r>
      <w:r w:rsidR="00AE2207" w:rsidRPr="002021BD">
        <w:t xml:space="preserve"> </w:t>
      </w:r>
      <w:r w:rsidR="00AE2207">
        <w:t>flexibility that is less readily available in the world of planned capacity investments in the water network.</w:t>
      </w:r>
    </w:p>
    <w:p w:rsidR="00AE2207" w:rsidRDefault="00AE2207" w:rsidP="00AE2207">
      <w:r>
        <w:t xml:space="preserve">While this </w:t>
      </w:r>
      <w:r w:rsidR="000A207C">
        <w:t xml:space="preserve">makes sense in </w:t>
      </w:r>
      <w:r>
        <w:t xml:space="preserve">principle, in practice the Commission has chosen </w:t>
      </w:r>
      <w:r w:rsidR="000A207C">
        <w:t xml:space="preserve">to </w:t>
      </w:r>
      <w:r>
        <w:t xml:space="preserve">not </w:t>
      </w:r>
      <w:r w:rsidR="000A207C">
        <w:t xml:space="preserve">include a marginal resource cost element in the marginal cost estimates calculated in this paper, for two reasons. The first is that the ACT Government’s Water Abstraction Charge </w:t>
      </w:r>
      <w:r w:rsidR="00F4586E">
        <w:t xml:space="preserve">(WAC) </w:t>
      </w:r>
      <w:r w:rsidR="000A207C">
        <w:t>already includes a scarcity charge, although undefined in magnitude. The second reason is that the likelihood of any need to restrict consumption through temporary water restrictions in the near or indeed medium-term is relatively low.</w:t>
      </w:r>
    </w:p>
    <w:p w:rsidR="002E78E5" w:rsidRPr="002E78E5" w:rsidRDefault="00933F48" w:rsidP="002E78E5">
      <w:pPr>
        <w:pStyle w:val="Heading5"/>
      </w:pPr>
      <w:r>
        <w:t>M</w:t>
      </w:r>
      <w:r w:rsidR="00794D3D">
        <w:t xml:space="preserve">arginal cost </w:t>
      </w:r>
      <w:r>
        <w:t xml:space="preserve">pricing </w:t>
      </w:r>
      <w:r w:rsidR="00794D3D">
        <w:t xml:space="preserve">in a </w:t>
      </w:r>
      <w:r>
        <w:t xml:space="preserve">decreasing cost </w:t>
      </w:r>
      <w:r w:rsidR="002E78E5">
        <w:t>industry</w:t>
      </w:r>
    </w:p>
    <w:p w:rsidR="0022493A" w:rsidRDefault="00857093" w:rsidP="00857093">
      <w:r>
        <w:t xml:space="preserve">The application of marginal cost pricing in a decreasing cost natural monopoly industry, such as the provision of regulated water and sewerage services in the ACT, raises </w:t>
      </w:r>
      <w:r w:rsidR="0022493A">
        <w:t xml:space="preserve">particular </w:t>
      </w:r>
      <w:r>
        <w:t xml:space="preserve">difficulties </w:t>
      </w:r>
      <w:r w:rsidR="0022493A">
        <w:t xml:space="preserve">for </w:t>
      </w:r>
      <w:r>
        <w:t>revenue recovery. In such an industry, as marginal cost is less than average cost, pricing at marginal cost will not allow the utility to recover all of the costs of providing the service.</w:t>
      </w:r>
    </w:p>
    <w:p w:rsidR="0022493A" w:rsidRDefault="00857093" w:rsidP="00857093">
      <w:r>
        <w:t xml:space="preserve">In order to price at marginal cost for efficiency purposes, and achieve full </w:t>
      </w:r>
      <w:r w:rsidR="0022493A">
        <w:t>cost recovery, the regulator is essentially faced with three alternatives</w:t>
      </w:r>
      <w:r w:rsidR="005D6180">
        <w:t xml:space="preserve">, all of which </w:t>
      </w:r>
      <w:r w:rsidR="00A82F75">
        <w:t xml:space="preserve">provide a </w:t>
      </w:r>
      <w:r w:rsidR="005D6180">
        <w:t>second-best solution</w:t>
      </w:r>
      <w:r w:rsidR="00F4586E">
        <w:t xml:space="preserve"> with some efficiency loss</w:t>
      </w:r>
      <w:r w:rsidR="005D6180">
        <w:t xml:space="preserve">, </w:t>
      </w:r>
      <w:r w:rsidR="00CA3104">
        <w:t>to recover the revenue shortfall</w:t>
      </w:r>
      <w:r w:rsidR="0022493A">
        <w:t>.</w:t>
      </w:r>
    </w:p>
    <w:p w:rsidR="0022493A" w:rsidRDefault="0022493A" w:rsidP="00857093">
      <w:r>
        <w:t xml:space="preserve">The first is </w:t>
      </w:r>
      <w:r w:rsidR="00CA3104">
        <w:t xml:space="preserve">to recover the revenue shortfall through general taxation. The second is to adopt a </w:t>
      </w:r>
      <w:r w:rsidR="002E7E16">
        <w:t>multi</w:t>
      </w:r>
      <w:r w:rsidR="00CA3104">
        <w:t xml:space="preserve">-part tariff comprising a price for additional units based on marginal cost, and an additional charge, independent of consumption, set to ensure that total supply costs are recovered. The third </w:t>
      </w:r>
      <w:r w:rsidR="00F1752B">
        <w:t xml:space="preserve">alternative is Ramsey pricing. This involves deliberate price discrimination on the basis of elasticities of demand to </w:t>
      </w:r>
      <w:r w:rsidR="00F1752B" w:rsidRPr="00BB1653">
        <w:t xml:space="preserve">allow the </w:t>
      </w:r>
      <w:r w:rsidR="00F1752B">
        <w:t xml:space="preserve">monopoly business </w:t>
      </w:r>
      <w:r w:rsidR="00F1752B" w:rsidRPr="00BB1653">
        <w:t xml:space="preserve">to recover residual costs while minimising the </w:t>
      </w:r>
      <w:r w:rsidR="00F1752B">
        <w:t>d</w:t>
      </w:r>
      <w:r w:rsidR="00F1752B" w:rsidRPr="00BB1653">
        <w:t>eviations from optimal</w:t>
      </w:r>
      <w:r w:rsidR="00F1752B">
        <w:t xml:space="preserve"> c</w:t>
      </w:r>
      <w:r w:rsidR="00F1752B" w:rsidRPr="00BB1653">
        <w:t>onsumption patterns</w:t>
      </w:r>
      <w:r w:rsidR="00F1752B">
        <w:t xml:space="preserve"> </w:t>
      </w:r>
      <w:r w:rsidR="00F1752B">
        <w:sym w:font="Symbol" w:char="F02D"/>
      </w:r>
      <w:r w:rsidR="00F1752B">
        <w:t xml:space="preserve"> that is, those</w:t>
      </w:r>
      <w:r w:rsidR="00F1752B" w:rsidRPr="00BB1653">
        <w:t xml:space="preserve"> based on marginal cost pricing.</w:t>
      </w:r>
      <w:r w:rsidR="00F1752B">
        <w:t xml:space="preserve">   </w:t>
      </w:r>
    </w:p>
    <w:p w:rsidR="007268AB" w:rsidRDefault="005D6180" w:rsidP="007268AB">
      <w:r>
        <w:t xml:space="preserve">The first alternative is untenable as the Commission is required to have regard to the full recovery of Icon Water’s prudent and efficient costs. The third alternative, which requires price discrimination between customer classes, </w:t>
      </w:r>
      <w:r w:rsidR="00AE335C">
        <w:t xml:space="preserve">has high information requirements and is </w:t>
      </w:r>
      <w:r>
        <w:t>likely to raise equity concerns.</w:t>
      </w:r>
      <w:r w:rsidR="002E7E16">
        <w:t xml:space="preserve"> This leaves the second alternative, multi-part pricing, which is the current structure in the ACT, as the preferred alternative.</w:t>
      </w:r>
    </w:p>
    <w:p w:rsidR="009828F3" w:rsidRDefault="009828F3" w:rsidP="009828F3">
      <w:pPr>
        <w:pStyle w:val="Heading5"/>
      </w:pPr>
      <w:r>
        <w:lastRenderedPageBreak/>
        <w:t>Inclining block tariffs</w:t>
      </w:r>
    </w:p>
    <w:p w:rsidR="00CD2A9E" w:rsidRDefault="00AF3345" w:rsidP="007268AB">
      <w:r>
        <w:t xml:space="preserve">Inclining block tariffs, commonly applied as pricing mechanism in regulated public utility industries such as Icon Water, present an </w:t>
      </w:r>
      <w:r w:rsidRPr="00FD6BFB">
        <w:t xml:space="preserve">added complication </w:t>
      </w:r>
      <w:r>
        <w:t>for the implementation of marginal cost pricing.</w:t>
      </w:r>
    </w:p>
    <w:p w:rsidR="00CD2A9E" w:rsidRDefault="00CD2A9E" w:rsidP="00CD2A9E">
      <w:r>
        <w:t>Inclining block tariffs are adopted by regulators for a range of reasons, but most often on equity and water conservation grounds. The first consumption block is intended to provide essential water to households at a relatively cheap rate, while the second, more expensive block encourages water conservation as the more discretionary consumption increases.</w:t>
      </w:r>
    </w:p>
    <w:p w:rsidR="009828F3" w:rsidRDefault="00AF3345" w:rsidP="007268AB">
      <w:r>
        <w:t xml:space="preserve">The difficulty with inclining block tariffs is that the </w:t>
      </w:r>
      <w:r w:rsidRPr="00DA2A5E">
        <w:t>key requirement for economic efficiency</w:t>
      </w:r>
      <w:r>
        <w:t>, which is that</w:t>
      </w:r>
      <w:r w:rsidRPr="00DA2A5E">
        <w:t xml:space="preserve"> the volumetric charge should equal the opportunity cost of water</w:t>
      </w:r>
      <w:r>
        <w:t xml:space="preserve">, implies a single marginal price for water. </w:t>
      </w:r>
      <w:r w:rsidRPr="00DA2A5E">
        <w:t>If two customers are paying for water at different marginal prices due to different levels of consumption</w:t>
      </w:r>
      <w:r>
        <w:t xml:space="preserve"> under an inclining block structure</w:t>
      </w:r>
      <w:r w:rsidRPr="00DA2A5E">
        <w:t>, one of the two prices ca</w:t>
      </w:r>
      <w:r>
        <w:t>nnot be efficient.</w:t>
      </w:r>
    </w:p>
    <w:p w:rsidR="00AF3345" w:rsidRPr="007268AB" w:rsidRDefault="00CD2A9E" w:rsidP="007268AB">
      <w:r>
        <w:t>A</w:t>
      </w:r>
      <w:r w:rsidR="00F44F90">
        <w:t xml:space="preserve">n inclining block tariff is </w:t>
      </w:r>
      <w:r>
        <w:t xml:space="preserve">therefore </w:t>
      </w:r>
      <w:r w:rsidR="00F44F90">
        <w:t>likely to be less efficient than a single volumetric charge</w:t>
      </w:r>
      <w:r w:rsidR="00B672C3">
        <w:t xml:space="preserve"> and the pursuit of economic efficiency would dictate a move towards </w:t>
      </w:r>
      <w:r w:rsidR="00222132">
        <w:t xml:space="preserve">a single </w:t>
      </w:r>
      <w:r w:rsidR="00B672C3">
        <w:t>volumetric price, set with reference to marginal cost.</w:t>
      </w:r>
    </w:p>
    <w:p w:rsidR="002E78E5" w:rsidRDefault="00340462" w:rsidP="002E78E5">
      <w:pPr>
        <w:pStyle w:val="Heading4"/>
      </w:pPr>
      <w:r>
        <w:t>M</w:t>
      </w:r>
      <w:r w:rsidR="00AC0048">
        <w:t>easuring marginal cost</w:t>
      </w:r>
      <w:r>
        <w:t xml:space="preserve"> in practice</w:t>
      </w:r>
    </w:p>
    <w:p w:rsidR="002E78E5" w:rsidRDefault="007A3861" w:rsidP="002E78E5">
      <w:r>
        <w:t>In order to apply marginal cost pricing in practice, it is necessary to first decide what we mean by marginal cost</w:t>
      </w:r>
      <w:r w:rsidR="00222132">
        <w:t xml:space="preserve">, </w:t>
      </w:r>
      <w:r>
        <w:t xml:space="preserve">in particular the scope and timing elements, and </w:t>
      </w:r>
      <w:r w:rsidR="00222132">
        <w:t xml:space="preserve">then </w:t>
      </w:r>
      <w:r w:rsidR="00D55F50">
        <w:t xml:space="preserve">consider the </w:t>
      </w:r>
      <w:r w:rsidR="00222132">
        <w:t xml:space="preserve">range of </w:t>
      </w:r>
      <w:r>
        <w:t>method</w:t>
      </w:r>
      <w:r w:rsidR="00222132">
        <w:t>s</w:t>
      </w:r>
      <w:r>
        <w:t xml:space="preserve"> </w:t>
      </w:r>
      <w:r w:rsidR="00222132">
        <w:t xml:space="preserve">available to </w:t>
      </w:r>
      <w:r>
        <w:t>estimat</w:t>
      </w:r>
      <w:r w:rsidR="00222132">
        <w:t>e</w:t>
      </w:r>
      <w:r>
        <w:t xml:space="preserve"> that marginal cost.</w:t>
      </w:r>
    </w:p>
    <w:p w:rsidR="007A3861" w:rsidRDefault="007A3861" w:rsidP="007A3861">
      <w:pPr>
        <w:pStyle w:val="Heading5"/>
      </w:pPr>
      <w:r>
        <w:t>Defining marginal cost</w:t>
      </w:r>
    </w:p>
    <w:p w:rsidR="007A3861" w:rsidRDefault="007A3861" w:rsidP="007A3861">
      <w:r>
        <w:t xml:space="preserve">The first point to make with respect to scope is that we are only concerned with marginal cost with respect to changes in the quantity or volume or services. The second point, using water as an example, is that we </w:t>
      </w:r>
      <w:r w:rsidR="00D55F50">
        <w:t xml:space="preserve">are only concerned with costs associated with the </w:t>
      </w:r>
      <w:r>
        <w:t>central system of supply, treatment and trunk mains</w:t>
      </w:r>
      <w:r w:rsidR="00D55F50">
        <w:t xml:space="preserve">, as distinguished </w:t>
      </w:r>
      <w:r>
        <w:t>from the distribution network comprising local water reservoirs and pipes. The difference between the two is that growth in the distribution element is largely driven by new land developments and therefore occurs through many small regular investments, while the central system expands with infrequent large investments.</w:t>
      </w:r>
    </w:p>
    <w:p w:rsidR="005D6C18" w:rsidRDefault="0006229D" w:rsidP="007A3861">
      <w:r>
        <w:t xml:space="preserve">With regard to timing, we are </w:t>
      </w:r>
      <w:r w:rsidR="00222132">
        <w:t xml:space="preserve">concerned with </w:t>
      </w:r>
      <w:r>
        <w:t>the estimation of future marginal costs associated with an increment in demand</w:t>
      </w:r>
      <w:r w:rsidR="00D55F50">
        <w:t xml:space="preserve"> over the </w:t>
      </w:r>
      <w:r>
        <w:t xml:space="preserve">forward period </w:t>
      </w:r>
      <w:r w:rsidR="00222132">
        <w:t xml:space="preserve">from 2016 </w:t>
      </w:r>
      <w:r w:rsidR="00D55F50">
        <w:t xml:space="preserve">to 2062. This is </w:t>
      </w:r>
      <w:r>
        <w:t xml:space="preserve">the </w:t>
      </w:r>
      <w:r w:rsidR="00222132">
        <w:t xml:space="preserve">current </w:t>
      </w:r>
      <w:r>
        <w:t>period over which Icon Water models water supply and demand for water security planning purposes.</w:t>
      </w:r>
    </w:p>
    <w:p w:rsidR="00AC0048" w:rsidRDefault="006D5D67" w:rsidP="006D5D67">
      <w:pPr>
        <w:pStyle w:val="Heading5"/>
      </w:pPr>
      <w:r>
        <w:t>Measurement methods</w:t>
      </w:r>
    </w:p>
    <w:p w:rsidR="009452F4" w:rsidRDefault="00B869E0" w:rsidP="009452F4">
      <w:r>
        <w:t xml:space="preserve">Short-run marginal cost is </w:t>
      </w:r>
      <w:r w:rsidR="009452F4">
        <w:t xml:space="preserve">relatively straightforward to calculate and is </w:t>
      </w:r>
      <w:r>
        <w:t>essentially the pumping and treatment cost required to deliver an additional kilolitre of water from Icon</w:t>
      </w:r>
      <w:r w:rsidR="00183984">
        <w:t xml:space="preserve"> Water</w:t>
      </w:r>
      <w:r>
        <w:t>’s supply sources to the customer.</w:t>
      </w:r>
    </w:p>
    <w:p w:rsidR="009452F4" w:rsidRDefault="009452F4" w:rsidP="009452F4">
      <w:r>
        <w:lastRenderedPageBreak/>
        <w:t>There are a range of methods to calculate long-run marginal costs, with three of the most common described in this paper</w:t>
      </w:r>
      <w:r w:rsidR="008B2911">
        <w:t>: ‘Textbook’ marginal cost</w:t>
      </w:r>
      <w:r w:rsidR="009231D9">
        <w:t xml:space="preserve"> (TMC)</w:t>
      </w:r>
      <w:r w:rsidR="008B2911">
        <w:t xml:space="preserve">, marginal incremental cost </w:t>
      </w:r>
      <w:r w:rsidR="009231D9">
        <w:t xml:space="preserve">(MIC), also known as the Turvey perturbation method, </w:t>
      </w:r>
      <w:r w:rsidR="008B2911">
        <w:t>and average incremental cost</w:t>
      </w:r>
      <w:r w:rsidR="009231D9">
        <w:t xml:space="preserve"> (AIC)</w:t>
      </w:r>
      <w:r w:rsidR="008B2911">
        <w:t xml:space="preserve">. </w:t>
      </w:r>
      <w:r>
        <w:t xml:space="preserve">All </w:t>
      </w:r>
      <w:r w:rsidR="009231D9">
        <w:t xml:space="preserve">three </w:t>
      </w:r>
      <w:r>
        <w:t>methods are similar in that they are only concerned with future cost and output and take into account both the short- and long-run. The key difference between them is the degree to which they account for short- versus long-run marginal cost.</w:t>
      </w:r>
    </w:p>
    <w:p w:rsidR="002E78E5" w:rsidRDefault="00AC0048" w:rsidP="002E78E5">
      <w:pPr>
        <w:pStyle w:val="Heading4"/>
      </w:pPr>
      <w:r>
        <w:t>M</w:t>
      </w:r>
      <w:r w:rsidR="002E78E5">
        <w:t xml:space="preserve">arginal cost </w:t>
      </w:r>
      <w:r w:rsidR="004A6271">
        <w:t xml:space="preserve">estimates </w:t>
      </w:r>
      <w:r w:rsidR="002E78E5">
        <w:t>in the ACT</w:t>
      </w:r>
    </w:p>
    <w:p w:rsidR="004A6271" w:rsidRDefault="004A6271" w:rsidP="004A6271">
      <w:pPr>
        <w:pStyle w:val="Heading5"/>
      </w:pPr>
      <w:r>
        <w:t>Water</w:t>
      </w:r>
    </w:p>
    <w:p w:rsidR="00AA7B29" w:rsidRDefault="00AA7B29" w:rsidP="00AA7B29">
      <w:r>
        <w:t>In order to calculate the long-run marginal cost of water in the ACT, the Commission has assessed when the next water supply augmentation is likely to be required</w:t>
      </w:r>
      <w:r w:rsidR="00A64595">
        <w:t xml:space="preserve"> (assumed to be the Tennent Dam on the Gudgenby River)</w:t>
      </w:r>
      <w:r>
        <w:t>, u</w:t>
      </w:r>
      <w:r w:rsidR="003F5F26">
        <w:t>tilising</w:t>
      </w:r>
      <w:r>
        <w:t xml:space="preserve"> Icon Water’s water supply and demand model. For this purpose, a baseline and three future water supply and demand scenarios are considered, all of which incorporate climate change assumptions.</w:t>
      </w:r>
      <w:r w:rsidR="00D37CF9">
        <w:t xml:space="preserve"> Scenario 1, which assumes minor demand growth,</w:t>
      </w:r>
      <w:r w:rsidR="003F5F26">
        <w:t xml:space="preserve"> is </w:t>
      </w:r>
      <w:r w:rsidR="00D37CF9">
        <w:t xml:space="preserve">considered the optimal investment scenario for the purposes of this paper. </w:t>
      </w:r>
    </w:p>
    <w:p w:rsidR="00AA7B29" w:rsidRDefault="00C04337" w:rsidP="00AA7B29">
      <w:r>
        <w:fldChar w:fldCharType="begin"/>
      </w:r>
      <w:r w:rsidR="00AA7B29">
        <w:instrText xml:space="preserve"> REF _Ref451334475 \h </w:instrText>
      </w:r>
      <w:r>
        <w:fldChar w:fldCharType="separate"/>
      </w:r>
      <w:r w:rsidR="00027D28" w:rsidRPr="003C3AEA">
        <w:t>Table</w:t>
      </w:r>
      <w:r w:rsidR="00027D28">
        <w:t xml:space="preserve"> ES.</w:t>
      </w:r>
      <w:r w:rsidR="00027D28">
        <w:rPr>
          <w:noProof/>
        </w:rPr>
        <w:t>1</w:t>
      </w:r>
      <w:r>
        <w:fldChar w:fldCharType="end"/>
      </w:r>
      <w:r w:rsidR="00AA7B29">
        <w:t xml:space="preserve"> </w:t>
      </w:r>
      <w:r w:rsidR="00AA7B29" w:rsidRPr="009D6EE8">
        <w:t xml:space="preserve">shows the </w:t>
      </w:r>
      <w:r w:rsidR="00AA7B29">
        <w:t>approximate timing of when the next supply augmentation is likely to be required for each of the scenarios. The timing ranges from as early as 2035 for the upper bound high demand growth scenario, to as late as 2060 for the minor demand growth scenario.</w:t>
      </w:r>
    </w:p>
    <w:p w:rsidR="00AA7B29" w:rsidRDefault="00AA7B29" w:rsidP="00AA7B29">
      <w:pPr>
        <w:pStyle w:val="TableName0"/>
        <w:keepNext w:val="0"/>
      </w:pPr>
      <w:bookmarkStart w:id="19" w:name="_Ref451334475"/>
      <w:bookmarkStart w:id="20" w:name="_Toc450562735"/>
      <w:bookmarkStart w:id="21" w:name="_Toc453920891"/>
      <w:r w:rsidRPr="003C3AEA">
        <w:t>Table</w:t>
      </w:r>
      <w:r>
        <w:t xml:space="preserve"> ES.</w:t>
      </w:r>
      <w:r w:rsidR="00C04337">
        <w:fldChar w:fldCharType="begin"/>
      </w:r>
      <w:r>
        <w:instrText xml:space="preserve"> SEQ Table \* ARABIC \s 1 </w:instrText>
      </w:r>
      <w:r w:rsidR="00C04337">
        <w:fldChar w:fldCharType="separate"/>
      </w:r>
      <w:r w:rsidR="00027D28">
        <w:rPr>
          <w:noProof/>
        </w:rPr>
        <w:t>1</w:t>
      </w:r>
      <w:r w:rsidR="00C04337">
        <w:fldChar w:fldCharType="end"/>
      </w:r>
      <w:bookmarkEnd w:id="19"/>
      <w:r>
        <w:tab/>
        <w:t>Indicative augmentation timing, by scenario</w:t>
      </w:r>
      <w:bookmarkEnd w:id="20"/>
      <w:bookmarkEnd w:id="21"/>
    </w:p>
    <w:tbl>
      <w:tblPr>
        <w:tblW w:w="5000" w:type="pct"/>
        <w:tblBorders>
          <w:top w:val="single" w:sz="12" w:space="0" w:color="333399"/>
          <w:bottom w:val="single" w:sz="12" w:space="0" w:color="333399"/>
        </w:tblBorders>
        <w:tblCellMar>
          <w:left w:w="115" w:type="dxa"/>
          <w:right w:w="115" w:type="dxa"/>
        </w:tblCellMar>
        <w:tblLook w:val="0000"/>
      </w:tblPr>
      <w:tblGrid>
        <w:gridCol w:w="868"/>
        <w:gridCol w:w="1842"/>
        <w:gridCol w:w="3416"/>
        <w:gridCol w:w="1815"/>
      </w:tblGrid>
      <w:tr w:rsidR="00AA7B29" w:rsidRPr="00144F8C" w:rsidTr="00AA7B29">
        <w:trPr>
          <w:cantSplit/>
        </w:trPr>
        <w:tc>
          <w:tcPr>
            <w:tcW w:w="546"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AA7B29" w:rsidRPr="00FF597B" w:rsidRDefault="00AA7B29" w:rsidP="00AA7B29">
            <w:pPr>
              <w:pStyle w:val="TableHeading"/>
              <w:keepNext w:val="0"/>
            </w:pPr>
            <w:r>
              <w:t>Scenario</w:t>
            </w:r>
          </w:p>
        </w:tc>
        <w:tc>
          <w:tcPr>
            <w:tcW w:w="1160"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AA7B29" w:rsidRPr="00FF597B" w:rsidRDefault="00AA7B29" w:rsidP="00AA7B29">
            <w:pPr>
              <w:pStyle w:val="TableHeadingLeft"/>
            </w:pPr>
            <w:r>
              <w:t>Description</w:t>
            </w:r>
          </w:p>
        </w:tc>
        <w:tc>
          <w:tcPr>
            <w:tcW w:w="2151" w:type="pct"/>
            <w:tcBorders>
              <w:top w:val="single" w:sz="12" w:space="0" w:color="1F497D" w:themeColor="text2"/>
              <w:left w:val="nil"/>
              <w:bottom w:val="single" w:sz="8" w:space="0" w:color="1F497D" w:themeColor="text2"/>
              <w:right w:val="nil"/>
            </w:tcBorders>
            <w:shd w:val="clear" w:color="auto" w:fill="DBE5F1" w:themeFill="accent1" w:themeFillTint="33"/>
          </w:tcPr>
          <w:p w:rsidR="00AA7B29" w:rsidRDefault="00AA7B29" w:rsidP="00AA7B29">
            <w:pPr>
              <w:pStyle w:val="TableHeadingRight"/>
              <w:jc w:val="left"/>
            </w:pPr>
            <w:r>
              <w:t>Comments</w:t>
            </w:r>
          </w:p>
        </w:tc>
        <w:tc>
          <w:tcPr>
            <w:tcW w:w="1143"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AA7B29" w:rsidRPr="00FF597B" w:rsidRDefault="00AA7B29" w:rsidP="00AA7B29">
            <w:pPr>
              <w:pStyle w:val="TableHeadingRight"/>
            </w:pPr>
            <w:r>
              <w:t>Augmentation timing</w:t>
            </w:r>
          </w:p>
        </w:tc>
      </w:tr>
      <w:tr w:rsidR="00AA7B29" w:rsidRPr="00144F8C" w:rsidTr="00AA7B29">
        <w:trPr>
          <w:cantSplit/>
          <w:trHeight w:val="318"/>
        </w:trPr>
        <w:tc>
          <w:tcPr>
            <w:tcW w:w="546" w:type="pct"/>
            <w:tcBorders>
              <w:top w:val="nil"/>
              <w:left w:val="nil"/>
              <w:bottom w:val="nil"/>
              <w:right w:val="nil"/>
            </w:tcBorders>
          </w:tcPr>
          <w:p w:rsidR="00AA7B29" w:rsidRPr="00025809" w:rsidRDefault="00AA7B29" w:rsidP="00AA7B29">
            <w:pPr>
              <w:pStyle w:val="TableTextLeft"/>
              <w:rPr>
                <w:b/>
              </w:rPr>
            </w:pPr>
            <w:r w:rsidRPr="00025809">
              <w:rPr>
                <w:b/>
              </w:rPr>
              <w:t>Baseline</w:t>
            </w:r>
          </w:p>
        </w:tc>
        <w:tc>
          <w:tcPr>
            <w:tcW w:w="1160" w:type="pct"/>
            <w:tcBorders>
              <w:top w:val="nil"/>
              <w:left w:val="nil"/>
              <w:bottom w:val="nil"/>
              <w:right w:val="nil"/>
            </w:tcBorders>
          </w:tcPr>
          <w:p w:rsidR="00AA7B29" w:rsidRPr="00DA26D6" w:rsidRDefault="00AA7B29" w:rsidP="00AA7B29">
            <w:pPr>
              <w:pStyle w:val="TableText0"/>
              <w:keepNext w:val="0"/>
              <w:rPr>
                <w:b/>
              </w:rPr>
            </w:pPr>
            <w:r w:rsidRPr="00DA26D6">
              <w:rPr>
                <w:b/>
              </w:rPr>
              <w:t>No demand growth</w:t>
            </w:r>
          </w:p>
        </w:tc>
        <w:tc>
          <w:tcPr>
            <w:tcW w:w="2151" w:type="pct"/>
            <w:tcBorders>
              <w:top w:val="nil"/>
              <w:left w:val="nil"/>
              <w:bottom w:val="nil"/>
              <w:right w:val="nil"/>
            </w:tcBorders>
          </w:tcPr>
          <w:p w:rsidR="00AA7B29" w:rsidRPr="006F37B1" w:rsidRDefault="00AA7B29" w:rsidP="00AA7B29">
            <w:pPr>
              <w:pStyle w:val="TableTextLeft"/>
              <w:rPr>
                <w:b/>
              </w:rPr>
            </w:pPr>
            <w:r w:rsidRPr="006F37B1">
              <w:rPr>
                <w:b/>
              </w:rPr>
              <w:t>Baseline or no change scenario</w:t>
            </w:r>
          </w:p>
        </w:tc>
        <w:tc>
          <w:tcPr>
            <w:tcW w:w="1143" w:type="pct"/>
            <w:tcBorders>
              <w:top w:val="nil"/>
              <w:left w:val="nil"/>
              <w:bottom w:val="nil"/>
              <w:right w:val="nil"/>
            </w:tcBorders>
          </w:tcPr>
          <w:p w:rsidR="00AA7B29" w:rsidRPr="00DA26D6" w:rsidRDefault="00AA7B29" w:rsidP="00AA7B29">
            <w:pPr>
              <w:pStyle w:val="TableTextRight"/>
              <w:rPr>
                <w:b/>
              </w:rPr>
            </w:pPr>
            <w:r w:rsidRPr="00DA26D6">
              <w:rPr>
                <w:b/>
              </w:rPr>
              <w:t>Post 2062</w:t>
            </w:r>
          </w:p>
        </w:tc>
      </w:tr>
      <w:tr w:rsidR="00AA7B29" w:rsidRPr="00144F8C" w:rsidTr="00AA7B29">
        <w:trPr>
          <w:cantSplit/>
          <w:trHeight w:val="318"/>
        </w:trPr>
        <w:tc>
          <w:tcPr>
            <w:tcW w:w="546" w:type="pct"/>
            <w:tcBorders>
              <w:top w:val="nil"/>
              <w:left w:val="nil"/>
              <w:bottom w:val="nil"/>
              <w:right w:val="nil"/>
            </w:tcBorders>
          </w:tcPr>
          <w:p w:rsidR="00AA7B29" w:rsidRPr="00025809" w:rsidRDefault="00AA7B29" w:rsidP="00AA7B29">
            <w:pPr>
              <w:pStyle w:val="TableTextLeft"/>
              <w:rPr>
                <w:b/>
              </w:rPr>
            </w:pPr>
            <w:r w:rsidRPr="00025809">
              <w:rPr>
                <w:b/>
              </w:rPr>
              <w:t>1</w:t>
            </w:r>
          </w:p>
        </w:tc>
        <w:tc>
          <w:tcPr>
            <w:tcW w:w="1160" w:type="pct"/>
            <w:tcBorders>
              <w:top w:val="nil"/>
              <w:left w:val="nil"/>
              <w:bottom w:val="nil"/>
              <w:right w:val="nil"/>
            </w:tcBorders>
          </w:tcPr>
          <w:p w:rsidR="00AA7B29" w:rsidRPr="00FF597B" w:rsidRDefault="00AA7B29" w:rsidP="00AA7B29">
            <w:pPr>
              <w:pStyle w:val="TableText0"/>
              <w:keepNext w:val="0"/>
            </w:pPr>
            <w:r>
              <w:t>Minor demand growth</w:t>
            </w:r>
          </w:p>
        </w:tc>
        <w:tc>
          <w:tcPr>
            <w:tcW w:w="2151" w:type="pct"/>
            <w:tcBorders>
              <w:top w:val="nil"/>
              <w:left w:val="nil"/>
              <w:bottom w:val="nil"/>
              <w:right w:val="nil"/>
            </w:tcBorders>
          </w:tcPr>
          <w:p w:rsidR="00AA7B29" w:rsidRPr="002625DD" w:rsidRDefault="00AA7B29" w:rsidP="00AA7B29">
            <w:pPr>
              <w:pStyle w:val="TableTextLeft"/>
            </w:pPr>
            <w:r>
              <w:t xml:space="preserve">Optimal investment scenario </w:t>
            </w:r>
            <w:r>
              <w:sym w:font="Symbol" w:char="F02D"/>
            </w:r>
            <w:r>
              <w:t xml:space="preserve"> medium series population growth with 50 per cent contribution to aggregate demand</w:t>
            </w:r>
          </w:p>
        </w:tc>
        <w:tc>
          <w:tcPr>
            <w:tcW w:w="1143" w:type="pct"/>
            <w:tcBorders>
              <w:top w:val="nil"/>
              <w:left w:val="nil"/>
              <w:bottom w:val="nil"/>
              <w:right w:val="nil"/>
            </w:tcBorders>
          </w:tcPr>
          <w:p w:rsidR="00AA7B29" w:rsidRPr="00B84CA2" w:rsidRDefault="00AA7B29" w:rsidP="00AA7B29">
            <w:pPr>
              <w:pStyle w:val="TableTextRight"/>
              <w:rPr>
                <w:b/>
              </w:rPr>
            </w:pPr>
            <w:r w:rsidRPr="00B84CA2">
              <w:rPr>
                <w:b/>
              </w:rPr>
              <w:t>2060</w:t>
            </w:r>
          </w:p>
        </w:tc>
      </w:tr>
      <w:tr w:rsidR="00AA7B29" w:rsidRPr="00144F8C" w:rsidTr="00AA7B29">
        <w:trPr>
          <w:cantSplit/>
          <w:trHeight w:val="200"/>
        </w:trPr>
        <w:tc>
          <w:tcPr>
            <w:tcW w:w="546" w:type="pct"/>
            <w:tcBorders>
              <w:top w:val="nil"/>
              <w:left w:val="nil"/>
              <w:bottom w:val="nil"/>
              <w:right w:val="nil"/>
            </w:tcBorders>
          </w:tcPr>
          <w:p w:rsidR="00AA7B29" w:rsidRPr="00025809" w:rsidRDefault="00AA7B29" w:rsidP="00AA7B29">
            <w:pPr>
              <w:pStyle w:val="TableTextLeft"/>
              <w:rPr>
                <w:b/>
              </w:rPr>
            </w:pPr>
            <w:r w:rsidRPr="00025809">
              <w:rPr>
                <w:b/>
              </w:rPr>
              <w:t>2</w:t>
            </w:r>
          </w:p>
        </w:tc>
        <w:tc>
          <w:tcPr>
            <w:tcW w:w="1160" w:type="pct"/>
            <w:tcBorders>
              <w:top w:val="nil"/>
              <w:left w:val="nil"/>
              <w:bottom w:val="nil"/>
              <w:right w:val="nil"/>
            </w:tcBorders>
          </w:tcPr>
          <w:p w:rsidR="00AA7B29" w:rsidRPr="00FF597B" w:rsidRDefault="00AA7B29" w:rsidP="00AA7B29">
            <w:pPr>
              <w:pStyle w:val="TableText0"/>
              <w:keepNext w:val="0"/>
            </w:pPr>
            <w:r>
              <w:t>Medium demand growth</w:t>
            </w:r>
          </w:p>
        </w:tc>
        <w:tc>
          <w:tcPr>
            <w:tcW w:w="2151" w:type="pct"/>
            <w:tcBorders>
              <w:top w:val="nil"/>
              <w:left w:val="nil"/>
              <w:bottom w:val="nil"/>
              <w:right w:val="nil"/>
            </w:tcBorders>
          </w:tcPr>
          <w:p w:rsidR="00AA7B29" w:rsidRPr="002625DD" w:rsidRDefault="00AA7B29" w:rsidP="00AA7B29">
            <w:pPr>
              <w:pStyle w:val="TableTextLeft"/>
            </w:pPr>
            <w:r>
              <w:t xml:space="preserve">Incremental adjustment above Scenario 1 </w:t>
            </w:r>
            <w:r>
              <w:sym w:font="Symbol" w:char="F02D"/>
            </w:r>
            <w:r>
              <w:t xml:space="preserve"> medium series population growth with 100 per cent contribution to aggregate demand</w:t>
            </w:r>
          </w:p>
        </w:tc>
        <w:tc>
          <w:tcPr>
            <w:tcW w:w="1143" w:type="pct"/>
            <w:tcBorders>
              <w:top w:val="nil"/>
              <w:left w:val="nil"/>
              <w:bottom w:val="nil"/>
              <w:right w:val="nil"/>
            </w:tcBorders>
          </w:tcPr>
          <w:p w:rsidR="00AA7B29" w:rsidRPr="00B84CA2" w:rsidRDefault="00AA7B29" w:rsidP="00AA7B29">
            <w:pPr>
              <w:pStyle w:val="TableTextRight"/>
              <w:rPr>
                <w:b/>
              </w:rPr>
            </w:pPr>
            <w:r w:rsidRPr="00B84CA2">
              <w:rPr>
                <w:b/>
              </w:rPr>
              <w:t>2043</w:t>
            </w:r>
          </w:p>
        </w:tc>
      </w:tr>
      <w:tr w:rsidR="00AA7B29" w:rsidRPr="00144F8C" w:rsidTr="00AA7B29">
        <w:trPr>
          <w:cantSplit/>
        </w:trPr>
        <w:tc>
          <w:tcPr>
            <w:tcW w:w="546" w:type="pct"/>
            <w:tcBorders>
              <w:top w:val="nil"/>
              <w:left w:val="nil"/>
              <w:bottom w:val="single" w:sz="12" w:space="0" w:color="1F497D" w:themeColor="text2"/>
              <w:right w:val="nil"/>
            </w:tcBorders>
          </w:tcPr>
          <w:p w:rsidR="00AA7B29" w:rsidRPr="00025809" w:rsidRDefault="00AA7B29" w:rsidP="00AA7B29">
            <w:pPr>
              <w:pStyle w:val="TableTextLeft"/>
              <w:rPr>
                <w:b/>
              </w:rPr>
            </w:pPr>
            <w:r w:rsidRPr="00025809">
              <w:rPr>
                <w:b/>
              </w:rPr>
              <w:t>3</w:t>
            </w:r>
          </w:p>
        </w:tc>
        <w:tc>
          <w:tcPr>
            <w:tcW w:w="1160" w:type="pct"/>
            <w:tcBorders>
              <w:top w:val="nil"/>
              <w:left w:val="nil"/>
              <w:bottom w:val="single" w:sz="12" w:space="0" w:color="1F497D" w:themeColor="text2"/>
              <w:right w:val="nil"/>
            </w:tcBorders>
          </w:tcPr>
          <w:p w:rsidR="00AA7B29" w:rsidRPr="00FF597B" w:rsidRDefault="00AA7B29" w:rsidP="00AA7B29">
            <w:pPr>
              <w:pStyle w:val="TableText0"/>
              <w:keepNext w:val="0"/>
            </w:pPr>
            <w:r>
              <w:t>High demand growth</w:t>
            </w:r>
          </w:p>
        </w:tc>
        <w:tc>
          <w:tcPr>
            <w:tcW w:w="2151" w:type="pct"/>
            <w:tcBorders>
              <w:top w:val="nil"/>
              <w:left w:val="nil"/>
              <w:bottom w:val="single" w:sz="12" w:space="0" w:color="1F497D" w:themeColor="text2"/>
              <w:right w:val="nil"/>
            </w:tcBorders>
          </w:tcPr>
          <w:p w:rsidR="00AA7B29" w:rsidRPr="002625DD" w:rsidRDefault="00AA7B29" w:rsidP="00AA7B29">
            <w:pPr>
              <w:pStyle w:val="TableTextLeft"/>
            </w:pPr>
            <w:r>
              <w:t xml:space="preserve">Upper bound investment scenario </w:t>
            </w:r>
            <w:r>
              <w:sym w:font="Symbol" w:char="F02D"/>
            </w:r>
            <w:r>
              <w:t xml:space="preserve"> high series population growth with 100 per cent contribution to aggregate demand</w:t>
            </w:r>
          </w:p>
        </w:tc>
        <w:tc>
          <w:tcPr>
            <w:tcW w:w="1143" w:type="pct"/>
            <w:tcBorders>
              <w:top w:val="nil"/>
              <w:left w:val="nil"/>
              <w:bottom w:val="single" w:sz="12" w:space="0" w:color="1F497D" w:themeColor="text2"/>
              <w:right w:val="nil"/>
            </w:tcBorders>
          </w:tcPr>
          <w:p w:rsidR="00AA7B29" w:rsidRPr="00B84CA2" w:rsidRDefault="00AA7B29" w:rsidP="00AA7B29">
            <w:pPr>
              <w:pStyle w:val="TableTextRight"/>
              <w:rPr>
                <w:b/>
              </w:rPr>
            </w:pPr>
            <w:r w:rsidRPr="00B84CA2">
              <w:rPr>
                <w:b/>
              </w:rPr>
              <w:t>2035</w:t>
            </w:r>
          </w:p>
        </w:tc>
      </w:tr>
    </w:tbl>
    <w:p w:rsidR="00C54349" w:rsidRDefault="00C54349" w:rsidP="00C54349">
      <w:pPr>
        <w:pStyle w:val="TableNotesLast0"/>
      </w:pPr>
    </w:p>
    <w:p w:rsidR="007D30A8" w:rsidRDefault="007D30A8" w:rsidP="007D30A8">
      <w:r>
        <w:t xml:space="preserve">A summary of the </w:t>
      </w:r>
      <w:r w:rsidR="00DD67DA">
        <w:t xml:space="preserve">current </w:t>
      </w:r>
      <w:r>
        <w:t xml:space="preserve">short- and long-run marginal cost estimates for water in the ACT </w:t>
      </w:r>
      <w:proofErr w:type="gramStart"/>
      <w:r>
        <w:t>is shown</w:t>
      </w:r>
      <w:proofErr w:type="gramEnd"/>
      <w:r>
        <w:t xml:space="preserve"> in </w:t>
      </w:r>
      <w:r w:rsidR="00C04337">
        <w:fldChar w:fldCharType="begin"/>
      </w:r>
      <w:r w:rsidR="006453E6">
        <w:instrText xml:space="preserve"> REF _Ref451261655 \h </w:instrText>
      </w:r>
      <w:r w:rsidR="00C04337">
        <w:fldChar w:fldCharType="separate"/>
      </w:r>
      <w:r w:rsidR="00027D28" w:rsidRPr="00E33D9E">
        <w:t>Figure</w:t>
      </w:r>
      <w:r w:rsidR="00027D28">
        <w:t xml:space="preserve"> ES</w:t>
      </w:r>
      <w:r w:rsidR="00027D28" w:rsidRPr="00E33D9E">
        <w:t>.</w:t>
      </w:r>
      <w:r w:rsidR="00027D28">
        <w:rPr>
          <w:noProof/>
        </w:rPr>
        <w:t>1</w:t>
      </w:r>
      <w:r w:rsidR="00C04337">
        <w:fldChar w:fldCharType="end"/>
      </w:r>
      <w:r w:rsidR="006453E6">
        <w:t xml:space="preserve">. </w:t>
      </w:r>
      <w:r>
        <w:t xml:space="preserve">For the </w:t>
      </w:r>
      <w:r w:rsidR="00B03F0A">
        <w:t xml:space="preserve">three </w:t>
      </w:r>
      <w:r>
        <w:t>long-run methods, estimates range from a low of $0.72 per kL for TMC, the same as the short-run marginal cost estimate, to a high of $1.7</w:t>
      </w:r>
      <w:r w:rsidR="00FA2C9D">
        <w:t>4</w:t>
      </w:r>
      <w:r>
        <w:t xml:space="preserve"> using the MIC method. The two most common long-run measurement methods, AIC and MIC, return estimates of similar magnitude.</w:t>
      </w:r>
    </w:p>
    <w:p w:rsidR="007D30A8" w:rsidRDefault="007D30A8" w:rsidP="007D30A8">
      <w:pPr>
        <w:pStyle w:val="FigureName0"/>
        <w:rPr>
          <w:lang w:val="en-AU"/>
        </w:rPr>
      </w:pPr>
      <w:bookmarkStart w:id="22" w:name="_Ref451261655"/>
      <w:bookmarkStart w:id="23" w:name="_Toc453920899"/>
      <w:r w:rsidRPr="00E33D9E">
        <w:lastRenderedPageBreak/>
        <w:t>Figure</w:t>
      </w:r>
      <w:r w:rsidR="006453E6">
        <w:t xml:space="preserve"> ES</w:t>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1</w:t>
      </w:r>
      <w:r w:rsidR="00C04337" w:rsidRPr="00E33D9E">
        <w:fldChar w:fldCharType="end"/>
      </w:r>
      <w:bookmarkEnd w:id="22"/>
      <w:r>
        <w:tab/>
        <w:t>Marginal cost estimate for water, summary</w:t>
      </w:r>
      <w:bookmarkEnd w:id="23"/>
    </w:p>
    <w:p w:rsidR="007D30A8" w:rsidRPr="00C63BD3" w:rsidRDefault="007D30A8" w:rsidP="007D30A8">
      <w:pPr>
        <w:rPr>
          <w:b/>
          <w:lang w:val="en-AU"/>
        </w:rPr>
      </w:pPr>
      <w:r>
        <w:rPr>
          <w:noProof/>
          <w:lang w:val="en-AU" w:eastAsia="en-AU"/>
        </w:rPr>
        <w:drawing>
          <wp:inline distT="0" distB="0" distL="0" distR="0">
            <wp:extent cx="4896485" cy="2705735"/>
            <wp:effectExtent l="0" t="0" r="18415" b="184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E78E5" w:rsidRPr="002E78E5" w:rsidRDefault="009C0728" w:rsidP="007D30A8">
      <w:r>
        <w:t>I</w:t>
      </w:r>
      <w:r w:rsidR="007D30A8">
        <w:t>con Water’s current two tier volumetric prices for water are $2.60 per kL for the first 0.548 kL per day and $5.22 per kL thereafter</w:t>
      </w:r>
      <w:r>
        <w:t xml:space="preserve">. It is </w:t>
      </w:r>
      <w:r w:rsidR="007D30A8">
        <w:t xml:space="preserve">clear that, irrespective of which measure is used, all the marginal cost estimates are well below even the first tier price. This conclusion holds in the face of </w:t>
      </w:r>
      <w:r w:rsidR="00DD67DA">
        <w:t xml:space="preserve">a range of </w:t>
      </w:r>
      <w:r w:rsidR="007D30A8">
        <w:t>sensitivity tests run on the various measures.</w:t>
      </w:r>
    </w:p>
    <w:p w:rsidR="002E78E5" w:rsidRDefault="004A6271" w:rsidP="004A6271">
      <w:pPr>
        <w:pStyle w:val="Heading5"/>
      </w:pPr>
      <w:r>
        <w:t>S</w:t>
      </w:r>
      <w:r w:rsidR="002E78E5">
        <w:t>ewerage services</w:t>
      </w:r>
    </w:p>
    <w:p w:rsidR="00303F05" w:rsidRDefault="004A6271" w:rsidP="00303F05">
      <w:r>
        <w:t>T</w:t>
      </w:r>
      <w:r w:rsidR="00303F05">
        <w:t>he short-run marginal cost of sewerage services in the ACT comprise</w:t>
      </w:r>
      <w:r>
        <w:t>s</w:t>
      </w:r>
      <w:r w:rsidR="00303F05">
        <w:t xml:space="preserve"> the following:</w:t>
      </w:r>
    </w:p>
    <w:p w:rsidR="00303F05" w:rsidRDefault="00303F05" w:rsidP="00303F05">
      <w:pPr>
        <w:pStyle w:val="Bullet"/>
      </w:pPr>
      <w:r>
        <w:t xml:space="preserve">treatment cost </w:t>
      </w:r>
      <w:r>
        <w:sym w:font="Symbol" w:char="F02D"/>
      </w:r>
      <w:r>
        <w:t xml:space="preserve"> the cost of chemicals, electricity, fuel and freight to treat an additional kilolitre of sewage at the LMWQCC; and</w:t>
      </w:r>
    </w:p>
    <w:p w:rsidR="00303F05" w:rsidRDefault="00303F05" w:rsidP="00303F05">
      <w:pPr>
        <w:pStyle w:val="BulletLast"/>
      </w:pPr>
      <w:r>
        <w:t xml:space="preserve">pumping </w:t>
      </w:r>
      <w:r>
        <w:sym w:font="Symbol" w:char="F02D"/>
      </w:r>
      <w:r>
        <w:t xml:space="preserve"> the electricity costs to pump an additional kilolitre of sewage through the sewerage network to the treatment plant.</w:t>
      </w:r>
    </w:p>
    <w:p w:rsidR="00303F05" w:rsidRDefault="00303F05" w:rsidP="00303F05">
      <w:r>
        <w:t>Icon Water estimates the marginal treatment cost at $0.25 per kL, and the marginal pumping cost at $0.005 per kL, for a total short-run marginal cost of about 0.26 per kL.</w:t>
      </w:r>
    </w:p>
    <w:p w:rsidR="002E78E5" w:rsidRDefault="002E78E5" w:rsidP="002E78E5">
      <w:pPr>
        <w:pStyle w:val="Heading4"/>
      </w:pPr>
      <w:r>
        <w:t>Conclusions</w:t>
      </w:r>
    </w:p>
    <w:p w:rsidR="00381DBD" w:rsidRDefault="00381DBD" w:rsidP="00381DBD">
      <w:pPr>
        <w:pStyle w:val="Heading5"/>
      </w:pPr>
      <w:bookmarkStart w:id="24" w:name="_Toc379183963"/>
      <w:bookmarkStart w:id="25" w:name="_Toc380051307"/>
      <w:r>
        <w:t>Water</w:t>
      </w:r>
    </w:p>
    <w:p w:rsidR="00B33B4B" w:rsidRDefault="00114372" w:rsidP="00B33B4B">
      <w:r>
        <w:t xml:space="preserve">The current pricing methodology is primarily based on recovering historical cost. </w:t>
      </w:r>
      <w:r w:rsidR="00F231C9">
        <w:t>T</w:t>
      </w:r>
      <w:r w:rsidR="00B33B4B">
        <w:t>he</w:t>
      </w:r>
      <w:r>
        <w:t xml:space="preserve"> evidence in this paper indicates that the</w:t>
      </w:r>
      <w:r w:rsidR="00B33B4B">
        <w:t xml:space="preserve"> objective of economic efficiency in the provision of regulated water services in the ACT would be better served by moving toward a forward-looking marginal cost pricing approach</w:t>
      </w:r>
      <w:r>
        <w:t>.</w:t>
      </w:r>
      <w:r w:rsidR="00B33B4B">
        <w:t xml:space="preserve"> </w:t>
      </w:r>
    </w:p>
    <w:p w:rsidR="00B33B4B" w:rsidRDefault="00F231C9" w:rsidP="00B33B4B">
      <w:r>
        <w:t xml:space="preserve">The </w:t>
      </w:r>
      <w:r w:rsidR="00B33B4B">
        <w:t xml:space="preserve">findings of the technical paper on water demand elasticity in the ACT </w:t>
      </w:r>
      <w:r>
        <w:t xml:space="preserve">provide evidence that ACT </w:t>
      </w:r>
      <w:r w:rsidR="00B33B4B">
        <w:t>consumers are likely to respond to marginal price signals.</w:t>
      </w:r>
    </w:p>
    <w:p w:rsidR="00B33B4B" w:rsidRDefault="00B33B4B" w:rsidP="00B33B4B">
      <w:r>
        <w:lastRenderedPageBreak/>
        <w:t>On the choice between short- and long-run marginal cost, in principle, short-run marginal cost pricing is the efficient basis for pricing. The sale of water to consumers is a short-term agreement that does not bind the consumer to take any more water at a later date and the utility is therefore faced with the short-run problem of selling wa</w:t>
      </w:r>
      <w:r w:rsidR="00F231C9">
        <w:t>ter given its current capacity.</w:t>
      </w:r>
    </w:p>
    <w:p w:rsidR="00B33B4B" w:rsidRDefault="00B33B4B" w:rsidP="00B33B4B">
      <w:r>
        <w:t>Nonetheless, in  practice, the Commission</w:t>
      </w:r>
      <w:r w:rsidR="00171F1C">
        <w:t xml:space="preserve"> sees merit</w:t>
      </w:r>
      <w:r>
        <w:t xml:space="preserve"> </w:t>
      </w:r>
      <w:r w:rsidR="00171F1C">
        <w:t xml:space="preserve">in </w:t>
      </w:r>
      <w:r>
        <w:t>a long-run measure, for two reasons. First, although the short-run approach is unlikely in the present supply and demand circumstances to lead to any great instability in prices over the near to medium term, this may not always be the case as the supply and demand conditions change over time. Second, as discussed further below, the gap between the current tariff structure and one based on marginal cost pricing is substantial, and likely to require a long transition period. In these circumstances, aiming to transition the volumetric price to a long-run marginal cost estimate is a more realistic goal.</w:t>
      </w:r>
    </w:p>
    <w:p w:rsidR="00B33B4B" w:rsidRDefault="00B33B4B" w:rsidP="00B33B4B">
      <w:r>
        <w:t>From a measurement perspective, the Commission’s preference is to calculate long-run marginal cost using the MIC method as this approach is more explicitly concerned with decision-making at the margin. There is scope within the short-run element of the MIC method to add a resource value element in the future, in addition to the WAC, that rises as the next augmentation approaches as the value of water in the Icon Water’s dams increases.</w:t>
      </w:r>
    </w:p>
    <w:p w:rsidR="00B33B4B" w:rsidRDefault="00171F1C" w:rsidP="00B33B4B">
      <w:r>
        <w:t>T</w:t>
      </w:r>
      <w:r w:rsidR="00B33B4B">
        <w:t xml:space="preserve">he application of marginal cost pricing in a decreasing average cost industry such as we are facing here, </w:t>
      </w:r>
      <w:r w:rsidR="00F231C9">
        <w:t>require</w:t>
      </w:r>
      <w:r>
        <w:t xml:space="preserve">s the retention of </w:t>
      </w:r>
      <w:r w:rsidR="00B33B4B">
        <w:t>the current multi-part tariff structure, that is a supply charge and one or more volumetric prices, for cost recovery reasons.</w:t>
      </w:r>
    </w:p>
    <w:p w:rsidR="00B33B4B" w:rsidRDefault="00B33B4B" w:rsidP="00B33B4B">
      <w:r>
        <w:t xml:space="preserve">It is also evident that all the marginal cost estimates calculated for the purposes of this paper, short- and long-run, are well below even the first tier current water price of $2.60 per kL. </w:t>
      </w:r>
      <w:r w:rsidR="00F231C9">
        <w:t>On this basis,</w:t>
      </w:r>
      <w:r>
        <w:t xml:space="preserve"> the answer to the first question posed earlier as one of the objectives of this technical paper is </w:t>
      </w:r>
      <w:r w:rsidR="00171F1C">
        <w:t xml:space="preserve">that </w:t>
      </w:r>
      <w:r>
        <w:t xml:space="preserve">Icon Water’s current water tariff structure </w:t>
      </w:r>
      <w:r w:rsidR="00F231C9">
        <w:t xml:space="preserve">does not appear to be </w:t>
      </w:r>
      <w:r>
        <w:t>providing suitable price signals to customers about the efficient use of the service infrastructure and water resource.</w:t>
      </w:r>
    </w:p>
    <w:p w:rsidR="00B33B4B" w:rsidRDefault="00B33B4B" w:rsidP="00B33B4B">
      <w:r>
        <w:t>As to the second question about what a more efficient tariff structure would look like, the pursuit of economic efficiency would dictate a move towards one volumetric price, set with reference to marginal cost</w:t>
      </w:r>
      <w:r w:rsidR="00DE208E">
        <w:t xml:space="preserve">. </w:t>
      </w:r>
      <w:r>
        <w:t xml:space="preserve">The Commission recognises that moving from the current inclining block structure and price levels to a new, more efficient, single volumetric charge structure with the price set with reference to marginal cost will require a significant adjustment in the level of </w:t>
      </w:r>
      <w:r w:rsidR="00DE208E">
        <w:t xml:space="preserve">the </w:t>
      </w:r>
      <w:r w:rsidR="00C56363">
        <w:t>supply</w:t>
      </w:r>
      <w:r w:rsidR="00DE208E">
        <w:t xml:space="preserve"> charge</w:t>
      </w:r>
      <w:r>
        <w:t>.</w:t>
      </w:r>
    </w:p>
    <w:p w:rsidR="00B33B4B" w:rsidRDefault="00B33B4B" w:rsidP="00B33B4B">
      <w:r>
        <w:t xml:space="preserve">For indicative purposes, </w:t>
      </w:r>
      <w:r w:rsidR="00C04337">
        <w:fldChar w:fldCharType="begin"/>
      </w:r>
      <w:r>
        <w:instrText xml:space="preserve"> REF _Ref453160181 \h </w:instrText>
      </w:r>
      <w:r w:rsidR="00C04337">
        <w:fldChar w:fldCharType="separate"/>
      </w:r>
      <w:r w:rsidR="00027D28" w:rsidRPr="00E33D9E">
        <w:t>Figure</w:t>
      </w:r>
      <w:r w:rsidR="00027D28">
        <w:t xml:space="preserve"> ES</w:t>
      </w:r>
      <w:r w:rsidR="00027D28" w:rsidRPr="00E33D9E">
        <w:t>.</w:t>
      </w:r>
      <w:r w:rsidR="00027D28">
        <w:rPr>
          <w:noProof/>
        </w:rPr>
        <w:t>2</w:t>
      </w:r>
      <w:r w:rsidR="00C04337">
        <w:fldChar w:fldCharType="end"/>
      </w:r>
      <w:r>
        <w:t xml:space="preserve"> shows the upper bound scenario </w:t>
      </w:r>
      <w:r>
        <w:sym w:font="Symbol" w:char="F02D"/>
      </w:r>
      <w:r>
        <w:t xml:space="preserve"> the supply charge that would be required to recover the same revenue for Icon Water as 2015</w:t>
      </w:r>
      <w:r>
        <w:sym w:font="Symbol" w:char="F02D"/>
      </w:r>
      <w:r>
        <w:t>16 water prices for each marginal cost estimate, should a single volumetric charge be introduced, priced at marginal cost. The indicative annual charges are considerably higher than the current supply charge of about $101, ranging from $865 for the short-run marginal cost and TMC measures to $605 for the MIC estimate.</w:t>
      </w:r>
    </w:p>
    <w:p w:rsidR="00B33B4B" w:rsidRDefault="00B33B4B" w:rsidP="00B33B4B">
      <w:pPr>
        <w:pStyle w:val="FigureName0"/>
        <w:rPr>
          <w:lang w:val="en-AU"/>
        </w:rPr>
      </w:pPr>
      <w:bookmarkStart w:id="26" w:name="_Ref453160181"/>
      <w:bookmarkStart w:id="27" w:name="_Toc453920900"/>
      <w:r w:rsidRPr="00E33D9E">
        <w:lastRenderedPageBreak/>
        <w:t>Figure</w:t>
      </w:r>
      <w:r>
        <w:t xml:space="preserve"> ES</w:t>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2</w:t>
      </w:r>
      <w:r w:rsidR="00C04337" w:rsidRPr="00E33D9E">
        <w:fldChar w:fldCharType="end"/>
      </w:r>
      <w:bookmarkEnd w:id="26"/>
      <w:r>
        <w:tab/>
        <w:t>Indicative water supply charge, with single volumetric charge set at marginal cost</w:t>
      </w:r>
      <w:bookmarkEnd w:id="27"/>
    </w:p>
    <w:p w:rsidR="00B33B4B" w:rsidRPr="00C63BD3" w:rsidRDefault="00B33B4B" w:rsidP="00B33B4B">
      <w:pPr>
        <w:rPr>
          <w:b/>
          <w:lang w:val="en-AU"/>
        </w:rPr>
      </w:pPr>
      <w:r>
        <w:rPr>
          <w:noProof/>
          <w:lang w:val="en-AU" w:eastAsia="en-AU"/>
        </w:rPr>
        <w:drawing>
          <wp:inline distT="0" distB="0" distL="0" distR="0">
            <wp:extent cx="4896485" cy="2704465"/>
            <wp:effectExtent l="0" t="0" r="18415"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33B4B" w:rsidRDefault="00C226B7" w:rsidP="00B33B4B">
      <w:r>
        <w:t>There will be welfare losses for households and the ACT community if the price of water continues to not reflect the cost of providing that water to customers. A</w:t>
      </w:r>
      <w:r w:rsidR="00B33B4B">
        <w:t xml:space="preserve"> more efficient tariff structure will </w:t>
      </w:r>
      <w:r w:rsidR="00C56363">
        <w:t xml:space="preserve">also </w:t>
      </w:r>
      <w:r w:rsidR="00B33B4B">
        <w:t>reduce the possibility of uneconomic bypass of Icon Water’s primary water system, with welfare benefits for all ACT water customers and non-residential customers in particular.</w:t>
      </w:r>
    </w:p>
    <w:p w:rsidR="00B33B4B" w:rsidRDefault="00B33B4B" w:rsidP="00B33B4B">
      <w:r>
        <w:t>A benefit for Icon Water from such a new pricing arrangement would be reduced volumetric revenue risk as the share of revenue recovered from fixed charges would rise from the current 10 per cent to between 60 and 80 per cent depending on which measure of marginal cost is applied.</w:t>
      </w:r>
    </w:p>
    <w:p w:rsidR="00B33B4B" w:rsidRDefault="00B33B4B" w:rsidP="00B33B4B">
      <w:r>
        <w:t xml:space="preserve">On the other hand, moving from the current pricing situation to a more efficient arrangement with a higher </w:t>
      </w:r>
      <w:r w:rsidR="00C56363">
        <w:t xml:space="preserve">supply </w:t>
      </w:r>
      <w:r>
        <w:t>charge and lower volumetric charge will have substantial distributional impacts on customers. In particular, low volume water users will face substantial negative impacts, which may require a long transition period, possibly over more than one regulatory period, as a mitigation measure. This issue will be discussed in detail in the Commission’s draft report for the tariff review, taking into consideration all the proposed pricing principles.</w:t>
      </w:r>
    </w:p>
    <w:p w:rsidR="007A0E0B" w:rsidRPr="001A5979" w:rsidRDefault="00C226B7" w:rsidP="00381DBD">
      <w:r>
        <w:t>T</w:t>
      </w:r>
      <w:r w:rsidR="00B33B4B">
        <w:t xml:space="preserve">he Commission recognises that some members of the ACT community strongly support water conservation and the role played by the current inclining block tariff, particularly with the second tier priced at double the first, in reducing discretionary water use. </w:t>
      </w:r>
      <w:r w:rsidR="00171F1C">
        <w:t>T</w:t>
      </w:r>
      <w:r w:rsidR="00B33B4B">
        <w:t xml:space="preserve">he scarcity value of water in ACT dams </w:t>
      </w:r>
      <w:r>
        <w:t xml:space="preserve">should be recognised but is </w:t>
      </w:r>
      <w:r w:rsidR="00B33B4B">
        <w:t>be</w:t>
      </w:r>
      <w:r w:rsidR="00171F1C">
        <w:t>tter</w:t>
      </w:r>
      <w:r w:rsidR="00B33B4B">
        <w:t xml:space="preserve"> addressed by adjusting the marginal cost estimate as appropriate. Given the current water supply and demand balance, with a low likelihood of temporary water restrictions in the near or indeed medium-term, the scarcity value of water is not </w:t>
      </w:r>
      <w:r>
        <w:t xml:space="preserve">likely to be </w:t>
      </w:r>
      <w:r w:rsidR="00B33B4B">
        <w:t>high at present.</w:t>
      </w:r>
    </w:p>
    <w:p w:rsidR="00381DBD" w:rsidRDefault="00381DBD" w:rsidP="005842C6">
      <w:pPr>
        <w:pStyle w:val="Heading5"/>
      </w:pPr>
      <w:r>
        <w:lastRenderedPageBreak/>
        <w:t>Sewerage services</w:t>
      </w:r>
    </w:p>
    <w:p w:rsidR="002F4252" w:rsidRDefault="00381DBD" w:rsidP="00381DBD">
      <w:r>
        <w:t xml:space="preserve">The situation in relation to sewerage services is different to that for water </w:t>
      </w:r>
      <w:r w:rsidR="002F4252">
        <w:t xml:space="preserve">in that </w:t>
      </w:r>
      <w:r>
        <w:t>there is no volumetric charge in the current tariff structure.</w:t>
      </w:r>
      <w:r w:rsidR="002F4252">
        <w:t xml:space="preserve"> This in itself implies that the current structure, based entirely on fixed charges, is incapable of providing suitable </w:t>
      </w:r>
      <w:r w:rsidR="00027D28">
        <w:t xml:space="preserve">price signals </w:t>
      </w:r>
      <w:r w:rsidR="002F4252">
        <w:t>to customers about the efficient costs of sewerage services in the ACT.</w:t>
      </w:r>
    </w:p>
    <w:p w:rsidR="00381DBD" w:rsidRDefault="002F4252" w:rsidP="00381DBD">
      <w:r>
        <w:t>I</w:t>
      </w:r>
      <w:r w:rsidR="00381DBD">
        <w:t xml:space="preserve">n line with </w:t>
      </w:r>
      <w:r>
        <w:t xml:space="preserve">the Commission’s </w:t>
      </w:r>
      <w:r w:rsidR="00381DBD">
        <w:t xml:space="preserve">view on water pricing, </w:t>
      </w:r>
      <w:r>
        <w:t>a more efficient structure would entail a multi-part tariff</w:t>
      </w:r>
      <w:r w:rsidR="00171F1C">
        <w:t xml:space="preserve"> which would include </w:t>
      </w:r>
      <w:r w:rsidR="00381DBD">
        <w:t xml:space="preserve">a volumetric sewerage charge set </w:t>
      </w:r>
      <w:r w:rsidR="00171F1C">
        <w:t xml:space="preserve">with </w:t>
      </w:r>
      <w:r w:rsidR="00381DBD">
        <w:t>reference to marginal cost.</w:t>
      </w:r>
    </w:p>
    <w:p w:rsidR="00381DBD" w:rsidRDefault="00C04337" w:rsidP="00381DBD">
      <w:r>
        <w:fldChar w:fldCharType="begin"/>
      </w:r>
      <w:r w:rsidR="00017C31">
        <w:instrText xml:space="preserve"> REF _Ref451245560 \h </w:instrText>
      </w:r>
      <w:r>
        <w:fldChar w:fldCharType="separate"/>
      </w:r>
      <w:r w:rsidR="00027D28" w:rsidRPr="00E33D9E">
        <w:t>Figure</w:t>
      </w:r>
      <w:r w:rsidR="00027D28">
        <w:t xml:space="preserve"> ES</w:t>
      </w:r>
      <w:r w:rsidR="00027D28" w:rsidRPr="00E33D9E">
        <w:t>.</w:t>
      </w:r>
      <w:r w:rsidR="00027D28">
        <w:rPr>
          <w:noProof/>
        </w:rPr>
        <w:t>3</w:t>
      </w:r>
      <w:r>
        <w:fldChar w:fldCharType="end"/>
      </w:r>
      <w:r w:rsidR="00017C31">
        <w:t xml:space="preserve"> </w:t>
      </w:r>
      <w:r w:rsidR="00381DBD">
        <w:t>shows the indicative supply and fixture charges that would be required to recover the same revenue for Icon Water as 2015</w:t>
      </w:r>
      <w:r w:rsidR="00381DBD">
        <w:sym w:font="Symbol" w:char="F02D"/>
      </w:r>
      <w:r w:rsidR="00381DBD">
        <w:t>16 prices should a volumetric sewage charge be introduced at the short-run marginal cost of $0.26 per kL. The indicative annual charges are about 6 per cent lower than the current charges.</w:t>
      </w:r>
    </w:p>
    <w:p w:rsidR="00381DBD" w:rsidRDefault="00381DBD" w:rsidP="00381DBD">
      <w:pPr>
        <w:pStyle w:val="FigureName0"/>
        <w:rPr>
          <w:lang w:val="en-AU"/>
        </w:rPr>
      </w:pPr>
      <w:bookmarkStart w:id="28" w:name="_Ref451245560"/>
      <w:bookmarkStart w:id="29" w:name="_Toc453920901"/>
      <w:r w:rsidRPr="00E33D9E">
        <w:t>Figure</w:t>
      </w:r>
      <w:r w:rsidR="005842C6">
        <w:t xml:space="preserve"> ES</w:t>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3</w:t>
      </w:r>
      <w:r w:rsidR="00C04337" w:rsidRPr="00E33D9E">
        <w:fldChar w:fldCharType="end"/>
      </w:r>
      <w:bookmarkEnd w:id="28"/>
      <w:r>
        <w:tab/>
        <w:t>Indicative sewerage service supply and fixture charges, with volumetric charge set at short-run marginal cost</w:t>
      </w:r>
      <w:bookmarkEnd w:id="29"/>
    </w:p>
    <w:p w:rsidR="00381DBD" w:rsidRDefault="00381DBD" w:rsidP="00381DBD">
      <w:pPr>
        <w:rPr>
          <w:b/>
          <w:lang w:val="en-AU"/>
        </w:rPr>
      </w:pPr>
      <w:r>
        <w:rPr>
          <w:noProof/>
          <w:lang w:val="en-AU" w:eastAsia="en-AU"/>
        </w:rPr>
        <w:drawing>
          <wp:inline distT="0" distB="0" distL="0" distR="0">
            <wp:extent cx="4765103" cy="2271802"/>
            <wp:effectExtent l="0" t="0" r="16510" b="146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81DBD" w:rsidRDefault="00381DBD" w:rsidP="00381DBD">
      <w:pPr>
        <w:rPr>
          <w:lang w:val="en-AU"/>
        </w:rPr>
      </w:pPr>
      <w:r>
        <w:rPr>
          <w:lang w:val="en-AU"/>
        </w:rPr>
        <w:t xml:space="preserve">The distributional impacts of such a change in tariff structure and price levels are likely to be less dramatic than would the case for water as described above. Once again, as for water, these </w:t>
      </w:r>
      <w:r>
        <w:t>matters will be discussed in more detail in the Commission’s draft report for the tariff review, taking into consideration all the proposed pricing principles.</w:t>
      </w:r>
    </w:p>
    <w:bookmarkEnd w:id="24"/>
    <w:bookmarkEnd w:id="25"/>
    <w:p w:rsidR="00440F18" w:rsidRDefault="00440F18" w:rsidP="00440F18">
      <w:pPr>
        <w:pStyle w:val="Heading4"/>
      </w:pPr>
      <w:r>
        <w:t>Next steps</w:t>
      </w:r>
    </w:p>
    <w:p w:rsidR="00440F18" w:rsidRDefault="00D70292" w:rsidP="00440F18">
      <w:r w:rsidRPr="005662AB">
        <w:t xml:space="preserve">The closing date for submissions on </w:t>
      </w:r>
      <w:r>
        <w:t xml:space="preserve">the issues paper, this and the other technical papers </w:t>
      </w:r>
      <w:r w:rsidRPr="005662AB">
        <w:t xml:space="preserve">is </w:t>
      </w:r>
      <w:r w:rsidRPr="005662AB">
        <w:rPr>
          <w:rStyle w:val="Bold"/>
        </w:rPr>
        <w:t>1</w:t>
      </w:r>
      <w:r w:rsidR="005B14CD">
        <w:rPr>
          <w:rStyle w:val="Bold"/>
        </w:rPr>
        <w:t>5</w:t>
      </w:r>
      <w:r w:rsidRPr="005662AB">
        <w:rPr>
          <w:rStyle w:val="Bold"/>
        </w:rPr>
        <w:t xml:space="preserve"> July 2016</w:t>
      </w:r>
      <w:r w:rsidRPr="005662AB">
        <w:t>.</w:t>
      </w:r>
      <w:r w:rsidR="005B14CD">
        <w:rPr>
          <w:rStyle w:val="FootnoteReference"/>
        </w:rPr>
        <w:footnoteReference w:id="8"/>
      </w:r>
      <w:r>
        <w:t xml:space="preserve"> </w:t>
      </w:r>
      <w:r w:rsidR="00440F18">
        <w:t xml:space="preserve">Stakeholder submissions </w:t>
      </w:r>
      <w:r w:rsidR="00E423A3">
        <w:t xml:space="preserve">received by the closing date </w:t>
      </w:r>
      <w:r w:rsidR="00440F18">
        <w:t xml:space="preserve">will inform the Commission’s development of the </w:t>
      </w:r>
      <w:r w:rsidR="008576CA">
        <w:t xml:space="preserve">draft report for the tariff review </w:t>
      </w:r>
      <w:r w:rsidR="00440F18">
        <w:t xml:space="preserve">scheduled for release in </w:t>
      </w:r>
      <w:r w:rsidR="008576CA">
        <w:t>September</w:t>
      </w:r>
      <w:r>
        <w:t> </w:t>
      </w:r>
      <w:r w:rsidR="008576CA">
        <w:t>2016</w:t>
      </w:r>
      <w:r w:rsidR="00440F18">
        <w:t>.</w:t>
      </w:r>
    </w:p>
    <w:p w:rsidR="00440F18" w:rsidRDefault="00440F18" w:rsidP="00440F18">
      <w:pPr>
        <w:sectPr w:rsidR="00440F18" w:rsidSect="00174668">
          <w:endnotePr>
            <w:numFmt w:val="decimal"/>
          </w:endnotePr>
          <w:type w:val="continuous"/>
          <w:pgSz w:w="11907" w:h="16840" w:code="9"/>
          <w:pgMar w:top="2268" w:right="2098" w:bottom="1701" w:left="2098" w:header="578" w:footer="578" w:gutter="0"/>
          <w:pgNumType w:fmt="lowerRoman"/>
          <w:cols w:space="720"/>
          <w:docGrid w:linePitch="299"/>
        </w:sectPr>
      </w:pPr>
    </w:p>
    <w:p w:rsidR="00B1692C" w:rsidRDefault="00B1692C" w:rsidP="008A1C91">
      <w:pPr>
        <w:pStyle w:val="References"/>
        <w:sectPr w:rsidR="00B1692C" w:rsidSect="00174668">
          <w:headerReference w:type="even" r:id="rId32"/>
          <w:headerReference w:type="default" r:id="rId33"/>
          <w:endnotePr>
            <w:numFmt w:val="decimal"/>
          </w:endnotePr>
          <w:type w:val="continuous"/>
          <w:pgSz w:w="11907" w:h="16840" w:code="9"/>
          <w:pgMar w:top="2268" w:right="2098" w:bottom="1701" w:left="2098" w:header="578" w:footer="578" w:gutter="0"/>
          <w:pgNumType w:fmt="lowerRoman"/>
          <w:cols w:space="720"/>
          <w:docGrid w:linePitch="299"/>
        </w:sectPr>
      </w:pPr>
    </w:p>
    <w:p w:rsidR="00E2786A" w:rsidRDefault="00DC784F" w:rsidP="007176CC">
      <w:pPr>
        <w:pStyle w:val="Heading1"/>
        <w:sectPr w:rsidR="00E2786A" w:rsidSect="00FD0141">
          <w:headerReference w:type="even" r:id="rId34"/>
          <w:headerReference w:type="default" r:id="rId35"/>
          <w:endnotePr>
            <w:numFmt w:val="decimal"/>
          </w:endnotePr>
          <w:type w:val="oddPage"/>
          <w:pgSz w:w="11907" w:h="16840" w:code="9"/>
          <w:pgMar w:top="2268" w:right="2098" w:bottom="1701" w:left="2098" w:header="578" w:footer="578" w:gutter="0"/>
          <w:pgNumType w:start="1"/>
          <w:cols w:space="720"/>
          <w:docGrid w:linePitch="299"/>
        </w:sectPr>
      </w:pPr>
      <w:bookmarkStart w:id="30" w:name="Chap1"/>
      <w:bookmarkStart w:id="31" w:name="_Ref364695177"/>
      <w:bookmarkStart w:id="32" w:name="_Toc200251148"/>
      <w:bookmarkStart w:id="33" w:name="_Toc264971521"/>
      <w:bookmarkStart w:id="34" w:name="_Toc453920854"/>
      <w:bookmarkEnd w:id="10"/>
      <w:bookmarkEnd w:id="11"/>
      <w:bookmarkEnd w:id="12"/>
      <w:bookmarkEnd w:id="13"/>
      <w:bookmarkEnd w:id="30"/>
      <w:r>
        <w:lastRenderedPageBreak/>
        <w:t>Introduction</w:t>
      </w:r>
      <w:bookmarkStart w:id="35" w:name="_Ref349552218"/>
      <w:bookmarkStart w:id="36" w:name="_Toc349563150"/>
      <w:bookmarkStart w:id="37" w:name="_Toc349563312"/>
      <w:bookmarkStart w:id="38" w:name="_Toc349563390"/>
      <w:bookmarkStart w:id="39" w:name="_Toc349571506"/>
      <w:bookmarkEnd w:id="31"/>
      <w:bookmarkEnd w:id="32"/>
      <w:bookmarkEnd w:id="33"/>
      <w:bookmarkEnd w:id="34"/>
    </w:p>
    <w:p w:rsidR="007D4436" w:rsidRDefault="00B92427" w:rsidP="002B6726">
      <w:pPr>
        <w:pStyle w:val="Heading2"/>
      </w:pPr>
      <w:bookmarkStart w:id="40" w:name="Tariffs_vs_prices"/>
      <w:bookmarkStart w:id="41" w:name="_Toc453920855"/>
      <w:bookmarkStart w:id="42" w:name="_Toc368572032"/>
      <w:bookmarkStart w:id="43" w:name="_Ref429400976"/>
      <w:bookmarkStart w:id="44" w:name="_Toc378334065"/>
      <w:bookmarkStart w:id="45" w:name="_Toc389642362"/>
      <w:bookmarkEnd w:id="35"/>
      <w:bookmarkEnd w:id="36"/>
      <w:bookmarkEnd w:id="37"/>
      <w:bookmarkEnd w:id="38"/>
      <w:bookmarkEnd w:id="39"/>
      <w:bookmarkEnd w:id="40"/>
      <w:r>
        <w:lastRenderedPageBreak/>
        <w:t>Background and purpose of this</w:t>
      </w:r>
      <w:r w:rsidR="00BA796C">
        <w:t xml:space="preserve"> technical paper</w:t>
      </w:r>
      <w:bookmarkEnd w:id="41"/>
    </w:p>
    <w:p w:rsidR="00BA796C" w:rsidRDefault="007C78A0" w:rsidP="00BA796C">
      <w:r>
        <w:t xml:space="preserve">This technical paper is the </w:t>
      </w:r>
      <w:r w:rsidR="00E76572">
        <w:t xml:space="preserve">third </w:t>
      </w:r>
      <w:r>
        <w:t>paper published by the Commission as part of its review of Icon Water's water and sewerage services tariff structures. The first publication was an issues paper released by the Commission in November 2015.</w:t>
      </w:r>
      <w:r>
        <w:rPr>
          <w:rStyle w:val="FootnoteReference"/>
        </w:rPr>
        <w:footnoteReference w:id="9"/>
      </w:r>
      <w:r w:rsidR="00E76572">
        <w:t xml:space="preserve"> The second was a technical paper on the elasticity of demand for water in the ACT released in February 2016.</w:t>
      </w:r>
      <w:r w:rsidR="00570913">
        <w:rPr>
          <w:rStyle w:val="FootnoteReference"/>
        </w:rPr>
        <w:footnoteReference w:id="10"/>
      </w:r>
    </w:p>
    <w:p w:rsidR="00D870F2" w:rsidRDefault="00B92427" w:rsidP="00D870F2">
      <w:r>
        <w:t>The issues paper</w:t>
      </w:r>
      <w:r w:rsidR="00D870F2">
        <w:t xml:space="preserve"> proposed </w:t>
      </w:r>
      <w:r w:rsidR="0045120F">
        <w:t xml:space="preserve">a frame of reference to guide the Commission’s evaluation of Icon Water’s existing tariff structures and potential alternatives. The framework comprises </w:t>
      </w:r>
      <w:r w:rsidR="00D870F2">
        <w:t>an overarching economic regulation objective and set of pricing principles</w:t>
      </w:r>
      <w:r w:rsidR="00A112E2">
        <w:t xml:space="preserve"> (see </w:t>
      </w:r>
      <w:r w:rsidR="00E8360B">
        <w:t>Box</w:t>
      </w:r>
      <w:r w:rsidR="006B61CD">
        <w:t> </w:t>
      </w:r>
      <w:r w:rsidR="00A112E2">
        <w:t>ES</w:t>
      </w:r>
      <w:r w:rsidR="00E8360B">
        <w:t>.1</w:t>
      </w:r>
      <w:r w:rsidR="00A112E2">
        <w:t>)</w:t>
      </w:r>
      <w:r w:rsidR="00E8360B">
        <w:t>.</w:t>
      </w:r>
    </w:p>
    <w:p w:rsidR="0062016C" w:rsidRDefault="00F223C5" w:rsidP="0062016C">
      <w:r>
        <w:t xml:space="preserve">The overarching objective </w:t>
      </w:r>
      <w:r w:rsidR="00B826B9">
        <w:t xml:space="preserve">seeks to </w:t>
      </w:r>
      <w:r>
        <w:t>promot</w:t>
      </w:r>
      <w:r w:rsidR="00B826B9">
        <w:t>e</w:t>
      </w:r>
      <w:r>
        <w:t xml:space="preserve"> </w:t>
      </w:r>
      <w:r w:rsidR="00B826B9">
        <w:t xml:space="preserve">the </w:t>
      </w:r>
      <w:r>
        <w:t>effic</w:t>
      </w:r>
      <w:r w:rsidR="00B826B9">
        <w:t xml:space="preserve">ient investment in, and efficient operation and use of, </w:t>
      </w:r>
      <w:r>
        <w:t xml:space="preserve">Icon Water’s regulated water and sewerage services </w:t>
      </w:r>
      <w:r w:rsidR="0062016C">
        <w:t xml:space="preserve">to </w:t>
      </w:r>
      <w:r>
        <w:t>maximise</w:t>
      </w:r>
      <w:r w:rsidR="00B826B9">
        <w:t xml:space="preserve"> </w:t>
      </w:r>
      <w:r>
        <w:t>the social welfare of the community over the long term.</w:t>
      </w:r>
      <w:r w:rsidR="00BD0EAB">
        <w:rPr>
          <w:rStyle w:val="FootnoteReference"/>
        </w:rPr>
        <w:footnoteReference w:id="11"/>
      </w:r>
      <w:r w:rsidR="00C54DB8">
        <w:t xml:space="preserve"> S</w:t>
      </w:r>
      <w:r w:rsidR="00211FF5">
        <w:t xml:space="preserve">ocial welfare is maximised at the point at which </w:t>
      </w:r>
      <w:r w:rsidR="0062016C">
        <w:t>it is impossible to make some individuals better off without making some other individuals worse off.</w:t>
      </w:r>
      <w:r w:rsidR="00211FF5">
        <w:t xml:space="preserve"> Such an outcome is termed </w:t>
      </w:r>
      <w:r w:rsidR="009271B8">
        <w:t xml:space="preserve">Pareto-optimal or </w:t>
      </w:r>
      <w:r w:rsidR="00211FF5">
        <w:t xml:space="preserve">Pareto-efficient. </w:t>
      </w:r>
    </w:p>
    <w:p w:rsidR="009271B8" w:rsidRDefault="009271B8" w:rsidP="009271B8">
      <w:r>
        <w:t>Pareto optimality addresses the organisation of production and the allocation of resulting commodities among consumers. The ‘organisation of production’ part deals with what is commonly termed productive or technical efficiency and is concerned with the allocation of factors of production to ensure goods and services are produced at the lowest possible resource cost. The ‘allocation of resulting commodities among consumers’ part deals with what is often called ‘allocative efficiency’ and is concerned with the efficient allocation of resources and commodities between competing uses. A Pareto optimal outcome is one where the commodities, or services in this particular case, are produced at least cost and allocated efficiently between consumers.</w:t>
      </w:r>
    </w:p>
    <w:p w:rsidR="009271B8" w:rsidRDefault="009271B8" w:rsidP="009271B8"/>
    <w:p w:rsidR="00D870F2" w:rsidRDefault="00635693" w:rsidP="00BA796C">
      <w:r>
        <w:lastRenderedPageBreak/>
        <w:t>The p</w:t>
      </w:r>
      <w:r w:rsidRPr="007E7C9C">
        <w:t>roductive efficiency</w:t>
      </w:r>
      <w:r>
        <w:t xml:space="preserve"> of the delivery of water and sewerage services is a key consideration in the Commission’s review of the prudence and efficiency of Icon Water’s operating and capital costs as part of a price investigation process leading up to a new regulatory period. In considering the design of water and sewerage services tariffs in this review, it is the allocative efficiency aspect of Pareto optimality which is of primary relevance </w:t>
      </w:r>
      <w:r>
        <w:sym w:font="Symbol" w:char="F02D"/>
      </w:r>
      <w:r>
        <w:t xml:space="preserve"> that is, the efficient allocation of water and sewerage services to Icon Water customers.</w:t>
      </w:r>
      <w:r>
        <w:rPr>
          <w:rStyle w:val="FootnoteReference"/>
        </w:rPr>
        <w:footnoteReference w:id="12"/>
      </w:r>
    </w:p>
    <w:p w:rsidR="005B2722" w:rsidRDefault="00467EEA" w:rsidP="00BA796C">
      <w:r>
        <w:t>The set of proposed pricing principles</w:t>
      </w:r>
      <w:r w:rsidR="009E6545">
        <w:t xml:space="preserve"> </w:t>
      </w:r>
      <w:r>
        <w:t>has been categorised into three streams: economic efficiency, financial viability and community impacts.</w:t>
      </w:r>
      <w:r w:rsidR="004E2F2C">
        <w:t xml:space="preserve"> For the purposes of this paper on marginal cost</w:t>
      </w:r>
      <w:r w:rsidR="004602DC">
        <w:t xml:space="preserve"> pricing</w:t>
      </w:r>
      <w:r w:rsidR="004E2F2C">
        <w:t xml:space="preserve">, it is the first principle that </w:t>
      </w:r>
      <w:r w:rsidR="004602DC">
        <w:t xml:space="preserve">is </w:t>
      </w:r>
      <w:r w:rsidR="009E6545">
        <w:t xml:space="preserve">the </w:t>
      </w:r>
      <w:r w:rsidR="004602DC">
        <w:t>p</w:t>
      </w:r>
      <w:r w:rsidR="00FA3F03">
        <w:t xml:space="preserve">rimary </w:t>
      </w:r>
      <w:r w:rsidR="009E6545">
        <w:t>focus</w:t>
      </w:r>
      <w:r w:rsidR="004602DC">
        <w:t>.</w:t>
      </w:r>
    </w:p>
    <w:p w:rsidR="008E1468" w:rsidRDefault="00FA3F03" w:rsidP="00BA796C">
      <w:r>
        <w:t>Th</w:t>
      </w:r>
      <w:r w:rsidR="005B2722">
        <w:t>e first</w:t>
      </w:r>
      <w:r>
        <w:t xml:space="preserve"> </w:t>
      </w:r>
      <w:r w:rsidR="004E2F2C">
        <w:t xml:space="preserve">principle follows directly from the overarching objective and deals with the efficient allocation of water and sewerage services to Icon Water customers. An economically efficient (to the extent possible given the natural monopoly situation and a revenue constraint) tariff structure will assist in achieving the objective of maximising social welfare by providing price signals </w:t>
      </w:r>
      <w:r w:rsidR="004E2F2C">
        <w:sym w:font="Symbol" w:char="F02D"/>
      </w:r>
      <w:r w:rsidR="004E2F2C">
        <w:t xml:space="preserve"> often called cost-reflective pricing </w:t>
      </w:r>
      <w:r w:rsidR="004E2F2C">
        <w:sym w:font="Symbol" w:char="F02D"/>
      </w:r>
      <w:r w:rsidR="004E2F2C">
        <w:t xml:space="preserve"> to Icon Water customers about the efficient costs and therefore the efficient use of the service infrastructure and water resource.</w:t>
      </w:r>
      <w:r w:rsidR="004E2F2C">
        <w:rPr>
          <w:rStyle w:val="FootnoteReference"/>
        </w:rPr>
        <w:footnoteReference w:id="13"/>
      </w:r>
      <w:r w:rsidR="006F47C5">
        <w:t xml:space="preserve"> Marginal cost pricing is an approach commonly advocated to give effect to this proposed principle when regulating monopoly utility prices.</w:t>
      </w:r>
    </w:p>
    <w:p w:rsidR="00A1723E" w:rsidRDefault="00A1723E" w:rsidP="00A1723E">
      <w:r w:rsidRPr="00A1723E">
        <w:t>In its simplest form, marginal cost pricing involves setting price equal to the marginal cost of providing water and sewerage service</w:t>
      </w:r>
      <w:r w:rsidR="00EB0A10">
        <w:t>s</w:t>
      </w:r>
      <w:r w:rsidRPr="00A1723E">
        <w:t xml:space="preserve">. Marginal cost, </w:t>
      </w:r>
      <w:r w:rsidR="0061797D">
        <w:t xml:space="preserve">as defined by </w:t>
      </w:r>
      <w:r w:rsidR="00C04337">
        <w:fldChar w:fldCharType="begin"/>
      </w:r>
      <w:r w:rsidR="0061797D">
        <w:instrText xml:space="preserve"> ADDIN EN.CITE &lt;EndNote&gt;&lt;Cite&gt;&lt;Author&gt;Turvey&lt;/Author&gt;&lt;Year&gt;1976&lt;/Year&gt;&lt;RecNum&gt;519&lt;/RecNum&gt;&lt;DisplayText&gt;Turvey (1976)&lt;/DisplayText&gt;&lt;record&gt;&lt;rec-number&gt;519&lt;/rec-number&gt;&lt;foreign-keys&gt;&lt;key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hyperlink w:anchor="_ENREF_72" w:tooltip="Turvey, 1976 #519" w:history="1">
        <w:r w:rsidR="000F2FEB">
          <w:rPr>
            <w:noProof/>
          </w:rPr>
          <w:t>Turvey (1976</w:t>
        </w:r>
      </w:hyperlink>
      <w:r w:rsidR="0061797D">
        <w:rPr>
          <w:noProof/>
        </w:rPr>
        <w:t>)</w:t>
      </w:r>
      <w:r w:rsidR="00C04337">
        <w:fldChar w:fldCharType="end"/>
      </w:r>
      <w:r>
        <w:t>:</w:t>
      </w:r>
    </w:p>
    <w:p w:rsidR="00A1723E" w:rsidRDefault="00A1723E" w:rsidP="00A1723E">
      <w:pPr>
        <w:pStyle w:val="Quote"/>
      </w:pPr>
      <w:r w:rsidRPr="00A1723E">
        <w:t>is the effect upon future system costs of a small increment or decrement to the projected growth of demand</w:t>
      </w:r>
      <w:r>
        <w:t>.</w:t>
      </w:r>
      <w:r>
        <w:rPr>
          <w:rStyle w:val="FootnoteReference"/>
        </w:rPr>
        <w:footnoteReference w:id="14"/>
      </w:r>
    </w:p>
    <w:p w:rsidR="0061797D" w:rsidRPr="00470428" w:rsidRDefault="000116EA" w:rsidP="00996D2D">
      <w:r w:rsidRPr="00470428">
        <w:t>As such, marginal cost is a forward</w:t>
      </w:r>
      <w:r w:rsidR="00470428" w:rsidRPr="00470428">
        <w:t>-</w:t>
      </w:r>
      <w:r w:rsidRPr="00470428">
        <w:t xml:space="preserve">looking concept. </w:t>
      </w:r>
      <w:r w:rsidR="00470428" w:rsidRPr="00470428">
        <w:t xml:space="preserve">This differs from the </w:t>
      </w:r>
      <w:r w:rsidR="00A1723E" w:rsidRPr="00470428">
        <w:t xml:space="preserve">Commission’s current approach to setting Icon Water’s prices </w:t>
      </w:r>
      <w:r w:rsidR="00470428" w:rsidRPr="00470428">
        <w:t xml:space="preserve">which can be characterised as </w:t>
      </w:r>
      <w:r w:rsidR="00470428">
        <w:t>backward-looking as</w:t>
      </w:r>
      <w:r w:rsidR="00B71956">
        <w:t>, in the case of water</w:t>
      </w:r>
      <w:r w:rsidR="00D978F5">
        <w:t xml:space="preserve"> for example</w:t>
      </w:r>
      <w:r w:rsidR="00B71956">
        <w:t xml:space="preserve">, </w:t>
      </w:r>
      <w:r w:rsidR="00EB0A10">
        <w:t xml:space="preserve">prices are </w:t>
      </w:r>
      <w:r w:rsidR="00470428">
        <w:t>‘</w:t>
      </w:r>
      <w:r w:rsidR="00470428" w:rsidRPr="00470428">
        <w:t>based on the annualized cost of providing the most recent realized supply augmentation</w:t>
      </w:r>
      <w:r w:rsidR="00470428">
        <w:t>’</w:t>
      </w:r>
      <w:r w:rsidR="00A1723E" w:rsidRPr="00470428">
        <w:t>.</w:t>
      </w:r>
      <w:r w:rsidR="00470428">
        <w:rPr>
          <w:rStyle w:val="FootnoteReference"/>
        </w:rPr>
        <w:footnoteReference w:id="15"/>
      </w:r>
    </w:p>
    <w:p w:rsidR="005B2722" w:rsidRDefault="005B2722" w:rsidP="00BA796C">
      <w:r>
        <w:t>The pricing principle</w:t>
      </w:r>
      <w:r w:rsidR="00123962">
        <w:t>s</w:t>
      </w:r>
      <w:r w:rsidR="00937ECC">
        <w:t xml:space="preserve"> relating to full cost recovery, </w:t>
      </w:r>
      <w:r w:rsidR="00B57B9C">
        <w:t>price path stability</w:t>
      </w:r>
      <w:r w:rsidR="00123962">
        <w:t xml:space="preserve"> and </w:t>
      </w:r>
      <w:r w:rsidR="00937ECC">
        <w:t xml:space="preserve">the </w:t>
      </w:r>
      <w:r w:rsidR="00123962">
        <w:t xml:space="preserve">transition </w:t>
      </w:r>
      <w:r w:rsidR="00937ECC">
        <w:t>to a new tariff structure</w:t>
      </w:r>
      <w:r w:rsidR="00B57B9C">
        <w:t>,</w:t>
      </w:r>
      <w:r w:rsidR="00123962">
        <w:t xml:space="preserve"> are</w:t>
      </w:r>
      <w:r w:rsidR="00B57B9C">
        <w:t xml:space="preserve"> </w:t>
      </w:r>
      <w:r>
        <w:t>also relevant</w:t>
      </w:r>
      <w:r w:rsidR="00937ECC">
        <w:t xml:space="preserve"> to marginal cost pricing</w:t>
      </w:r>
      <w:r>
        <w:t xml:space="preserve">, albeit </w:t>
      </w:r>
      <w:r w:rsidR="00937ECC">
        <w:lastRenderedPageBreak/>
        <w:t>from the perspective of</w:t>
      </w:r>
      <w:r>
        <w:t xml:space="preserve"> the </w:t>
      </w:r>
      <w:r w:rsidR="00C70AF0">
        <w:t xml:space="preserve">Commission’s recommendation at the conclusion of this tariff review </w:t>
      </w:r>
      <w:r>
        <w:t xml:space="preserve">on whether or not to </w:t>
      </w:r>
      <w:r w:rsidR="00B57B9C">
        <w:t xml:space="preserve">implement </w:t>
      </w:r>
      <w:r w:rsidR="00937ECC">
        <w:t xml:space="preserve">such a </w:t>
      </w:r>
      <w:r>
        <w:t>pricing</w:t>
      </w:r>
      <w:r w:rsidR="00B57B9C">
        <w:t xml:space="preserve"> </w:t>
      </w:r>
      <w:r w:rsidR="00937ECC">
        <w:t xml:space="preserve">approach </w:t>
      </w:r>
      <w:r w:rsidR="00B57B9C">
        <w:t>in the ACT.</w:t>
      </w:r>
    </w:p>
    <w:p w:rsidR="00D736A6" w:rsidRDefault="00D736A6" w:rsidP="00D736A6">
      <w:r>
        <w:t>The objective of this technical paper is therefore to answer two questions:</w:t>
      </w:r>
    </w:p>
    <w:p w:rsidR="00D736A6" w:rsidRDefault="00D736A6" w:rsidP="00D736A6">
      <w:pPr>
        <w:pStyle w:val="ListNumber"/>
        <w:numPr>
          <w:ilvl w:val="0"/>
          <w:numId w:val="33"/>
        </w:numPr>
      </w:pPr>
      <w:r>
        <w:t>Is Icon Water’s current tariff structure providing suitable price signals to its customers about the efficient costs of water and sewerage services?</w:t>
      </w:r>
    </w:p>
    <w:p w:rsidR="00D736A6" w:rsidRDefault="00D736A6" w:rsidP="00D736A6">
      <w:pPr>
        <w:pStyle w:val="ListNumber"/>
        <w:numPr>
          <w:ilvl w:val="0"/>
          <w:numId w:val="33"/>
        </w:numPr>
      </w:pPr>
      <w:r>
        <w:t xml:space="preserve">If not, what would a more efficient tariff structure look like?     </w:t>
      </w:r>
    </w:p>
    <w:p w:rsidR="00D736A6" w:rsidRDefault="00D736A6" w:rsidP="00BA796C">
      <w:r>
        <w:t>The marginal cost pricing approach provides a yardstick by which to assess the efficiency of Icon Water’s current tariff structure.</w:t>
      </w:r>
      <w:r w:rsidR="00761C9A">
        <w:t xml:space="preserve"> However, before this yardstick can be applied, two things need to be done. First, a number of theoretical issues relevant to the development of marginal cost pricing and its application in public utility pricing need to be considered. Second, a range of issues associated with measuring marginal cost in a public utility industry require examination.</w:t>
      </w:r>
    </w:p>
    <w:p w:rsidR="009E3CC4" w:rsidRDefault="004F6B39" w:rsidP="00BA796C">
      <w:r>
        <w:t xml:space="preserve">Against the backdrop of the overarching economic efficiency </w:t>
      </w:r>
      <w:r w:rsidR="000116EA">
        <w:t xml:space="preserve">objective </w:t>
      </w:r>
      <w:r>
        <w:t>and relevant pricing principles, t</w:t>
      </w:r>
      <w:r w:rsidR="009E3CC4">
        <w:t xml:space="preserve">his paper </w:t>
      </w:r>
      <w:r w:rsidR="00F678C8">
        <w:t xml:space="preserve">first </w:t>
      </w:r>
      <w:r w:rsidR="009E3CC4">
        <w:t>examines the theory and practice of marginal cost pricing</w:t>
      </w:r>
      <w:r w:rsidR="00D83575">
        <w:t xml:space="preserve"> and methods for estimating marginal cost, </w:t>
      </w:r>
      <w:r w:rsidR="00710636">
        <w:t xml:space="preserve">before </w:t>
      </w:r>
      <w:r>
        <w:t xml:space="preserve">providing a current </w:t>
      </w:r>
      <w:r w:rsidR="00710636">
        <w:t>estimat</w:t>
      </w:r>
      <w:r>
        <w:t>e</w:t>
      </w:r>
      <w:r w:rsidR="00D27FF8">
        <w:t xml:space="preserve"> of</w:t>
      </w:r>
      <w:r w:rsidR="00710636">
        <w:t xml:space="preserve"> the marginal cost of </w:t>
      </w:r>
      <w:r>
        <w:t xml:space="preserve">providing regulated </w:t>
      </w:r>
      <w:r w:rsidR="00710636">
        <w:t xml:space="preserve">water and sewerage </w:t>
      </w:r>
      <w:r>
        <w:t xml:space="preserve">services </w:t>
      </w:r>
      <w:r w:rsidR="00710636">
        <w:t xml:space="preserve">in the ACT. </w:t>
      </w:r>
    </w:p>
    <w:p w:rsidR="000042B1" w:rsidRDefault="000042B1" w:rsidP="00BA796C">
      <w:r>
        <w:t xml:space="preserve">Chapter </w:t>
      </w:r>
      <w:r w:rsidR="00C04337">
        <w:fldChar w:fldCharType="begin"/>
      </w:r>
      <w:r w:rsidR="000506E8">
        <w:instrText xml:space="preserve"> REF _Ref447870428 \r \h </w:instrText>
      </w:r>
      <w:r w:rsidR="00C04337">
        <w:fldChar w:fldCharType="separate"/>
      </w:r>
      <w:r w:rsidR="00027D28">
        <w:t>2</w:t>
      </w:r>
      <w:r w:rsidR="00C04337">
        <w:fldChar w:fldCharType="end"/>
      </w:r>
      <w:r w:rsidR="000506E8">
        <w:t xml:space="preserve"> </w:t>
      </w:r>
      <w:r>
        <w:t xml:space="preserve">examines </w:t>
      </w:r>
      <w:r w:rsidR="004602DC">
        <w:t xml:space="preserve">the </w:t>
      </w:r>
      <w:r w:rsidR="00D9437A">
        <w:t xml:space="preserve">textbook </w:t>
      </w:r>
      <w:r w:rsidR="004602DC">
        <w:t xml:space="preserve">economic </w:t>
      </w:r>
      <w:r w:rsidR="002C6D65">
        <w:t xml:space="preserve">motivation </w:t>
      </w:r>
      <w:r w:rsidR="004602DC">
        <w:t>for marginal cost pricing</w:t>
      </w:r>
      <w:r>
        <w:t>, before exploring the threshold issue of whether consumers respond to marginal or average prices</w:t>
      </w:r>
      <w:r w:rsidR="00C167FA">
        <w:t xml:space="preserve">. </w:t>
      </w:r>
      <w:r>
        <w:t xml:space="preserve">The debate about whether prices should reflect short- or long-run marginal cost is then canvassed. </w:t>
      </w:r>
    </w:p>
    <w:p w:rsidR="004602DC" w:rsidRDefault="00C167FA" w:rsidP="00BA796C">
      <w:r>
        <w:t>This is followed by consideration of the application of marginal cost pricing in a natural monopoly industry, such as the provision of urban water and sewerage services, which is characterised by conditions of decreasing average costs.</w:t>
      </w:r>
      <w:r w:rsidR="000042B1">
        <w:t xml:space="preserve"> </w:t>
      </w:r>
      <w:r w:rsidR="00D9437A">
        <w:t xml:space="preserve">This </w:t>
      </w:r>
      <w:r>
        <w:t xml:space="preserve">section </w:t>
      </w:r>
      <w:r w:rsidR="00D9437A">
        <w:t xml:space="preserve">includes a brief </w:t>
      </w:r>
      <w:r w:rsidR="006138C4">
        <w:t xml:space="preserve">excursion </w:t>
      </w:r>
      <w:r w:rsidR="00D9437A">
        <w:t xml:space="preserve">into </w:t>
      </w:r>
      <w:r w:rsidR="000042B1">
        <w:t xml:space="preserve">the key </w:t>
      </w:r>
      <w:r w:rsidR="009E3CC4">
        <w:t xml:space="preserve">theoretical </w:t>
      </w:r>
      <w:r w:rsidR="00D9437A">
        <w:t xml:space="preserve">debate </w:t>
      </w:r>
      <w:r>
        <w:t>in the economic literature</w:t>
      </w:r>
      <w:r w:rsidR="000042B1">
        <w:t xml:space="preserve">; that between </w:t>
      </w:r>
      <w:r w:rsidR="00CB2B96">
        <w:t>those who support utility revenue shortfalls being made up through general taxation, such as Harold Hotelling and William Vickrey, and those that favour utility customers footing the total costs, such as Ronald Coase.</w:t>
      </w:r>
      <w:r w:rsidR="00CB2B96">
        <w:rPr>
          <w:rStyle w:val="FootnoteReference"/>
        </w:rPr>
        <w:footnoteReference w:id="16"/>
      </w:r>
      <w:r w:rsidR="00CB2B96">
        <w:t xml:space="preserve"> It was this debate that led to the multi-part tariff pricing approach that is commonly applied in regulated natural monopoly industries worldwide. </w:t>
      </w:r>
      <w:r w:rsidR="00BC7206">
        <w:t xml:space="preserve">This section also considers the implications of inclining block tariffs for marginal cost pricing, and the Ramsey pricing approach.  </w:t>
      </w:r>
    </w:p>
    <w:p w:rsidR="004602DC" w:rsidRDefault="004B428E" w:rsidP="00BA796C">
      <w:r>
        <w:t xml:space="preserve">Chapter </w:t>
      </w:r>
      <w:r w:rsidR="00C04337">
        <w:fldChar w:fldCharType="begin"/>
      </w:r>
      <w:r w:rsidR="00D27FF8">
        <w:instrText xml:space="preserve"> REF _Ref448923205 \r \h </w:instrText>
      </w:r>
      <w:r w:rsidR="00C04337">
        <w:fldChar w:fldCharType="separate"/>
      </w:r>
      <w:r w:rsidR="00027D28">
        <w:t>3</w:t>
      </w:r>
      <w:r w:rsidR="00C04337">
        <w:fldChar w:fldCharType="end"/>
      </w:r>
      <w:r w:rsidR="00D27FF8">
        <w:t xml:space="preserve"> </w:t>
      </w:r>
      <w:r>
        <w:t xml:space="preserve">considers methods for measuring marginal cost </w:t>
      </w:r>
      <w:r w:rsidR="003F0448">
        <w:t>in a regulated industry</w:t>
      </w:r>
      <w:r w:rsidR="00476E71">
        <w:t xml:space="preserve">. </w:t>
      </w:r>
      <w:r w:rsidR="00EE1BC9">
        <w:t xml:space="preserve">This </w:t>
      </w:r>
      <w:r w:rsidR="00FE1091">
        <w:t xml:space="preserve">chapter </w:t>
      </w:r>
      <w:r w:rsidR="002C6D65">
        <w:t xml:space="preserve">starts with defining what we mean by marginal cost, including the scope and timing elements, both of which directly impact the marginal cost calculation. </w:t>
      </w:r>
      <w:r w:rsidR="00FE1091">
        <w:t>A</w:t>
      </w:r>
      <w:r w:rsidR="00107A5A">
        <w:t xml:space="preserve"> range of d</w:t>
      </w:r>
      <w:r w:rsidR="002C6D65">
        <w:t>ifferent methodologies for calculating long</w:t>
      </w:r>
      <w:r>
        <w:t>-</w:t>
      </w:r>
      <w:r w:rsidR="002C6D65">
        <w:t xml:space="preserve">run marginal cost are then </w:t>
      </w:r>
      <w:r w:rsidR="002E022B">
        <w:t>discussed</w:t>
      </w:r>
      <w:r w:rsidR="00107A5A">
        <w:t>.</w:t>
      </w:r>
      <w:r w:rsidR="002C6D65">
        <w:t xml:space="preserve"> </w:t>
      </w:r>
      <w:r w:rsidR="00A43BEB">
        <w:t>A</w:t>
      </w:r>
      <w:r w:rsidR="009D5AD7">
        <w:t xml:space="preserve"> </w:t>
      </w:r>
      <w:r w:rsidR="009D5AD7">
        <w:lastRenderedPageBreak/>
        <w:t xml:space="preserve">brief review of the </w:t>
      </w:r>
      <w:r w:rsidR="00EB4028">
        <w:t>methods applied by other utility regulators in Australia and overseas</w:t>
      </w:r>
      <w:r w:rsidR="00A43BEB">
        <w:t xml:space="preserve"> is also pr</w:t>
      </w:r>
      <w:r w:rsidR="000D383B">
        <w:t>esented</w:t>
      </w:r>
      <w:r w:rsidR="00EB4028">
        <w:t>.</w:t>
      </w:r>
    </w:p>
    <w:p w:rsidR="00D906AA" w:rsidRDefault="00133D16" w:rsidP="000506E8">
      <w:r>
        <w:t xml:space="preserve">Chapter </w:t>
      </w:r>
      <w:r w:rsidR="00C04337">
        <w:fldChar w:fldCharType="begin"/>
      </w:r>
      <w:r w:rsidR="000506E8">
        <w:instrText xml:space="preserve"> REF _Ref448321586 \r \h </w:instrText>
      </w:r>
      <w:r w:rsidR="00C04337">
        <w:fldChar w:fldCharType="separate"/>
      </w:r>
      <w:r w:rsidR="00027D28">
        <w:t>4</w:t>
      </w:r>
      <w:r w:rsidR="00C04337">
        <w:fldChar w:fldCharType="end"/>
      </w:r>
      <w:r>
        <w:t xml:space="preserve"> </w:t>
      </w:r>
      <w:r w:rsidR="006C3D63">
        <w:t xml:space="preserve">provides a current estimate of the marginal cost of the provision of </w:t>
      </w:r>
      <w:r w:rsidR="00B60107">
        <w:t xml:space="preserve">regulated </w:t>
      </w:r>
      <w:r w:rsidR="006C3D63">
        <w:t xml:space="preserve">water </w:t>
      </w:r>
      <w:r w:rsidR="00B60107">
        <w:t xml:space="preserve">services </w:t>
      </w:r>
      <w:r w:rsidR="006C3D63">
        <w:t>by Icon Water in the ACT</w:t>
      </w:r>
      <w:r w:rsidR="000D383B">
        <w:t xml:space="preserve"> using the method</w:t>
      </w:r>
      <w:r w:rsidR="005A68E9">
        <w:t>s</w:t>
      </w:r>
      <w:r w:rsidR="000D383B">
        <w:t xml:space="preserve"> </w:t>
      </w:r>
      <w:r w:rsidR="005A68E9">
        <w:t xml:space="preserve">described </w:t>
      </w:r>
      <w:r w:rsidR="000D383B">
        <w:t xml:space="preserve">in </w:t>
      </w:r>
      <w:r w:rsidR="00E83E56">
        <w:t>Chapter</w:t>
      </w:r>
      <w:r w:rsidR="00D27FF8">
        <w:t xml:space="preserve"> </w:t>
      </w:r>
      <w:r w:rsidR="00C04337">
        <w:fldChar w:fldCharType="begin"/>
      </w:r>
      <w:r w:rsidR="00D27FF8">
        <w:instrText xml:space="preserve"> REF _Ref448923205 \r \h </w:instrText>
      </w:r>
      <w:r w:rsidR="00C04337">
        <w:fldChar w:fldCharType="separate"/>
      </w:r>
      <w:r w:rsidR="00027D28">
        <w:t>3</w:t>
      </w:r>
      <w:r w:rsidR="00C04337">
        <w:fldChar w:fldCharType="end"/>
      </w:r>
      <w:r w:rsidR="006C3D63">
        <w:t>.</w:t>
      </w:r>
    </w:p>
    <w:p w:rsidR="000506E8" w:rsidRDefault="000506E8" w:rsidP="000506E8">
      <w:r>
        <w:t xml:space="preserve">Chapter </w:t>
      </w:r>
      <w:r w:rsidR="00C04337">
        <w:fldChar w:fldCharType="begin"/>
      </w:r>
      <w:r>
        <w:instrText xml:space="preserve"> REF _Ref448321607 \r \h </w:instrText>
      </w:r>
      <w:r w:rsidR="00C04337">
        <w:fldChar w:fldCharType="separate"/>
      </w:r>
      <w:r w:rsidR="00027D28">
        <w:t>5</w:t>
      </w:r>
      <w:r w:rsidR="00C04337">
        <w:fldChar w:fldCharType="end"/>
      </w:r>
      <w:r>
        <w:t xml:space="preserve"> provides a current estimate of the marginal cost of the provision of regulated sewerage services by Icon Water in the ACT.</w:t>
      </w:r>
    </w:p>
    <w:p w:rsidR="00710636" w:rsidRDefault="00467704" w:rsidP="00BA796C">
      <w:r>
        <w:t xml:space="preserve">The paper concludes </w:t>
      </w:r>
      <w:r w:rsidR="006F7AE6">
        <w:t xml:space="preserve">in Chapter </w:t>
      </w:r>
      <w:r w:rsidR="00C04337">
        <w:fldChar w:fldCharType="begin"/>
      </w:r>
      <w:r w:rsidR="006F7AE6">
        <w:instrText xml:space="preserve"> REF _Ref449078808 \r \h </w:instrText>
      </w:r>
      <w:r w:rsidR="00C04337">
        <w:fldChar w:fldCharType="separate"/>
      </w:r>
      <w:r w:rsidR="00027D28">
        <w:t>6</w:t>
      </w:r>
      <w:r w:rsidR="00C04337">
        <w:fldChar w:fldCharType="end"/>
      </w:r>
      <w:r w:rsidR="006F7AE6">
        <w:t xml:space="preserve"> </w:t>
      </w:r>
      <w:r>
        <w:t xml:space="preserve">by </w:t>
      </w:r>
      <w:r w:rsidR="00024F42">
        <w:t xml:space="preserve">considering the implications of implementing marginal cost pricing for water and sewerage services in the ACT. As this is a technical paper, the focus </w:t>
      </w:r>
      <w:r w:rsidR="006F7AE6">
        <w:t xml:space="preserve">is </w:t>
      </w:r>
      <w:r w:rsidR="00024F42">
        <w:t>primarily on economic efficiency. Other matters</w:t>
      </w:r>
      <w:r w:rsidR="00024F42" w:rsidRPr="00024F42">
        <w:t xml:space="preserve"> </w:t>
      </w:r>
      <w:r w:rsidR="00024F42">
        <w:t xml:space="preserve">that the Commission is required to have regard to, such as the social or distributional impacts of adopting this pricing approach, will be </w:t>
      </w:r>
      <w:r w:rsidR="00C11776">
        <w:t xml:space="preserve">considered </w:t>
      </w:r>
      <w:r w:rsidR="00024F42">
        <w:t>in the draft report.</w:t>
      </w:r>
    </w:p>
    <w:p w:rsidR="00BF6EE5" w:rsidRDefault="00C11776" w:rsidP="002B6726">
      <w:pPr>
        <w:pStyle w:val="Heading2"/>
      </w:pPr>
      <w:bookmarkStart w:id="46" w:name="Scope"/>
      <w:bookmarkStart w:id="47" w:name="Timeline"/>
      <w:bookmarkStart w:id="48" w:name="_Toc368572036"/>
      <w:bookmarkStart w:id="49" w:name="_Toc453920856"/>
      <w:bookmarkEnd w:id="42"/>
      <w:bookmarkEnd w:id="43"/>
      <w:bookmarkEnd w:id="46"/>
      <w:bookmarkEnd w:id="47"/>
      <w:r>
        <w:t>Tariff r</w:t>
      </w:r>
      <w:r w:rsidR="00FE15B4">
        <w:t xml:space="preserve">eview </w:t>
      </w:r>
      <w:r w:rsidR="00BF6EE5">
        <w:t>timeline</w:t>
      </w:r>
      <w:bookmarkEnd w:id="48"/>
      <w:r w:rsidR="00DE7432">
        <w:t xml:space="preserve"> and submission process</w:t>
      </w:r>
      <w:bookmarkEnd w:id="49"/>
    </w:p>
    <w:p w:rsidR="00BF6EE5" w:rsidRPr="00AE2809" w:rsidRDefault="00BF6EE5" w:rsidP="00117078">
      <w:r w:rsidRPr="00AE2809">
        <w:t xml:space="preserve">The </w:t>
      </w:r>
      <w:r w:rsidR="00E10B52">
        <w:t xml:space="preserve">indicative </w:t>
      </w:r>
      <w:r w:rsidRPr="00AE2809">
        <w:t xml:space="preserve">timeline </w:t>
      </w:r>
      <w:r w:rsidR="00251890">
        <w:t xml:space="preserve">for the remainder of the review is </w:t>
      </w:r>
      <w:r>
        <w:t xml:space="preserve">set out in </w:t>
      </w:r>
      <w:fldSimple w:instr=" REF _Ref366755611 \h  \* MERGEFORMAT ">
        <w:r w:rsidR="00027D28" w:rsidRPr="003C3AEA">
          <w:t>Table</w:t>
        </w:r>
        <w:r w:rsidR="00027D28">
          <w:t xml:space="preserve"> </w:t>
        </w:r>
        <w:r w:rsidR="00027D28">
          <w:rPr>
            <w:noProof/>
          </w:rPr>
          <w:t>1.1</w:t>
        </w:r>
      </w:fldSimple>
      <w:r w:rsidRPr="00AE2809">
        <w:t>.</w:t>
      </w:r>
    </w:p>
    <w:p w:rsidR="00BF6EE5" w:rsidRDefault="00BF6EE5" w:rsidP="00953B98">
      <w:pPr>
        <w:pStyle w:val="FigureName"/>
        <w:keepNext/>
      </w:pPr>
      <w:bookmarkStart w:id="50" w:name="_Ref366755611"/>
      <w:bookmarkStart w:id="51" w:name="_Toc367181957"/>
      <w:bookmarkStart w:id="52" w:name="_Toc368572051"/>
      <w:bookmarkStart w:id="53" w:name="_Toc453920892"/>
      <w:r w:rsidRPr="003C3AEA">
        <w:t>Table</w:t>
      </w:r>
      <w:r>
        <w:t xml:space="preserve"> </w:t>
      </w:r>
      <w:r w:rsidR="00C04337">
        <w:fldChar w:fldCharType="begin"/>
      </w:r>
      <w:r>
        <w:instrText xml:space="preserve"> STYLEREF 1 \s </w:instrText>
      </w:r>
      <w:r w:rsidR="00C04337">
        <w:fldChar w:fldCharType="separate"/>
      </w:r>
      <w:r w:rsidR="00027D28">
        <w:rPr>
          <w:noProof/>
        </w:rPr>
        <w:t>1</w:t>
      </w:r>
      <w:r w:rsidR="00C04337">
        <w:fldChar w:fldCharType="end"/>
      </w:r>
      <w:r>
        <w:t>.</w:t>
      </w:r>
      <w:r w:rsidR="00C04337">
        <w:fldChar w:fldCharType="begin"/>
      </w:r>
      <w:r>
        <w:instrText xml:space="preserve"> SEQ Table \* ARABIC \s 1 </w:instrText>
      </w:r>
      <w:r w:rsidR="00C04337">
        <w:fldChar w:fldCharType="separate"/>
      </w:r>
      <w:r w:rsidR="00027D28">
        <w:rPr>
          <w:noProof/>
        </w:rPr>
        <w:t>1</w:t>
      </w:r>
      <w:r w:rsidR="00C04337">
        <w:fldChar w:fldCharType="end"/>
      </w:r>
      <w:bookmarkEnd w:id="50"/>
      <w:r>
        <w:tab/>
        <w:t xml:space="preserve">Indicative timeline for the </w:t>
      </w:r>
      <w:bookmarkEnd w:id="51"/>
      <w:bookmarkEnd w:id="52"/>
      <w:r w:rsidR="003218A9">
        <w:t>tariff review</w:t>
      </w:r>
      <w:bookmarkEnd w:id="53"/>
    </w:p>
    <w:tbl>
      <w:tblPr>
        <w:tblW w:w="3825" w:type="pct"/>
        <w:tblBorders>
          <w:top w:val="single" w:sz="12" w:space="0" w:color="333399"/>
          <w:bottom w:val="single" w:sz="12" w:space="0" w:color="333399"/>
        </w:tblBorders>
        <w:tblCellMar>
          <w:left w:w="115" w:type="dxa"/>
          <w:right w:w="115" w:type="dxa"/>
        </w:tblCellMar>
        <w:tblLook w:val="0000"/>
      </w:tblPr>
      <w:tblGrid>
        <w:gridCol w:w="4498"/>
        <w:gridCol w:w="1577"/>
      </w:tblGrid>
      <w:tr w:rsidR="00BF6EE5" w:rsidRPr="00144F8C" w:rsidTr="00A35F80">
        <w:trPr>
          <w:cantSplit/>
        </w:trPr>
        <w:tc>
          <w:tcPr>
            <w:tcW w:w="3702"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BF6EE5" w:rsidRPr="00347ADB" w:rsidRDefault="00BF6EE5" w:rsidP="00953B98">
            <w:pPr>
              <w:pStyle w:val="TableHeadingLeft"/>
              <w:keepNext/>
            </w:pPr>
            <w:r w:rsidRPr="00901DA4">
              <w:t>Task</w:t>
            </w:r>
          </w:p>
        </w:tc>
        <w:tc>
          <w:tcPr>
            <w:tcW w:w="1298"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BF6EE5" w:rsidRPr="00347ADB" w:rsidRDefault="00BF6EE5" w:rsidP="00953B98">
            <w:pPr>
              <w:pStyle w:val="TableHeadingLeft"/>
              <w:keepNext/>
            </w:pPr>
            <w:r w:rsidRPr="00901DA4">
              <w:t>Date</w:t>
            </w:r>
          </w:p>
        </w:tc>
      </w:tr>
      <w:tr w:rsidR="00DF26F0" w:rsidRPr="00144F8C" w:rsidTr="00A35F80">
        <w:trPr>
          <w:cantSplit/>
        </w:trPr>
        <w:tc>
          <w:tcPr>
            <w:tcW w:w="3702" w:type="pct"/>
            <w:tcBorders>
              <w:top w:val="nil"/>
              <w:left w:val="nil"/>
              <w:bottom w:val="nil"/>
              <w:right w:val="nil"/>
            </w:tcBorders>
          </w:tcPr>
          <w:p w:rsidR="00DF26F0" w:rsidRPr="00DD58D7" w:rsidRDefault="00DF26F0" w:rsidP="00953B98">
            <w:pPr>
              <w:pStyle w:val="TableHeadingLeft"/>
              <w:keepNext/>
            </w:pPr>
            <w:r>
              <w:t>Release of i</w:t>
            </w:r>
            <w:r w:rsidRPr="00DD58D7">
              <w:t>ssues paper</w:t>
            </w:r>
          </w:p>
        </w:tc>
        <w:tc>
          <w:tcPr>
            <w:tcW w:w="1298" w:type="pct"/>
            <w:tcBorders>
              <w:top w:val="nil"/>
              <w:left w:val="nil"/>
              <w:bottom w:val="nil"/>
              <w:right w:val="nil"/>
            </w:tcBorders>
          </w:tcPr>
          <w:p w:rsidR="00DF26F0" w:rsidRPr="00DD58D7" w:rsidRDefault="00971FED" w:rsidP="00953B98">
            <w:pPr>
              <w:pStyle w:val="TableHeadingLeft"/>
              <w:keepNext/>
            </w:pPr>
            <w:r>
              <w:t>23</w:t>
            </w:r>
            <w:r w:rsidR="00FA7B0F">
              <w:t xml:space="preserve"> </w:t>
            </w:r>
            <w:r w:rsidR="00DF26F0" w:rsidRPr="00DD58D7">
              <w:t>Nov</w:t>
            </w:r>
            <w:r w:rsidR="00DF26F0">
              <w:t>ember</w:t>
            </w:r>
            <w:r w:rsidR="00DF26F0" w:rsidRPr="00DD58D7">
              <w:t xml:space="preserve"> 2015</w:t>
            </w:r>
          </w:p>
        </w:tc>
      </w:tr>
      <w:tr w:rsidR="00DF26F0" w:rsidRPr="00144F8C" w:rsidTr="00A35F80">
        <w:trPr>
          <w:cantSplit/>
        </w:trPr>
        <w:tc>
          <w:tcPr>
            <w:tcW w:w="3702" w:type="pct"/>
            <w:tcBorders>
              <w:top w:val="nil"/>
              <w:left w:val="nil"/>
              <w:bottom w:val="nil"/>
              <w:right w:val="nil"/>
            </w:tcBorders>
          </w:tcPr>
          <w:p w:rsidR="00DF26F0" w:rsidRPr="00DD58D7" w:rsidRDefault="00DF26F0" w:rsidP="00C97171">
            <w:pPr>
              <w:pStyle w:val="TableHeadingLeft"/>
              <w:keepNext/>
            </w:pPr>
            <w:r>
              <w:t xml:space="preserve">Release of </w:t>
            </w:r>
            <w:r w:rsidR="00C97171">
              <w:t>t</w:t>
            </w:r>
            <w:r w:rsidRPr="00DD58D7">
              <w:t>echnical paper 1</w:t>
            </w:r>
            <w:r>
              <w:t xml:space="preserve">: </w:t>
            </w:r>
            <w:r w:rsidR="00166016">
              <w:t>Water d</w:t>
            </w:r>
            <w:r>
              <w:t>emand elasticity</w:t>
            </w:r>
          </w:p>
        </w:tc>
        <w:tc>
          <w:tcPr>
            <w:tcW w:w="1298" w:type="pct"/>
            <w:tcBorders>
              <w:top w:val="nil"/>
              <w:left w:val="nil"/>
              <w:bottom w:val="nil"/>
              <w:right w:val="nil"/>
            </w:tcBorders>
          </w:tcPr>
          <w:p w:rsidR="00DF26F0" w:rsidRPr="00DD58D7" w:rsidRDefault="004F12E3" w:rsidP="00C95EE9">
            <w:pPr>
              <w:pStyle w:val="TableHeadingLeft"/>
              <w:keepNext/>
            </w:pPr>
            <w:r>
              <w:t>29</w:t>
            </w:r>
            <w:r w:rsidR="00424F26">
              <w:t xml:space="preserve"> </w:t>
            </w:r>
            <w:r w:rsidR="00DF26F0" w:rsidRPr="00DD58D7">
              <w:t>Feb</w:t>
            </w:r>
            <w:r w:rsidR="00DF26F0">
              <w:t>ruary</w:t>
            </w:r>
            <w:r w:rsidR="00DF26F0" w:rsidRPr="00DD58D7">
              <w:t xml:space="preserve"> 2016</w:t>
            </w:r>
          </w:p>
        </w:tc>
      </w:tr>
      <w:tr w:rsidR="00DF26F0" w:rsidRPr="00144F8C" w:rsidTr="00A35F80">
        <w:trPr>
          <w:cantSplit/>
        </w:trPr>
        <w:tc>
          <w:tcPr>
            <w:tcW w:w="3702" w:type="pct"/>
            <w:tcBorders>
              <w:top w:val="nil"/>
              <w:left w:val="nil"/>
              <w:bottom w:val="nil"/>
              <w:right w:val="nil"/>
            </w:tcBorders>
          </w:tcPr>
          <w:p w:rsidR="00DF26F0" w:rsidRPr="00C148FE" w:rsidRDefault="00DF26F0" w:rsidP="00C97171">
            <w:pPr>
              <w:pStyle w:val="TableTextLeft"/>
              <w:keepNext/>
              <w:rPr>
                <w:b/>
              </w:rPr>
            </w:pPr>
            <w:r w:rsidRPr="00C148FE">
              <w:rPr>
                <w:b/>
              </w:rPr>
              <w:t xml:space="preserve">Release of </w:t>
            </w:r>
            <w:r w:rsidR="00C97171">
              <w:rPr>
                <w:b/>
              </w:rPr>
              <w:t>t</w:t>
            </w:r>
            <w:r w:rsidRPr="00C148FE">
              <w:rPr>
                <w:b/>
              </w:rPr>
              <w:t>echnical paper 2: Marginal cost pricing</w:t>
            </w:r>
          </w:p>
        </w:tc>
        <w:tc>
          <w:tcPr>
            <w:tcW w:w="1298" w:type="pct"/>
            <w:tcBorders>
              <w:top w:val="nil"/>
              <w:left w:val="nil"/>
              <w:bottom w:val="nil"/>
              <w:right w:val="nil"/>
            </w:tcBorders>
          </w:tcPr>
          <w:p w:rsidR="00DF26F0" w:rsidRPr="00C148FE" w:rsidRDefault="0081299E" w:rsidP="00746330">
            <w:pPr>
              <w:pStyle w:val="TableTextLeft"/>
              <w:keepNext/>
              <w:rPr>
                <w:b/>
              </w:rPr>
            </w:pPr>
            <w:r>
              <w:rPr>
                <w:b/>
              </w:rPr>
              <w:t>17</w:t>
            </w:r>
            <w:r w:rsidR="00746330">
              <w:rPr>
                <w:b/>
              </w:rPr>
              <w:t xml:space="preserve"> </w:t>
            </w:r>
            <w:r w:rsidR="00B66F75">
              <w:rPr>
                <w:b/>
              </w:rPr>
              <w:t>June</w:t>
            </w:r>
            <w:r w:rsidR="00DF26F0" w:rsidRPr="00C148FE">
              <w:rPr>
                <w:b/>
              </w:rPr>
              <w:t xml:space="preserve"> 2016</w:t>
            </w:r>
          </w:p>
        </w:tc>
      </w:tr>
      <w:tr w:rsidR="00A40501" w:rsidRPr="00144F8C" w:rsidTr="00A35F80">
        <w:trPr>
          <w:cantSplit/>
          <w:trHeight w:val="318"/>
        </w:trPr>
        <w:tc>
          <w:tcPr>
            <w:tcW w:w="3702" w:type="pct"/>
            <w:tcBorders>
              <w:top w:val="nil"/>
              <w:left w:val="nil"/>
              <w:bottom w:val="nil"/>
              <w:right w:val="nil"/>
            </w:tcBorders>
          </w:tcPr>
          <w:p w:rsidR="00A40501" w:rsidRPr="00A40501" w:rsidRDefault="00A40501" w:rsidP="00E11A4A">
            <w:pPr>
              <w:pStyle w:val="TableTextLeft"/>
              <w:keepNext/>
            </w:pPr>
            <w:r>
              <w:t>Submissions on issues</w:t>
            </w:r>
            <w:r w:rsidR="00E11A4A">
              <w:t xml:space="preserve"> and </w:t>
            </w:r>
            <w:r w:rsidR="005D0250">
              <w:t xml:space="preserve">technical </w:t>
            </w:r>
            <w:r>
              <w:t>paper</w:t>
            </w:r>
            <w:r w:rsidR="00E11A4A">
              <w:t>s</w:t>
            </w:r>
            <w:r>
              <w:t xml:space="preserve"> close </w:t>
            </w:r>
          </w:p>
        </w:tc>
        <w:tc>
          <w:tcPr>
            <w:tcW w:w="1298" w:type="pct"/>
            <w:tcBorders>
              <w:top w:val="nil"/>
              <w:left w:val="nil"/>
              <w:bottom w:val="nil"/>
              <w:right w:val="nil"/>
            </w:tcBorders>
          </w:tcPr>
          <w:p w:rsidR="00A40501" w:rsidRPr="00A40501" w:rsidRDefault="00A40501" w:rsidP="00E11A4A">
            <w:pPr>
              <w:pStyle w:val="TableTextLeft"/>
              <w:keepNext/>
            </w:pPr>
            <w:r>
              <w:t>1</w:t>
            </w:r>
            <w:r w:rsidR="00746330">
              <w:t>5</w:t>
            </w:r>
            <w:r>
              <w:t xml:space="preserve"> </w:t>
            </w:r>
            <w:r w:rsidRPr="00A40501">
              <w:t>Ju</w:t>
            </w:r>
            <w:r>
              <w:t>ly</w:t>
            </w:r>
            <w:r w:rsidRPr="00A40501">
              <w:t xml:space="preserve"> 2016</w:t>
            </w:r>
          </w:p>
        </w:tc>
      </w:tr>
      <w:tr w:rsidR="00A40501" w:rsidRPr="00144F8C" w:rsidTr="00A35F80">
        <w:trPr>
          <w:cantSplit/>
          <w:trHeight w:val="318"/>
        </w:trPr>
        <w:tc>
          <w:tcPr>
            <w:tcW w:w="3702" w:type="pct"/>
            <w:tcBorders>
              <w:top w:val="nil"/>
              <w:left w:val="nil"/>
              <w:bottom w:val="nil"/>
              <w:right w:val="nil"/>
            </w:tcBorders>
          </w:tcPr>
          <w:p w:rsidR="00A40501" w:rsidRPr="00A40501" w:rsidRDefault="00A40501" w:rsidP="00953B98">
            <w:pPr>
              <w:pStyle w:val="TableTextLeft"/>
              <w:keepNext/>
            </w:pPr>
            <w:r>
              <w:t>Release of d</w:t>
            </w:r>
            <w:r w:rsidRPr="00A40501">
              <w:t>raft report</w:t>
            </w:r>
          </w:p>
        </w:tc>
        <w:tc>
          <w:tcPr>
            <w:tcW w:w="1298" w:type="pct"/>
            <w:tcBorders>
              <w:top w:val="nil"/>
              <w:left w:val="nil"/>
              <w:bottom w:val="nil"/>
              <w:right w:val="nil"/>
            </w:tcBorders>
          </w:tcPr>
          <w:p w:rsidR="00A40501" w:rsidRPr="00A40501" w:rsidRDefault="0052021E" w:rsidP="0052021E">
            <w:pPr>
              <w:pStyle w:val="TableTextLeft"/>
              <w:keepNext/>
            </w:pPr>
            <w:r>
              <w:t xml:space="preserve">September </w:t>
            </w:r>
            <w:r w:rsidR="00A40501" w:rsidRPr="00A40501">
              <w:t>2016</w:t>
            </w:r>
          </w:p>
        </w:tc>
      </w:tr>
      <w:tr w:rsidR="00837392" w:rsidRPr="00144F8C" w:rsidTr="00A35F80">
        <w:trPr>
          <w:cantSplit/>
          <w:trHeight w:val="200"/>
        </w:trPr>
        <w:tc>
          <w:tcPr>
            <w:tcW w:w="3702" w:type="pct"/>
            <w:tcBorders>
              <w:top w:val="nil"/>
              <w:left w:val="nil"/>
              <w:bottom w:val="nil"/>
              <w:right w:val="nil"/>
            </w:tcBorders>
          </w:tcPr>
          <w:p w:rsidR="00837392" w:rsidRPr="00A40501" w:rsidRDefault="00837392" w:rsidP="00953B98">
            <w:pPr>
              <w:pStyle w:val="TableTextLeft"/>
              <w:keepNext/>
            </w:pPr>
            <w:r w:rsidRPr="00DD58D7">
              <w:t>Public forum</w:t>
            </w:r>
          </w:p>
        </w:tc>
        <w:tc>
          <w:tcPr>
            <w:tcW w:w="1298" w:type="pct"/>
            <w:tcBorders>
              <w:top w:val="nil"/>
              <w:left w:val="nil"/>
              <w:bottom w:val="nil"/>
              <w:right w:val="nil"/>
            </w:tcBorders>
          </w:tcPr>
          <w:p w:rsidR="00837392" w:rsidRPr="00A40501" w:rsidRDefault="00837392" w:rsidP="00953B98">
            <w:pPr>
              <w:pStyle w:val="TableTextLeft"/>
              <w:keepNext/>
            </w:pPr>
            <w:r w:rsidRPr="00DD58D7">
              <w:t>Sep</w:t>
            </w:r>
            <w:r w:rsidRPr="00A40501">
              <w:t>tember 2016</w:t>
            </w:r>
          </w:p>
        </w:tc>
      </w:tr>
      <w:tr w:rsidR="00837392" w:rsidRPr="00144F8C" w:rsidTr="00A35F80">
        <w:trPr>
          <w:cantSplit/>
        </w:trPr>
        <w:tc>
          <w:tcPr>
            <w:tcW w:w="3702" w:type="pct"/>
            <w:tcBorders>
              <w:top w:val="nil"/>
              <w:left w:val="nil"/>
              <w:bottom w:val="nil"/>
              <w:right w:val="nil"/>
            </w:tcBorders>
          </w:tcPr>
          <w:p w:rsidR="00837392" w:rsidRPr="00A40501" w:rsidRDefault="00837392" w:rsidP="00953B98">
            <w:pPr>
              <w:pStyle w:val="TableTextLeft"/>
              <w:keepNext/>
            </w:pPr>
            <w:r>
              <w:t>Submissions on draft report close</w:t>
            </w:r>
          </w:p>
        </w:tc>
        <w:tc>
          <w:tcPr>
            <w:tcW w:w="1298" w:type="pct"/>
            <w:tcBorders>
              <w:top w:val="nil"/>
              <w:left w:val="nil"/>
              <w:bottom w:val="nil"/>
              <w:right w:val="nil"/>
            </w:tcBorders>
          </w:tcPr>
          <w:p w:rsidR="00837392" w:rsidRPr="00A40501" w:rsidRDefault="001C726A" w:rsidP="00953B98">
            <w:pPr>
              <w:pStyle w:val="TableTextLeft"/>
              <w:keepNext/>
            </w:pPr>
            <w:r>
              <w:t xml:space="preserve">October </w:t>
            </w:r>
            <w:r w:rsidR="00837392">
              <w:t>2016</w:t>
            </w:r>
          </w:p>
        </w:tc>
      </w:tr>
      <w:tr w:rsidR="00837392" w:rsidRPr="00144F8C" w:rsidTr="00A35F80">
        <w:trPr>
          <w:cantSplit/>
        </w:trPr>
        <w:tc>
          <w:tcPr>
            <w:tcW w:w="3702" w:type="pct"/>
            <w:tcBorders>
              <w:top w:val="nil"/>
              <w:left w:val="nil"/>
              <w:bottom w:val="single" w:sz="12" w:space="0" w:color="1F497D" w:themeColor="text2"/>
              <w:right w:val="nil"/>
            </w:tcBorders>
          </w:tcPr>
          <w:p w:rsidR="00837392" w:rsidRPr="00A40501" w:rsidRDefault="00837392" w:rsidP="00953B98">
            <w:pPr>
              <w:pStyle w:val="TableTextLeft"/>
              <w:keepNext/>
            </w:pPr>
            <w:r w:rsidRPr="00DD58D7">
              <w:t>Final report</w:t>
            </w:r>
          </w:p>
        </w:tc>
        <w:tc>
          <w:tcPr>
            <w:tcW w:w="1298" w:type="pct"/>
            <w:tcBorders>
              <w:top w:val="nil"/>
              <w:left w:val="nil"/>
              <w:bottom w:val="single" w:sz="12" w:space="0" w:color="1F497D" w:themeColor="text2"/>
              <w:right w:val="nil"/>
            </w:tcBorders>
          </w:tcPr>
          <w:p w:rsidR="00837392" w:rsidRPr="00A40501" w:rsidRDefault="007710AD" w:rsidP="00953B98">
            <w:pPr>
              <w:pStyle w:val="TableTextLeft"/>
              <w:keepNext/>
            </w:pPr>
            <w:r>
              <w:t>December</w:t>
            </w:r>
            <w:r w:rsidR="00837392" w:rsidRPr="00A40501">
              <w:t xml:space="preserve"> 2016</w:t>
            </w:r>
          </w:p>
        </w:tc>
      </w:tr>
    </w:tbl>
    <w:p w:rsidR="00BA796C" w:rsidRDefault="00BA796C" w:rsidP="00117078"/>
    <w:p w:rsidR="005662AB" w:rsidRDefault="005662AB" w:rsidP="00117078">
      <w:r w:rsidRPr="005662AB">
        <w:t xml:space="preserve">The closing date for submissions on </w:t>
      </w:r>
      <w:r w:rsidR="005E6059">
        <w:t xml:space="preserve">the issues paper, this </w:t>
      </w:r>
      <w:r>
        <w:t xml:space="preserve">and </w:t>
      </w:r>
      <w:r w:rsidR="00F57DE4">
        <w:t xml:space="preserve">the other technical </w:t>
      </w:r>
      <w:r>
        <w:t xml:space="preserve">papers </w:t>
      </w:r>
      <w:r w:rsidRPr="005662AB">
        <w:t xml:space="preserve">is </w:t>
      </w:r>
      <w:r w:rsidRPr="005662AB">
        <w:rPr>
          <w:rStyle w:val="Bold"/>
        </w:rPr>
        <w:t>1</w:t>
      </w:r>
      <w:r w:rsidR="00746330">
        <w:rPr>
          <w:rStyle w:val="Bold"/>
        </w:rPr>
        <w:t>5</w:t>
      </w:r>
      <w:r w:rsidRPr="005662AB">
        <w:rPr>
          <w:rStyle w:val="Bold"/>
        </w:rPr>
        <w:t xml:space="preserve"> July 2016</w:t>
      </w:r>
      <w:r w:rsidRPr="005662AB">
        <w:t xml:space="preserve">. Details on how to make a submission are shown in the </w:t>
      </w:r>
      <w:r w:rsidRPr="005662AB">
        <w:rPr>
          <w:rStyle w:val="Bold"/>
        </w:rPr>
        <w:t>How to make a submission</w:t>
      </w:r>
      <w:r w:rsidRPr="005662AB">
        <w:t xml:space="preserve"> section at the front of this paper. Stakeholders are free to make submissions on any of the papers at any time before the closing date and may make multiple submissions if so desired. Written submissions received by the closing date will be considered in the development of the draft report.</w:t>
      </w:r>
    </w:p>
    <w:p w:rsidR="00ED4E8D" w:rsidRDefault="005662AB" w:rsidP="00117078">
      <w:r w:rsidRPr="005662AB">
        <w:t>A separate submission process will be undertaken to allow stakeholders to respond to the draft report. Details on this submission period will be provided at the time the draft report is published.</w:t>
      </w:r>
    </w:p>
    <w:p w:rsidR="00AE2910" w:rsidRPr="00AE2910" w:rsidRDefault="00BA796C" w:rsidP="002B6726">
      <w:pPr>
        <w:pStyle w:val="Heading2"/>
      </w:pPr>
      <w:bookmarkStart w:id="54" w:name="What_happens_next"/>
      <w:bookmarkStart w:id="55" w:name="_Toc368572035"/>
      <w:bookmarkStart w:id="56" w:name="_Toc453920857"/>
      <w:bookmarkEnd w:id="54"/>
      <w:r>
        <w:t>Technical paper s</w:t>
      </w:r>
      <w:r w:rsidR="00AE2910" w:rsidRPr="00AE2910">
        <w:t>tructure</w:t>
      </w:r>
      <w:bookmarkEnd w:id="55"/>
      <w:bookmarkEnd w:id="56"/>
    </w:p>
    <w:p w:rsidR="00AE2910" w:rsidRPr="00AE2910" w:rsidRDefault="00AE2910" w:rsidP="00117078">
      <w:r w:rsidRPr="00AE2910">
        <w:t>The remainder of th</w:t>
      </w:r>
      <w:r w:rsidR="002D20FD">
        <w:t>is</w:t>
      </w:r>
      <w:r w:rsidRPr="00AE2910">
        <w:t xml:space="preserve"> paper is structured as follows:</w:t>
      </w:r>
    </w:p>
    <w:p w:rsidR="002656C7" w:rsidRDefault="00AE2910" w:rsidP="0086731D">
      <w:pPr>
        <w:pStyle w:val="Bullet"/>
      </w:pPr>
      <w:r w:rsidRPr="00AE2910">
        <w:lastRenderedPageBreak/>
        <w:t xml:space="preserve">Chapter </w:t>
      </w:r>
      <w:fldSimple w:instr=" REF _Ref429472550 \r \h  \* MERGEFORMAT ">
        <w:r w:rsidR="00027D28">
          <w:t>2</w:t>
        </w:r>
      </w:fldSimple>
      <w:r w:rsidR="00EF6F9E">
        <w:t xml:space="preserve"> presents the economic basis for marginal cost pricing and </w:t>
      </w:r>
      <w:r w:rsidR="00A01A79">
        <w:t xml:space="preserve">theoretical </w:t>
      </w:r>
      <w:r w:rsidR="00EF6F9E">
        <w:t xml:space="preserve">issues associated </w:t>
      </w:r>
      <w:r w:rsidR="008A00D7">
        <w:t xml:space="preserve">with this pricing approach and </w:t>
      </w:r>
      <w:r w:rsidR="00EF6F9E">
        <w:t>its application in a decreasing cost industry</w:t>
      </w:r>
      <w:r w:rsidRPr="00AE2910">
        <w:t>.</w:t>
      </w:r>
    </w:p>
    <w:p w:rsidR="00AE2910" w:rsidRPr="00AE2910" w:rsidRDefault="00AE2910" w:rsidP="0086731D">
      <w:pPr>
        <w:pStyle w:val="Bullet"/>
      </w:pPr>
      <w:r w:rsidRPr="00AE2910">
        <w:t xml:space="preserve">Chapter </w:t>
      </w:r>
      <w:r w:rsidR="00C04337">
        <w:fldChar w:fldCharType="begin"/>
      </w:r>
      <w:r w:rsidR="006D7458">
        <w:instrText xml:space="preserve"> REF _Ref448923205 \r \h </w:instrText>
      </w:r>
      <w:r w:rsidR="00C04337">
        <w:fldChar w:fldCharType="separate"/>
      </w:r>
      <w:r w:rsidR="00027D28">
        <w:t>3</w:t>
      </w:r>
      <w:r w:rsidR="00C04337">
        <w:fldChar w:fldCharType="end"/>
      </w:r>
      <w:r w:rsidR="006D7458">
        <w:t xml:space="preserve"> </w:t>
      </w:r>
      <w:r w:rsidR="00F951DB">
        <w:t xml:space="preserve">describes </w:t>
      </w:r>
      <w:r w:rsidR="000B6826">
        <w:t xml:space="preserve">matters relevant to </w:t>
      </w:r>
      <w:r w:rsidR="008A00D7">
        <w:t xml:space="preserve">measuring </w:t>
      </w:r>
      <w:r w:rsidR="000B6826">
        <w:t xml:space="preserve">marginal cost </w:t>
      </w:r>
      <w:r w:rsidR="008A00D7">
        <w:t xml:space="preserve">in practice for </w:t>
      </w:r>
      <w:r w:rsidR="000B6826">
        <w:t xml:space="preserve">a regulated industry, including </w:t>
      </w:r>
      <w:r w:rsidR="008A00D7">
        <w:t xml:space="preserve">a range of </w:t>
      </w:r>
      <w:r w:rsidR="000B6826">
        <w:t xml:space="preserve">different </w:t>
      </w:r>
      <w:r w:rsidR="008A00D7">
        <w:t>measurement approaches</w:t>
      </w:r>
      <w:r w:rsidR="00F951DB">
        <w:t>.</w:t>
      </w:r>
    </w:p>
    <w:p w:rsidR="00AE2910" w:rsidRDefault="00AE2910" w:rsidP="00E119EA">
      <w:pPr>
        <w:pStyle w:val="Bullet"/>
      </w:pPr>
      <w:r w:rsidRPr="00AE2910">
        <w:t>Chapter</w:t>
      </w:r>
      <w:r w:rsidR="005B2A8E">
        <w:t xml:space="preserve"> </w:t>
      </w:r>
      <w:fldSimple w:instr=" REF _Ref433615233 \r \h  \* MERGEFORMAT ">
        <w:r w:rsidR="00027D28">
          <w:t>4</w:t>
        </w:r>
      </w:fldSimple>
      <w:r w:rsidR="00757402">
        <w:t xml:space="preserve"> </w:t>
      </w:r>
      <w:r w:rsidR="005B2A8E">
        <w:t xml:space="preserve">presents </w:t>
      </w:r>
      <w:r w:rsidR="000B6826">
        <w:t xml:space="preserve">a current estimate of the marginal cost of the provision of regulated water </w:t>
      </w:r>
      <w:r w:rsidR="00191E6D">
        <w:t xml:space="preserve">services </w:t>
      </w:r>
      <w:r w:rsidR="000B6826">
        <w:t>by Icon Water in the ACT</w:t>
      </w:r>
      <w:r w:rsidRPr="00AE2910">
        <w:t>.</w:t>
      </w:r>
    </w:p>
    <w:p w:rsidR="00191E6D" w:rsidRDefault="00191E6D" w:rsidP="00191E6D">
      <w:pPr>
        <w:pStyle w:val="Bullet"/>
      </w:pPr>
      <w:r w:rsidRPr="00AE2910">
        <w:t>Chapter</w:t>
      </w:r>
      <w:r>
        <w:t xml:space="preserve"> </w:t>
      </w:r>
      <w:r w:rsidR="00C04337">
        <w:fldChar w:fldCharType="begin"/>
      </w:r>
      <w:r>
        <w:instrText xml:space="preserve"> REF _Ref448321716 \r \h </w:instrText>
      </w:r>
      <w:r w:rsidR="00C04337">
        <w:fldChar w:fldCharType="separate"/>
      </w:r>
      <w:r w:rsidR="00027D28">
        <w:t>5</w:t>
      </w:r>
      <w:r w:rsidR="00C04337">
        <w:fldChar w:fldCharType="end"/>
      </w:r>
      <w:r>
        <w:t xml:space="preserve"> presents a current estimate of the marginal cost of the provision of regulated </w:t>
      </w:r>
      <w:r w:rsidR="0060138A">
        <w:t xml:space="preserve">sewerage </w:t>
      </w:r>
      <w:r>
        <w:t>services by Icon Water in the ACT</w:t>
      </w:r>
      <w:r w:rsidRPr="00AE2910">
        <w:t>.</w:t>
      </w:r>
    </w:p>
    <w:p w:rsidR="00BC1A08" w:rsidRDefault="00BC1A08" w:rsidP="00E119EA">
      <w:pPr>
        <w:pStyle w:val="Bullet"/>
      </w:pPr>
      <w:r>
        <w:t xml:space="preserve">Chapter </w:t>
      </w:r>
      <w:r w:rsidR="00C04337">
        <w:fldChar w:fldCharType="begin"/>
      </w:r>
      <w:r>
        <w:instrText xml:space="preserve"> REF _Ref444005090 \r \h </w:instrText>
      </w:r>
      <w:r w:rsidR="00C04337">
        <w:fldChar w:fldCharType="separate"/>
      </w:r>
      <w:r w:rsidR="00027D28">
        <w:t>6</w:t>
      </w:r>
      <w:r w:rsidR="00C04337">
        <w:fldChar w:fldCharType="end"/>
      </w:r>
      <w:r>
        <w:t xml:space="preserve"> concludes </w:t>
      </w:r>
      <w:r w:rsidR="003D2B3A">
        <w:t>by considering the implications of implementing marginal cost pricing for water and sewerage services in the ACT</w:t>
      </w:r>
      <w:r w:rsidR="000F1D1D">
        <w:t>.</w:t>
      </w:r>
    </w:p>
    <w:p w:rsidR="00424AD7" w:rsidRDefault="00C04337" w:rsidP="00E119EA">
      <w:pPr>
        <w:pStyle w:val="Bullet"/>
      </w:pPr>
      <w:r>
        <w:fldChar w:fldCharType="begin"/>
      </w:r>
      <w:r w:rsidR="00424AD7">
        <w:instrText xml:space="preserve"> REF _Ref452964976 \r \h </w:instrText>
      </w:r>
      <w:r>
        <w:fldChar w:fldCharType="separate"/>
      </w:r>
      <w:r w:rsidR="00027D28">
        <w:t>Appendix 1</w:t>
      </w:r>
      <w:r>
        <w:fldChar w:fldCharType="end"/>
      </w:r>
      <w:r w:rsidR="00424AD7">
        <w:t xml:space="preserve"> presents more detail on the marginal cost controversy.</w:t>
      </w:r>
    </w:p>
    <w:p w:rsidR="00E119EA" w:rsidRPr="00DD5071" w:rsidRDefault="00C04337" w:rsidP="00FD0806">
      <w:pPr>
        <w:pStyle w:val="BulletLast"/>
      </w:pPr>
      <w:r>
        <w:fldChar w:fldCharType="begin"/>
      </w:r>
      <w:r w:rsidR="00424AD7">
        <w:instrText xml:space="preserve"> REF _Ref452973532 \r \h </w:instrText>
      </w:r>
      <w:r>
        <w:fldChar w:fldCharType="separate"/>
      </w:r>
      <w:r w:rsidR="00027D28">
        <w:t>Appendix 2</w:t>
      </w:r>
      <w:r>
        <w:fldChar w:fldCharType="end"/>
      </w:r>
      <w:r w:rsidR="00424AD7">
        <w:t xml:space="preserve"> </w:t>
      </w:r>
      <w:r w:rsidR="00E119EA">
        <w:t>provides</w:t>
      </w:r>
      <w:r w:rsidR="00291CB4">
        <w:t xml:space="preserve"> </w:t>
      </w:r>
      <w:r w:rsidR="00191E6D">
        <w:t>a summary of Icon Water’s water supply and demand modelling process.</w:t>
      </w:r>
    </w:p>
    <w:bookmarkEnd w:id="44"/>
    <w:bookmarkEnd w:id="45"/>
    <w:p w:rsidR="00E12A27" w:rsidRPr="007B1397" w:rsidRDefault="00E12A27" w:rsidP="008A1C91">
      <w:pPr>
        <w:pStyle w:val="References"/>
      </w:pPr>
    </w:p>
    <w:p w:rsidR="007B1397" w:rsidRPr="007B1397" w:rsidRDefault="007B1397" w:rsidP="008A1C91">
      <w:pPr>
        <w:pStyle w:val="References"/>
        <w:sectPr w:rsidR="007B1397" w:rsidRPr="007B1397" w:rsidSect="00CB2859">
          <w:headerReference w:type="even" r:id="rId36"/>
          <w:headerReference w:type="default" r:id="rId37"/>
          <w:endnotePr>
            <w:numFmt w:val="decimal"/>
          </w:endnotePr>
          <w:type w:val="continuous"/>
          <w:pgSz w:w="11907" w:h="16840" w:code="9"/>
          <w:pgMar w:top="2268" w:right="2098" w:bottom="1701" w:left="2098" w:header="578" w:footer="578" w:gutter="0"/>
          <w:cols w:space="720"/>
          <w:docGrid w:linePitch="299"/>
        </w:sectPr>
      </w:pPr>
    </w:p>
    <w:p w:rsidR="00E12A27" w:rsidRDefault="00317210" w:rsidP="008A1C91">
      <w:pPr>
        <w:pStyle w:val="Heading1"/>
        <w:sectPr w:rsidR="00E12A27" w:rsidSect="00E12A27">
          <w:headerReference w:type="even" r:id="rId38"/>
          <w:headerReference w:type="default" r:id="rId39"/>
          <w:endnotePr>
            <w:numFmt w:val="decimal"/>
          </w:endnotePr>
          <w:type w:val="oddPage"/>
          <w:pgSz w:w="11907" w:h="16840" w:code="9"/>
          <w:pgMar w:top="2268" w:right="2098" w:bottom="1701" w:left="2098" w:header="578" w:footer="578" w:gutter="0"/>
          <w:cols w:space="720"/>
          <w:docGrid w:linePitch="299"/>
        </w:sectPr>
      </w:pPr>
      <w:bookmarkStart w:id="57" w:name="Chap2"/>
      <w:bookmarkStart w:id="58" w:name="_Ref415046117"/>
      <w:bookmarkStart w:id="59" w:name="_Ref429472550"/>
      <w:bookmarkStart w:id="60" w:name="_Ref435008895"/>
      <w:bookmarkStart w:id="61" w:name="_Ref435008912"/>
      <w:bookmarkStart w:id="62" w:name="_Toc453920858"/>
      <w:bookmarkStart w:id="63" w:name="_Ref447870428"/>
      <w:bookmarkStart w:id="64" w:name="_Ref447870472"/>
      <w:bookmarkEnd w:id="57"/>
      <w:r>
        <w:lastRenderedPageBreak/>
        <w:t>Theory and application of m</w:t>
      </w:r>
      <w:r w:rsidR="00A701EC">
        <w:t>arginal cost pricing</w:t>
      </w:r>
      <w:bookmarkEnd w:id="58"/>
      <w:bookmarkEnd w:id="59"/>
      <w:bookmarkEnd w:id="60"/>
      <w:bookmarkEnd w:id="61"/>
      <w:bookmarkEnd w:id="62"/>
      <w:r w:rsidR="002A5F39">
        <w:t xml:space="preserve"> </w:t>
      </w:r>
      <w:bookmarkEnd w:id="63"/>
      <w:bookmarkEnd w:id="64"/>
    </w:p>
    <w:p w:rsidR="0091151B" w:rsidRDefault="00D41964" w:rsidP="002B6726">
      <w:pPr>
        <w:pStyle w:val="Heading2"/>
      </w:pPr>
      <w:bookmarkStart w:id="65" w:name="_Toc453920859"/>
      <w:bookmarkStart w:id="66" w:name="_Ref429637090"/>
      <w:bookmarkStart w:id="67" w:name="_Ref429470714"/>
      <w:r>
        <w:lastRenderedPageBreak/>
        <w:t>Introduction</w:t>
      </w:r>
      <w:bookmarkEnd w:id="65"/>
    </w:p>
    <w:p w:rsidR="001B6AEC" w:rsidRDefault="00D91842" w:rsidP="001B6AEC">
      <w:r>
        <w:t>This chapter commences with</w:t>
      </w:r>
      <w:r w:rsidR="00AF62EF">
        <w:t xml:space="preserve"> a short exposition on the text</w:t>
      </w:r>
      <w:r>
        <w:t>book motivation for marginal cost pricing as a means to maximise social welfare.</w:t>
      </w:r>
      <w:r w:rsidR="00E04295">
        <w:t xml:space="preserve"> </w:t>
      </w:r>
      <w:r>
        <w:t>A</w:t>
      </w:r>
      <w:r w:rsidR="006E525D">
        <w:t xml:space="preserve"> number of theoretical issues relevant to the development of marginal cost pricing and its application in </w:t>
      </w:r>
      <w:r w:rsidR="00261ECC">
        <w:t>public utility pricing</w:t>
      </w:r>
      <w:r>
        <w:t xml:space="preserve"> are then considered</w:t>
      </w:r>
      <w:r w:rsidR="006E525D">
        <w:t xml:space="preserve">. These include </w:t>
      </w:r>
      <w:r w:rsidR="00BD4A2F">
        <w:t xml:space="preserve">the overarching </w:t>
      </w:r>
      <w:r w:rsidR="006E525D">
        <w:t>question</w:t>
      </w:r>
      <w:r w:rsidR="00BD6C74">
        <w:t>s</w:t>
      </w:r>
      <w:r w:rsidR="006E525D">
        <w:t xml:space="preserve"> of whether consumers respond to marginal or average cost</w:t>
      </w:r>
      <w:r w:rsidR="00BD6C74">
        <w:t xml:space="preserve"> and </w:t>
      </w:r>
      <w:r w:rsidR="006E525D">
        <w:t xml:space="preserve">whether prices should be set with reference to short- or long-run marginal cost, and </w:t>
      </w:r>
      <w:r w:rsidR="00BD4A2F">
        <w:t xml:space="preserve">the more specific matter of </w:t>
      </w:r>
      <w:r w:rsidR="006E525D">
        <w:t xml:space="preserve">how to deal with the revenue issue </w:t>
      </w:r>
      <w:r w:rsidR="000A4F89">
        <w:t xml:space="preserve">when applying marginal cost pricing </w:t>
      </w:r>
      <w:r w:rsidR="006E525D">
        <w:t xml:space="preserve">in a decreasing cost </w:t>
      </w:r>
      <w:r w:rsidR="001C3F4F">
        <w:t xml:space="preserve">natural monopoly </w:t>
      </w:r>
      <w:r w:rsidR="006E525D">
        <w:t>industry.</w:t>
      </w:r>
    </w:p>
    <w:p w:rsidR="00811EBA" w:rsidRDefault="00811EBA" w:rsidP="002B6726">
      <w:pPr>
        <w:pStyle w:val="Heading2"/>
      </w:pPr>
      <w:bookmarkStart w:id="68" w:name="_Toc453920860"/>
      <w:r>
        <w:t>Textbook motivation for marginal cost pricing</w:t>
      </w:r>
      <w:bookmarkEnd w:id="68"/>
    </w:p>
    <w:p w:rsidR="00811EBA" w:rsidRDefault="00811EBA" w:rsidP="009A0293">
      <w:pPr>
        <w:pStyle w:val="Heading3"/>
      </w:pPr>
      <w:r>
        <w:t>Introduction</w:t>
      </w:r>
    </w:p>
    <w:p w:rsidR="00811EBA" w:rsidRDefault="00811EBA" w:rsidP="00811EBA">
      <w:r>
        <w:t>In his 1976 article on public utility pricing in the Bell Journal of Economics and Management Science, Ronald Coase took a dim view of what he referred to as ‘blackboard economics’ stating:</w:t>
      </w:r>
    </w:p>
    <w:p w:rsidR="00811EBA" w:rsidRPr="008410D7" w:rsidRDefault="00811EBA" w:rsidP="00811EBA">
      <w:pPr>
        <w:pStyle w:val="Quote"/>
      </w:pPr>
      <w:r w:rsidRPr="008410D7">
        <w:t>As I see it, the argument for marginal cost pricing, like many propositions in modern welfare economics, is more concerned with diagrams on a blackboard than with the real effects of such policies on the working of the economic system</w:t>
      </w:r>
      <w:r>
        <w:t>.</w:t>
      </w:r>
      <w:r>
        <w:rPr>
          <w:rStyle w:val="FootnoteReference"/>
        </w:rPr>
        <w:footnoteReference w:id="17"/>
      </w:r>
      <w:r w:rsidRPr="008410D7">
        <w:t xml:space="preserve">   </w:t>
      </w:r>
    </w:p>
    <w:p w:rsidR="00811EBA" w:rsidRDefault="00811EBA" w:rsidP="00811EBA">
      <w:r>
        <w:t xml:space="preserve">However, in order to explain the motivation for marginal cost pricing, and in </w:t>
      </w:r>
      <w:proofErr w:type="gramStart"/>
      <w:r>
        <w:t>particular</w:t>
      </w:r>
      <w:proofErr w:type="gramEnd"/>
      <w:r>
        <w:t xml:space="preserve"> its application in a decreasing average cost industry, we first need to turn to the blackboard economic welfare concept introduced in Chapter </w:t>
      </w:r>
      <w:r w:rsidR="00C04337">
        <w:fldChar w:fldCharType="begin"/>
      </w:r>
      <w:r>
        <w:instrText xml:space="preserve"> REF _Ref364695177 \r \h </w:instrText>
      </w:r>
      <w:r w:rsidR="00C04337">
        <w:fldChar w:fldCharType="separate"/>
      </w:r>
      <w:r w:rsidR="00027D28">
        <w:t>1</w:t>
      </w:r>
      <w:r w:rsidR="00C04337">
        <w:fldChar w:fldCharType="end"/>
      </w:r>
      <w:r>
        <w:t>, starting with the first fundamental theorem of welfare economics.</w:t>
      </w:r>
    </w:p>
    <w:p w:rsidR="00811EBA" w:rsidRDefault="00811EBA" w:rsidP="009A0293">
      <w:pPr>
        <w:pStyle w:val="Heading3"/>
      </w:pPr>
      <w:r>
        <w:t>Benchmarking the socially optimal outcome</w:t>
      </w:r>
    </w:p>
    <w:p w:rsidR="00811EBA" w:rsidRDefault="00811EBA" w:rsidP="00811EBA">
      <w:r>
        <w:t xml:space="preserve">The first </w:t>
      </w:r>
      <w:r w:rsidR="007158EB">
        <w:t xml:space="preserve">fundamental theorem of welfare economics </w:t>
      </w:r>
      <w:r>
        <w:t>states that when markets are complete, any competitive equilibrium is necessarily Pareto optimal.</w:t>
      </w:r>
      <w:r w:rsidRPr="00ED004E">
        <w:t xml:space="preserve"> </w:t>
      </w:r>
      <w:r>
        <w:t>This theorem is a demonstration of Adam Smith’s ‘invisible hand’ of the market, which equates private goals with optimum social outcomes. The first theorem establishes the perfectly competitive case as a benchmark for considering optimal outcomes in market economies, and, perhaps more importantly, for thinking about optimal outcomes in cases of market failure, such as the natural monopoly example. As noted by</w:t>
      </w:r>
      <w:r w:rsidR="000A2CEA">
        <w:t xml:space="preserve"> </w:t>
      </w:r>
      <w:r w:rsidR="00C04337">
        <w:fldChar w:fldCharType="begin"/>
      </w:r>
      <w:r w:rsidR="000A2CEA">
        <w:instrText xml:space="preserve"> ADDIN EN.CITE &lt;EndNote&gt;&lt;Cite&gt;&lt;Author&gt;Mas-Colell&lt;/Author&gt;&lt;Year&gt;1995&lt;/Year&gt;&lt;RecNum&gt;640&lt;/RecNum&gt;&lt;DisplayText&gt;Mas-Colell et al. (1995)&lt;/DisplayText&gt;&lt;record&gt;&lt;rec-number&gt;640&lt;/rec-number&gt;&lt;foreign-keys&gt;&lt;key app="EN" db-id="5xwt9zxa6r5fesevwr5xzp97r95ev9wx9zpw" timestamp="1445999092"&gt;640&lt;/key&gt;&lt;/foreign-keys&gt;&lt;ref-type name="Book"&gt;6&lt;/ref-type&gt;&lt;contributors&gt;&lt;authors&gt;&lt;author&gt;Mas-Colell, Andreu&lt;/author&gt;&lt;author&gt;Whinston, Michael D.&lt;/author&gt;&lt;author&gt;Green, Jerry R&lt;/author&gt;&lt;/authors&gt;&lt;/contributors&gt;&lt;titles&gt;&lt;title&gt;Microeconomic Theory&lt;/title&gt;&lt;/titles&gt;&lt;dates&gt;&lt;year&gt;1995&lt;/year&gt;&lt;/dates&gt;&lt;pub-location&gt;New York&lt;/pub-location&gt;&lt;publisher&gt;Oxford Economic Press&lt;/publisher&gt;&lt;urls&gt;&lt;/urls&gt;&lt;/record&gt;&lt;/Cite&gt;&lt;/EndNote&gt;</w:instrText>
      </w:r>
      <w:r w:rsidR="00C04337">
        <w:fldChar w:fldCharType="separate"/>
      </w:r>
      <w:hyperlink w:anchor="_ENREF_55" w:tooltip="Mas-Colell, 1995 #640" w:history="1">
        <w:r w:rsidR="000F2FEB">
          <w:rPr>
            <w:noProof/>
          </w:rPr>
          <w:t>Mas-Colell et al. (1995</w:t>
        </w:r>
      </w:hyperlink>
      <w:r w:rsidR="000A2CEA">
        <w:rPr>
          <w:noProof/>
        </w:rPr>
        <w:t>)</w:t>
      </w:r>
      <w:r w:rsidR="00C04337">
        <w:fldChar w:fldCharType="end"/>
      </w:r>
      <w:r>
        <w:t>:</w:t>
      </w:r>
    </w:p>
    <w:p w:rsidR="00811EBA" w:rsidRDefault="00811EBA" w:rsidP="00811EBA">
      <w:pPr>
        <w:pStyle w:val="Quote"/>
      </w:pPr>
      <w:r>
        <w:lastRenderedPageBreak/>
        <w:t>In particular, any inefficiencies that arise in a market economy, and hence any role for a Pareto-improving intervention, must be traceable to a violation of at least one of the assumptions of this theorem.</w:t>
      </w:r>
      <w:r>
        <w:rPr>
          <w:rStyle w:val="FootnoteReference"/>
        </w:rPr>
        <w:footnoteReference w:id="18"/>
      </w:r>
    </w:p>
    <w:p w:rsidR="00811EBA" w:rsidRDefault="00811EBA" w:rsidP="00811EBA">
      <w:r>
        <w:t>While, in principle, the analysis of Pareto optimal outcomes requires general equilibrium analysis</w:t>
      </w:r>
      <w:r>
        <w:sym w:font="Symbol" w:char="F02D"/>
      </w:r>
      <w:r>
        <w:t>that is, simultaneous consideration of the whole economy</w:t>
      </w:r>
      <w:r>
        <w:sym w:font="Symbol" w:char="F02D"/>
      </w:r>
      <w:r>
        <w:t>partial equilibrium analysis allows us to consider equilibrium outcomes in a particular market in isolation from all other markets.</w:t>
      </w:r>
      <w:r>
        <w:rPr>
          <w:rStyle w:val="FootnoteReference"/>
        </w:rPr>
        <w:footnoteReference w:id="19"/>
      </w:r>
      <w:r>
        <w:t xml:space="preserve"> It also allows us to apply the concept of Marshallian surplus, which conveniently lends itself to graphic representation, as shown by the competitive equilibrium demonstrated in </w:t>
      </w:r>
      <w:r w:rsidR="00C04337">
        <w:fldChar w:fldCharType="begin"/>
      </w:r>
      <w:r>
        <w:instrText xml:space="preserve"> REF _Ref434494664 \h </w:instrText>
      </w:r>
      <w:r w:rsidR="00C04337">
        <w:fldChar w:fldCharType="separate"/>
      </w:r>
      <w:r w:rsidR="00027D28" w:rsidRPr="00DB3C19">
        <w:t xml:space="preserve">Figure </w:t>
      </w:r>
      <w:r w:rsidR="00027D28">
        <w:rPr>
          <w:noProof/>
        </w:rPr>
        <w:t>2</w:t>
      </w:r>
      <w:r w:rsidR="00027D28" w:rsidRPr="00721138">
        <w:t>.</w:t>
      </w:r>
      <w:r w:rsidR="00027D28">
        <w:rPr>
          <w:noProof/>
        </w:rPr>
        <w:t>1</w:t>
      </w:r>
      <w:r w:rsidR="00C04337">
        <w:fldChar w:fldCharType="end"/>
      </w:r>
      <w:r>
        <w:t>.</w:t>
      </w:r>
      <w:r>
        <w:rPr>
          <w:rStyle w:val="FootnoteReference"/>
        </w:rPr>
        <w:footnoteReference w:id="20"/>
      </w:r>
    </w:p>
    <w:p w:rsidR="00811EBA" w:rsidRPr="00721138" w:rsidRDefault="00811EBA" w:rsidP="00811EBA">
      <w:pPr>
        <w:pStyle w:val="FigureName"/>
        <w:keepNext/>
      </w:pPr>
      <w:bookmarkStart w:id="69" w:name="_Ref434494664"/>
      <w:bookmarkStart w:id="70" w:name="_Toc435700196"/>
      <w:bookmarkStart w:id="71" w:name="_Toc453920902"/>
      <w:r w:rsidRPr="00DB3C19">
        <w:t xml:space="preserve">Figure </w:t>
      </w:r>
      <w:r w:rsidR="00C04337">
        <w:fldChar w:fldCharType="begin"/>
      </w:r>
      <w:r>
        <w:instrText xml:space="preserve"> STYLEREF 1 \s </w:instrText>
      </w:r>
      <w:r w:rsidR="00C04337">
        <w:fldChar w:fldCharType="separate"/>
      </w:r>
      <w:r w:rsidR="00027D28">
        <w:rPr>
          <w:noProof/>
        </w:rPr>
        <w:t>2</w:t>
      </w:r>
      <w:r w:rsidR="00C04337">
        <w:fldChar w:fldCharType="end"/>
      </w:r>
      <w:r w:rsidRPr="00721138">
        <w:t>.</w:t>
      </w:r>
      <w:r w:rsidR="00C04337" w:rsidRPr="00721138">
        <w:fldChar w:fldCharType="begin"/>
      </w:r>
      <w:r w:rsidRPr="00721138">
        <w:instrText xml:space="preserve"> SEQ Figure \* ARABIC \s 1 </w:instrText>
      </w:r>
      <w:r w:rsidR="00C04337" w:rsidRPr="00721138">
        <w:fldChar w:fldCharType="separate"/>
      </w:r>
      <w:r w:rsidR="00027D28">
        <w:rPr>
          <w:noProof/>
        </w:rPr>
        <w:t>1</w:t>
      </w:r>
      <w:r w:rsidR="00C04337" w:rsidRPr="00721138">
        <w:fldChar w:fldCharType="end"/>
      </w:r>
      <w:bookmarkEnd w:id="69"/>
      <w:r w:rsidRPr="00721138">
        <w:tab/>
      </w:r>
      <w:r>
        <w:t>The socially optimal competitive equilibrium</w:t>
      </w:r>
      <w:bookmarkEnd w:id="70"/>
      <w:bookmarkEnd w:id="71"/>
    </w:p>
    <w:p w:rsidR="00811EBA" w:rsidRPr="00721138" w:rsidRDefault="00811EBA" w:rsidP="00811EBA">
      <w:pPr>
        <w:keepNext/>
      </w:pPr>
      <w:r>
        <w:rPr>
          <w:noProof/>
          <w:lang w:val="en-AU" w:eastAsia="en-AU"/>
        </w:rPr>
        <w:drawing>
          <wp:inline distT="0" distB="0" distL="0" distR="0">
            <wp:extent cx="4650828" cy="3179781"/>
            <wp:effectExtent l="19050" t="19050" r="16510" b="2095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4656417" cy="3183602"/>
                    </a:xfrm>
                    <a:prstGeom prst="rect">
                      <a:avLst/>
                    </a:prstGeom>
                    <a:noFill/>
                    <a:ln w="9525">
                      <a:solidFill>
                        <a:schemeClr val="bg1">
                          <a:lumMod val="50000"/>
                        </a:schemeClr>
                      </a:solidFill>
                      <a:miter lim="800000"/>
                      <a:headEnd/>
                      <a:tailEnd/>
                    </a:ln>
                  </pic:spPr>
                </pic:pic>
              </a:graphicData>
            </a:graphic>
          </wp:inline>
        </w:drawing>
      </w:r>
    </w:p>
    <w:p w:rsidR="00811EBA" w:rsidRDefault="00811EBA" w:rsidP="00811EBA">
      <w:r>
        <w:t>Consumers’ surplus, the blue-shaded area under the demand curve and above the market price line P</w:t>
      </w:r>
      <w:r w:rsidRPr="008243FF">
        <w:rPr>
          <w:vertAlign w:val="subscript"/>
        </w:rPr>
        <w:t>c</w:t>
      </w:r>
      <w:r>
        <w:t>, is the difference between the total value consumers place on the all the units consumed of some good and the total amount they are required to pay for the good.</w:t>
      </w:r>
      <w:r>
        <w:rPr>
          <w:rStyle w:val="FootnoteReference"/>
        </w:rPr>
        <w:footnoteReference w:id="21"/>
      </w:r>
      <w:r>
        <w:t xml:space="preserve"> Producers’ surplus, the pink-shaded area under the price line and above the </w:t>
      </w:r>
      <w:r>
        <w:lastRenderedPageBreak/>
        <w:t>supply curve, is the difference between the total value of all the units sold of some good at the market price and the total value at the minimum price at which the seller would be prepared to sell the good.</w:t>
      </w:r>
      <w:r>
        <w:rPr>
          <w:rStyle w:val="FootnoteReference"/>
        </w:rPr>
        <w:footnoteReference w:id="22"/>
      </w:r>
      <w:r>
        <w:t xml:space="preserve"> Marshallian aggregate surplus is the sum of the consumers’ and producers’ surplus.</w:t>
      </w:r>
    </w:p>
    <w:p w:rsidR="00811EBA" w:rsidRDefault="00811EBA" w:rsidP="00811EBA">
      <w:r>
        <w:t xml:space="preserve">In the perfectly competitive case, firms equate marginal cost to price in order to maximise their profits, which produces a market outcome where the demand and supply curves intersect, the point </w:t>
      </w:r>
      <w:proofErr w:type="spellStart"/>
      <w:r>
        <w:t>E</w:t>
      </w:r>
      <w:r w:rsidRPr="005A35ED">
        <w:rPr>
          <w:vertAlign w:val="subscript"/>
        </w:rPr>
        <w:t>c</w:t>
      </w:r>
      <w:proofErr w:type="spellEnd"/>
      <w:r>
        <w:t xml:space="preserve"> in </w:t>
      </w:r>
      <w:r w:rsidR="00C04337">
        <w:fldChar w:fldCharType="begin"/>
      </w:r>
      <w:r>
        <w:instrText xml:space="preserve"> REF _Ref434494664 \h </w:instrText>
      </w:r>
      <w:r w:rsidR="00C04337">
        <w:fldChar w:fldCharType="separate"/>
      </w:r>
      <w:r w:rsidR="00027D28" w:rsidRPr="00DB3C19">
        <w:t xml:space="preserve">Figure </w:t>
      </w:r>
      <w:r w:rsidR="00027D28">
        <w:rPr>
          <w:noProof/>
        </w:rPr>
        <w:t>2</w:t>
      </w:r>
      <w:r w:rsidR="00027D28" w:rsidRPr="00721138">
        <w:t>.</w:t>
      </w:r>
      <w:r w:rsidR="00027D28">
        <w:rPr>
          <w:noProof/>
        </w:rPr>
        <w:t>1</w:t>
      </w:r>
      <w:r w:rsidR="00C04337">
        <w:fldChar w:fldCharType="end"/>
      </w:r>
      <w:r>
        <w:t xml:space="preserve">. The Marshallian aggregate surplus is maximised at the same point. Recalling that the socially optimal outcome is the one in which Marshallian aggregate surplus is maximised, </w:t>
      </w:r>
      <w:r>
        <w:rPr>
          <w:rStyle w:val="Italic"/>
        </w:rPr>
        <w:t>i</w:t>
      </w:r>
      <w:r w:rsidRPr="00C43741">
        <w:rPr>
          <w:rStyle w:val="Italic"/>
        </w:rPr>
        <w:t>pso facto</w:t>
      </w:r>
      <w:r>
        <w:t>, the economically efficient outcome achieved by setting price equal to marginal cost is the one which maximises social welfare.</w:t>
      </w:r>
      <w:r>
        <w:rPr>
          <w:rStyle w:val="FootnoteReference"/>
        </w:rPr>
        <w:footnoteReference w:id="23"/>
      </w:r>
    </w:p>
    <w:p w:rsidR="007139C2" w:rsidRDefault="00850375" w:rsidP="00811EBA">
      <w:r>
        <w:t xml:space="preserve">The analysis above </w:t>
      </w:r>
      <w:r w:rsidR="007139C2">
        <w:t>ha</w:t>
      </w:r>
      <w:r>
        <w:t>s</w:t>
      </w:r>
      <w:r w:rsidR="007139C2">
        <w:t xml:space="preserve"> </w:t>
      </w:r>
      <w:r w:rsidR="00126A95">
        <w:t xml:space="preserve">presented </w:t>
      </w:r>
      <w:r w:rsidR="007139C2">
        <w:t xml:space="preserve">an economic basis for marginal cost pricing in the perfectly competitive world. However, before turning to </w:t>
      </w:r>
      <w:r w:rsidR="00434CF1">
        <w:t xml:space="preserve">its application in </w:t>
      </w:r>
      <w:r w:rsidR="007139C2">
        <w:t xml:space="preserve">the imperfect monopoly world which we are concerned with here, </w:t>
      </w:r>
      <w:r w:rsidR="00B77179">
        <w:t xml:space="preserve">it is necessary </w:t>
      </w:r>
      <w:r w:rsidR="007139C2">
        <w:t xml:space="preserve">to reflect on a number of </w:t>
      </w:r>
      <w:r w:rsidR="007235B1">
        <w:t>theoretical matters</w:t>
      </w:r>
      <w:r w:rsidR="003221A5">
        <w:t xml:space="preserve">, </w:t>
      </w:r>
      <w:r w:rsidR="001575CD">
        <w:t xml:space="preserve">all </w:t>
      </w:r>
      <w:r w:rsidR="003221A5">
        <w:t xml:space="preserve">of which have </w:t>
      </w:r>
      <w:r w:rsidR="005D0B25">
        <w:t xml:space="preserve">direct </w:t>
      </w:r>
      <w:r w:rsidR="003221A5">
        <w:t>practical implications</w:t>
      </w:r>
      <w:r w:rsidR="007235B1">
        <w:t>.</w:t>
      </w:r>
    </w:p>
    <w:p w:rsidR="001B6AEC" w:rsidRDefault="001B6AEC" w:rsidP="002B6726">
      <w:pPr>
        <w:pStyle w:val="Heading2"/>
      </w:pPr>
      <w:bookmarkStart w:id="72" w:name="_Toc453920861"/>
      <w:r>
        <w:t>Do consumers respond to average or marginal prices?</w:t>
      </w:r>
      <w:bookmarkEnd w:id="72"/>
    </w:p>
    <w:p w:rsidR="0064194F" w:rsidRDefault="0064194F" w:rsidP="009A0293">
      <w:pPr>
        <w:pStyle w:val="Heading3"/>
      </w:pPr>
      <w:r>
        <w:t>The debate</w:t>
      </w:r>
    </w:p>
    <w:p w:rsidR="00BC3593" w:rsidRDefault="000B57C6" w:rsidP="001B6AEC">
      <w:r>
        <w:t xml:space="preserve">The first major theoretical debate in the economics literature, </w:t>
      </w:r>
      <w:r w:rsidR="00BC3593">
        <w:t>whether consumers react to marginal or average prices when making consumption decisions</w:t>
      </w:r>
      <w:r>
        <w:t>,</w:t>
      </w:r>
      <w:r w:rsidR="00BC3593">
        <w:t xml:space="preserve"> was canvassed in the Commission’s technical paper on the price elasticity of demand for water in the ACT.</w:t>
      </w:r>
      <w:r w:rsidR="00BC3593">
        <w:rPr>
          <w:rStyle w:val="FootnoteReference"/>
        </w:rPr>
        <w:footnoteReference w:id="24"/>
      </w:r>
      <w:r w:rsidR="00BC3593">
        <w:t xml:space="preserve"> </w:t>
      </w:r>
      <w:r w:rsidR="00DB4538">
        <w:t>Th</w:t>
      </w:r>
      <w:r w:rsidR="00601295">
        <w:t>at</w:t>
      </w:r>
      <w:r w:rsidR="00DB4538">
        <w:t xml:space="preserve"> discussion is worth repeating here.</w:t>
      </w:r>
    </w:p>
    <w:p w:rsidR="002E37A8" w:rsidRDefault="002E37A8" w:rsidP="001B6AEC">
      <w:r>
        <w:t>Carter and Milon (2005) note:</w:t>
      </w:r>
    </w:p>
    <w:p w:rsidR="00DB4538" w:rsidRDefault="00DB4538" w:rsidP="00DB4538">
      <w:pPr>
        <w:pStyle w:val="Quote"/>
      </w:pPr>
      <w:r w:rsidRPr="00720069">
        <w:t>A central tenet of microeconomic theory is that well-informed, rational households will consider marginal prices when making their budget allocation decisions. Nevertheless, there has been considerable debate concerning the "correct" price to include in empirical models of household demand for public utility services</w:t>
      </w:r>
      <w:r>
        <w:t>.</w:t>
      </w:r>
      <w:r>
        <w:rPr>
          <w:rStyle w:val="FootnoteReference"/>
        </w:rPr>
        <w:footnoteReference w:id="25"/>
      </w:r>
    </w:p>
    <w:p w:rsidR="00DB4538" w:rsidRDefault="00DB4538" w:rsidP="00DB4538">
      <w:r>
        <w:t>E</w:t>
      </w:r>
      <w:r w:rsidRPr="003706C9">
        <w:t>conomic theory suggests that consumers react to marginal prices when making consumption decisions. However, there are a number of characteristics of the water market, including the market in the ACT, that indicate this may not necessarily be the case. These characteristics are a result of the manner in which water consumption is measured and bills calculated</w:t>
      </w:r>
      <w:r>
        <w:t xml:space="preserve"> and presented to customers</w:t>
      </w:r>
      <w:r w:rsidRPr="003706C9">
        <w:t>.</w:t>
      </w:r>
      <w:r>
        <w:t xml:space="preserve"> </w:t>
      </w:r>
    </w:p>
    <w:p w:rsidR="00DB4538" w:rsidRDefault="00DB4538" w:rsidP="00DB4538">
      <w:r>
        <w:lastRenderedPageBreak/>
        <w:t xml:space="preserve">In the ACT </w:t>
      </w:r>
      <w:r w:rsidRPr="00630AC5">
        <w:t>water consumption is measured using accumulation meters. These meters simply record the volume of water used, with customers billed on a quarterly basis. Accumulation meters store no information about when consumption has occurred and are often in inaccessible locations, making it impractical for customers to monitor their own consumption. This results in customers being generally unaware of how much they have consumed. The only time at which customers receive information about their consumption is on receipt of a bill, which typically covers the preceding three-month period. Because water customers are unaware of their level of consumption (and therefore the tier price to which they are exposed), they may be unaware of the price they are being charged</w:t>
      </w:r>
      <w:r>
        <w:t xml:space="preserve">.  </w:t>
      </w:r>
    </w:p>
    <w:p w:rsidR="00DB4538" w:rsidRDefault="00DB4538" w:rsidP="00DB4538">
      <w:r>
        <w:t>This situation</w:t>
      </w:r>
      <w:r w:rsidRPr="00F261D3">
        <w:t xml:space="preserve"> differs from that which exists for products provided in a competitive market, for example, petrol. Motorists purchas</w:t>
      </w:r>
      <w:r>
        <w:t>ing</w:t>
      </w:r>
      <w:r w:rsidRPr="00F261D3">
        <w:t xml:space="preserve"> petrol know the price they face in advance and determine their level of consumption based upon that knowledge. In that situation it is reasonable to consider that consumption decisions are based on an analysis of the marginal price per litre of petrol. However, water customers, who receive their bills after consumption has occurred, may base their future consumption decisions on an analysis of the most recent available information. This would mean that customers may make consumption decisions based upon an analysis of average costs calculated from recent bills.</w:t>
      </w:r>
    </w:p>
    <w:p w:rsidR="00DB4538" w:rsidRDefault="00B64B2E" w:rsidP="00DB4538">
      <w:r>
        <w:t>An added complication is the presence of inclining (or declining) block tariffs such as the two-tier inclining block tariff applied in the ACT.</w:t>
      </w:r>
      <w:r w:rsidR="00887EB5">
        <w:t xml:space="preserve"> </w:t>
      </w:r>
      <w:r w:rsidR="00C04337">
        <w:fldChar w:fldCharType="begin"/>
      </w:r>
      <w:r w:rsidR="00DB4538">
        <w:instrText xml:space="preserve"> ADDIN EN.CITE &lt;EndNote&gt;&lt;Cite&gt;&lt;Author&gt;Koichiro&lt;/Author&gt;&lt;Year&gt;2014&lt;/Year&gt;&lt;RecNum&gt;560&lt;/RecNum&gt;&lt;DisplayText&gt;Ito (2014)&lt;/DisplayText&gt;&lt;record&gt;&lt;rec-number&gt;560&lt;/rec-number&gt;&lt;foreign-keys&gt;&lt;key app="EN" db-id="5xwt9zxa6r5fesevwr5xzp97r95ev9wx9zpw" timestamp="1441337596"&gt;560&lt;/key&gt;&lt;/foreign-keys&gt;&lt;ref-type name="Journal Article"&gt;17&lt;/ref-type&gt;&lt;contributors&gt;&lt;authors&gt;&lt;author&gt;Ito, Koichiro&lt;/author&gt;&lt;/authors&gt;&lt;/contributors&gt;&lt;titles&gt;&lt;title&gt;How Do Consumers Respond to Marginal or Average Price? Evidence from Nonlinear Electricity Pricing &lt;/title&gt;&lt;secondary-title&gt;American Economic Review&lt;/secondary-title&gt;&lt;/titles&gt;&lt;periodical&gt;&lt;full-title&gt;American Economic Review&lt;/full-title&gt;&lt;/periodical&gt;&lt;pages&gt;537-63&lt;/pages&gt;&lt;volume&gt;104&lt;/volume&gt;&lt;number&gt;2&lt;/number&gt;&lt;dates&gt;&lt;year&gt;2014&lt;/year&gt;&lt;/dates&gt;&lt;urls&gt;&lt;/urls&gt;&lt;/record&gt;&lt;/Cite&gt;&lt;/EndNote&gt;</w:instrText>
      </w:r>
      <w:r w:rsidR="00C04337">
        <w:fldChar w:fldCharType="separate"/>
      </w:r>
      <w:hyperlink w:anchor="_ENREF_50" w:tooltip="Ito, 2014 #560" w:history="1">
        <w:r w:rsidR="000F2FEB">
          <w:rPr>
            <w:noProof/>
          </w:rPr>
          <w:t>Ito (2014</w:t>
        </w:r>
      </w:hyperlink>
      <w:r w:rsidR="00DB4538">
        <w:rPr>
          <w:noProof/>
        </w:rPr>
        <w:t>)</w:t>
      </w:r>
      <w:r w:rsidR="00C04337">
        <w:fldChar w:fldCharType="end"/>
      </w:r>
      <w:r w:rsidR="00DB4538">
        <w:t xml:space="preserve"> cites two alternatives to marginal price that customers may respond to when faced with </w:t>
      </w:r>
      <w:r w:rsidR="00887EB5">
        <w:t xml:space="preserve">complex </w:t>
      </w:r>
      <w:r w:rsidR="00D42F12">
        <w:t xml:space="preserve">nonlinear </w:t>
      </w:r>
      <w:r w:rsidR="00DB4538">
        <w:t xml:space="preserve">price schedules. The first is the expected marginal price, which </w:t>
      </w:r>
      <w:r w:rsidR="009774F5">
        <w:t>Ito</w:t>
      </w:r>
      <w:r w:rsidR="00DB4538">
        <w:t xml:space="preserve"> argues is a rational response in the presence of uncertainty about consumption. The second is average price:</w:t>
      </w:r>
    </w:p>
    <w:p w:rsidR="00DB4538" w:rsidRDefault="00DB4538" w:rsidP="00DB4538">
      <w:pPr>
        <w:pStyle w:val="Quote"/>
      </w:pPr>
      <w:r>
        <w:t>Alternatively, consumers may use average price as an approximation of marginal price if the cognitive cost of understanding complex pricing is substantial. This suboptimization is described as “schmeduling” by Liebman and Zeckhauser (2004).</w:t>
      </w:r>
      <w:r>
        <w:rPr>
          <w:rStyle w:val="FootnoteReference"/>
        </w:rPr>
        <w:footnoteReference w:id="26"/>
      </w:r>
    </w:p>
    <w:p w:rsidR="00DB4538" w:rsidRDefault="00DB4538" w:rsidP="00DB4538">
      <w:r>
        <w:t xml:space="preserve">There have been a number of empirical studies in the economics literature examining the question of whether consumers respond to marginal or average price. </w:t>
      </w:r>
      <w:r w:rsidR="00C04337">
        <w:fldChar w:fldCharType="begin"/>
      </w:r>
      <w:r>
        <w:instrText xml:space="preserve"> ADDIN EN.CITE &lt;EndNote&gt;&lt;Cite&gt;&lt;Author&gt;Shin&lt;/Author&gt;&lt;Year&gt;1985&lt;/Year&gt;&lt;RecNum&gt;600&lt;/RecNum&gt;&lt;DisplayText&gt;Shin (1985)&lt;/DisplayText&gt;&lt;record&gt;&lt;rec-number&gt;600&lt;/rec-number&gt;&lt;foreign-keys&gt;&lt;key app="EN" db-id="5xwt9zxa6r5fesevwr5xzp97r95ev9wx9zpw" timestamp="1444348199"&gt;600&lt;/key&gt;&lt;/foreign-keys&gt;&lt;ref-type name="Journal Article"&gt;17&lt;/ref-type&gt;&lt;contributors&gt;&lt;authors&gt;&lt;author&gt;Shin, Jeong-Shik&lt;/author&gt;&lt;/authors&gt;&lt;/contributors&gt;&lt;titles&gt;&lt;title&gt;Perception of price when price information is costly: evidence from residential electricity demand&lt;/title&gt;&lt;secondary-title&gt;Review of Economics and Statistics&lt;/secondary-title&gt;&lt;/titles&gt;&lt;periodical&gt;&lt;full-title&gt;Review of Economics and Statistics&lt;/full-title&gt;&lt;/periodical&gt;&lt;pages&gt;591–598&lt;/pages&gt;&lt;volume&gt;67&lt;/volume&gt;&lt;number&gt;4&lt;/number&gt;&lt;dates&gt;&lt;year&gt;1985&lt;/year&gt;&lt;/dates&gt;&lt;urls&gt;&lt;/urls&gt;&lt;/record&gt;&lt;/Cite&gt;&lt;/EndNote&gt;</w:instrText>
      </w:r>
      <w:r w:rsidR="00C04337">
        <w:fldChar w:fldCharType="separate"/>
      </w:r>
      <w:hyperlink w:anchor="_ENREF_67" w:tooltip="Shin, 1985 #600" w:history="1">
        <w:r w:rsidR="000F2FEB">
          <w:rPr>
            <w:noProof/>
          </w:rPr>
          <w:t>Shin (1985</w:t>
        </w:r>
      </w:hyperlink>
      <w:r>
        <w:rPr>
          <w:noProof/>
        </w:rPr>
        <w:t>)</w:t>
      </w:r>
      <w:r w:rsidR="00C04337">
        <w:fldChar w:fldCharType="end"/>
      </w:r>
      <w:r>
        <w:t xml:space="preserve"> examined </w:t>
      </w:r>
      <w:r w:rsidRPr="00D014D7">
        <w:t>residential electricity consumption under a declining block tariff and found that the empirical evidence supported the hypothesis that customers who are not well-informed respond to perceived average price as opposed to marginal price.</w:t>
      </w:r>
    </w:p>
    <w:p w:rsidR="00DB4538" w:rsidRDefault="00DB4538" w:rsidP="00DB4538">
      <w:r w:rsidRPr="007B79A9">
        <w:t>A later study by</w:t>
      </w:r>
      <w:r>
        <w:t xml:space="preserve"> </w:t>
      </w:r>
      <w:r w:rsidR="00C04337">
        <w:fldChar w:fldCharType="begin"/>
      </w:r>
      <w:r>
        <w:instrText xml:space="preserve"> ADDIN EN.CITE &lt;EndNote&gt;&lt;Cite&gt;&lt;Author&gt;Nieswiadomy&lt;/Author&gt;&lt;Year&gt;1991&lt;/Year&gt;&lt;RecNum&gt;602&lt;/RecNum&gt;&lt;DisplayText&gt;Nieswiadomy and Molina (1991)&lt;/DisplayText&gt;&lt;record&gt;&lt;rec-number&gt;602&lt;/rec-number&gt;&lt;foreign-keys&gt;&lt;key app="EN" db-id="5xwt9zxa6r5fesevwr5xzp97r95ev9wx9zpw" timestamp="1444349836"&gt;602&lt;/key&gt;&lt;/foreign-keys&gt;&lt;ref-type name="Journal Article"&gt;17&lt;/ref-type&gt;&lt;contributors&gt;&lt;authors&gt;&lt;author&gt;Nieswiadomy, Michael L&lt;/author&gt;&lt;author&gt;Molina, David J&lt;/author&gt;&lt;/authors&gt;&lt;/contributors&gt;&lt;titles&gt;&lt;title&gt;A Note on Price Perception in Water Demand Models&lt;/title&gt;&lt;secondary-title&gt;Land Economics&lt;/secondary-title&gt;&lt;/titles&gt;&lt;periodical&gt;&lt;full-title&gt;Land Economics&lt;/full-title&gt;&lt;/periodical&gt;&lt;pages&gt;352-359&lt;/pages&gt;&lt;volume&gt;67&lt;/volume&gt;&lt;number&gt;3&lt;/number&gt;&lt;dates&gt;&lt;year&gt;1991&lt;/year&gt;&lt;/dates&gt;&lt;urls&gt;&lt;/urls&gt;&lt;/record&gt;&lt;/Cite&gt;&lt;/EndNote&gt;</w:instrText>
      </w:r>
      <w:r w:rsidR="00C04337">
        <w:fldChar w:fldCharType="separate"/>
      </w:r>
      <w:hyperlink w:anchor="_ENREF_60" w:tooltip="Nieswiadomy, 1991 #602" w:history="1">
        <w:r w:rsidR="000F2FEB">
          <w:rPr>
            <w:noProof/>
          </w:rPr>
          <w:t>Nieswiadomy and Molina (1991</w:t>
        </w:r>
      </w:hyperlink>
      <w:r>
        <w:rPr>
          <w:noProof/>
        </w:rPr>
        <w:t>)</w:t>
      </w:r>
      <w:r w:rsidR="00C04337">
        <w:fldChar w:fldCharType="end"/>
      </w:r>
      <w:r w:rsidRPr="007B79A9">
        <w:t xml:space="preserve"> found that residential water customers respond to marginal price when faced with inclining block structures and average price </w:t>
      </w:r>
      <w:r w:rsidR="00FA5F19">
        <w:t xml:space="preserve">under </w:t>
      </w:r>
      <w:r w:rsidRPr="007B79A9">
        <w:t>dec</w:t>
      </w:r>
      <w:r w:rsidR="00CC697B">
        <w:t>lining</w:t>
      </w:r>
      <w:r w:rsidRPr="007B79A9">
        <w:t xml:space="preserve"> block structures.</w:t>
      </w:r>
      <w:r>
        <w:t xml:space="preserve"> A</w:t>
      </w:r>
      <w:r w:rsidRPr="007B79A9">
        <w:t xml:space="preserve"> further study by</w:t>
      </w:r>
      <w:r>
        <w:t xml:space="preserve"> </w:t>
      </w:r>
      <w:r w:rsidR="00C04337">
        <w:fldChar w:fldCharType="begin"/>
      </w:r>
      <w:r>
        <w:instrText xml:space="preserve"> ADDIN EN.CITE &lt;EndNote&gt;&lt;Cite&gt;&lt;Author&gt;Nieswiadomy&lt;/Author&gt;&lt;Year&gt;1992&lt;/Year&gt;&lt;RecNum&gt;605&lt;/RecNum&gt;&lt;DisplayText&gt;Nieswiadomy (1992)&lt;/DisplayText&gt;&lt;record&gt;&lt;rec-number&gt;605&lt;/rec-number&gt;&lt;foreign-keys&gt;&lt;key app="EN" db-id="5xwt9zxa6r5fesevwr5xzp97r95ev9wx9zpw" timestamp="1444355949"&gt;605&lt;/key&gt;&lt;/foreign-keys&gt;&lt;ref-type name="Journal Article"&gt;17&lt;/ref-type&gt;&lt;contributors&gt;&lt;authors&gt;&lt;author&gt;Nieswiadomy, Michael L&lt;/author&gt;&lt;/authors&gt;&lt;/contributors&gt;&lt;titles&gt;&lt;title&gt;Estimating urban residential water demand: Effects of price structure, conservation, and education&lt;/title&gt;&lt;secondary-title&gt;Water Resources Research&lt;/secondary-title&gt;&lt;/titles&gt;&lt;periodical&gt;&lt;full-title&gt;Water Resources Research&lt;/full-title&gt;&lt;/periodical&gt;&lt;pages&gt;609–615&lt;/pages&gt;&lt;volume&gt;28&lt;/volume&gt;&lt;number&gt;3&lt;/number&gt;&lt;dates&gt;&lt;year&gt;1992&lt;/year&gt;&lt;/dates&gt;&lt;urls&gt;&lt;/urls&gt;&lt;/record&gt;&lt;/Cite&gt;&lt;/EndNote&gt;</w:instrText>
      </w:r>
      <w:r w:rsidR="00C04337">
        <w:fldChar w:fldCharType="separate"/>
      </w:r>
      <w:hyperlink w:anchor="_ENREF_59" w:tooltip="Nieswiadomy, 1992 #605" w:history="1">
        <w:r w:rsidR="000F2FEB">
          <w:rPr>
            <w:noProof/>
          </w:rPr>
          <w:t>Nieswiadomy (1992</w:t>
        </w:r>
      </w:hyperlink>
      <w:r>
        <w:rPr>
          <w:noProof/>
        </w:rPr>
        <w:t>)</w:t>
      </w:r>
      <w:r w:rsidR="00C04337">
        <w:fldChar w:fldCharType="end"/>
      </w:r>
      <w:r w:rsidRPr="007B79A9">
        <w:t>, which among other things investigated the effect of price structure on residential water demand, con</w:t>
      </w:r>
      <w:r>
        <w:t xml:space="preserve">firmed the Shin hypothesis </w:t>
      </w:r>
      <w:r w:rsidRPr="007B79A9">
        <w:t>that customers react more to average price than marginal price.</w:t>
      </w:r>
    </w:p>
    <w:p w:rsidR="00DB4538" w:rsidRPr="007B79A9" w:rsidRDefault="00DB4538" w:rsidP="00DB4538">
      <w:r>
        <w:lastRenderedPageBreak/>
        <w:t xml:space="preserve">The study by </w:t>
      </w:r>
      <w:r w:rsidR="00C04337">
        <w:fldChar w:fldCharType="begin"/>
      </w:r>
      <w:r>
        <w:instrText xml:space="preserve"> ADDIN EN.CITE &lt;EndNote&gt;&lt;Cite&gt;&lt;Author&gt;Koichiro&lt;/Author&gt;&lt;Year&gt;2014&lt;/Year&gt;&lt;RecNum&gt;560&lt;/RecNum&gt;&lt;DisplayText&gt;Ito (2014)&lt;/DisplayText&gt;&lt;record&gt;&lt;rec-number&gt;560&lt;/rec-number&gt;&lt;foreign-keys&gt;&lt;key app="EN" db-id="5xwt9zxa6r5fesevwr5xzp97r95ev9wx9zpw" timestamp="1441337596"&gt;560&lt;/key&gt;&lt;/foreign-keys&gt;&lt;ref-type name="Journal Article"&gt;17&lt;/ref-type&gt;&lt;contributors&gt;&lt;authors&gt;&lt;author&gt;Ito, Koichiro&lt;/author&gt;&lt;/authors&gt;&lt;/contributors&gt;&lt;titles&gt;&lt;title&gt;How Do Consumers Respond to Marginal or Average Price? Evidence from Nonlinear Electricity Pricing &lt;/title&gt;&lt;secondary-title&gt;American Economic Review&lt;/secondary-title&gt;&lt;/titles&gt;&lt;periodical&gt;&lt;full-title&gt;American Economic Review&lt;/full-title&gt;&lt;/periodical&gt;&lt;pages&gt;537-63&lt;/pages&gt;&lt;volume&gt;104&lt;/volume&gt;&lt;number&gt;2&lt;/number&gt;&lt;dates&gt;&lt;year&gt;2014&lt;/year&gt;&lt;/dates&gt;&lt;urls&gt;&lt;/urls&gt;&lt;/record&gt;&lt;/Cite&gt;&lt;/EndNote&gt;</w:instrText>
      </w:r>
      <w:r w:rsidR="00C04337">
        <w:fldChar w:fldCharType="separate"/>
      </w:r>
      <w:hyperlink w:anchor="_ENREF_50" w:tooltip="Ito, 2014 #560" w:history="1">
        <w:r w:rsidR="000F2FEB">
          <w:rPr>
            <w:noProof/>
          </w:rPr>
          <w:t>Ito (2014</w:t>
        </w:r>
      </w:hyperlink>
      <w:r>
        <w:rPr>
          <w:noProof/>
        </w:rPr>
        <w:t>)</w:t>
      </w:r>
      <w:r w:rsidR="00C04337">
        <w:fldChar w:fldCharType="end"/>
      </w:r>
      <w:r>
        <w:t xml:space="preserve"> on customer response to nonlinear electricity prices using household-level panel data, found ‘strong evidence that consumers respond to average price rather than marginal or expected marginal price.’</w:t>
      </w:r>
      <w:r>
        <w:rPr>
          <w:rStyle w:val="FootnoteReference"/>
        </w:rPr>
        <w:footnoteReference w:id="27"/>
      </w:r>
    </w:p>
    <w:p w:rsidR="00371BB6" w:rsidRDefault="00414E16" w:rsidP="009A0293">
      <w:pPr>
        <w:pStyle w:val="Heading3"/>
      </w:pPr>
      <w:r>
        <w:t>Commission’s consideration</w:t>
      </w:r>
    </w:p>
    <w:p w:rsidR="00DB4538" w:rsidRDefault="00DB4538" w:rsidP="00DB4538">
      <w:r>
        <w:t>T</w:t>
      </w:r>
      <w:r w:rsidRPr="007B79A9">
        <w:t xml:space="preserve">he mere existence of a debate </w:t>
      </w:r>
      <w:r>
        <w:t xml:space="preserve">about </w:t>
      </w:r>
      <w:r w:rsidRPr="007B79A9">
        <w:t>whether customers respond to marginal or average price has important consequences</w:t>
      </w:r>
      <w:r>
        <w:t>.</w:t>
      </w:r>
      <w:r w:rsidRPr="00D75D07">
        <w:t xml:space="preserve"> </w:t>
      </w:r>
      <w:r>
        <w:t>Clearly, if consumers appear not to respond to marginal prices there is limited benefit in setting prices with reference to marginal costs.</w:t>
      </w:r>
    </w:p>
    <w:p w:rsidR="00DB4538" w:rsidRDefault="0007406C" w:rsidP="001B6AEC">
      <w:r>
        <w:t xml:space="preserve">In developing </w:t>
      </w:r>
      <w:r w:rsidR="006C2193">
        <w:t>the preferred model specification for estimating the demand elasticity of water in the technical paper on demand elasticity, the Commission assessed a number of price variables, including average price</w:t>
      </w:r>
      <w:r w:rsidR="004329B6">
        <w:t xml:space="preserve"> </w:t>
      </w:r>
      <w:r w:rsidR="00DC28E8">
        <w:t xml:space="preserve">and </w:t>
      </w:r>
      <w:r w:rsidR="004329B6">
        <w:t>a number of marginal price variants</w:t>
      </w:r>
      <w:r w:rsidR="006C2193">
        <w:t>.</w:t>
      </w:r>
      <w:r w:rsidR="006C2193">
        <w:rPr>
          <w:rStyle w:val="FootnoteReference"/>
        </w:rPr>
        <w:footnoteReference w:id="28"/>
      </w:r>
      <w:r w:rsidR="006C2193">
        <w:t xml:space="preserve"> The Commission consistently found that </w:t>
      </w:r>
      <w:r w:rsidR="004329B6">
        <w:t xml:space="preserve">using </w:t>
      </w:r>
      <w:r w:rsidR="006C2193">
        <w:t>marginal price pro</w:t>
      </w:r>
      <w:r w:rsidR="004329B6">
        <w:t>duced a better model fit than average price.</w:t>
      </w:r>
      <w:r w:rsidR="005921AC">
        <w:rPr>
          <w:rStyle w:val="FootnoteReference"/>
        </w:rPr>
        <w:footnoteReference w:id="29"/>
      </w:r>
      <w:r w:rsidR="004329B6">
        <w:t xml:space="preserve"> </w:t>
      </w:r>
      <w:r w:rsidR="003A73C3">
        <w:t xml:space="preserve">This evidence indicates </w:t>
      </w:r>
      <w:r w:rsidR="00DC28E8">
        <w:t>that ACT water consumers are likely to respond to marginal price signals.</w:t>
      </w:r>
    </w:p>
    <w:p w:rsidR="001B6AEC" w:rsidRDefault="00DC28E8" w:rsidP="00BA56DB">
      <w:r>
        <w:t xml:space="preserve">Nonetheless, it is important to note the broader </w:t>
      </w:r>
      <w:r w:rsidR="001B6AEC" w:rsidRPr="00824D6C">
        <w:t>implications of this issue for tariff design. The more complex</w:t>
      </w:r>
      <w:r>
        <w:t xml:space="preserve"> the tariff structure</w:t>
      </w:r>
      <w:r w:rsidR="001B6AEC" w:rsidRPr="00824D6C">
        <w:t>, the less likely that consumers will be able to calculate marginal prices and therefore respond t</w:t>
      </w:r>
      <w:r w:rsidR="001B6AEC">
        <w:t>o them. For example, all other things being equal, an inclining block structure is more complex than a single volumetric rate.</w:t>
      </w:r>
    </w:p>
    <w:p w:rsidR="00F062F1" w:rsidRDefault="00F062F1" w:rsidP="002B6726">
      <w:pPr>
        <w:pStyle w:val="Heading2"/>
      </w:pPr>
      <w:bookmarkStart w:id="73" w:name="_Ref448142801"/>
      <w:bookmarkStart w:id="74" w:name="_Toc453920862"/>
      <w:r>
        <w:t>Short- versus long-run</w:t>
      </w:r>
      <w:r w:rsidR="00441F1E">
        <w:t xml:space="preserve"> marginal cost</w:t>
      </w:r>
      <w:bookmarkEnd w:id="73"/>
      <w:bookmarkEnd w:id="74"/>
    </w:p>
    <w:p w:rsidR="00B5624E" w:rsidRDefault="00B5624E" w:rsidP="009A0293">
      <w:pPr>
        <w:pStyle w:val="Heading3"/>
      </w:pPr>
      <w:r>
        <w:t>Introduction</w:t>
      </w:r>
    </w:p>
    <w:p w:rsidR="00322262" w:rsidRDefault="00F062F1" w:rsidP="00F062F1">
      <w:r>
        <w:t>The second major theoretical debate in the economic literature is about the choice between using short- or long-run marginal cost when setting prices. Even where it is agreed that price should be set at marginal cost to ensure the economically efficient allocation of resources, there is still the question of whether this should be the short-run or the long-run marginal cost or somewhere in between.</w:t>
      </w:r>
      <w:r>
        <w:rPr>
          <w:rStyle w:val="FootnoteReference"/>
        </w:rPr>
        <w:footnoteReference w:id="30"/>
      </w:r>
      <w:r w:rsidR="00322262">
        <w:t xml:space="preserve"> </w:t>
      </w:r>
      <w:r>
        <w:t xml:space="preserve">As noted in Chapter </w:t>
      </w:r>
      <w:r w:rsidR="00C04337">
        <w:fldChar w:fldCharType="begin"/>
      </w:r>
      <w:r>
        <w:instrText xml:space="preserve"> REF _Ref364695177 \r \h </w:instrText>
      </w:r>
      <w:r w:rsidR="00C04337">
        <w:fldChar w:fldCharType="separate"/>
      </w:r>
      <w:r w:rsidR="00027D28">
        <w:t>1</w:t>
      </w:r>
      <w:r w:rsidR="00C04337">
        <w:fldChar w:fldCharType="end"/>
      </w:r>
      <w:r>
        <w:t>, marginal cost is the cost of providing an additional increment of output or unit of service.</w:t>
      </w:r>
    </w:p>
    <w:p w:rsidR="00322262" w:rsidRDefault="00F062F1" w:rsidP="009D558C">
      <w:r>
        <w:lastRenderedPageBreak/>
        <w:t xml:space="preserve">In the short-run, with capital equipment fixed, this cost is </w:t>
      </w:r>
      <w:r w:rsidR="002520E2">
        <w:t xml:space="preserve">usually the </w:t>
      </w:r>
      <w:r>
        <w:t>operating cost associated with, for example, the additional pumping and chemical treatment of supplying an extra unit of wate</w:t>
      </w:r>
      <w:r w:rsidR="00322262">
        <w:t>r through the existing network</w:t>
      </w:r>
      <w:r w:rsidR="009D558C">
        <w:t>.</w:t>
      </w:r>
    </w:p>
    <w:p w:rsidR="005C49FD" w:rsidRDefault="00F062F1" w:rsidP="00F062F1">
      <w:r>
        <w:t xml:space="preserve">In the long-run, with </w:t>
      </w:r>
      <w:r w:rsidRPr="00E73437">
        <w:t xml:space="preserve">all inputs </w:t>
      </w:r>
      <w:r>
        <w:t>variable, the long-run marginal cost can be defined as ‘t</w:t>
      </w:r>
      <w:r w:rsidRPr="00975A5A">
        <w:t>he difference in the present value of the future</w:t>
      </w:r>
      <w:r>
        <w:t xml:space="preserve"> </w:t>
      </w:r>
      <w:r w:rsidRPr="00975A5A">
        <w:t>stream of costs associated with producing an additional unit of output.</w:t>
      </w:r>
      <w:r>
        <w:t>’</w:t>
      </w:r>
      <w:r>
        <w:rPr>
          <w:rStyle w:val="FootnoteReference"/>
        </w:rPr>
        <w:footnoteReference w:id="31"/>
      </w:r>
      <w:r w:rsidR="008939FC">
        <w:t xml:space="preserve"> </w:t>
      </w:r>
    </w:p>
    <w:p w:rsidR="00D22B9B" w:rsidRDefault="00D94CD6" w:rsidP="00D22B9B">
      <w:r>
        <w:t>T</w:t>
      </w:r>
      <w:r w:rsidR="008939FC">
        <w:t>he distinction between short- and long-run marginal cost, and the debate about which to apply when setting prices, largely arises due to the presence of what is known as capital indivisibility, common in public utility industries such as the provision of water and sewerage services. What this means is that additions to capacity, such as a new dam, come in large indivisible lumps exceeding one year’s growth in demand.</w:t>
      </w:r>
      <w:r w:rsidR="00843686">
        <w:t xml:space="preserve"> </w:t>
      </w:r>
      <w:r w:rsidR="00C04337">
        <w:fldChar w:fldCharType="begin"/>
      </w:r>
      <w:r w:rsidR="00AA5000">
        <w:instrText xml:space="preserve"> ADDIN EN.CITE &lt;EndNote&gt;&lt;Cite&gt;&lt;Author&gt;Turvey&lt;/Author&gt;&lt;Year&gt;1976&lt;/Year&gt;&lt;RecNum&gt;519&lt;/RecNum&gt;&lt;DisplayText&gt;Turvey (1976)&lt;/DisplayText&gt;&lt;record&gt;&lt;rec-number&gt;519&lt;/rec-number&gt;&lt;foreign-keys&gt;&lt;key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hyperlink w:anchor="_ENREF_72" w:tooltip="Turvey, 1976 #519" w:history="1">
        <w:r w:rsidR="000F2FEB">
          <w:rPr>
            <w:noProof/>
          </w:rPr>
          <w:t>Turvey (1976</w:t>
        </w:r>
      </w:hyperlink>
      <w:r w:rsidR="00AA5000">
        <w:rPr>
          <w:noProof/>
        </w:rPr>
        <w:t>)</w:t>
      </w:r>
      <w:r w:rsidR="00C04337">
        <w:fldChar w:fldCharType="end"/>
      </w:r>
      <w:r w:rsidR="00AA5000">
        <w:t xml:space="preserve"> </w:t>
      </w:r>
      <w:r w:rsidR="002B2533">
        <w:t>explains that while marginal cost may be presented in dollars per megalitre, it is usually calculated in terms of a large increment in supply over many years and therefore the actual cost relates to a particular year.</w:t>
      </w:r>
    </w:p>
    <w:p w:rsidR="00D22B9B" w:rsidRDefault="008B03AC" w:rsidP="009A0293">
      <w:pPr>
        <w:pStyle w:val="Heading3"/>
      </w:pPr>
      <w:r>
        <w:t>Short</w:t>
      </w:r>
      <w:r w:rsidR="00007BEA">
        <w:t>-</w:t>
      </w:r>
      <w:r>
        <w:t xml:space="preserve"> vs long</w:t>
      </w:r>
      <w:r w:rsidR="00007BEA">
        <w:t>-run</w:t>
      </w:r>
      <w:r w:rsidR="00EE08A8">
        <w:t xml:space="preserve"> debate</w:t>
      </w:r>
    </w:p>
    <w:p w:rsidR="00D22B9B" w:rsidRPr="00D12D6E" w:rsidRDefault="00D22B9B" w:rsidP="00D22B9B">
      <w:r>
        <w:t xml:space="preserve">Early marginal cost pricing advocates such as </w:t>
      </w:r>
      <w:r w:rsidR="007F2968">
        <w:t xml:space="preserve">Jules </w:t>
      </w:r>
      <w:r>
        <w:t>Dupuit</w:t>
      </w:r>
      <w:r w:rsidR="00CE33FD">
        <w:t xml:space="preserve"> and </w:t>
      </w:r>
      <w:r w:rsidR="007F2968">
        <w:t xml:space="preserve">Harold </w:t>
      </w:r>
      <w:r>
        <w:t>Hotelling, supported basing prices on short-run marginal cost. Later short-run enthusiasts included William Vickrey, who in a 1985 article about the fallacy of using long-run costs for peak-load electricity pricing, stated</w:t>
      </w:r>
      <w:r w:rsidRPr="00D12D6E">
        <w:t>:</w:t>
      </w:r>
    </w:p>
    <w:p w:rsidR="00D22B9B" w:rsidRPr="00D12D6E" w:rsidRDefault="00D22B9B" w:rsidP="00D22B9B">
      <w:pPr>
        <w:pStyle w:val="Quote"/>
      </w:pPr>
      <w:r w:rsidRPr="00D12D6E">
        <w:t>One cannot get around the problems posed by indivisibilities or economies of scale by attempting to bring fixed costs into the picture through notions of long-run marginal cost. To attempt to do so leads only to confusion and inefficiency. Pricing decisions are relatively short-run decisions, or at least they should be flexible enough to adapt to changing conditions, even when physical plant cannot be.</w:t>
      </w:r>
      <w:r>
        <w:rPr>
          <w:rStyle w:val="FootnoteReference"/>
        </w:rPr>
        <w:footnoteReference w:id="32"/>
      </w:r>
    </w:p>
    <w:p w:rsidR="00D22B9B" w:rsidRDefault="00D22B9B" w:rsidP="00D22B9B">
      <w:r>
        <w:t>In the long-run camp, much effort has gone into proving that the two concepts are equivalent when the firm is in an equilibrium state, implying that it is optimal to set prices at long-run marginal cost. Marcel Boiteux was one of the earliest advocates of the concept, in the context of peak-load electricity pricing in France:</w:t>
      </w:r>
    </w:p>
    <w:p w:rsidR="00D22B9B" w:rsidRDefault="00D22B9B" w:rsidP="00D22B9B">
      <w:pPr>
        <w:pStyle w:val="Quote"/>
      </w:pPr>
      <w:r w:rsidRPr="00291975">
        <w:t>Provided</w:t>
      </w:r>
      <w:r>
        <w:t xml:space="preserve"> </w:t>
      </w:r>
      <w:r w:rsidRPr="00291975">
        <w:t>there is an optimal investment policy,</w:t>
      </w:r>
      <w:r>
        <w:t xml:space="preserve"> </w:t>
      </w:r>
      <w:r w:rsidRPr="00291975">
        <w:t>short-term</w:t>
      </w:r>
      <w:r>
        <w:t xml:space="preserve"> </w:t>
      </w:r>
      <w:r w:rsidRPr="00291975">
        <w:t>pricing is also long-term</w:t>
      </w:r>
      <w:r>
        <w:t xml:space="preserve"> </w:t>
      </w:r>
      <w:r w:rsidRPr="00291975">
        <w:t>pricing,</w:t>
      </w:r>
      <w:r>
        <w:t xml:space="preserve"> </w:t>
      </w:r>
      <w:r w:rsidRPr="00291975">
        <w:t>and there is no longer any contradiction</w:t>
      </w:r>
      <w:r>
        <w:t xml:space="preserve"> </w:t>
      </w:r>
      <w:r w:rsidRPr="00291975">
        <w:t>between</w:t>
      </w:r>
      <w:r>
        <w:t xml:space="preserve"> </w:t>
      </w:r>
      <w:r w:rsidRPr="00291975">
        <w:t>the two.</w:t>
      </w:r>
      <w:r>
        <w:rPr>
          <w:rStyle w:val="FootnoteReference"/>
        </w:rPr>
        <w:footnoteReference w:id="33"/>
      </w:r>
    </w:p>
    <w:p w:rsidR="00D22B9B" w:rsidRDefault="00D22B9B" w:rsidP="00D22B9B">
      <w:r>
        <w:t xml:space="preserve">This view was supported by </w:t>
      </w:r>
      <w:r w:rsidR="006E2858">
        <w:t xml:space="preserve">Ralph </w:t>
      </w:r>
      <w:r>
        <w:t>Turvey, who noted:</w:t>
      </w:r>
    </w:p>
    <w:p w:rsidR="00D22B9B" w:rsidRDefault="00D22B9B" w:rsidP="00D22B9B">
      <w:pPr>
        <w:pStyle w:val="Quote"/>
      </w:pPr>
      <w:r w:rsidRPr="00786F5B">
        <w:t xml:space="preserve">If capacity is optimally adjusted to output, the enterprise is on the long-run cost curve and on that short-run cost curve which is </w:t>
      </w:r>
      <w:r>
        <w:t>[</w:t>
      </w:r>
      <w:r w:rsidRPr="00786F5B">
        <w:t>tangential</w:t>
      </w:r>
      <w:r>
        <w:t>]</w:t>
      </w:r>
      <w:r w:rsidRPr="00786F5B">
        <w:t xml:space="preserve"> to it at that point. Hence the two curves have the same slope, that is, marginal short- and long-term costs are equal.</w:t>
      </w:r>
      <w:r w:rsidR="00E3161D">
        <w:t xml:space="preserve"> If </w:t>
      </w:r>
      <w:r w:rsidR="00E3161D">
        <w:lastRenderedPageBreak/>
        <w:t>the industry is a constant cost industry, pricing at marginal cost will just cover total costs.</w:t>
      </w:r>
      <w:r>
        <w:rPr>
          <w:rStyle w:val="FootnoteReference"/>
        </w:rPr>
        <w:footnoteReference w:id="34"/>
      </w:r>
    </w:p>
    <w:p w:rsidR="002F55FE" w:rsidRDefault="00D22B9B" w:rsidP="00D22B9B">
      <w:r>
        <w:rPr>
          <w:noProof/>
        </w:rPr>
        <w:t>Della Valle (1988)</w:t>
      </w:r>
      <w:r w:rsidR="0076749E">
        <w:rPr>
          <w:noProof/>
        </w:rPr>
        <w:t>, writing about the US electric</w:t>
      </w:r>
      <w:r w:rsidR="00ED5961">
        <w:rPr>
          <w:noProof/>
        </w:rPr>
        <w:t>i</w:t>
      </w:r>
      <w:r w:rsidR="0076749E">
        <w:rPr>
          <w:noProof/>
        </w:rPr>
        <w:t xml:space="preserve">ty industry, </w:t>
      </w:r>
      <w:r>
        <w:t xml:space="preserve">argues that </w:t>
      </w:r>
      <w:r w:rsidRPr="00907A9E">
        <w:t>economic efficiency is maximi</w:t>
      </w:r>
      <w:r>
        <w:t>s</w:t>
      </w:r>
      <w:r w:rsidRPr="00907A9E">
        <w:t>ed when</w:t>
      </w:r>
      <w:r>
        <w:t xml:space="preserve"> </w:t>
      </w:r>
      <w:r w:rsidRPr="00907A9E">
        <w:t xml:space="preserve">price is set at </w:t>
      </w:r>
      <w:r>
        <w:t xml:space="preserve">short-run marginal cost </w:t>
      </w:r>
      <w:r w:rsidRPr="00907A9E">
        <w:t>at each moment in time</w:t>
      </w:r>
      <w:r w:rsidR="002F55FE">
        <w:t>, stating:</w:t>
      </w:r>
    </w:p>
    <w:p w:rsidR="004E0DF7" w:rsidRDefault="002F55FE" w:rsidP="002F55FE">
      <w:pPr>
        <w:pStyle w:val="Quote"/>
      </w:pPr>
      <w:r>
        <w:t xml:space="preserve">It is the SRMC that reflects the actual incremental </w:t>
      </w:r>
      <w:r w:rsidR="00D22B9B" w:rsidRPr="00907A9E">
        <w:t>cost to</w:t>
      </w:r>
      <w:r w:rsidR="00D22B9B">
        <w:t xml:space="preserve"> </w:t>
      </w:r>
      <w:r w:rsidR="00D22B9B" w:rsidRPr="00907A9E">
        <w:t>society imposed by the use of one more unit of output.</w:t>
      </w:r>
      <w:r>
        <w:t xml:space="preserve"> For greatest overall social efficiency, the consumption decision should be based on this cost.</w:t>
      </w:r>
      <w:r w:rsidR="002065BA">
        <w:rPr>
          <w:rStyle w:val="FootnoteReference"/>
        </w:rPr>
        <w:footnoteReference w:id="35"/>
      </w:r>
    </w:p>
    <w:p w:rsidR="00C27ADF" w:rsidRDefault="00EE1181" w:rsidP="002F55FE">
      <w:r>
        <w:t xml:space="preserve">Della Valle </w:t>
      </w:r>
      <w:r w:rsidR="00636779">
        <w:t xml:space="preserve">identifies and then rebuts the four main arguments put forward by proponents of long-run marginal cost pricing. These are price stability, price signalling, equality of short- and long-run marginal costs in equilibrium and revenue recovery.  </w:t>
      </w:r>
    </w:p>
    <w:p w:rsidR="00444E4F" w:rsidRDefault="00444E4F" w:rsidP="00444E4F">
      <w:pPr>
        <w:pStyle w:val="Heading4"/>
      </w:pPr>
      <w:r>
        <w:t xml:space="preserve">Price stability </w:t>
      </w:r>
    </w:p>
    <w:p w:rsidR="00C27ADF" w:rsidRDefault="005E3740" w:rsidP="002F55FE">
      <w:r>
        <w:t xml:space="preserve">Della Valle agrees that short-run marginal cost pricing may result in price instability but </w:t>
      </w:r>
      <w:r w:rsidR="00B430DB">
        <w:t>contends</w:t>
      </w:r>
      <w:r>
        <w:t xml:space="preserve"> that there is a better way of dealing with this than by using long-run marginal cos</w:t>
      </w:r>
      <w:r w:rsidR="00B4072C">
        <w:t>t:</w:t>
      </w:r>
      <w:r>
        <w:t xml:space="preserve">   </w:t>
      </w:r>
    </w:p>
    <w:p w:rsidR="00615706" w:rsidRPr="00615706" w:rsidRDefault="005E3740" w:rsidP="00615706">
      <w:pPr>
        <w:pStyle w:val="Quote"/>
      </w:pPr>
      <w:r>
        <w:t>The best solution to this problem, from the standpoint of</w:t>
      </w:r>
      <w:r w:rsidR="00E1168B">
        <w:t xml:space="preserve"> </w:t>
      </w:r>
      <w:r>
        <w:t>welfare maximization, is to find the optimal uniform</w:t>
      </w:r>
      <w:r w:rsidR="00E1168B">
        <w:t xml:space="preserve"> </w:t>
      </w:r>
      <w:r>
        <w:t>price over time periods with differing SRMCs.</w:t>
      </w:r>
      <w:r w:rsidR="00E1168B">
        <w:rPr>
          <w:rStyle w:val="FootnoteReference"/>
        </w:rPr>
        <w:footnoteReference w:id="36"/>
      </w:r>
    </w:p>
    <w:p w:rsidR="00444E4F" w:rsidRDefault="00444E4F" w:rsidP="00444E4F">
      <w:pPr>
        <w:pStyle w:val="Heading4"/>
      </w:pPr>
      <w:r>
        <w:t>Price signalling</w:t>
      </w:r>
    </w:p>
    <w:p w:rsidR="00823AD3" w:rsidRDefault="00D468EE" w:rsidP="002F55FE">
      <w:r>
        <w:t xml:space="preserve">Della Valle </w:t>
      </w:r>
      <w:r w:rsidR="00E65F6C">
        <w:t xml:space="preserve">suggests </w:t>
      </w:r>
      <w:r>
        <w:t>that the long-run approach assumes</w:t>
      </w:r>
      <w:r w:rsidR="00293B00">
        <w:t xml:space="preserve"> </w:t>
      </w:r>
      <w:r>
        <w:t xml:space="preserve">that </w:t>
      </w:r>
      <w:r w:rsidR="00293B00">
        <w:t>consumers only make purchase decisions based on current price</w:t>
      </w:r>
      <w:r w:rsidR="00823AD3">
        <w:t>:</w:t>
      </w:r>
    </w:p>
    <w:p w:rsidR="00293B00" w:rsidRDefault="00823AD3" w:rsidP="00823AD3">
      <w:pPr>
        <w:pStyle w:val="Quote"/>
      </w:pPr>
      <w:r>
        <w:t>Thus for example, the view would argue that in deciding what new refrigerator to buy, consumers look only at today's price of electricity. The argument seems to be that if electricity is going to be more expensive several years in the future, then it should be overpriced (relative to cost) today, so that consumers will make long-run decisions that will be efficient when the long run arrives.</w:t>
      </w:r>
      <w:r w:rsidR="003705D4">
        <w:rPr>
          <w:rStyle w:val="FootnoteReference"/>
        </w:rPr>
        <w:footnoteReference w:id="37"/>
      </w:r>
    </w:p>
    <w:p w:rsidR="00823AD3" w:rsidRPr="00823AD3" w:rsidRDefault="00823AD3" w:rsidP="00823AD3">
      <w:r w:rsidRPr="00823AD3">
        <w:t>Della Valle argues that this approach ignore</w:t>
      </w:r>
      <w:r w:rsidR="00FB6B70">
        <w:t>s</w:t>
      </w:r>
      <w:r w:rsidRPr="00823AD3">
        <w:t xml:space="preserve"> the efficiency losses due to mispricing electricity between the present and some hypothetical future time. Della Valle</w:t>
      </w:r>
      <w:r w:rsidR="009630E8">
        <w:t xml:space="preserve"> sees no contradiction between pricing correctly in the present and pricing correctly in the future. Della Valles’s </w:t>
      </w:r>
      <w:r w:rsidRPr="00823AD3">
        <w:t xml:space="preserve">proposed solution to this ‘information argument’ is to set price equal to the current </w:t>
      </w:r>
      <w:r>
        <w:t xml:space="preserve">short-run marginal cost </w:t>
      </w:r>
      <w:r w:rsidRPr="00823AD3">
        <w:t>and separately inform customers of the best available forecasts of future prices.</w:t>
      </w:r>
    </w:p>
    <w:p w:rsidR="00EF04A6" w:rsidRDefault="00EF04A6" w:rsidP="00EF04A6">
      <w:pPr>
        <w:pStyle w:val="Heading4"/>
      </w:pPr>
      <w:r>
        <w:lastRenderedPageBreak/>
        <w:t>Equality in equilibrium</w:t>
      </w:r>
    </w:p>
    <w:p w:rsidR="00274ADD" w:rsidRDefault="00BD5CF5" w:rsidP="002F55FE">
      <w:r>
        <w:t xml:space="preserve">Della Valle dismisses the long-run enthusiasts’ </w:t>
      </w:r>
      <w:r w:rsidR="00142670">
        <w:t xml:space="preserve">reliance on the </w:t>
      </w:r>
      <w:r>
        <w:t xml:space="preserve">argument that short- and long-run cost are </w:t>
      </w:r>
      <w:r w:rsidR="00F75188">
        <w:t>equivalent</w:t>
      </w:r>
      <w:r>
        <w:t xml:space="preserve"> in equilibrium </w:t>
      </w:r>
      <w:r w:rsidR="003705D4">
        <w:t>on the basis that</w:t>
      </w:r>
      <w:r w:rsidR="00274ADD">
        <w:t>:</w:t>
      </w:r>
    </w:p>
    <w:p w:rsidR="00EF04A6" w:rsidRDefault="00274ADD" w:rsidP="00274ADD">
      <w:pPr>
        <w:pStyle w:val="Quote"/>
      </w:pPr>
      <w:r>
        <w:t>This theoretical equality holds only under numerous restrictive assumptions. In particular, the capital stock must be continuously adjusted so as to be of optimal size. This requires both that the planner has perfect foresight and that capital equipment can be increased or decreased by very small continuous increments.</w:t>
      </w:r>
      <w:r>
        <w:rPr>
          <w:rStyle w:val="FootnoteReference"/>
        </w:rPr>
        <w:footnoteReference w:id="38"/>
      </w:r>
    </w:p>
    <w:p w:rsidR="002F55FE" w:rsidRDefault="00CE4380" w:rsidP="002F55FE">
      <w:r>
        <w:t xml:space="preserve">This view is supported by </w:t>
      </w:r>
      <w:r w:rsidR="00C04337">
        <w:fldChar w:fldCharType="begin"/>
      </w:r>
      <w:r w:rsidR="002F55FE">
        <w:instrText xml:space="preserve"> ADDIN EN.CITE &lt;EndNote&gt;&lt;Cite&gt;&lt;Author&gt;Andersson&lt;/Author&gt;&lt;Year&gt;1985&lt;/Year&gt;&lt;RecNum&gt;532&lt;/RecNum&gt;&lt;DisplayText&gt;Andersson and Bohman (1985)&lt;/DisplayText&gt;&lt;record&gt;&lt;rec-number&gt;532&lt;/rec-number&gt;&lt;foreign-keys&gt;&lt;key app="EN" db-id="5xwt9zxa6r5fesevwr5xzp97r95ev9wx9zpw" timestamp="1441329572"&gt;532&lt;/key&gt;&lt;/foreign-keys&gt;&lt;ref-type name="Journal Article"&gt;17&lt;/ref-type&gt;&lt;contributors&gt;&lt;authors&gt;&lt;author&gt;Andersson, Roland&lt;/author&gt;&lt;author&gt;Bohman, Mats&lt;/author&gt;&lt;/authors&gt;&lt;/contributors&gt;&lt;titles&gt;&lt;title&gt;Short- and long-run marginal cost pricing: On their alleged equivalence&lt;/title&gt;&lt;secondary-title&gt;Energy Economics&lt;/secondary-title&gt;&lt;/titles&gt;&lt;periodical&gt;&lt;full-title&gt;Energy Economics&lt;/full-title&gt;&lt;/periodical&gt;&lt;pages&gt;279-288&lt;/pages&gt;&lt;volume&gt;7&lt;/volume&gt;&lt;number&gt;4&lt;/number&gt;&lt;dates&gt;&lt;year&gt;1985&lt;/year&gt;&lt;/dates&gt;&lt;urls&gt;&lt;/urls&gt;&lt;/record&gt;&lt;/Cite&gt;&lt;/EndNote&gt;</w:instrText>
      </w:r>
      <w:r w:rsidR="00C04337">
        <w:fldChar w:fldCharType="separate"/>
      </w:r>
      <w:hyperlink w:anchor="_ENREF_16" w:tooltip="Andersson, 1985 #532" w:history="1">
        <w:r w:rsidR="000F2FEB">
          <w:rPr>
            <w:noProof/>
          </w:rPr>
          <w:t>Andersson and Bohman (1985</w:t>
        </w:r>
      </w:hyperlink>
      <w:r w:rsidR="002F55FE">
        <w:rPr>
          <w:noProof/>
        </w:rPr>
        <w:t>)</w:t>
      </w:r>
      <w:r w:rsidR="00C04337">
        <w:fldChar w:fldCharType="end"/>
      </w:r>
      <w:r w:rsidR="002F55FE">
        <w:t xml:space="preserve"> </w:t>
      </w:r>
      <w:r>
        <w:t xml:space="preserve">who </w:t>
      </w:r>
      <w:r w:rsidR="000C11EC">
        <w:t>state</w:t>
      </w:r>
      <w:r w:rsidR="002F55FE">
        <w:t>:</w:t>
      </w:r>
    </w:p>
    <w:p w:rsidR="002F55FE" w:rsidRPr="009114A3" w:rsidRDefault="002F55FE" w:rsidP="002F55FE">
      <w:pPr>
        <w:pStyle w:val="Quote"/>
      </w:pPr>
      <w:r w:rsidRPr="00855018">
        <w:t>The equivalence, however, is valid only under</w:t>
      </w:r>
      <w:r>
        <w:t xml:space="preserve"> </w:t>
      </w:r>
      <w:r w:rsidRPr="00855018">
        <w:t>the very restrictive assumption that the capacity can be varied continuously. This</w:t>
      </w:r>
      <w:r>
        <w:t xml:space="preserve"> </w:t>
      </w:r>
      <w:r w:rsidRPr="00855018">
        <w:t>means that indivisibilities, irreversibilities and durability of investments are</w:t>
      </w:r>
      <w:r>
        <w:t xml:space="preserve"> </w:t>
      </w:r>
      <w:r w:rsidRPr="00855018">
        <w:t>ignored. Where such phenomena exist, as in electricity production and distribution,</w:t>
      </w:r>
      <w:r>
        <w:t xml:space="preserve"> </w:t>
      </w:r>
      <w:r w:rsidRPr="00855018">
        <w:t>pricing according to LRMC is neither theoretically valid nor applicable.</w:t>
      </w:r>
      <w:r>
        <w:rPr>
          <w:rStyle w:val="FootnoteReference"/>
        </w:rPr>
        <w:footnoteReference w:id="39"/>
      </w:r>
    </w:p>
    <w:p w:rsidR="00EF04A6" w:rsidRDefault="00EF04A6" w:rsidP="00EF04A6">
      <w:pPr>
        <w:pStyle w:val="Heading4"/>
      </w:pPr>
      <w:r>
        <w:t>Revenue requirement</w:t>
      </w:r>
    </w:p>
    <w:p w:rsidR="0006609B" w:rsidRDefault="0006609B" w:rsidP="00D22B9B">
      <w:r>
        <w:t>Della Valle disagrees with the argument that long-run marginal cost pricing is the only policy that ensures full cost recovery in a decreasing cost industry on the basis that since such costs are based on static hypothetical cost curves they are likely to differ significantly from the actual costs incurred over time. Della Valle suggests a more efficient alternative is multi-part pricing with a consumption charge based on the short-run marginal cost and a separate flat charge sufficient to meet the required revenue constraint.</w:t>
      </w:r>
    </w:p>
    <w:p w:rsidR="003E3B1A" w:rsidRDefault="00C04337" w:rsidP="00D22B9B">
      <w:r>
        <w:fldChar w:fldCharType="begin"/>
      </w:r>
      <w:r w:rsidR="00DB390A">
        <w:instrText xml:space="preserve"> ADDIN EN.CITE &lt;EndNote&gt;&lt;Cite&gt;&lt;Author&gt;Vickrey&lt;/Author&gt;&lt;Year&gt;1971&lt;/Year&gt;&lt;RecNum&gt;703&lt;/RecNum&gt;&lt;DisplayText&gt;Vickrey (1971)&lt;/DisplayText&gt;&lt;record&gt;&lt;rec-number&gt;703&lt;/rec-number&gt;&lt;foreign-keys&gt;&lt;key app="EN" db-id="5xwt9zxa6r5fesevwr5xzp97r95ev9wx9zpw" timestamp="1459227693"&gt;703&lt;/key&gt;&lt;key app="ENWeb" db-id=""&gt;0&lt;/key&gt;&lt;/foreign-keys&gt;&lt;ref-type name="Journal Article"&gt;17&lt;/ref-type&gt;&lt;contributors&gt;&lt;authors&gt;&lt;author&gt;Vickrey, William&lt;/author&gt;&lt;/authors&gt;&lt;/contributors&gt;&lt;titles&gt;&lt;title&gt;Responsive Pricing of Public Utility Services&lt;/title&gt;&lt;secondary-title&gt;The Bell Journal of Economics and Management Science&lt;/secondary-title&gt;&lt;/titles&gt;&lt;periodical&gt;&lt;full-title&gt;The Bell Journal of Economics and Management Science&lt;/full-title&gt;&lt;/periodical&gt;&lt;pages&gt;337-346&lt;/pages&gt;&lt;volume&gt;2&lt;/volume&gt;&lt;number&gt;1&lt;/number&gt;&lt;dates&gt;&lt;year&gt;1971&lt;/year&gt;&lt;/dates&gt;&lt;urls&gt;&lt;/urls&gt;&lt;/record&gt;&lt;/Cite&gt;&lt;/EndNote&gt;</w:instrText>
      </w:r>
      <w:r>
        <w:fldChar w:fldCharType="separate"/>
      </w:r>
      <w:hyperlink w:anchor="_ENREF_75" w:tooltip="Vickrey, 1971 #703" w:history="1">
        <w:r w:rsidR="000F2FEB">
          <w:rPr>
            <w:noProof/>
          </w:rPr>
          <w:t>Vickrey (1971</w:t>
        </w:r>
      </w:hyperlink>
      <w:r w:rsidR="00DB390A">
        <w:rPr>
          <w:noProof/>
        </w:rPr>
        <w:t>)</w:t>
      </w:r>
      <w:r>
        <w:fldChar w:fldCharType="end"/>
      </w:r>
      <w:r w:rsidR="003E3B1A">
        <w:t xml:space="preserve">, </w:t>
      </w:r>
      <w:r w:rsidR="00DB390A">
        <w:t xml:space="preserve">on the subject of </w:t>
      </w:r>
      <w:r w:rsidR="003E3B1A">
        <w:t>long-distance telephone rates, supports this approach:</w:t>
      </w:r>
    </w:p>
    <w:p w:rsidR="00782C22" w:rsidRDefault="00782C22" w:rsidP="00782C22">
      <w:pPr>
        <w:pStyle w:val="Quote"/>
      </w:pPr>
      <w:r w:rsidRPr="00782C22">
        <w:t>In an ideal world free from budgetary or financial constraints, it is clear that the rate should be equal to the expected short-run marginal cost of the call as of the time of the decision. Even in a second-best world subject to revenue requirements or where there are no perfect taxes that might be used for subsidizing the intra-marginal residue, short-run marginal cost is still the primary factor to be considered in setting the rate.</w:t>
      </w:r>
      <w:r>
        <w:rPr>
          <w:rStyle w:val="FootnoteReference"/>
        </w:rPr>
        <w:footnoteReference w:id="40"/>
      </w:r>
    </w:p>
    <w:p w:rsidR="00615706" w:rsidRDefault="007E7ACE" w:rsidP="009A0293">
      <w:pPr>
        <w:pStyle w:val="Heading3"/>
      </w:pPr>
      <w:r>
        <w:t>Long-run in practice</w:t>
      </w:r>
    </w:p>
    <w:p w:rsidR="00D80D23" w:rsidRDefault="00A4684D" w:rsidP="008939FC">
      <w:r>
        <w:t xml:space="preserve">While </w:t>
      </w:r>
      <w:r w:rsidR="00CB1EB1">
        <w:t>the debate between those in the short-run camp and their long-run opponents appears very polarised,</w:t>
      </w:r>
      <w:r>
        <w:t xml:space="preserve"> </w:t>
      </w:r>
      <w:r w:rsidR="007E7ACE">
        <w:t xml:space="preserve">it is important to note that </w:t>
      </w:r>
      <w:r w:rsidR="0004260D">
        <w:t xml:space="preserve">in practice </w:t>
      </w:r>
      <w:r w:rsidR="007E7ACE">
        <w:t xml:space="preserve">the long-run approach </w:t>
      </w:r>
      <w:r>
        <w:t>utilises both short- and long-run marginal costs.</w:t>
      </w:r>
      <w:r w:rsidR="00D80D23">
        <w:t xml:space="preserve"> </w:t>
      </w:r>
      <w:r w:rsidR="00C04337">
        <w:fldChar w:fldCharType="begin"/>
      </w:r>
      <w:r w:rsidR="00FA7A93">
        <w:instrText xml:space="preserve"> ADDIN EN.CITE &lt;EndNote&gt;&lt;Cite&gt;&lt;Author&gt;Vickrey&lt;/Author&gt;&lt;Year&gt;1971&lt;/Year&gt;&lt;RecNum&gt;703&lt;/RecNum&gt;&lt;DisplayText&gt;Vickrey (1971)&lt;/DisplayText&gt;&lt;record&gt;&lt;rec-number&gt;703&lt;/rec-number&gt;&lt;foreign-keys&gt;&lt;key app="EN" db-id="5xwt9zxa6r5fesevwr5xzp97r95ev9wx9zpw" timestamp="1459227693"&gt;703&lt;/key&gt;&lt;key app="ENWeb" db-id=""&gt;0&lt;/key&gt;&lt;/foreign-keys&gt;&lt;ref-type name="Journal Article"&gt;17&lt;/ref-type&gt;&lt;contributors&gt;&lt;authors&gt;&lt;author&gt;Vickrey, William&lt;/author&gt;&lt;/authors&gt;&lt;/contributors&gt;&lt;titles&gt;&lt;title&gt;Responsive Pricing of Public Utility Services&lt;/title&gt;&lt;secondary-title&gt;The Bell Journal of Economics and Management Science&lt;/secondary-title&gt;&lt;/titles&gt;&lt;periodical&gt;&lt;full-title&gt;The Bell Journal of Economics and Management Science&lt;/full-title&gt;&lt;/periodical&gt;&lt;pages&gt;337-346&lt;/pages&gt;&lt;volume&gt;2&lt;/volume&gt;&lt;number&gt;1&lt;/number&gt;&lt;dates&gt;&lt;year&gt;1971&lt;/year&gt;&lt;/dates&gt;&lt;urls&gt;&lt;/urls&gt;&lt;/record&gt;&lt;/Cite&gt;&lt;/EndNote&gt;</w:instrText>
      </w:r>
      <w:r w:rsidR="00C04337">
        <w:fldChar w:fldCharType="separate"/>
      </w:r>
      <w:hyperlink w:anchor="_ENREF_75" w:tooltip="Vickrey, 1971 #703" w:history="1">
        <w:r w:rsidR="000F2FEB">
          <w:rPr>
            <w:noProof/>
          </w:rPr>
          <w:t>Vickrey (1971</w:t>
        </w:r>
      </w:hyperlink>
      <w:r w:rsidR="00FA7A93">
        <w:rPr>
          <w:noProof/>
        </w:rPr>
        <w:t>)</w:t>
      </w:r>
      <w:r w:rsidR="00C04337">
        <w:fldChar w:fldCharType="end"/>
      </w:r>
      <w:r w:rsidR="00FA7A93">
        <w:t>,</w:t>
      </w:r>
      <w:r w:rsidR="000374B1">
        <w:t xml:space="preserve"> </w:t>
      </w:r>
      <w:r w:rsidR="00D80D23">
        <w:t xml:space="preserve">citing the example of lumpy investments in water supply, </w:t>
      </w:r>
      <w:r w:rsidR="007E7ACE">
        <w:t>explains</w:t>
      </w:r>
      <w:r w:rsidR="00D80D23">
        <w:t>:</w:t>
      </w:r>
    </w:p>
    <w:p w:rsidR="00D80D23" w:rsidRPr="00D80D23" w:rsidRDefault="00D80D23" w:rsidP="00D80D23">
      <w:pPr>
        <w:pStyle w:val="Quote"/>
      </w:pPr>
      <w:r w:rsidRPr="00D80D23">
        <w:t xml:space="preserve">What ought to be done, however, if demand grows gradually, is to increase the water rates for a period before the new supply is available sufficiently to curtail demand to the capacity of the old supply, thereby permitting the investment in the new supply to </w:t>
      </w:r>
      <w:r w:rsidRPr="00D80D23">
        <w:lastRenderedPageBreak/>
        <w:t>be postponed and saving the corresponding interest charges. Then when the new supply becomes available the rate should be dropped sharply to the point where the new supply is fully utilized, or to zero if capacity remains incompletely used, being subsequently raised as demand grows so as to keep the actual consumption within the capacity of the new supply.</w:t>
      </w:r>
    </w:p>
    <w:p w:rsidR="00996D2D" w:rsidRDefault="00C04337" w:rsidP="008939FC">
      <w:r>
        <w:fldChar w:fldCharType="begin"/>
      </w:r>
      <w:r w:rsidR="00657698">
        <w:instrText xml:space="preserve"> ADDIN EN.CITE &lt;EndNote&gt;&lt;Cite&gt;&lt;Author&gt;Mann&lt;/Author&gt;&lt;Year&gt;1980&lt;/Year&gt;&lt;RecNum&gt;695&lt;/RecNum&gt;&lt;DisplayText&gt;Mann et al. (1980)&lt;/DisplayText&gt;&lt;record&gt;&lt;rec-number&gt;695&lt;/rec-number&gt;&lt;foreign-keys&gt;&lt;key app="EN" db-id="5xwt9zxa6r5fesevwr5xzp97r95ev9wx9zpw" timestamp="1458185524"&gt;695&lt;/key&gt;&lt;key app="ENWeb" db-id=""&gt;0&lt;/key&gt;&lt;/foreign-keys&gt;&lt;ref-type name="Journal Article"&gt;17&lt;/ref-type&gt;&lt;contributors&gt;&lt;authors&gt;&lt;author&gt;Mann, Patrick C.&lt;/author&gt;&lt;author&gt;Saunders, Robert J.&lt;/author&gt;&lt;author&gt;Warford, Jeremy J.&lt;/author&gt;&lt;/authors&gt;&lt;/contributors&gt;&lt;titles&gt;&lt;title&gt;A Note on Capital Indivisibility and the Definition of Marginal Cost&lt;/title&gt;&lt;secondary-title&gt;Water Resources Research&lt;/secondary-title&gt;&lt;/titles&gt;&lt;periodical&gt;&lt;full-title&gt;Water Resources Research&lt;/full-title&gt;&lt;/periodical&gt;&lt;pages&gt;602-604&lt;/pages&gt;&lt;volume&gt;16&lt;/volume&gt;&lt;number&gt;3&lt;/number&gt;&lt;dates&gt;&lt;year&gt;1980&lt;/year&gt;&lt;/dates&gt;&lt;urls&gt;&lt;/urls&gt;&lt;/record&gt;&lt;/Cite&gt;&lt;/EndNote&gt;</w:instrText>
      </w:r>
      <w:r>
        <w:fldChar w:fldCharType="separate"/>
      </w:r>
      <w:hyperlink w:anchor="_ENREF_52" w:tooltip="Mann, 1980 #695" w:history="1">
        <w:r w:rsidR="000F2FEB">
          <w:rPr>
            <w:noProof/>
          </w:rPr>
          <w:t>Mann et al. (1980</w:t>
        </w:r>
      </w:hyperlink>
      <w:r w:rsidR="00657698">
        <w:rPr>
          <w:noProof/>
        </w:rPr>
        <w:t>)</w:t>
      </w:r>
      <w:r>
        <w:fldChar w:fldCharType="end"/>
      </w:r>
      <w:r w:rsidR="00D80D23">
        <w:t xml:space="preserve"> also describe this </w:t>
      </w:r>
      <w:r w:rsidR="00843686">
        <w:t>approach</w:t>
      </w:r>
      <w:r w:rsidR="00D80D23">
        <w:t>, with the introduction of some new terminology.</w:t>
      </w:r>
      <w:r w:rsidR="004470B4">
        <w:t xml:space="preserve"> </w:t>
      </w:r>
      <w:r w:rsidR="00D80D23">
        <w:t>When</w:t>
      </w:r>
      <w:r w:rsidR="00A8125B">
        <w:t xml:space="preserve"> capacity is less than fully utilised, prices </w:t>
      </w:r>
      <w:r w:rsidR="00843686">
        <w:t xml:space="preserve">are </w:t>
      </w:r>
      <w:r w:rsidR="00A8125B">
        <w:t>set with reference to short-run marginal cost</w:t>
      </w:r>
      <w:r w:rsidR="00843686">
        <w:t xml:space="preserve">. That is </w:t>
      </w:r>
      <w:r w:rsidR="00A8125B">
        <w:t xml:space="preserve">the additional operating costs </w:t>
      </w:r>
      <w:r w:rsidR="00D80D23">
        <w:t xml:space="preserve">– or ‘marginal operating cost’ </w:t>
      </w:r>
      <w:r w:rsidR="00D80D23">
        <w:sym w:font="Symbol" w:char="F02D"/>
      </w:r>
      <w:r w:rsidR="00D80D23">
        <w:t xml:space="preserve"> </w:t>
      </w:r>
      <w:r w:rsidR="00A8125B">
        <w:t>of supplying an additional unit of water, for example.</w:t>
      </w:r>
    </w:p>
    <w:p w:rsidR="00996D2D" w:rsidRDefault="00473FE6" w:rsidP="00996D2D">
      <w:r>
        <w:t xml:space="preserve">As full capacity is approached, in addition to the marginal operating cost, consumers are charged a </w:t>
      </w:r>
      <w:r w:rsidR="00D80D23">
        <w:t>‘</w:t>
      </w:r>
      <w:r>
        <w:t>marginal capacity cost</w:t>
      </w:r>
      <w:r w:rsidR="00D80D23">
        <w:t>’</w:t>
      </w:r>
      <w:r w:rsidR="0041421B">
        <w:t xml:space="preserve">. The latter </w:t>
      </w:r>
      <w:r w:rsidR="00843686">
        <w:t xml:space="preserve">reflects the cost of the next capacity augmentation. This has </w:t>
      </w:r>
      <w:r>
        <w:t>the effect of rationing existing capacity and therefore delaying the next capacity investment.</w:t>
      </w:r>
      <w:r w:rsidR="00996D2D">
        <w:t xml:space="preserve"> This point was also made by </w:t>
      </w:r>
      <w:r w:rsidR="00C04337">
        <w:fldChar w:fldCharType="begin"/>
      </w:r>
      <w:r w:rsidR="00FA7A93">
        <w:instrText xml:space="preserve"> ADDIN EN.CITE &lt;EndNote&gt;&lt;Cite&gt;&lt;Author&gt;Turvey&lt;/Author&gt;&lt;Year&gt;1976&lt;/Year&gt;&lt;RecNum&gt;519&lt;/RecNum&gt;&lt;DisplayText&gt;Turvey (1976)&lt;/DisplayText&gt;&lt;record&gt;&lt;rec-number&gt;519&lt;/rec-number&gt;&lt;foreign-keys&gt;&lt;key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hyperlink w:anchor="_ENREF_72" w:tooltip="Turvey, 1976 #519" w:history="1">
        <w:r w:rsidR="000F2FEB">
          <w:rPr>
            <w:noProof/>
          </w:rPr>
          <w:t>Turvey (1976</w:t>
        </w:r>
      </w:hyperlink>
      <w:r w:rsidR="00FA7A93">
        <w:rPr>
          <w:noProof/>
        </w:rPr>
        <w:t>)</w:t>
      </w:r>
      <w:r w:rsidR="00C04337">
        <w:fldChar w:fldCharType="end"/>
      </w:r>
      <w:r w:rsidR="00996D2D">
        <w:t>:</w:t>
      </w:r>
    </w:p>
    <w:p w:rsidR="00996D2D" w:rsidRDefault="00996D2D" w:rsidP="00996D2D">
      <w:pPr>
        <w:pStyle w:val="Quote"/>
      </w:pPr>
      <w:r>
        <w:t>Hence, it is not the total costs of the system expansion which require examination; it is the effect upon those costs of slowing down or speeding up the expansion. In other words, economy in water use might enable the next scheme to be postponed but would scarcely enable it to be altogether dropped. It is therefore the cost saving that would result from postponing a scheme, not the cost saving from abandoning it entirely, which is relevant to marginal cost.</w:t>
      </w:r>
      <w:r>
        <w:rPr>
          <w:rStyle w:val="FootnoteReference"/>
        </w:rPr>
        <w:footnoteReference w:id="41"/>
      </w:r>
    </w:p>
    <w:p w:rsidR="00944703" w:rsidRDefault="00843686" w:rsidP="008939FC">
      <w:r>
        <w:t xml:space="preserve">Once the </w:t>
      </w:r>
      <w:r w:rsidR="00DD2ADF">
        <w:t>investment is made price should once again fall to short-run marginal cost. Mann et al. (2008) note that under this approach:</w:t>
      </w:r>
    </w:p>
    <w:p w:rsidR="00DD2ADF" w:rsidRDefault="00DD2ADF" w:rsidP="00DD2ADF">
      <w:pPr>
        <w:pStyle w:val="Quote"/>
      </w:pPr>
      <w:r w:rsidRPr="00DD2ADF">
        <w:t>Price thus plays the dual roles of (1) obtaining an efficient utilization of resources when operating at less than full capacity and (2) providing a signal to invest in additional system capacity</w:t>
      </w:r>
      <w:r>
        <w:t>.</w:t>
      </w:r>
      <w:r>
        <w:rPr>
          <w:rStyle w:val="FootnoteReference"/>
        </w:rPr>
        <w:footnoteReference w:id="42"/>
      </w:r>
    </w:p>
    <w:p w:rsidR="000923F0" w:rsidRDefault="00AD4ADA" w:rsidP="009A0293">
      <w:pPr>
        <w:pStyle w:val="Heading3"/>
      </w:pPr>
      <w:r>
        <w:t>Commission’s consideration</w:t>
      </w:r>
    </w:p>
    <w:p w:rsidR="00F97A84" w:rsidRDefault="00C04337" w:rsidP="00F97A84">
      <w:r>
        <w:fldChar w:fldCharType="begin"/>
      </w:r>
      <w:r w:rsidR="00F97A84">
        <w:instrText xml:space="preserve"> ADDIN EN.CITE &lt;EndNote&gt;&lt;Cite&gt;&lt;Author&gt;Hirshleifer&lt;/Author&gt;&lt;Year&gt;1960&lt;/Year&gt;&lt;RecNum&gt;706&lt;/RecNum&gt;&lt;DisplayText&gt;Hirshleifer et al. (1960)&lt;/DisplayText&gt;&lt;record&gt;&lt;rec-number&gt;706&lt;/rec-number&gt;&lt;foreign-keys&gt;&lt;key app="EN" db-id="5xwt9zxa6r5fesevwr5xzp97r95ev9wx9zpw" timestamp="1460417661"&gt;706&lt;/key&gt;&lt;/foreign-keys&gt;&lt;ref-type name="Book"&gt;6&lt;/ref-type&gt;&lt;contributors&gt;&lt;authors&gt;&lt;author&gt;Hirshleifer, Jack&lt;/author&gt;&lt;author&gt;DeHaven, James C&lt;/author&gt;&lt;author&gt;Milliman, Jerome W&lt;/author&gt;&lt;/authors&gt;&lt;/contributors&gt;&lt;titles&gt;&lt;title&gt;Water Supply: Economics, Technology and Policy&lt;/title&gt;&lt;/titles&gt;&lt;dates&gt;&lt;year&gt;1960&lt;/year&gt;&lt;/dates&gt;&lt;publisher&gt;University of Chicago Press&lt;/publisher&gt;&lt;urls&gt;&lt;related-urls&gt;&lt;url&gt;http://babel.hathitrust.org/cgi/pt?id=mdp.39015011501270;view=1up;seq=11&lt;/url&gt;&lt;/related-urls&gt;&lt;/urls&gt;&lt;/record&gt;&lt;/Cite&gt;&lt;/EndNote&gt;</w:instrText>
      </w:r>
      <w:r>
        <w:fldChar w:fldCharType="separate"/>
      </w:r>
      <w:hyperlink w:anchor="_ENREF_36" w:tooltip="Hirshleifer, 1960 #706" w:history="1">
        <w:r w:rsidR="000F2FEB">
          <w:rPr>
            <w:noProof/>
          </w:rPr>
          <w:t>Hirshleifer et al. (1960</w:t>
        </w:r>
      </w:hyperlink>
      <w:r w:rsidR="00F97A84">
        <w:rPr>
          <w:noProof/>
        </w:rPr>
        <w:t>)</w:t>
      </w:r>
      <w:r>
        <w:fldChar w:fldCharType="end"/>
      </w:r>
      <w:r w:rsidR="00F97A84">
        <w:t xml:space="preserve"> made their position clear on the choice between short- and long-run:</w:t>
      </w:r>
    </w:p>
    <w:p w:rsidR="00F97A84" w:rsidRPr="00782C22" w:rsidRDefault="00F97A84" w:rsidP="00F97A84">
      <w:pPr>
        <w:pStyle w:val="Quote"/>
      </w:pPr>
      <w:r>
        <w:t>In principle, it should be at short-run marginal cost, for the reason that the normal sale of water is in the nature of a short-run agreement; a purchase of water at this minute does not bind the customer to take more water at any later date. At each moment of time, therefore, the enterprise is faced with the short-run problem of selling its output given its current capacity.</w:t>
      </w:r>
      <w:r>
        <w:rPr>
          <w:rStyle w:val="FootnoteReference"/>
        </w:rPr>
        <w:footnoteReference w:id="43"/>
      </w:r>
    </w:p>
    <w:p w:rsidR="000923F0" w:rsidRPr="000923F0" w:rsidRDefault="00EB6D43" w:rsidP="000923F0">
      <w:r>
        <w:t>I</w:t>
      </w:r>
      <w:r w:rsidR="007E51B4">
        <w:t>n principle</w:t>
      </w:r>
      <w:r>
        <w:t xml:space="preserve">, in accord with </w:t>
      </w:r>
      <w:r w:rsidR="00C04337">
        <w:fldChar w:fldCharType="begin"/>
      </w:r>
      <w:r w:rsidR="00330981">
        <w:instrText xml:space="preserve"> ADDIN EN.CITE &lt;EndNote&gt;&lt;Cite&gt;&lt;Author&gt;Hirshleifer&lt;/Author&gt;&lt;Year&gt;1960&lt;/Year&gt;&lt;RecNum&gt;706&lt;/RecNum&gt;&lt;DisplayText&gt;Hirshleifer et al. (1960)&lt;/DisplayText&gt;&lt;record&gt;&lt;rec-number&gt;706&lt;/rec-number&gt;&lt;foreign-keys&gt;&lt;key app="EN" db-id="5xwt9zxa6r5fesevwr5xzp97r95ev9wx9zpw" timestamp="1460417661"&gt;706&lt;/key&gt;&lt;/foreign-keys&gt;&lt;ref-type name="Book"&gt;6&lt;/ref-type&gt;&lt;contributors&gt;&lt;authors&gt;&lt;author&gt;Hirshleifer, Jack&lt;/author&gt;&lt;author&gt;DeHaven, James C&lt;/author&gt;&lt;author&gt;Milliman, Jerome W&lt;/author&gt;&lt;/authors&gt;&lt;/contributors&gt;&lt;titles&gt;&lt;title&gt;Water Supply: Economics, Technology and Policy&lt;/title&gt;&lt;/titles&gt;&lt;dates&gt;&lt;year&gt;1960&lt;/year&gt;&lt;/dates&gt;&lt;publisher&gt;University of Chicago Press&lt;/publisher&gt;&lt;urls&gt;&lt;related-urls&gt;&lt;url&gt;http://babel.hathitrust.org/cgi/pt?id=mdp.39015011501270;view=1up;seq=11&lt;/url&gt;&lt;/related-urls&gt;&lt;/urls&gt;&lt;/record&gt;&lt;/Cite&gt;&lt;/EndNote&gt;</w:instrText>
      </w:r>
      <w:r w:rsidR="00C04337">
        <w:fldChar w:fldCharType="separate"/>
      </w:r>
      <w:hyperlink w:anchor="_ENREF_36" w:tooltip="Hirshleifer, 1960 #706" w:history="1">
        <w:r w:rsidR="000F2FEB">
          <w:rPr>
            <w:noProof/>
          </w:rPr>
          <w:t>Hirshleifer et al. (1960</w:t>
        </w:r>
      </w:hyperlink>
      <w:r w:rsidR="00330981">
        <w:rPr>
          <w:noProof/>
        </w:rPr>
        <w:t>)</w:t>
      </w:r>
      <w:r w:rsidR="00C04337">
        <w:fldChar w:fldCharType="end"/>
      </w:r>
      <w:r w:rsidR="00330981">
        <w:t xml:space="preserve"> and others such as </w:t>
      </w:r>
      <w:r w:rsidR="00C04337">
        <w:fldChar w:fldCharType="begin"/>
      </w:r>
      <w:r w:rsidR="00330981">
        <w:instrText xml:space="preserve"> ADDIN EN.CITE &lt;EndNote&gt;&lt;Cite&gt;&lt;Author&gt;Della Valle&lt;/Author&gt;&lt;Year&gt;1988&lt;/Year&gt;&lt;RecNum&gt;536&lt;/RecNum&gt;&lt;DisplayText&gt;Della Valle (1988)&lt;/DisplayText&gt;&lt;record&gt;&lt;rec-number&gt;536&lt;/rec-number&gt;&lt;foreign-keys&gt;&lt;key app="EN" db-id="5xwt9zxa6r5fesevwr5xzp97r95ev9wx9zpw" timestamp="1441337231"&gt;536&lt;/key&gt;&lt;/foreign-keys&gt;&lt;ref-type name="Journal Article"&gt;17&lt;/ref-type&gt;&lt;contributors&gt;&lt;authors&gt;&lt;author&gt;Della Valle, Anna P&lt;/author&gt;&lt;/authors&gt;&lt;/contributors&gt;&lt;titles&gt;&lt;title&gt;Short-run versus long-run marginal cost pricing&lt;/title&gt;&lt;secondary-title&gt;Energy Economics&lt;/secondary-title&gt;&lt;/titles&gt;&lt;periodical&gt;&lt;full-title&gt;Energy Economics&lt;/full-title&gt;&lt;/periodical&gt;&lt;pages&gt;283-286&lt;/pages&gt;&lt;volume&gt;10&lt;/volume&gt;&lt;number&gt;4&lt;/number&gt;&lt;dates&gt;&lt;year&gt;1988&lt;/year&gt;&lt;/dates&gt;&lt;urls&gt;&lt;/urls&gt;&lt;/record&gt;&lt;/Cite&gt;&lt;/EndNote&gt;</w:instrText>
      </w:r>
      <w:r w:rsidR="00C04337">
        <w:fldChar w:fldCharType="separate"/>
      </w:r>
      <w:hyperlink w:anchor="_ENREF_24" w:tooltip="Della Valle, 1988 #536" w:history="1">
        <w:r w:rsidR="000F2FEB">
          <w:rPr>
            <w:noProof/>
          </w:rPr>
          <w:t>Della Valle (1988</w:t>
        </w:r>
      </w:hyperlink>
      <w:r w:rsidR="00330981">
        <w:rPr>
          <w:noProof/>
        </w:rPr>
        <w:t>)</w:t>
      </w:r>
      <w:r w:rsidR="00C04337">
        <w:fldChar w:fldCharType="end"/>
      </w:r>
      <w:r w:rsidR="00330981">
        <w:t xml:space="preserve">, </w:t>
      </w:r>
      <w:r w:rsidR="00C04337">
        <w:fldChar w:fldCharType="begin"/>
      </w:r>
      <w:r w:rsidR="00330981">
        <w:instrText xml:space="preserve"> ADDIN EN.CITE &lt;EndNote&gt;&lt;Cite&gt;&lt;Author&gt;Andersson&lt;/Author&gt;&lt;Year&gt;1985&lt;/Year&gt;&lt;RecNum&gt;532&lt;/RecNum&gt;&lt;DisplayText&gt;Andersson and Bohman (1985)&lt;/DisplayText&gt;&lt;record&gt;&lt;rec-number&gt;532&lt;/rec-number&gt;&lt;foreign-keys&gt;&lt;key app="EN" db-id="5xwt9zxa6r5fesevwr5xzp97r95ev9wx9zpw" timestamp="1441329572"&gt;532&lt;/key&gt;&lt;/foreign-keys&gt;&lt;ref-type name="Journal Article"&gt;17&lt;/ref-type&gt;&lt;contributors&gt;&lt;authors&gt;&lt;author&gt;Andersson, Roland&lt;/author&gt;&lt;author&gt;Bohman, Mats&lt;/author&gt;&lt;/authors&gt;&lt;/contributors&gt;&lt;titles&gt;&lt;title&gt;Short- and long-run marginal cost pricing: On their alleged equivalence&lt;/title&gt;&lt;secondary-title&gt;Energy Economics&lt;/secondary-title&gt;&lt;/titles&gt;&lt;periodical&gt;&lt;full-title&gt;Energy Economics&lt;/full-title&gt;&lt;/periodical&gt;&lt;pages&gt;279-288&lt;/pages&gt;&lt;volume&gt;7&lt;/volume&gt;&lt;number&gt;4&lt;/number&gt;&lt;dates&gt;&lt;year&gt;1985&lt;/year&gt;&lt;/dates&gt;&lt;urls&gt;&lt;/urls&gt;&lt;/record&gt;&lt;/Cite&gt;&lt;/EndNote&gt;</w:instrText>
      </w:r>
      <w:r w:rsidR="00C04337">
        <w:fldChar w:fldCharType="separate"/>
      </w:r>
      <w:hyperlink w:anchor="_ENREF_16" w:tooltip="Andersson, 1985 #532" w:history="1">
        <w:r w:rsidR="000F2FEB">
          <w:rPr>
            <w:noProof/>
          </w:rPr>
          <w:t>Andersson and Bohman (1985</w:t>
        </w:r>
      </w:hyperlink>
      <w:r w:rsidR="00330981">
        <w:rPr>
          <w:noProof/>
        </w:rPr>
        <w:t>)</w:t>
      </w:r>
      <w:r w:rsidR="00C04337">
        <w:fldChar w:fldCharType="end"/>
      </w:r>
      <w:r>
        <w:t xml:space="preserve">, </w:t>
      </w:r>
      <w:r w:rsidR="00330981">
        <w:t>short-run marginal cost pricing is the efficient basis for pricing.</w:t>
      </w:r>
      <w:r w:rsidR="001F0D0F">
        <w:t xml:space="preserve"> </w:t>
      </w:r>
      <w:r w:rsidR="00F72D91">
        <w:t>From a practical perspective, however, the Commission need</w:t>
      </w:r>
      <w:r w:rsidR="00741161">
        <w:t>s</w:t>
      </w:r>
      <w:r w:rsidR="00F72D91">
        <w:t xml:space="preserve"> to be mindful of the broader set of proposed pricing principles for this tariff review, and in </w:t>
      </w:r>
      <w:r w:rsidR="00F72D91">
        <w:lastRenderedPageBreak/>
        <w:t>particular those concerning price path stability. This</w:t>
      </w:r>
      <w:r w:rsidR="00222497">
        <w:t xml:space="preserve"> issue </w:t>
      </w:r>
      <w:proofErr w:type="gramStart"/>
      <w:r w:rsidR="00222497">
        <w:t>is discussed</w:t>
      </w:r>
      <w:proofErr w:type="gramEnd"/>
      <w:r w:rsidR="00222497">
        <w:t xml:space="preserve"> further in Chapter </w:t>
      </w:r>
      <w:r w:rsidR="00C04337">
        <w:fldChar w:fldCharType="begin"/>
      </w:r>
      <w:r w:rsidR="00222497">
        <w:instrText xml:space="preserve"> REF _Ref448923205 \r \h </w:instrText>
      </w:r>
      <w:r w:rsidR="00C04337">
        <w:fldChar w:fldCharType="separate"/>
      </w:r>
      <w:r w:rsidR="00027D28">
        <w:t>3</w:t>
      </w:r>
      <w:r w:rsidR="00C04337">
        <w:fldChar w:fldCharType="end"/>
      </w:r>
      <w:r w:rsidR="00222497">
        <w:t>.</w:t>
      </w:r>
    </w:p>
    <w:p w:rsidR="00A77B65" w:rsidRDefault="00A77B65" w:rsidP="002B6726">
      <w:pPr>
        <w:pStyle w:val="Heading2"/>
      </w:pPr>
      <w:bookmarkStart w:id="75" w:name="_Toc453920863"/>
      <w:r>
        <w:t>Marginal resource cost</w:t>
      </w:r>
      <w:bookmarkEnd w:id="75"/>
    </w:p>
    <w:p w:rsidR="0064194F" w:rsidRDefault="00E80512" w:rsidP="009A0293">
      <w:pPr>
        <w:pStyle w:val="Heading3"/>
      </w:pPr>
      <w:r>
        <w:t>The proposition</w:t>
      </w:r>
    </w:p>
    <w:p w:rsidR="00391215" w:rsidRDefault="004D463F" w:rsidP="002E691E">
      <w:r>
        <w:t xml:space="preserve">The discussion </w:t>
      </w:r>
      <w:r w:rsidR="00CD3BF4">
        <w:t xml:space="preserve">thus </w:t>
      </w:r>
      <w:r>
        <w:t>far has related to the marginal infrastructure costs</w:t>
      </w:r>
      <w:r w:rsidR="00A631F3">
        <w:t xml:space="preserve">, short- and long-run, </w:t>
      </w:r>
      <w:r>
        <w:t xml:space="preserve">associated with increments to supply to deal with the long-term growth </w:t>
      </w:r>
      <w:r w:rsidR="004E63CB">
        <w:t>in</w:t>
      </w:r>
      <w:r>
        <w:t xml:space="preserve"> </w:t>
      </w:r>
      <w:r w:rsidR="004E63CB">
        <w:t>demand for public utility services</w:t>
      </w:r>
      <w:r>
        <w:t>.</w:t>
      </w:r>
      <w:r w:rsidR="00AA4643" w:rsidRPr="00AA4643">
        <w:t xml:space="preserve"> </w:t>
      </w:r>
      <w:r w:rsidR="00AA4643">
        <w:t xml:space="preserve">A related matter, specific to water, is whether the marginal cost or value of the resource itself, that is the water stored in Icon Water’s dams, should be considered in addition to </w:t>
      </w:r>
      <w:r w:rsidR="008E4BCD">
        <w:t xml:space="preserve">relevant </w:t>
      </w:r>
      <w:r w:rsidR="00812BA4">
        <w:t xml:space="preserve">short-run </w:t>
      </w:r>
      <w:r w:rsidR="00AA4643">
        <w:t>marginal infrastructure costs.</w:t>
      </w:r>
    </w:p>
    <w:p w:rsidR="00391215" w:rsidRDefault="00C04337" w:rsidP="00391215">
      <w:r>
        <w:fldChar w:fldCharType="begin"/>
      </w:r>
      <w:r w:rsidR="00FA7A93">
        <w:instrText xml:space="preserve"> ADDIN EN.CITE &lt;EndNote&gt;&lt;Cite&gt;&lt;Author&gt;Vickrey&lt;/Author&gt;&lt;Year&gt;1971&lt;/Year&gt;&lt;RecNum&gt;703&lt;/RecNum&gt;&lt;DisplayText&gt;Vickrey (1971)&lt;/DisplayText&gt;&lt;record&gt;&lt;rec-number&gt;703&lt;/rec-number&gt;&lt;foreign-keys&gt;&lt;key app="EN" db-id="5xwt9zxa6r5fesevwr5xzp97r95ev9wx9zpw" timestamp="1459227693"&gt;703&lt;/key&gt;&lt;key app="ENWeb" db-id=""&gt;0&lt;/key&gt;&lt;/foreign-keys&gt;&lt;ref-type name="Journal Article"&gt;17&lt;/ref-type&gt;&lt;contributors&gt;&lt;authors&gt;&lt;author&gt;Vickrey, William&lt;/author&gt;&lt;/authors&gt;&lt;/contributors&gt;&lt;titles&gt;&lt;title&gt;Responsive Pricing of Public Utility Services&lt;/title&gt;&lt;secondary-title&gt;The Bell Journal of Economics and Management Science&lt;/secondary-title&gt;&lt;/titles&gt;&lt;periodical&gt;&lt;full-title&gt;The Bell Journal of Economics and Management Science&lt;/full-title&gt;&lt;/periodical&gt;&lt;pages&gt;337-346&lt;/pages&gt;&lt;volume&gt;2&lt;/volume&gt;&lt;number&gt;1&lt;/number&gt;&lt;dates&gt;&lt;year&gt;1971&lt;/year&gt;&lt;/dates&gt;&lt;urls&gt;&lt;/urls&gt;&lt;/record&gt;&lt;/Cite&gt;&lt;/EndNote&gt;</w:instrText>
      </w:r>
      <w:r>
        <w:fldChar w:fldCharType="separate"/>
      </w:r>
      <w:hyperlink w:anchor="_ENREF_75" w:tooltip="Vickrey, 1971 #703" w:history="1">
        <w:r w:rsidR="000F2FEB">
          <w:rPr>
            <w:noProof/>
          </w:rPr>
          <w:t>Vickrey (1971</w:t>
        </w:r>
      </w:hyperlink>
      <w:r w:rsidR="00FA7A93">
        <w:rPr>
          <w:noProof/>
        </w:rPr>
        <w:t>)</w:t>
      </w:r>
      <w:r>
        <w:fldChar w:fldCharType="end"/>
      </w:r>
      <w:r w:rsidR="00C95C5E">
        <w:t xml:space="preserve">, in his paper on more responsive public utility pricing, </w:t>
      </w:r>
      <w:r w:rsidR="000D063C">
        <w:t>comments on this subject</w:t>
      </w:r>
      <w:r w:rsidR="00C95C5E">
        <w:t>,</w:t>
      </w:r>
      <w:r w:rsidR="000D063C">
        <w:t xml:space="preserve"> noting </w:t>
      </w:r>
      <w:r w:rsidR="00391215">
        <w:t xml:space="preserve">that there are </w:t>
      </w:r>
      <w:r w:rsidR="00521664">
        <w:t>‘</w:t>
      </w:r>
      <w:r w:rsidR="00391215">
        <w:t>some rather interesting special rules that can be applied in determining the short-run marginal cost of water</w:t>
      </w:r>
      <w:r w:rsidR="00521664">
        <w:t>’.</w:t>
      </w:r>
      <w:r w:rsidR="00521664">
        <w:rPr>
          <w:rStyle w:val="FootnoteReference"/>
        </w:rPr>
        <w:footnoteReference w:id="44"/>
      </w:r>
      <w:r w:rsidR="003B5B98">
        <w:t xml:space="preserve"> In summary, Vickrey </w:t>
      </w:r>
      <w:r w:rsidR="00B86103">
        <w:t>proposes the following</w:t>
      </w:r>
      <w:r w:rsidR="003B5B98">
        <w:t>:</w:t>
      </w:r>
    </w:p>
    <w:p w:rsidR="003B5B98" w:rsidRDefault="00B86103" w:rsidP="003B5B98">
      <w:pPr>
        <w:pStyle w:val="Bullet"/>
      </w:pPr>
      <w:r>
        <w:t xml:space="preserve">If </w:t>
      </w:r>
      <w:r w:rsidR="00391215" w:rsidRPr="003B5B98">
        <w:t xml:space="preserve">there is water going over the </w:t>
      </w:r>
      <w:r w:rsidR="00823288">
        <w:t xml:space="preserve">dam </w:t>
      </w:r>
      <w:r w:rsidR="00391215" w:rsidRPr="003B5B98">
        <w:t>spillway</w:t>
      </w:r>
      <w:r w:rsidR="003B5B98">
        <w:t xml:space="preserve"> (</w:t>
      </w:r>
      <w:r w:rsidR="00391215" w:rsidRPr="003B5B98">
        <w:t xml:space="preserve">in excess of </w:t>
      </w:r>
      <w:r w:rsidR="003B5B98">
        <w:t>environmental flow requirements),</w:t>
      </w:r>
      <w:r w:rsidR="00391215" w:rsidRPr="003B5B98">
        <w:t xml:space="preserve"> the marginal cost of water either is zero or has a very low </w:t>
      </w:r>
      <w:r w:rsidR="003B5B98">
        <w:t>value reflecting pumping costs.</w:t>
      </w:r>
    </w:p>
    <w:p w:rsidR="003B5B98" w:rsidRDefault="00B86103" w:rsidP="00C60527">
      <w:pPr>
        <w:pStyle w:val="Bullet"/>
      </w:pPr>
      <w:r>
        <w:t>I</w:t>
      </w:r>
      <w:r w:rsidRPr="003B5B98">
        <w:t xml:space="preserve">f the </w:t>
      </w:r>
      <w:r w:rsidR="00557790">
        <w:t xml:space="preserve">dam </w:t>
      </w:r>
      <w:r w:rsidRPr="003B5B98">
        <w:t>is just full</w:t>
      </w:r>
      <w:r>
        <w:t xml:space="preserve">, ignoring </w:t>
      </w:r>
      <w:r w:rsidR="00391215" w:rsidRPr="003B5B98">
        <w:t xml:space="preserve">the contribution of the overflow to downstream flows, </w:t>
      </w:r>
      <w:r>
        <w:t>and assuming an accurate supply and demand</w:t>
      </w:r>
      <w:r w:rsidR="00823288" w:rsidRPr="00823288">
        <w:t xml:space="preserve"> </w:t>
      </w:r>
      <w:r w:rsidR="00823288">
        <w:t>forecast</w:t>
      </w:r>
      <w:r>
        <w:t>,</w:t>
      </w:r>
      <w:r w:rsidR="00823288">
        <w:t xml:space="preserve"> </w:t>
      </w:r>
      <w:r>
        <w:t xml:space="preserve">the </w:t>
      </w:r>
      <w:r w:rsidR="00391215" w:rsidRPr="003B5B98">
        <w:t xml:space="preserve">rate of increase in the </w:t>
      </w:r>
      <w:r>
        <w:t xml:space="preserve">water </w:t>
      </w:r>
      <w:r w:rsidR="00391215" w:rsidRPr="003B5B98">
        <w:t xml:space="preserve">price should be greater than or equal to the </w:t>
      </w:r>
      <w:r w:rsidR="00557790">
        <w:t xml:space="preserve">relevant </w:t>
      </w:r>
      <w:r w:rsidR="00391215" w:rsidRPr="003B5B98">
        <w:t xml:space="preserve">rate of interest. </w:t>
      </w:r>
      <w:r>
        <w:t>Vickrey argues that i</w:t>
      </w:r>
      <w:r w:rsidR="00391215" w:rsidRPr="003B5B98">
        <w:t>f the price were declining, or rising less rapidly than the interest rate, this would mean that water could be drawn from the</w:t>
      </w:r>
      <w:r>
        <w:t xml:space="preserve"> dam</w:t>
      </w:r>
      <w:r w:rsidR="00391215" w:rsidRPr="003B5B98">
        <w:t xml:space="preserve"> and sold now at a price representing a higher present value in lieu of keeping it and using it later when its value would </w:t>
      </w:r>
      <w:r>
        <w:t>be less, on a discounted basis.</w:t>
      </w:r>
    </w:p>
    <w:p w:rsidR="00662436" w:rsidRDefault="00391215" w:rsidP="003B5B98">
      <w:pPr>
        <w:pStyle w:val="BulletLast"/>
      </w:pPr>
      <w:r w:rsidRPr="003B5B98">
        <w:t xml:space="preserve">If the </w:t>
      </w:r>
      <w:r w:rsidR="003F45D4">
        <w:t xml:space="preserve">dam </w:t>
      </w:r>
      <w:r w:rsidRPr="003B5B98">
        <w:t>is neither full nor empty, the price should rise at exactly the rate of interest. Otherwise a gain would be possible by diverting water from use at a time when it has a lower present value to a time when it has a higher present value.</w:t>
      </w:r>
    </w:p>
    <w:p w:rsidR="00391215" w:rsidRPr="003B5B98" w:rsidRDefault="00662436" w:rsidP="003B5B98">
      <w:pPr>
        <w:pStyle w:val="BulletLast"/>
      </w:pPr>
      <w:r>
        <w:t>I</w:t>
      </w:r>
      <w:r w:rsidR="00391215" w:rsidRPr="003B5B98">
        <w:t xml:space="preserve">f the </w:t>
      </w:r>
      <w:r w:rsidR="003F45D4">
        <w:t xml:space="preserve">dam </w:t>
      </w:r>
      <w:r w:rsidR="00391215" w:rsidRPr="003B5B98">
        <w:t xml:space="preserve">is empty, the price </w:t>
      </w:r>
      <w:r w:rsidR="009006CF">
        <w:t xml:space="preserve">should be set </w:t>
      </w:r>
      <w:r w:rsidR="00391215" w:rsidRPr="003B5B98">
        <w:t xml:space="preserve">to limit use to the current flow into the </w:t>
      </w:r>
      <w:r w:rsidR="003F45D4">
        <w:t>dam</w:t>
      </w:r>
      <w:r w:rsidR="00391215" w:rsidRPr="003B5B98">
        <w:t xml:space="preserve">, provided that the </w:t>
      </w:r>
      <w:r w:rsidR="009006CF">
        <w:t xml:space="preserve">price </w:t>
      </w:r>
      <w:r w:rsidR="00391215" w:rsidRPr="003B5B98">
        <w:t>trend is not greater than the interest rate</w:t>
      </w:r>
      <w:r>
        <w:t>. I</w:t>
      </w:r>
      <w:r w:rsidR="00391215" w:rsidRPr="003B5B98">
        <w:t>f it were rising more rapidly</w:t>
      </w:r>
      <w:r>
        <w:t>,</w:t>
      </w:r>
      <w:r w:rsidR="00391215" w:rsidRPr="003B5B98">
        <w:t xml:space="preserve"> it would be </w:t>
      </w:r>
      <w:r w:rsidR="003F45D4">
        <w:t>advantageous</w:t>
      </w:r>
      <w:r w:rsidR="003F45D4" w:rsidRPr="003B5B98">
        <w:t xml:space="preserve"> </w:t>
      </w:r>
      <w:r w:rsidR="00391215" w:rsidRPr="003B5B98">
        <w:t xml:space="preserve">to divert water from current use, store it in the </w:t>
      </w:r>
      <w:r>
        <w:t>dam</w:t>
      </w:r>
      <w:r w:rsidR="00391215" w:rsidRPr="003B5B98">
        <w:t>, and use it later when the usage would have a higher present value.</w:t>
      </w:r>
    </w:p>
    <w:p w:rsidR="008F4AE6" w:rsidRDefault="003F45D4" w:rsidP="002E691E">
      <w:r>
        <w:lastRenderedPageBreak/>
        <w:t xml:space="preserve">A similar </w:t>
      </w:r>
      <w:r w:rsidR="008F4AE6">
        <w:t xml:space="preserve">argument </w:t>
      </w:r>
      <w:r w:rsidR="00AA4643">
        <w:t>was employed by the Commission in its 2012 investigation into secondary water use in the ACT as a means to value the contribution of publicly-funded secondary water projects.</w:t>
      </w:r>
      <w:r w:rsidR="00AA4643">
        <w:rPr>
          <w:rStyle w:val="FootnoteReference"/>
        </w:rPr>
        <w:footnoteReference w:id="45"/>
      </w:r>
    </w:p>
    <w:p w:rsidR="002E691E" w:rsidRDefault="008F4AE6" w:rsidP="002E691E">
      <w:r>
        <w:t xml:space="preserve">In its final report, the Commission noted that the </w:t>
      </w:r>
      <w:r w:rsidR="00B42FCE">
        <w:t>lumpiness of</w:t>
      </w:r>
      <w:r w:rsidR="00B42FCE" w:rsidRPr="00B42FCE">
        <w:t xml:space="preserve"> </w:t>
      </w:r>
      <w:r w:rsidR="00B42FCE">
        <w:t xml:space="preserve">investments in augmenting </w:t>
      </w:r>
      <w:r w:rsidR="0034303C">
        <w:t xml:space="preserve">Icon Water’s </w:t>
      </w:r>
      <w:r w:rsidR="00B42FCE">
        <w:t xml:space="preserve">primary water supply, and the long lead times required for planning purposes, </w:t>
      </w:r>
      <w:r w:rsidR="00AA4643">
        <w:t>argue for such investments to be decided in the framework of a long-term plan.</w:t>
      </w:r>
      <w:r w:rsidR="0034303C">
        <w:rPr>
          <w:rStyle w:val="FootnoteReference"/>
        </w:rPr>
        <w:footnoteReference w:id="46"/>
      </w:r>
      <w:r>
        <w:t xml:space="preserve"> B</w:t>
      </w:r>
      <w:r w:rsidR="002E691E">
        <w:t xml:space="preserve">y </w:t>
      </w:r>
      <w:r w:rsidR="002E691E" w:rsidRPr="00B31776">
        <w:t>supplementing supply</w:t>
      </w:r>
      <w:r w:rsidR="002E691E">
        <w:t>, take-up of secondary water options can potentially postpone the requirement to make further investments in the primary water system.</w:t>
      </w:r>
      <w:r w:rsidR="002E691E">
        <w:rPr>
          <w:rStyle w:val="FootnoteReference"/>
        </w:rPr>
        <w:footnoteReference w:id="47"/>
      </w:r>
      <w:r>
        <w:t xml:space="preserve"> </w:t>
      </w:r>
      <w:r w:rsidR="002E691E">
        <w:t xml:space="preserve">The value of an extra </w:t>
      </w:r>
      <w:r w:rsidR="002E691E" w:rsidRPr="009869FC">
        <w:t>kilolitre</w:t>
      </w:r>
      <w:r w:rsidR="002E691E">
        <w:t xml:space="preserve"> of secondary water depends on the level of the primary water bucket </w:t>
      </w:r>
      <w:r w:rsidR="002E691E">
        <w:sym w:font="Symbol" w:char="F02D"/>
      </w:r>
      <w:r w:rsidR="002E691E">
        <w:t xml:space="preserve"> that is the level of water in Icon Water’s dams.</w:t>
      </w:r>
    </w:p>
    <w:p w:rsidR="002E691E" w:rsidRDefault="002E691E" w:rsidP="002E691E">
      <w:r>
        <w:t>If the bucket is full, providing an extra kilolitre of secondary water simply causes an extra kilolitre of water to flow over the spillways of the dams in the primary water system. The only saving from the provision of the extra kilolitre of secondary water is the cost of treating a kilolitre of dam water to render it potable and transporting it through the primary reticulation system to users.</w:t>
      </w:r>
    </w:p>
    <w:p w:rsidR="002E691E" w:rsidRDefault="002E691E" w:rsidP="002E691E">
      <w:r>
        <w:t xml:space="preserve">If the bucket is not full but significantly above the level that would trigger the imposition of </w:t>
      </w:r>
      <w:r w:rsidR="004163FB">
        <w:t xml:space="preserve">temporary </w:t>
      </w:r>
      <w:r>
        <w:t xml:space="preserve">water restrictions, the provision of an extra kilolitre of secondary water means that </w:t>
      </w:r>
      <w:r w:rsidRPr="009869FC">
        <w:t>one less k</w:t>
      </w:r>
      <w:r>
        <w:t>ilolitre of water needs to be taken from the bucket to satisfy the demand for water. This kilolitre of water remains available for future use, thereby making a contribution to water security in the future. Depending on future circumstances, the contribution to water security may be more or less valuable. For example, if the time at which an investment in the primary water sys</w:t>
      </w:r>
      <w:r w:rsidRPr="009869FC">
        <w:t>tem is due is</w:t>
      </w:r>
      <w:r>
        <w:t xml:space="preserve"> very close, provision of the extra kilolitre of secondary water could give rise to the postponement of that investment, yielding immediate value. Alternatively, if the time at which such an investment is due is far distant, any postponement achieved is also in the far future and thus of lower current value.</w:t>
      </w:r>
    </w:p>
    <w:p w:rsidR="002E691E" w:rsidRDefault="002E691E" w:rsidP="002E691E">
      <w:r>
        <w:t>Finally, if the level of water in the bucket is close to the trigger level, providing an extra kilolitre of secondary water may postpone or prevent the imposition of water restrictions and therefore be of significant immediate value.</w:t>
      </w:r>
    </w:p>
    <w:p w:rsidR="000E177C" w:rsidRDefault="00AB2A33" w:rsidP="009A0293">
      <w:pPr>
        <w:pStyle w:val="Heading3"/>
      </w:pPr>
      <w:r>
        <w:lastRenderedPageBreak/>
        <w:t>Commission’s consideration</w:t>
      </w:r>
    </w:p>
    <w:p w:rsidR="001B769C" w:rsidRDefault="008E4BCD" w:rsidP="002021BD">
      <w:r>
        <w:t>Th</w:t>
      </w:r>
      <w:r w:rsidR="00502904">
        <w:t>e</w:t>
      </w:r>
      <w:r>
        <w:t xml:space="preserve"> </w:t>
      </w:r>
      <w:r w:rsidR="00850DD2">
        <w:t xml:space="preserve">notion of marginal resource cost </w:t>
      </w:r>
      <w:r>
        <w:t xml:space="preserve">brings into play the short-term flexibility </w:t>
      </w:r>
      <w:r w:rsidR="00850DD2">
        <w:t xml:space="preserve">to </w:t>
      </w:r>
      <w:r w:rsidR="003075D0">
        <w:t xml:space="preserve">adjust price to </w:t>
      </w:r>
      <w:r w:rsidR="00850DD2">
        <w:t>respond to periods of unusual climate</w:t>
      </w:r>
      <w:r w:rsidR="000E177C">
        <w:t>,</w:t>
      </w:r>
      <w:r w:rsidR="00850DD2">
        <w:t xml:space="preserve"> such as a prolonged drought</w:t>
      </w:r>
      <w:r w:rsidR="000E177C">
        <w:t>,</w:t>
      </w:r>
      <w:r w:rsidR="00850DD2" w:rsidRPr="002021BD">
        <w:t xml:space="preserve"> </w:t>
      </w:r>
      <w:r w:rsidR="003075D0">
        <w:t xml:space="preserve">flexibility </w:t>
      </w:r>
      <w:r>
        <w:t xml:space="preserve">that is </w:t>
      </w:r>
      <w:r w:rsidR="00850DD2">
        <w:t xml:space="preserve">less readily </w:t>
      </w:r>
      <w:r>
        <w:t xml:space="preserve">available </w:t>
      </w:r>
      <w:r w:rsidR="00850DD2">
        <w:t xml:space="preserve">in the </w:t>
      </w:r>
      <w:r w:rsidR="003075D0">
        <w:t xml:space="preserve">world </w:t>
      </w:r>
      <w:r w:rsidR="00850DD2">
        <w:t xml:space="preserve">of planned </w:t>
      </w:r>
      <w:r w:rsidR="003075D0">
        <w:t xml:space="preserve">capacity investments in </w:t>
      </w:r>
      <w:r w:rsidR="00850DD2">
        <w:t xml:space="preserve">the </w:t>
      </w:r>
      <w:r>
        <w:t>water</w:t>
      </w:r>
      <w:r w:rsidR="003075D0">
        <w:t xml:space="preserve"> network</w:t>
      </w:r>
      <w:r w:rsidR="00850DD2">
        <w:t>.</w:t>
      </w:r>
      <w:r w:rsidR="00F33AB1">
        <w:rPr>
          <w:rStyle w:val="FootnoteReference"/>
        </w:rPr>
        <w:footnoteReference w:id="48"/>
      </w:r>
      <w:r w:rsidR="00F33AB1">
        <w:t xml:space="preserve"> </w:t>
      </w:r>
      <w:r w:rsidR="001B769C">
        <w:t>While this is to be welcomed, there are a number of other matters that require consideration.</w:t>
      </w:r>
    </w:p>
    <w:p w:rsidR="009D271D" w:rsidRDefault="00DE2B98" w:rsidP="002021BD">
      <w:pPr>
        <w:rPr>
          <w:szCs w:val="22"/>
        </w:rPr>
      </w:pPr>
      <w:r>
        <w:t xml:space="preserve">The first issue concerns the price elasticity of demand for water </w:t>
      </w:r>
      <w:r>
        <w:sym w:font="Symbol" w:char="F02D"/>
      </w:r>
      <w:r>
        <w:t xml:space="preserve"> that is, the likely consumption response to a change in price. </w:t>
      </w:r>
      <w:r w:rsidR="003F0A75">
        <w:t xml:space="preserve">The Commission’s </w:t>
      </w:r>
      <w:r w:rsidR="00557790">
        <w:t xml:space="preserve">first technical paper for the </w:t>
      </w:r>
      <w:r w:rsidR="007908D4">
        <w:t xml:space="preserve">tariff review </w:t>
      </w:r>
      <w:r w:rsidR="003F0A75">
        <w:t xml:space="preserve">found that </w:t>
      </w:r>
      <w:r w:rsidR="003F0A75">
        <w:rPr>
          <w:szCs w:val="22"/>
        </w:rPr>
        <w:t xml:space="preserve">the price elasticity of demand for residential water </w:t>
      </w:r>
      <w:r w:rsidR="007908D4">
        <w:rPr>
          <w:szCs w:val="22"/>
        </w:rPr>
        <w:t xml:space="preserve">in the ACT, consistent with the empirical literature, </w:t>
      </w:r>
      <w:r w:rsidR="003F0A75">
        <w:rPr>
          <w:szCs w:val="22"/>
        </w:rPr>
        <w:t>whil</w:t>
      </w:r>
      <w:r w:rsidR="009D271D">
        <w:rPr>
          <w:szCs w:val="22"/>
        </w:rPr>
        <w:t>e not zero is relatively small:</w:t>
      </w:r>
    </w:p>
    <w:p w:rsidR="009D271D" w:rsidRDefault="009D271D" w:rsidP="009D271D">
      <w:pPr>
        <w:pStyle w:val="Quote"/>
      </w:pPr>
      <w:r>
        <w:t>The point estimate of -0.14 across the 1999 to 2015 period for the RESS charge class implies that a 10 per cent increase in the marginal price of water, which is the weighted average volumetric price of water in the preferred specification, would lead to a 1.4 per cent reduction in household water consumption on average.</w:t>
      </w:r>
      <w:r>
        <w:rPr>
          <w:rStyle w:val="FootnoteReference"/>
        </w:rPr>
        <w:footnoteReference w:id="49"/>
      </w:r>
    </w:p>
    <w:p w:rsidR="003F0A75" w:rsidRDefault="007908D4" w:rsidP="002021BD">
      <w:pPr>
        <w:rPr>
          <w:szCs w:val="22"/>
        </w:rPr>
      </w:pPr>
      <w:r>
        <w:rPr>
          <w:szCs w:val="22"/>
        </w:rPr>
        <w:t xml:space="preserve">This result suggests that </w:t>
      </w:r>
      <w:r w:rsidR="003075D0">
        <w:rPr>
          <w:szCs w:val="22"/>
        </w:rPr>
        <w:t xml:space="preserve">prices would likely have to be raised to a significant degree to generate any meaningful reduction in demand, exposing customers to </w:t>
      </w:r>
      <w:r w:rsidR="00BD624B">
        <w:rPr>
          <w:szCs w:val="22"/>
        </w:rPr>
        <w:t xml:space="preserve">potentially </w:t>
      </w:r>
      <w:r w:rsidR="003075D0">
        <w:rPr>
          <w:szCs w:val="22"/>
        </w:rPr>
        <w:t>large and frequent price fluctuations.</w:t>
      </w:r>
    </w:p>
    <w:p w:rsidR="00A85FEE" w:rsidRDefault="0021120D" w:rsidP="00A85FEE">
      <w:r>
        <w:t xml:space="preserve">The second issue is that of double-counting. </w:t>
      </w:r>
      <w:r w:rsidR="00884694">
        <w:t>Practical i</w:t>
      </w:r>
      <w:r>
        <w:t xml:space="preserve">mplementation </w:t>
      </w:r>
      <w:r w:rsidR="00884694">
        <w:t xml:space="preserve">of such a concept would require care to be taken to ensure that costs are not being double counted in the </w:t>
      </w:r>
      <w:r w:rsidR="00C346B0">
        <w:t xml:space="preserve">marginal </w:t>
      </w:r>
      <w:r w:rsidR="004E189B">
        <w:t xml:space="preserve">cost </w:t>
      </w:r>
      <w:r w:rsidR="00884694">
        <w:t>estimation</w:t>
      </w:r>
      <w:r w:rsidR="004E189B">
        <w:t xml:space="preserve"> exercise</w:t>
      </w:r>
      <w:r w:rsidR="00884694">
        <w:t xml:space="preserve">. </w:t>
      </w:r>
      <w:r w:rsidR="004A7E43">
        <w:t xml:space="preserve">For example, the ACT </w:t>
      </w:r>
      <w:proofErr w:type="gramStart"/>
      <w:r w:rsidR="004A7E43">
        <w:t>Government’s</w:t>
      </w:r>
      <w:proofErr w:type="gramEnd"/>
      <w:r w:rsidR="004A7E43">
        <w:t xml:space="preserve"> Water Abstraction Charge (WAC)</w:t>
      </w:r>
      <w:r w:rsidR="007314F7">
        <w:t>, which is levied on each kilolitre of water abstracted from Icon Water’s dams, includes a scarcity value element.</w:t>
      </w:r>
      <w:r w:rsidR="007314F7">
        <w:rPr>
          <w:rStyle w:val="FootnoteReference"/>
        </w:rPr>
        <w:footnoteReference w:id="50"/>
      </w:r>
      <w:r w:rsidR="004D4B73">
        <w:t xml:space="preserve"> This matter </w:t>
      </w:r>
      <w:proofErr w:type="gramStart"/>
      <w:r w:rsidR="004D4B73">
        <w:t>is considered</w:t>
      </w:r>
      <w:proofErr w:type="gramEnd"/>
      <w:r w:rsidR="004D4B73">
        <w:t xml:space="preserve"> further in Chapter </w:t>
      </w:r>
      <w:r w:rsidR="00C04337">
        <w:fldChar w:fldCharType="begin"/>
      </w:r>
      <w:r w:rsidR="004D4B73">
        <w:instrText xml:space="preserve"> REF _Ref448321586 \r \h </w:instrText>
      </w:r>
      <w:r w:rsidR="00C04337">
        <w:fldChar w:fldCharType="separate"/>
      </w:r>
      <w:r w:rsidR="00027D28">
        <w:t>4</w:t>
      </w:r>
      <w:r w:rsidR="00C04337">
        <w:fldChar w:fldCharType="end"/>
      </w:r>
      <w:r w:rsidR="004D4B73">
        <w:t>.</w:t>
      </w:r>
    </w:p>
    <w:p w:rsidR="001B6AEC" w:rsidRDefault="00441F1E" w:rsidP="002B6726">
      <w:pPr>
        <w:pStyle w:val="Heading2"/>
      </w:pPr>
      <w:bookmarkStart w:id="76" w:name="_Toc453920864"/>
      <w:r>
        <w:t>Marginal cost pricing in a d</w:t>
      </w:r>
      <w:r w:rsidR="001B6AEC">
        <w:t>ecreasing cost industry</w:t>
      </w:r>
      <w:bookmarkEnd w:id="76"/>
    </w:p>
    <w:p w:rsidR="005866C0" w:rsidRDefault="005866C0" w:rsidP="009A0293">
      <w:pPr>
        <w:pStyle w:val="Heading3"/>
      </w:pPr>
      <w:bookmarkStart w:id="77" w:name="_Ref447027208"/>
      <w:bookmarkStart w:id="78" w:name="_Ref443987574"/>
      <w:r>
        <w:t>Market failure and deadweight loss</w:t>
      </w:r>
      <w:bookmarkEnd w:id="77"/>
    </w:p>
    <w:p w:rsidR="005866C0" w:rsidRDefault="005866C0" w:rsidP="005866C0">
      <w:r>
        <w:t xml:space="preserve">Natural monopoly is the classic case of a market failure. </w:t>
      </w:r>
      <w:r w:rsidR="00C04337">
        <w:fldChar w:fldCharType="begin"/>
      </w:r>
      <w:r w:rsidR="00727050">
        <w:instrText xml:space="preserve"> ADDIN EN.CITE &lt;EndNote&gt;&lt;Cite&gt;&lt;Author&gt;Train&lt;/Author&gt;&lt;Year&gt;1991&lt;/Year&gt;&lt;RecNum&gt;610&lt;/RecNum&gt;&lt;DisplayText&gt;Train (1991)&lt;/DisplayText&gt;&lt;record&gt;&lt;rec-number&gt;610&lt;/rec-number&gt;&lt;foreign-keys&gt;&lt;key app="EN" db-id="5xwt9zxa6r5fesevwr5xzp97r95ev9wx9zpw" timestamp="1444795794"&gt;610&lt;/key&gt;&lt;/foreign-keys&gt;&lt;ref-type name="Book"&gt;6&lt;/ref-type&gt;&lt;contributors&gt;&lt;authors&gt;&lt;author&gt;Train, Kenneth E&lt;/author&gt;&lt;/authors&gt;&lt;/contributors&gt;&lt;titles&gt;&lt;title&gt;Optimal Regulation: The Economic Theory of Natural Monopoly&lt;/title&gt;&lt;/titles&gt;&lt;dates&gt;&lt;year&gt;1991&lt;/year&gt;&lt;/dates&gt;&lt;pub-location&gt;London&lt;/pub-location&gt;&lt;publisher&gt;MIT Press&lt;/publisher&gt;&lt;urls&gt;&lt;/urls&gt;&lt;/record&gt;&lt;/Cite&gt;&lt;/EndNote&gt;</w:instrText>
      </w:r>
      <w:r w:rsidR="00C04337">
        <w:fldChar w:fldCharType="separate"/>
      </w:r>
      <w:hyperlink w:anchor="_ENREF_70" w:tooltip="Train, 1991 #610" w:history="1">
        <w:r w:rsidR="000F2FEB">
          <w:rPr>
            <w:noProof/>
          </w:rPr>
          <w:t>Train (1991</w:t>
        </w:r>
      </w:hyperlink>
      <w:r w:rsidR="00727050">
        <w:rPr>
          <w:noProof/>
        </w:rPr>
        <w:t>)</w:t>
      </w:r>
      <w:r w:rsidR="00C04337">
        <w:fldChar w:fldCharType="end"/>
      </w:r>
      <w:r w:rsidR="00727050">
        <w:t xml:space="preserve"> </w:t>
      </w:r>
      <w:r>
        <w:t>loosely defines a natural monopoly as existing ‘when the costs of production are such that it is less expensive for market demand to be met with one firm than with more than one’.</w:t>
      </w:r>
      <w:r>
        <w:rPr>
          <w:rStyle w:val="FootnoteReference"/>
        </w:rPr>
        <w:footnoteReference w:id="51"/>
      </w:r>
      <w:r>
        <w:t xml:space="preserve"> Natural monopolies arise due to economies of scale or scope. The former, in which we are primarily interested here, arises when the average cost of production decreases as output expands </w:t>
      </w:r>
      <w:r>
        <w:sym w:font="Symbol" w:char="F02D"/>
      </w:r>
      <w:r>
        <w:t xml:space="preserve"> that is, the average cost curve slopes downwards up to and perhaps beyond the overall size of the market.</w:t>
      </w:r>
    </w:p>
    <w:p w:rsidR="005866C0" w:rsidRDefault="005866C0" w:rsidP="005866C0">
      <w:r>
        <w:lastRenderedPageBreak/>
        <w:t>The monopoly situation, which requires one firm to achieve least-cost production and is characterised by market power, violates the first fundamental welfare theorem’s assumption that all agents act as price takers.</w:t>
      </w:r>
      <w:r w:rsidR="00DC1915">
        <w:rPr>
          <w:rStyle w:val="FootnoteReference"/>
        </w:rPr>
        <w:footnoteReference w:id="52"/>
      </w:r>
      <w:r>
        <w:t xml:space="preserve"> As such, the market equilibrium will not be Pareto optimal with a resulting welfare loss. This </w:t>
      </w:r>
      <w:proofErr w:type="gramStart"/>
      <w:r>
        <w:t>can be demonstrated</w:t>
      </w:r>
      <w:proofErr w:type="gramEnd"/>
      <w:r>
        <w:t xml:space="preserve"> graphically by recourse once again to Marshallian aggregate surplus, as shown in </w:t>
      </w:r>
      <w:fldSimple w:instr=" REF _Ref431986072 \h  \* MERGEFORMAT ">
        <w:r w:rsidR="00027D28" w:rsidRPr="00DB3C19">
          <w:t xml:space="preserve">Figure </w:t>
        </w:r>
        <w:r w:rsidR="00027D28">
          <w:rPr>
            <w:noProof/>
          </w:rPr>
          <w:t>2</w:t>
        </w:r>
        <w:r w:rsidR="00027D28" w:rsidRPr="00003E12">
          <w:rPr>
            <w:noProof/>
          </w:rPr>
          <w:t>.</w:t>
        </w:r>
        <w:r w:rsidR="00027D28">
          <w:rPr>
            <w:noProof/>
          </w:rPr>
          <w:t>2</w:t>
        </w:r>
      </w:fldSimple>
      <w:r>
        <w:t>.</w:t>
      </w:r>
    </w:p>
    <w:p w:rsidR="005866C0" w:rsidRPr="00003E12" w:rsidRDefault="005866C0" w:rsidP="005866C0">
      <w:pPr>
        <w:pStyle w:val="FigureName"/>
        <w:keepNext/>
      </w:pPr>
      <w:bookmarkStart w:id="79" w:name="_Ref431986072"/>
      <w:bookmarkStart w:id="80" w:name="_Toc435700197"/>
      <w:bookmarkStart w:id="81" w:name="_Toc453920903"/>
      <w:r w:rsidRPr="00DB3C19">
        <w:t xml:space="preserve">Figure </w:t>
      </w:r>
      <w:r w:rsidR="00C04337">
        <w:fldChar w:fldCharType="begin"/>
      </w:r>
      <w:r>
        <w:instrText xml:space="preserve"> STYLEREF 1 \s </w:instrText>
      </w:r>
      <w:r w:rsidR="00C04337">
        <w:fldChar w:fldCharType="separate"/>
      </w:r>
      <w:r w:rsidR="00027D28">
        <w:rPr>
          <w:noProof/>
        </w:rPr>
        <w:t>2</w:t>
      </w:r>
      <w:r w:rsidR="00C04337">
        <w:fldChar w:fldCharType="end"/>
      </w:r>
      <w:r w:rsidRPr="00003E12">
        <w:t>.</w:t>
      </w:r>
      <w:r w:rsidR="00C04337" w:rsidRPr="00003E12">
        <w:fldChar w:fldCharType="begin"/>
      </w:r>
      <w:r w:rsidRPr="00003E12">
        <w:instrText xml:space="preserve"> SEQ Figure \* ARABIC \s 1 </w:instrText>
      </w:r>
      <w:r w:rsidR="00C04337" w:rsidRPr="00003E12">
        <w:fldChar w:fldCharType="separate"/>
      </w:r>
      <w:r w:rsidR="00027D28">
        <w:rPr>
          <w:noProof/>
        </w:rPr>
        <w:t>2</w:t>
      </w:r>
      <w:r w:rsidR="00C04337" w:rsidRPr="00003E12">
        <w:fldChar w:fldCharType="end"/>
      </w:r>
      <w:bookmarkEnd w:id="79"/>
      <w:r w:rsidRPr="00003E12">
        <w:tab/>
      </w:r>
      <w:r>
        <w:t>Deadweight welfare loss under monopoly</w:t>
      </w:r>
      <w:bookmarkEnd w:id="80"/>
      <w:bookmarkEnd w:id="81"/>
    </w:p>
    <w:p w:rsidR="005866C0" w:rsidRDefault="005866C0" w:rsidP="005866C0">
      <w:pPr>
        <w:keepNext/>
      </w:pPr>
      <w:r>
        <w:rPr>
          <w:noProof/>
          <w:lang w:val="en-AU" w:eastAsia="en-AU"/>
        </w:rPr>
        <w:drawing>
          <wp:inline distT="0" distB="0" distL="0" distR="0">
            <wp:extent cx="4569277" cy="3142593"/>
            <wp:effectExtent l="19050" t="19050" r="22225" b="203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586113" cy="3154172"/>
                    </a:xfrm>
                    <a:prstGeom prst="rect">
                      <a:avLst/>
                    </a:prstGeom>
                    <a:noFill/>
                    <a:ln w="9525">
                      <a:solidFill>
                        <a:schemeClr val="bg1">
                          <a:lumMod val="50000"/>
                        </a:schemeClr>
                      </a:solidFill>
                      <a:miter lim="800000"/>
                      <a:headEnd/>
                      <a:tailEnd/>
                    </a:ln>
                  </pic:spPr>
                </pic:pic>
              </a:graphicData>
            </a:graphic>
          </wp:inline>
        </w:drawing>
      </w:r>
      <w:r w:rsidRPr="0006548D" w:rsidDel="0006548D">
        <w:t xml:space="preserve"> </w:t>
      </w:r>
    </w:p>
    <w:p w:rsidR="005866C0" w:rsidRDefault="005866C0" w:rsidP="005866C0">
      <w:r>
        <w:t>Assume we are dealing with a natural monopoly, with a declining average cost curve with a minimum scale beyond market demand. The monopolist maximises profits by producing quantity Q</w:t>
      </w:r>
      <w:r w:rsidRPr="00677A5F">
        <w:rPr>
          <w:vertAlign w:val="subscript"/>
        </w:rPr>
        <w:t>m</w:t>
      </w:r>
      <w:r>
        <w:t xml:space="preserve"> at price P</w:t>
      </w:r>
      <w:r w:rsidRPr="00677A5F">
        <w:rPr>
          <w:vertAlign w:val="subscript"/>
        </w:rPr>
        <w:t>m</w:t>
      </w:r>
      <w:r>
        <w:t xml:space="preserve"> determined by the intersection of its marginal revenue and marginal cost curves. This outcome is not Pareto optimal as the Marshallian surplus is smaller than that attainable with price P</w:t>
      </w:r>
      <w:r w:rsidRPr="00256588">
        <w:rPr>
          <w:vertAlign w:val="subscript"/>
        </w:rPr>
        <w:t>c</w:t>
      </w:r>
      <w:r>
        <w:t>. The difference, referred to as the efficiency or deadweight loss, is equal to the area of the grey-shaded triangle bounded by E</w:t>
      </w:r>
      <w:r w:rsidRPr="00092349">
        <w:rPr>
          <w:vertAlign w:val="subscript"/>
        </w:rPr>
        <w:t>m</w:t>
      </w:r>
      <w:r>
        <w:t>, E</w:t>
      </w:r>
      <w:r w:rsidRPr="00092349">
        <w:rPr>
          <w:vertAlign w:val="subscript"/>
        </w:rPr>
        <w:t>c</w:t>
      </w:r>
      <w:r>
        <w:t xml:space="preserve"> and F.</w:t>
      </w:r>
      <w:r>
        <w:rPr>
          <w:rStyle w:val="FootnoteReference"/>
        </w:rPr>
        <w:footnoteReference w:id="53"/>
      </w:r>
    </w:p>
    <w:p w:rsidR="005866C0" w:rsidRDefault="005866C0" w:rsidP="005866C0">
      <w:r>
        <w:lastRenderedPageBreak/>
        <w:t>In the case of a regulated monopoly, the regulator could direct the monopolist to set price equal to marginal cost at P</w:t>
      </w:r>
      <w:r w:rsidRPr="00256588">
        <w:rPr>
          <w:vertAlign w:val="subscript"/>
        </w:rPr>
        <w:t>c</w:t>
      </w:r>
      <w:r>
        <w:t xml:space="preserve"> in an attempt to ensure a Pareto optimal outcome. The problem facing the regulator is that in many cases, as here, the monopolist is on the falling portion of its average cost curve. This means that its marginal cost is less than its average cost, as depicted by the AC curve in </w:t>
      </w:r>
      <w:fldSimple w:instr=" REF _Ref431986072 \h  \* MERGEFORMAT ">
        <w:r w:rsidR="00027D28" w:rsidRPr="00DB3C19">
          <w:t xml:space="preserve">Figure </w:t>
        </w:r>
        <w:r w:rsidR="00027D28">
          <w:rPr>
            <w:noProof/>
          </w:rPr>
          <w:t>2</w:t>
        </w:r>
        <w:r w:rsidR="00027D28" w:rsidRPr="00003E12">
          <w:rPr>
            <w:noProof/>
          </w:rPr>
          <w:t>.</w:t>
        </w:r>
        <w:r w:rsidR="00027D28">
          <w:rPr>
            <w:noProof/>
          </w:rPr>
          <w:t>2</w:t>
        </w:r>
      </w:fldSimple>
      <w:r>
        <w:t>. Such a direction from the regulator will result in the monopolist not recovering enough revenue to cover its total costs, leading to an unsustainable financial situation.</w:t>
      </w:r>
    </w:p>
    <w:p w:rsidR="008346E0" w:rsidRDefault="008346E0" w:rsidP="008346E0">
      <w:r>
        <w:t>Directing the monopolist to set prices based on average cost to ensure full cost recovery, with a quantity produced somewhere between Q</w:t>
      </w:r>
      <w:r w:rsidRPr="00256588">
        <w:rPr>
          <w:vertAlign w:val="subscript"/>
        </w:rPr>
        <w:t>m</w:t>
      </w:r>
      <w:r>
        <w:t xml:space="preserve"> and Q</w:t>
      </w:r>
      <w:r w:rsidRPr="00256588">
        <w:rPr>
          <w:vertAlign w:val="subscript"/>
        </w:rPr>
        <w:t>c</w:t>
      </w:r>
      <w:r>
        <w:t xml:space="preserve">, will also result in a suboptimal Pareto outcome. </w:t>
      </w:r>
      <w:r w:rsidR="00C04337">
        <w:fldChar w:fldCharType="begin"/>
      </w:r>
      <w:r>
        <w:instrText xml:space="preserve"> ADDIN EN.CITE &lt;EndNote&gt;&lt;Cite&gt;&lt;Author&gt;Brown&lt;/Author&gt;&lt;Year&gt;1992&lt;/Year&gt;&lt;RecNum&gt;371&lt;/RecNum&gt;&lt;DisplayText&gt;Brown et al. (1992)&lt;/DisplayText&gt;&lt;record&gt;&lt;rec-number&gt;371&lt;/rec-number&gt;&lt;foreign-keys&gt;&lt;key app="EN" db-id="5xwt9zxa6r5fesevwr5xzp97r95ev9wx9zpw" timestamp="1387160988"&gt;371&lt;/key&gt;&lt;/foreign-keys&gt;&lt;ref-type name="Journal Article"&gt;17&lt;/ref-type&gt;&lt;contributors&gt;&lt;authors&gt;&lt;author&gt;Brown, Donald J.&lt;/author&gt;&lt;author&gt;Heller, Walter P.&lt;/author&gt;&lt;author&gt;Starr, Ross M.&lt;/author&gt;&lt;/authors&gt;&lt;/contributors&gt;&lt;titles&gt;&lt;title&gt;Two-part marginal cost pricing equilibria: Existence and efficiency&lt;/title&gt;&lt;secondary-title&gt;Journal of Economic Theory&lt;/secondary-title&gt;&lt;/titles&gt;&lt;periodical&gt;&lt;full-title&gt;Journal of Economic Theory&lt;/full-title&gt;&lt;/periodical&gt;&lt;pages&gt;52-72&lt;/pages&gt;&lt;volume&gt;57&lt;/volume&gt;&lt;dates&gt;&lt;year&gt;1992&lt;/year&gt;&lt;/dates&gt;&lt;urls&gt;&lt;/urls&gt;&lt;electronic-resource-num&gt;10.1016/S0022-0531(05)80040-7&lt;/electronic-resource-num&gt;&lt;/record&gt;&lt;/Cite&gt;&lt;/EndNote&gt;</w:instrText>
      </w:r>
      <w:r w:rsidR="00C04337">
        <w:fldChar w:fldCharType="separate"/>
      </w:r>
      <w:hyperlink w:anchor="_ENREF_20" w:tooltip="Brown, 1992 #371" w:history="1">
        <w:r w:rsidR="000F2FEB">
          <w:rPr>
            <w:noProof/>
          </w:rPr>
          <w:t>Brown et al. (1992</w:t>
        </w:r>
      </w:hyperlink>
      <w:r>
        <w:rPr>
          <w:noProof/>
        </w:rPr>
        <w:t>)</w:t>
      </w:r>
      <w:r w:rsidR="00C04337">
        <w:fldChar w:fldCharType="end"/>
      </w:r>
      <w:r>
        <w:t xml:space="preserve"> state:</w:t>
      </w:r>
    </w:p>
    <w:p w:rsidR="008346E0" w:rsidRDefault="008346E0" w:rsidP="008346E0">
      <w:pPr>
        <w:pStyle w:val="Quote"/>
      </w:pPr>
      <w:r>
        <w:t>Regulated natural monopolies are usually required to recover losses in the marketplace. Average cost pricing is frequently used, though the resulting allocation has no hope of being Pareto-efficient.</w:t>
      </w:r>
      <w:r>
        <w:rPr>
          <w:rStyle w:val="FootnoteReference"/>
        </w:rPr>
        <w:footnoteReference w:id="54"/>
      </w:r>
    </w:p>
    <w:p w:rsidR="008346E0" w:rsidRDefault="008346E0" w:rsidP="008346E0">
      <w:r>
        <w:t>In short, in the monopoly case the first-best Pareto optimal outcome</w:t>
      </w:r>
      <w:r>
        <w:sym w:font="Symbol" w:char="F02D"/>
      </w:r>
      <w:r>
        <w:t>that achieved by setting price equal to marginal cost</w:t>
      </w:r>
      <w:r>
        <w:sym w:font="Symbol" w:char="F02D"/>
      </w:r>
      <w:r>
        <w:t>is infeasible due to the cost recovery constraint. In order to allow cost recovery, the regulator is faced with achieving the second-best outcome. This exercise can be broadly described as maximising social welfare subject to a revenue constraint.</w:t>
      </w:r>
    </w:p>
    <w:p w:rsidR="00255A86" w:rsidRDefault="00255A86" w:rsidP="008346E0">
      <w:r>
        <w:t>The divergence between average and marginal costs and how prices should be determined under conditions of decreasing average cost gave rise to one of the most spirited debates in the marginal cost economics literature: whether to charge at marginal cost and recover any revenue shortfall through general taxation or from consumers directly by means of a multi-part tariff.</w:t>
      </w:r>
      <w:r w:rsidR="00014D0B">
        <w:t xml:space="preserve"> The principal protagonists were Harold Hotelling, who supported the taxation approach, and Ronald Coase who favoured the multi-part tariff.</w:t>
      </w:r>
    </w:p>
    <w:p w:rsidR="00014D0B" w:rsidRDefault="00953A0E" w:rsidP="005866C0">
      <w:pPr>
        <w:pStyle w:val="Heading3"/>
      </w:pPr>
      <w:r>
        <w:t>The marginal cost controversy</w:t>
      </w:r>
      <w:r w:rsidR="006F32CA">
        <w:rPr>
          <w:rStyle w:val="FootnoteReference"/>
        </w:rPr>
        <w:footnoteReference w:id="55"/>
      </w:r>
    </w:p>
    <w:p w:rsidR="00E61145" w:rsidRPr="00E61145" w:rsidRDefault="00014D0B" w:rsidP="00C342D1">
      <w:r>
        <w:t>When faced with a divergence between average and marginal costs,</w:t>
      </w:r>
      <w:r w:rsidR="00AF589C">
        <w:t xml:space="preserve"> Hotelling</w:t>
      </w:r>
      <w:r w:rsidR="00A41F4C">
        <w:t xml:space="preserve"> </w:t>
      </w:r>
      <w:r w:rsidR="000F2FEB">
        <w:t xml:space="preserve">in his seminal article on general welfare and the relationship between taxation and the setting of railway and public utility charges, </w:t>
      </w:r>
      <w:r w:rsidR="00356E9E">
        <w:t>postulated that ‘the optimum of the general welfare corresponds to the sale of everything at marginal cost’ and that the difference between this amount and total cost be made up by taxation.</w:t>
      </w:r>
      <w:r w:rsidR="00356E9E">
        <w:rPr>
          <w:rStyle w:val="FootnoteReference"/>
        </w:rPr>
        <w:footnoteReference w:id="56"/>
      </w:r>
      <w:r w:rsidR="00ED0837">
        <w:t xml:space="preserve"> </w:t>
      </w:r>
    </w:p>
    <w:p w:rsidR="00782669" w:rsidRDefault="00A14634" w:rsidP="005866C0">
      <w:r>
        <w:t xml:space="preserve">Ronald Coase </w:t>
      </w:r>
      <w:r w:rsidR="005A77E1">
        <w:t xml:space="preserve">is perhaps the most well-known opponent of subsidising decreasing cost industries, especially after </w:t>
      </w:r>
      <w:r w:rsidR="007C2425">
        <w:t xml:space="preserve">the </w:t>
      </w:r>
      <w:r w:rsidR="005A77E1">
        <w:t>publication of his seminal</w:t>
      </w:r>
      <w:r w:rsidR="00740950">
        <w:t xml:space="preserve"> article on marginal cost pricing in 1946</w:t>
      </w:r>
      <w:r w:rsidR="00C342D1">
        <w:t>.</w:t>
      </w:r>
      <w:r w:rsidR="005A77E1">
        <w:rPr>
          <w:rStyle w:val="FootnoteReference"/>
        </w:rPr>
        <w:footnoteReference w:id="57"/>
      </w:r>
      <w:r w:rsidR="002B18C9">
        <w:t xml:space="preserve"> </w:t>
      </w:r>
      <w:r w:rsidR="00CB2940">
        <w:t xml:space="preserve">Coase did not disagree that price should equal marginal cost, but </w:t>
      </w:r>
      <w:r w:rsidR="00CB2940">
        <w:lastRenderedPageBreak/>
        <w:t xml:space="preserve">rather </w:t>
      </w:r>
      <w:r w:rsidR="007C2425">
        <w:t xml:space="preserve">than </w:t>
      </w:r>
      <w:r w:rsidR="002B18C9">
        <w:t>the alternatives of pricing according to marginal cost thereby incurring a loss, or pricing at average cost and avoiding any loss, Coase proposed the introduction of multi-part pricing</w:t>
      </w:r>
      <w:r w:rsidR="00A16A23">
        <w:t>,</w:t>
      </w:r>
      <w:r w:rsidR="00782669">
        <w:t xml:space="preserve"> </w:t>
      </w:r>
      <w:r w:rsidR="004E5EDA">
        <w:t xml:space="preserve">on the basis </w:t>
      </w:r>
      <w:r w:rsidR="00782669">
        <w:t>that:</w:t>
      </w:r>
    </w:p>
    <w:p w:rsidR="00782669" w:rsidRDefault="00782669" w:rsidP="00782669">
      <w:pPr>
        <w:pStyle w:val="Quote"/>
      </w:pPr>
      <w:r>
        <w:t>A consumer does not only have to decide whether to consume additional units of a product; he has also to decide whether it is worth his while to consume the product at all rather than spend his money in some other direction.</w:t>
      </w:r>
      <w:r>
        <w:rPr>
          <w:rStyle w:val="FootnoteReference"/>
        </w:rPr>
        <w:footnoteReference w:id="58"/>
      </w:r>
    </w:p>
    <w:p w:rsidR="00782669" w:rsidRDefault="00A16A23" w:rsidP="005866C0">
      <w:r>
        <w:t>Coase’s view was that marginal cost pricing for additional units would provide for the former, while an additional charge</w:t>
      </w:r>
      <w:r w:rsidR="00B27A3B">
        <w:t xml:space="preserve">, independent of consumption, </w:t>
      </w:r>
      <w:r>
        <w:t>set to ensure that total supply costs are recovered would deal with the latter.</w:t>
      </w:r>
    </w:p>
    <w:p w:rsidR="00986BD8" w:rsidRDefault="00986BD8" w:rsidP="00986BD8">
      <w:r>
        <w:t xml:space="preserve">The </w:t>
      </w:r>
      <w:r w:rsidR="000F2FEB">
        <w:t>multi</w:t>
      </w:r>
      <w:r>
        <w:t xml:space="preserve">-part tariff structure provides a means to enable regulators to use marginal cost pricing to achieve an outcome that, while not Pareto-efficient, at least </w:t>
      </w:r>
      <w:r w:rsidR="0044384D">
        <w:t xml:space="preserve">approaches </w:t>
      </w:r>
      <w:r>
        <w:t xml:space="preserve">second-best. </w:t>
      </w:r>
      <w:r w:rsidR="00286FD6">
        <w:t xml:space="preserve">As stated by </w:t>
      </w:r>
      <w:r>
        <w:rPr>
          <w:noProof/>
        </w:rPr>
        <w:t>Train (1991)</w:t>
      </w:r>
      <w:r>
        <w:t>:</w:t>
      </w:r>
    </w:p>
    <w:p w:rsidR="00986BD8" w:rsidRDefault="00986BD8" w:rsidP="00986BD8">
      <w:pPr>
        <w:pStyle w:val="Quote"/>
      </w:pPr>
      <w:r>
        <w:t>Multipart tariffs have important welfare implications. Perhaps the most relevant is the fact that a regulator, by applying an appropriately designed multipart tariff, can induce a natural monopolist to operate closer to the first-best outcome than would be possible with only one price.</w:t>
      </w:r>
      <w:r>
        <w:rPr>
          <w:rStyle w:val="FootnoteReference"/>
        </w:rPr>
        <w:footnoteReference w:id="59"/>
      </w:r>
    </w:p>
    <w:p w:rsidR="00EF7001" w:rsidRDefault="00AA4EB0" w:rsidP="00EF7001">
      <w:pPr>
        <w:pStyle w:val="Heading4"/>
      </w:pPr>
      <w:r>
        <w:t>Commission’s consideration</w:t>
      </w:r>
    </w:p>
    <w:p w:rsidR="00E61276" w:rsidRPr="0087246F" w:rsidRDefault="0087246F" w:rsidP="0087246F">
      <w:r w:rsidRPr="0087246F">
        <w:t>On the application of marginal cos</w:t>
      </w:r>
      <w:r w:rsidR="0015130A">
        <w:t>t</w:t>
      </w:r>
      <w:r w:rsidRPr="0087246F">
        <w:t xml:space="preserve"> pricing in a declining average cost industry with consequent revenue problem, </w:t>
      </w:r>
      <w:r w:rsidR="00C04337" w:rsidRPr="0087246F">
        <w:fldChar w:fldCharType="begin"/>
      </w:r>
      <w:r w:rsidRPr="0087246F">
        <w:instrText xml:space="preserve"> ADDIN EN.CITE &lt;EndNote&gt;&lt;Cite&gt;&lt;Author&gt;Hirshleifer&lt;/Author&gt;&lt;Year&gt;1960&lt;/Year&gt;&lt;RecNum&gt;706&lt;/RecNum&gt;&lt;DisplayText&gt;Hirshleifer et al. (1960)&lt;/DisplayText&gt;&lt;record&gt;&lt;rec-number&gt;706&lt;/rec-number&gt;&lt;foreign-keys&gt;&lt;key app="EN" db-id="5xwt9zxa6r5fesevwr5xzp97r95ev9wx9zpw" timestamp="1460417661"&gt;706&lt;/key&gt;&lt;/foreign-keys&gt;&lt;ref-type name="Book"&gt;6&lt;/ref-type&gt;&lt;contributors&gt;&lt;authors&gt;&lt;author&gt;Hirshleifer, Jack&lt;/author&gt;&lt;author&gt;DeHaven, James C&lt;/author&gt;&lt;author&gt;Milliman, Jerome W&lt;/author&gt;&lt;/authors&gt;&lt;/contributors&gt;&lt;titles&gt;&lt;title&gt;Water Supply: Economics, Technology and Policy&lt;/title&gt;&lt;/titles&gt;&lt;dates&gt;&lt;year&gt;1960&lt;/year&gt;&lt;/dates&gt;&lt;publisher&gt;University of Chicago Press&lt;/publisher&gt;&lt;urls&gt;&lt;related-urls&gt;&lt;url&gt;http://babel.hathitrust.org/cgi/pt?id=mdp.39015011501270;view=1up;seq=11&lt;/url&gt;&lt;/related-urls&gt;&lt;/urls&gt;&lt;/record&gt;&lt;/Cite&gt;&lt;/EndNote&gt;</w:instrText>
      </w:r>
      <w:r w:rsidR="00C04337" w:rsidRPr="0087246F">
        <w:fldChar w:fldCharType="separate"/>
      </w:r>
      <w:hyperlink w:anchor="_ENREF_36" w:tooltip="Hirshleifer, 1960 #706" w:history="1">
        <w:r w:rsidR="000F2FEB" w:rsidRPr="00410B02">
          <w:t>Hirshleifer et al. (1960</w:t>
        </w:r>
      </w:hyperlink>
      <w:r w:rsidRPr="0087246F">
        <w:t>)</w:t>
      </w:r>
      <w:r w:rsidR="00C04337" w:rsidRPr="0087246F">
        <w:fldChar w:fldCharType="end"/>
      </w:r>
      <w:r w:rsidRPr="0087246F">
        <w:t xml:space="preserve"> state:</w:t>
      </w:r>
    </w:p>
    <w:p w:rsidR="0081658E" w:rsidRDefault="0081658E" w:rsidP="0081658E">
      <w:pPr>
        <w:pStyle w:val="Quote"/>
      </w:pPr>
      <w:r>
        <w:t>The most obvious way of covering the loss is through a government contribution (subsidy). Aside from the argument that such a guaranty might promote inefficiency and that the collection of public funds is itself not costless, there is the objection that the procedure does not distinguish between projects or operations that should be abandoned and those that should not.</w:t>
      </w:r>
      <w:r w:rsidR="004E6FE1">
        <w:rPr>
          <w:rStyle w:val="FootnoteReference"/>
        </w:rPr>
        <w:footnoteReference w:id="60"/>
      </w:r>
      <w:r w:rsidR="004E6FE1">
        <w:t xml:space="preserve"> </w:t>
      </w:r>
    </w:p>
    <w:p w:rsidR="00EF7001" w:rsidRDefault="00A31EDB" w:rsidP="00EF7001">
      <w:r>
        <w:t xml:space="preserve">The Commission </w:t>
      </w:r>
      <w:r w:rsidR="00517EF4">
        <w:t>notes that this is a significant issue that cannot be ignored in determining an appropriate price structure in a decreasing cost industry. In any case</w:t>
      </w:r>
      <w:r w:rsidR="00EF7001">
        <w:t xml:space="preserve">, </w:t>
      </w:r>
      <w:r w:rsidR="00EB6D43">
        <w:t>the Commission is required to have regard to full cost recovery.</w:t>
      </w:r>
    </w:p>
    <w:p w:rsidR="00EF7001" w:rsidRDefault="00EF7001" w:rsidP="00EF7001">
      <w:r>
        <w:t xml:space="preserve">As discussed in the issues paper, Section 20(2) of the </w:t>
      </w:r>
      <w:r w:rsidRPr="009E6064">
        <w:rPr>
          <w:i/>
        </w:rPr>
        <w:t>Independent Competition and Regulatory Commission A</w:t>
      </w:r>
      <w:r w:rsidR="00110A13">
        <w:rPr>
          <w:i/>
        </w:rPr>
        <w:t>ct</w:t>
      </w:r>
      <w:r w:rsidRPr="009E6064">
        <w:rPr>
          <w:i/>
        </w:rPr>
        <w:t xml:space="preserve"> (1997)</w:t>
      </w:r>
      <w:r>
        <w:t xml:space="preserve"> requires the Commission to have regard to </w:t>
      </w:r>
      <w:r w:rsidRPr="00E23285">
        <w:t xml:space="preserve">the cost of </w:t>
      </w:r>
      <w:r>
        <w:t xml:space="preserve">the </w:t>
      </w:r>
      <w:r w:rsidRPr="00E23285">
        <w:t>provi</w:t>
      </w:r>
      <w:r>
        <w:t>sion</w:t>
      </w:r>
      <w:r w:rsidRPr="00E23285">
        <w:t xml:space="preserve"> </w:t>
      </w:r>
      <w:r>
        <w:t xml:space="preserve">of </w:t>
      </w:r>
      <w:r w:rsidRPr="00E23285">
        <w:t xml:space="preserve">regulated </w:t>
      </w:r>
      <w:r>
        <w:t>water and sewerage services. The 2004 National Water Initiative (NWI), to which the ACT Government is a signatory, also commits jurisdictions to full cost recovery for water services to ensure business viability. This commitment is mirrored in the 2010 NWI pricing principles, the first of which requires the full recovery of efficient costs.</w:t>
      </w:r>
    </w:p>
    <w:p w:rsidR="00EF7001" w:rsidRDefault="00EF7001" w:rsidP="00EF7001">
      <w:r>
        <w:lastRenderedPageBreak/>
        <w:t>Moreover, should the Hotelling approach be applied, the ACT Government would be required to meet any revenue shortfall by providing a subsidy on behalf of the ACT community as taxpayers. To avoid any reduction in the level of existing government services, this would likely result in the level of taxation going up commensurate with the shortfall. Given that the ACT community as water and sewerage customers and the ACT community as taxpayers are not necessarily the same, this shifting of the burden between the two is likely to be controversial.</w:t>
      </w:r>
      <w:r>
        <w:rPr>
          <w:rStyle w:val="FootnoteReference"/>
        </w:rPr>
        <w:footnoteReference w:id="61"/>
      </w:r>
    </w:p>
    <w:p w:rsidR="00EF7001" w:rsidRDefault="00EF7001" w:rsidP="00EF7001">
      <w:pPr>
        <w:rPr>
          <w:b/>
        </w:rPr>
      </w:pPr>
      <w:r>
        <w:t xml:space="preserve">Recalling the discussion </w:t>
      </w:r>
      <w:r w:rsidR="00EE2904">
        <w:t>above</w:t>
      </w:r>
      <w:r>
        <w:t xml:space="preserve">, the situation the regulator is faced with is that the first-best Pareto optimal outcome </w:t>
      </w:r>
      <w:r>
        <w:sym w:font="Symbol" w:char="F02D"/>
      </w:r>
      <w:r>
        <w:t xml:space="preserve"> that achieved by setting </w:t>
      </w:r>
      <w:r w:rsidR="009720AC">
        <w:t xml:space="preserve">one </w:t>
      </w:r>
      <w:r>
        <w:t>price equal to marginal cost</w:t>
      </w:r>
      <w:r>
        <w:sym w:font="Symbol" w:char="F02D"/>
      </w:r>
      <w:r>
        <w:t>is likely to be infeasible due to the need for revenues. In order to allow full cost recovery, one of the pricing principles for this tariff review, the Commission is confronted with achieving the second-best outcome</w:t>
      </w:r>
      <w:r w:rsidR="00F07ED8">
        <w:sym w:font="Symbol" w:char="F02D"/>
      </w:r>
      <w:r w:rsidR="00F07ED8">
        <w:t xml:space="preserve">that is maximising social welfare subject to a revenue constraint. This can be achieved </w:t>
      </w:r>
      <w:r w:rsidR="005E6279">
        <w:t>either by means of a multi-part tariff or the application of Ramsey pricing</w:t>
      </w:r>
      <w:r>
        <w:t xml:space="preserve">. </w:t>
      </w:r>
    </w:p>
    <w:p w:rsidR="00853045" w:rsidRPr="00853045" w:rsidRDefault="00853045" w:rsidP="009A0293">
      <w:pPr>
        <w:pStyle w:val="Heading3"/>
      </w:pPr>
      <w:r>
        <w:t>Ramsey pricing</w:t>
      </w:r>
    </w:p>
    <w:p w:rsidR="00FD3FE5" w:rsidRDefault="0042087A" w:rsidP="0042087A">
      <w:r>
        <w:t>In the case of monopolies that produce more than one good or service or have different prices for customer groups, Ramsey pricing provides an</w:t>
      </w:r>
      <w:r w:rsidR="00CF08C6">
        <w:t>other</w:t>
      </w:r>
      <w:r>
        <w:t xml:space="preserve"> means to recover the revenue shortfall</w:t>
      </w:r>
      <w:r>
        <w:sym w:font="Symbol" w:char="F02D"/>
      </w:r>
      <w:r>
        <w:t>or residual cost</w:t>
      </w:r>
      <w:r>
        <w:sym w:font="Symbol" w:char="F02D"/>
      </w:r>
      <w:r>
        <w:t>associated with pricing at marginal cost</w:t>
      </w:r>
      <w:r w:rsidR="00CF08C6">
        <w:sym w:font="Symbol" w:char="F02D"/>
      </w:r>
      <w:r w:rsidR="00CF08C6">
        <w:t>an alternative to re</w:t>
      </w:r>
      <w:r w:rsidR="00D47B48">
        <w:t xml:space="preserve">covering </w:t>
      </w:r>
      <w:r w:rsidR="00CF08C6">
        <w:t>the residual equally from all consumers through a fixed or supply charge</w:t>
      </w:r>
      <w:r>
        <w:t>.</w:t>
      </w:r>
    </w:p>
    <w:p w:rsidR="0042087A" w:rsidRDefault="0042087A" w:rsidP="0042087A">
      <w:r>
        <w:t>Ramsey pricing, also known as the inverse elasticity rule, deals with the problem of how to set prices to minimise changes in the pattern of demand caused by deviating from marginal cost in order to recover the residual costs.</w:t>
      </w:r>
      <w:r>
        <w:rPr>
          <w:rStyle w:val="FootnoteReference"/>
        </w:rPr>
        <w:footnoteReference w:id="62"/>
      </w:r>
      <w:r w:rsidR="00FD3FE5">
        <w:t xml:space="preserve"> The Ramsey formula enables the calculation of prices that </w:t>
      </w:r>
      <w:r w:rsidR="00C5655F">
        <w:t xml:space="preserve">results in the smallest surplus loss when prices must be raised above marginal cost in order for the business to remain financially viable. </w:t>
      </w:r>
    </w:p>
    <w:p w:rsidR="0042087A" w:rsidRDefault="00C04337" w:rsidP="0042087A">
      <w:r>
        <w:fldChar w:fldCharType="begin"/>
      </w:r>
      <w:r w:rsidR="000B1253">
        <w:instrText xml:space="preserve"> ADDIN EN.CITE &lt;EndNote&gt;&lt;Cite&gt;&lt;Author&gt;Baumol&lt;/Author&gt;&lt;Year&gt;1970&lt;/Year&gt;&lt;RecNum&gt;457&lt;/RecNum&gt;&lt;DisplayText&gt;Baumol and Bradford (1970)&lt;/DisplayText&gt;&lt;record&gt;&lt;rec-number&gt;457&lt;/rec-number&gt;&lt;foreign-keys&gt;&lt;key app="EN" db-id="5xwt9zxa6r5fesevwr5xzp97r95ev9wx9zpw" timestamp="1410829145"&gt;457&lt;/key&gt;&lt;/foreign-keys&gt;&lt;ref-type name="Journal Article"&gt;17&lt;/ref-type&gt;&lt;contributors&gt;&lt;authors&gt;&lt;author&gt;Baumol, William J&lt;/author&gt;&lt;author&gt;Bradford, David F&lt;/author&gt;&lt;/authors&gt;&lt;/contributors&gt;&lt;titles&gt;&lt;title&gt;Optimal Departures From Marginal Cost Pricing&lt;/title&gt;&lt;secondary-title&gt;The American Economic Review&lt;/secondary-title&gt;&lt;/titles&gt;&lt;periodical&gt;&lt;full-title&gt;The American Economic Review&lt;/full-title&gt;&lt;/periodical&gt;&lt;pages&gt;265-283&lt;/pages&gt;&lt;volume&gt;60&lt;/volume&gt;&lt;number&gt;3&lt;/number&gt;&lt;dates&gt;&lt;year&gt;1970&lt;/year&gt;&lt;/dates&gt;&lt;urls&gt;&lt;/urls&gt;&lt;/record&gt;&lt;/Cite&gt;&lt;/EndNote&gt;</w:instrText>
      </w:r>
      <w:r>
        <w:fldChar w:fldCharType="separate"/>
      </w:r>
      <w:hyperlink w:anchor="_ENREF_17" w:tooltip="Baumol, 1970 #457" w:history="1">
        <w:r w:rsidR="000F2FEB">
          <w:rPr>
            <w:noProof/>
          </w:rPr>
          <w:t>Baumol and Bradford (1970</w:t>
        </w:r>
      </w:hyperlink>
      <w:r w:rsidR="000B1253">
        <w:rPr>
          <w:noProof/>
        </w:rPr>
        <w:t>)</w:t>
      </w:r>
      <w:r>
        <w:fldChar w:fldCharType="end"/>
      </w:r>
      <w:r w:rsidR="0042087A">
        <w:t xml:space="preserve"> presented </w:t>
      </w:r>
      <w:r w:rsidR="004A54D8">
        <w:t xml:space="preserve">a formal analysis of the </w:t>
      </w:r>
      <w:r w:rsidR="0042087A">
        <w:t>rule for setting prices under this approach to minimise price distortions.</w:t>
      </w:r>
      <w:r w:rsidR="00E94907">
        <w:rPr>
          <w:rStyle w:val="FootnoteReference"/>
        </w:rPr>
        <w:footnoteReference w:id="63"/>
      </w:r>
      <w:r w:rsidR="0042087A">
        <w:t xml:space="preserve"> The rule is that </w:t>
      </w:r>
      <w:r w:rsidR="0042087A" w:rsidRPr="00FB14D6">
        <w:t xml:space="preserve">each price be set so that its percentage deviation from marginal </w:t>
      </w:r>
      <w:r w:rsidR="0042087A">
        <w:t>c</w:t>
      </w:r>
      <w:r w:rsidR="0042087A" w:rsidRPr="00FB14D6">
        <w:t>ost is inve</w:t>
      </w:r>
      <w:r w:rsidR="0042087A">
        <w:t>rsely proportionate to the item’</w:t>
      </w:r>
      <w:r w:rsidR="0042087A" w:rsidRPr="00FB14D6">
        <w:t>s price elasticity of demand.</w:t>
      </w:r>
      <w:r w:rsidR="0042087A">
        <w:rPr>
          <w:rStyle w:val="FootnoteReference"/>
        </w:rPr>
        <w:footnoteReference w:id="64"/>
      </w:r>
    </w:p>
    <w:p w:rsidR="0042087A" w:rsidRDefault="0042087A" w:rsidP="0042087A">
      <w:r>
        <w:lastRenderedPageBreak/>
        <w:t xml:space="preserve">Ramsey pricing, somewhat counter-intuitively, involves deliberate price discrimination on the basis of elasticities of demand to </w:t>
      </w:r>
      <w:r w:rsidRPr="00BB1653">
        <w:t xml:space="preserve">allow the </w:t>
      </w:r>
      <w:r>
        <w:t xml:space="preserve">monopoly business </w:t>
      </w:r>
      <w:r w:rsidRPr="00BB1653">
        <w:t xml:space="preserve">to recover residual costs while minimising the </w:t>
      </w:r>
      <w:r>
        <w:t>d</w:t>
      </w:r>
      <w:r w:rsidRPr="00BB1653">
        <w:t>eviations from optimal</w:t>
      </w:r>
      <w:r>
        <w:t xml:space="preserve"> c</w:t>
      </w:r>
      <w:r w:rsidRPr="00BB1653">
        <w:t>onsumption patterns</w:t>
      </w:r>
      <w:r>
        <w:sym w:font="Symbol" w:char="F02D"/>
      </w:r>
      <w:r>
        <w:t>that is, those</w:t>
      </w:r>
      <w:r w:rsidRPr="00BB1653">
        <w:t xml:space="preserve"> based on marginal cost pricing.</w:t>
      </w:r>
      <w:r>
        <w:t xml:space="preserve"> </w:t>
      </w:r>
      <w:r w:rsidRPr="00587AEB">
        <w:t>Customers who are price inelastic are charged a</w:t>
      </w:r>
      <w:r>
        <w:t xml:space="preserve"> </w:t>
      </w:r>
      <w:r w:rsidRPr="00587AEB">
        <w:t xml:space="preserve">higher price than those who are price elastic, </w:t>
      </w:r>
      <w:r>
        <w:t xml:space="preserve">with </w:t>
      </w:r>
      <w:r w:rsidRPr="00587AEB">
        <w:t>more of the residual costs recovered</w:t>
      </w:r>
      <w:r>
        <w:t xml:space="preserve"> </w:t>
      </w:r>
      <w:r w:rsidRPr="00587AEB">
        <w:t>from customers who are price inelastic than from the customers with elastic demand.</w:t>
      </w:r>
    </w:p>
    <w:p w:rsidR="00303096" w:rsidRDefault="00C04337" w:rsidP="0042087A">
      <w:r>
        <w:fldChar w:fldCharType="begin"/>
      </w:r>
      <w:r w:rsidR="000B1253">
        <w:instrText xml:space="preserve"> ADDIN EN.CITE &lt;EndNote&gt;&lt;Cite&gt;&lt;Author&gt;The Brattle Group&lt;/Author&gt;&lt;Year&gt;2014&lt;/Year&gt;&lt;RecNum&gt;523&lt;/RecNum&gt;&lt;DisplayText&gt;The Brattle Group (2014)&lt;/DisplayText&gt;&lt;record&gt;&lt;rec-number&gt;523&lt;/rec-number&gt;&lt;foreign-keys&gt;&lt;key app="EN" db-id="5xwt9zxa6r5fesevwr5xzp97r95ev9wx9zpw" timestamp="1440465695"&gt;523&lt;/key&gt;&lt;/foreign-keys&gt;&lt;ref-type name="AAA ICRC Water References"&gt;40&lt;/ref-type&gt;&lt;contributors&gt;&lt;authors&gt;&lt;author&gt;The Brattle Group,&lt;/author&gt;&lt;/authors&gt;&lt;/contributors&gt;&lt;titles&gt;&lt;title&gt;Structure of Electricity Distribution Network Tariffs: Recovery of Residual Costs&lt;/title&gt;&lt;/titles&gt;&lt;dates&gt;&lt;year&gt;2014&lt;/year&gt;&lt;pub-dates&gt;&lt;date&gt;August 2014&lt;/date&gt;&lt;/pub-dates&gt;&lt;/dates&gt;&lt;pub-location&gt;Sydney&lt;/pub-location&gt;&lt;publisher&gt;Australian Energy Market Commission&lt;/publisher&gt;&lt;urls&gt;&lt;/urls&gt;&lt;/record&gt;&lt;/Cite&gt;&lt;/EndNote&gt;</w:instrText>
      </w:r>
      <w:r>
        <w:fldChar w:fldCharType="separate"/>
      </w:r>
      <w:hyperlink w:anchor="_ENREF_69" w:tooltip="The Brattle Group, 2014 #523" w:history="1">
        <w:r w:rsidR="000F2FEB">
          <w:rPr>
            <w:noProof/>
          </w:rPr>
          <w:t>The Brattle Group (2014</w:t>
        </w:r>
      </w:hyperlink>
      <w:r w:rsidR="000B1253">
        <w:rPr>
          <w:noProof/>
        </w:rPr>
        <w:t>)</w:t>
      </w:r>
      <w:r>
        <w:fldChar w:fldCharType="end"/>
      </w:r>
      <w:r w:rsidR="000B1253">
        <w:t xml:space="preserve"> </w:t>
      </w:r>
      <w:r w:rsidR="0042087A">
        <w:t>considered the Ramsey pricing approach as part of the Australian Energy Market Commission’s 2014 electricity tariff reform process. They note that in the electricity context, a</w:t>
      </w:r>
      <w:r w:rsidR="0042087A" w:rsidRPr="007A09DF">
        <w:t>t</w:t>
      </w:r>
      <w:r w:rsidR="0042087A">
        <w:t xml:space="preserve"> </w:t>
      </w:r>
      <w:r w:rsidR="0042087A" w:rsidRPr="007A09DF">
        <w:t xml:space="preserve">the customer class level, Ramsey pricing would suggest that </w:t>
      </w:r>
      <w:r w:rsidR="0042087A">
        <w:t xml:space="preserve">residential customers </w:t>
      </w:r>
      <w:r w:rsidR="0042087A" w:rsidRPr="007A09DF">
        <w:t>pay a greater proportion</w:t>
      </w:r>
      <w:r w:rsidR="0042087A">
        <w:t xml:space="preserve"> </w:t>
      </w:r>
      <w:r w:rsidR="0042087A" w:rsidRPr="007A09DF">
        <w:t>of residual costs, and industrial customers a lesser portion, if the former are less price elastic and</w:t>
      </w:r>
      <w:r w:rsidR="0042087A">
        <w:t xml:space="preserve"> </w:t>
      </w:r>
      <w:r w:rsidR="0042087A" w:rsidRPr="007A09DF">
        <w:t>the latter are more price elastic.</w:t>
      </w:r>
    </w:p>
    <w:p w:rsidR="0042087A" w:rsidRDefault="0042087A" w:rsidP="0042087A">
      <w:r>
        <w:t xml:space="preserve">The Brattle Group also notes that </w:t>
      </w:r>
      <w:r w:rsidRPr="007A09DF">
        <w:t>Ramsey pricing has</w:t>
      </w:r>
      <w:r>
        <w:t xml:space="preserve"> </w:t>
      </w:r>
      <w:r w:rsidRPr="007A09DF">
        <w:t>rarely been applied, at least not explicitly, for price discrimination across customers in the same</w:t>
      </w:r>
      <w:r>
        <w:t xml:space="preserve"> </w:t>
      </w:r>
      <w:r w:rsidRPr="007A09DF">
        <w:t>class</w:t>
      </w:r>
      <w:r>
        <w:t xml:space="preserve">, for </w:t>
      </w:r>
      <w:r w:rsidRPr="007A09DF">
        <w:t>equity</w:t>
      </w:r>
      <w:r>
        <w:t xml:space="preserve"> reasons:</w:t>
      </w:r>
    </w:p>
    <w:p w:rsidR="0042087A" w:rsidRDefault="0042087A" w:rsidP="0042087A">
      <w:pPr>
        <w:pStyle w:val="Quote"/>
      </w:pPr>
      <w:r w:rsidRPr="007A09DF">
        <w:t>It is often asserted</w:t>
      </w:r>
      <w:r>
        <w:t xml:space="preserve"> </w:t>
      </w:r>
      <w:r w:rsidRPr="007A09DF">
        <w:t>that individuals who are relatively better-off are likely to show a higher elasticity for consuming</w:t>
      </w:r>
      <w:r>
        <w:t xml:space="preserve"> </w:t>
      </w:r>
      <w:r w:rsidRPr="007A09DF">
        <w:t>certain goods such as electricity than individuals who are less well-off, because the better-off</w:t>
      </w:r>
      <w:r>
        <w:t xml:space="preserve"> </w:t>
      </w:r>
      <w:r w:rsidRPr="007A09DF">
        <w:t>customers use some electricity for “luxuries”, whereas the less well-off customers use electricity</w:t>
      </w:r>
      <w:r>
        <w:t xml:space="preserve"> </w:t>
      </w:r>
      <w:r w:rsidRPr="007A09DF">
        <w:t>only for “essential” purposes.</w:t>
      </w:r>
      <w:r>
        <w:rPr>
          <w:rStyle w:val="FootnoteReference"/>
        </w:rPr>
        <w:footnoteReference w:id="65"/>
      </w:r>
    </w:p>
    <w:p w:rsidR="0061597F" w:rsidRDefault="00EE0DBC" w:rsidP="0061597F">
      <w:r>
        <w:t xml:space="preserve">A similar </w:t>
      </w:r>
      <w:r w:rsidR="0061597F">
        <w:t xml:space="preserve">point is made by </w:t>
      </w:r>
      <w:r w:rsidR="00C04337">
        <w:fldChar w:fldCharType="begin"/>
      </w:r>
      <w:r w:rsidR="0061597F">
        <w:instrText xml:space="preserve"> ADDIN EN.CITE &lt;EndNote&gt;&lt;Cite&gt;&lt;Author&gt;Train&lt;/Author&gt;&lt;Year&gt;1991&lt;/Year&gt;&lt;RecNum&gt;610&lt;/RecNum&gt;&lt;DisplayText&gt;Train (1991)&lt;/DisplayText&gt;&lt;record&gt;&lt;rec-number&gt;610&lt;/rec-number&gt;&lt;foreign-keys&gt;&lt;key app="EN" db-id="5xwt9zxa6r5fesevwr5xzp97r95ev9wx9zpw" timestamp="1444795794"&gt;610&lt;/key&gt;&lt;/foreign-keys&gt;&lt;ref-type name="Book"&gt;6&lt;/ref-type&gt;&lt;contributors&gt;&lt;authors&gt;&lt;author&gt;Train, Kenneth E&lt;/author&gt;&lt;/authors&gt;&lt;/contributors&gt;&lt;titles&gt;&lt;title&gt;Optimal Regulation: The Economic Theory of Natural Monopoly&lt;/title&gt;&lt;/titles&gt;&lt;dates&gt;&lt;year&gt;1991&lt;/year&gt;&lt;/dates&gt;&lt;pub-location&gt;London&lt;/pub-location&gt;&lt;publisher&gt;MIT Press&lt;/publisher&gt;&lt;urls&gt;&lt;/urls&gt;&lt;/record&gt;&lt;/Cite&gt;&lt;/EndNote&gt;</w:instrText>
      </w:r>
      <w:r w:rsidR="00C04337">
        <w:fldChar w:fldCharType="separate"/>
      </w:r>
      <w:hyperlink w:anchor="_ENREF_70" w:tooltip="Train, 1991 #610" w:history="1">
        <w:r w:rsidR="000F2FEB">
          <w:rPr>
            <w:noProof/>
          </w:rPr>
          <w:t>Train (1991</w:t>
        </w:r>
      </w:hyperlink>
      <w:r w:rsidR="0061597F">
        <w:rPr>
          <w:noProof/>
        </w:rPr>
        <w:t>)</w:t>
      </w:r>
      <w:r w:rsidR="00C04337">
        <w:fldChar w:fldCharType="end"/>
      </w:r>
      <w:r w:rsidR="0061597F">
        <w:t>:</w:t>
      </w:r>
    </w:p>
    <w:p w:rsidR="0061597F" w:rsidRPr="0061597F" w:rsidRDefault="0061597F" w:rsidP="0061597F">
      <w:pPr>
        <w:pStyle w:val="Quote"/>
      </w:pPr>
      <w:r>
        <w:t xml:space="preserve">It is important to note that Ramsey prices might not be considered equitable in certain situations. Inelastic demand can reflect a lack of options by consumers (e.g., demand for medical care, demand for bus service by low-income households without cars). Yet, under Ramsey concepts, prices for goods and services that consumers have no option to buy would be raised </w:t>
      </w:r>
      <w:r w:rsidRPr="0061597F">
        <w:rPr>
          <w:i/>
        </w:rPr>
        <w:t>more</w:t>
      </w:r>
      <w:r>
        <w:rPr>
          <w:i/>
        </w:rPr>
        <w:t xml:space="preserve"> </w:t>
      </w:r>
      <w:r w:rsidRPr="0061597F">
        <w:t>than prices for less essential goods.</w:t>
      </w:r>
      <w:r>
        <w:rPr>
          <w:rStyle w:val="FootnoteReference"/>
        </w:rPr>
        <w:footnoteReference w:id="66"/>
      </w:r>
    </w:p>
    <w:p w:rsidR="00D47B48" w:rsidRPr="00D47B48" w:rsidRDefault="007A5173" w:rsidP="007A5173">
      <w:pPr>
        <w:pStyle w:val="Heading4"/>
      </w:pPr>
      <w:r>
        <w:t xml:space="preserve">Commission’s consideration </w:t>
      </w:r>
    </w:p>
    <w:p w:rsidR="007724E2" w:rsidRDefault="007724E2" w:rsidP="00303096">
      <w:r>
        <w:t xml:space="preserve">There are two </w:t>
      </w:r>
      <w:r w:rsidR="00DB2488">
        <w:t xml:space="preserve">main </w:t>
      </w:r>
      <w:r w:rsidR="00556F29">
        <w:t>issues that need to be considered in relation to the application of Ramsey pricing for Icon Water. The first is the availability of information on relevant price elasticities of demand</w:t>
      </w:r>
      <w:r w:rsidR="003A10DE">
        <w:t xml:space="preserve">, without which Ramsey prices cannot be calculated. </w:t>
      </w:r>
      <w:r w:rsidR="00556F29">
        <w:t>The second is the equity issue associated with differential charging</w:t>
      </w:r>
      <w:r w:rsidR="00DB2488">
        <w:t xml:space="preserve"> between consumers for the same product</w:t>
      </w:r>
      <w:r w:rsidR="00556F29">
        <w:t>.</w:t>
      </w:r>
    </w:p>
    <w:p w:rsidR="00206469" w:rsidRDefault="00303096" w:rsidP="00303096">
      <w:r>
        <w:t xml:space="preserve">The application of Ramsey pricing in the case of Icon Water’s regulated water and sewerage services requires </w:t>
      </w:r>
      <w:r w:rsidR="002E30F4">
        <w:t xml:space="preserve">an </w:t>
      </w:r>
      <w:r>
        <w:t>estimate of the price elasticity of demand for the service for different customer groups.</w:t>
      </w:r>
    </w:p>
    <w:p w:rsidR="00303096" w:rsidRDefault="00206469" w:rsidP="00303096">
      <w:r>
        <w:lastRenderedPageBreak/>
        <w:t xml:space="preserve">The Commission’s first technical paper for the tariff review provides estimates of the price elasticity of demand </w:t>
      </w:r>
      <w:r w:rsidR="002E30F4">
        <w:t xml:space="preserve">for water for Icon Water’s residential (stand-alone houses), units and flats, and commercial customers. </w:t>
      </w:r>
      <w:r w:rsidR="00B83B58">
        <w:t xml:space="preserve">The results </w:t>
      </w:r>
      <w:proofErr w:type="gramStart"/>
      <w:r w:rsidR="001D1520">
        <w:t>are shown</w:t>
      </w:r>
      <w:proofErr w:type="gramEnd"/>
      <w:r w:rsidR="001D1520">
        <w:t xml:space="preserve"> in </w:t>
      </w:r>
      <w:r w:rsidR="00C04337">
        <w:fldChar w:fldCharType="begin"/>
      </w:r>
      <w:r w:rsidR="001D1520">
        <w:instrText xml:space="preserve"> REF _Ref447876649 \h </w:instrText>
      </w:r>
      <w:r w:rsidR="00C04337">
        <w:fldChar w:fldCharType="separate"/>
      </w:r>
      <w:r w:rsidR="00027D28" w:rsidRPr="003C3AEA">
        <w:t>Table</w:t>
      </w:r>
      <w:r w:rsidR="00027D28">
        <w:t xml:space="preserve"> </w:t>
      </w:r>
      <w:r w:rsidR="00027D28">
        <w:rPr>
          <w:noProof/>
        </w:rPr>
        <w:t>2</w:t>
      </w:r>
      <w:r w:rsidR="00027D28">
        <w:t>.</w:t>
      </w:r>
      <w:r w:rsidR="00027D28">
        <w:rPr>
          <w:noProof/>
        </w:rPr>
        <w:t>1</w:t>
      </w:r>
      <w:r w:rsidR="00C04337">
        <w:fldChar w:fldCharType="end"/>
      </w:r>
      <w:r w:rsidR="001D1520">
        <w:t>.</w:t>
      </w:r>
    </w:p>
    <w:p w:rsidR="00BE59EF" w:rsidRDefault="00BE59EF" w:rsidP="00BE59EF">
      <w:pPr>
        <w:pStyle w:val="FigureName"/>
        <w:keepNext/>
      </w:pPr>
      <w:bookmarkStart w:id="82" w:name="_Ref447876649"/>
      <w:bookmarkStart w:id="83" w:name="_Toc453920893"/>
      <w:r w:rsidRPr="003C3AEA">
        <w:t>Table</w:t>
      </w:r>
      <w:r>
        <w:t xml:space="preserve"> </w:t>
      </w:r>
      <w:r w:rsidR="00C04337">
        <w:fldChar w:fldCharType="begin"/>
      </w:r>
      <w:r>
        <w:instrText xml:space="preserve"> STYLEREF 1 \s </w:instrText>
      </w:r>
      <w:r w:rsidR="00C04337">
        <w:fldChar w:fldCharType="separate"/>
      </w:r>
      <w:r w:rsidR="00027D28">
        <w:rPr>
          <w:noProof/>
        </w:rPr>
        <w:t>2</w:t>
      </w:r>
      <w:r w:rsidR="00C04337">
        <w:fldChar w:fldCharType="end"/>
      </w:r>
      <w:r>
        <w:t>.</w:t>
      </w:r>
      <w:r w:rsidR="00C04337">
        <w:fldChar w:fldCharType="begin"/>
      </w:r>
      <w:r>
        <w:instrText xml:space="preserve"> SEQ Table \* ARABIC \s 1 </w:instrText>
      </w:r>
      <w:r w:rsidR="00C04337">
        <w:fldChar w:fldCharType="separate"/>
      </w:r>
      <w:r w:rsidR="00027D28">
        <w:rPr>
          <w:noProof/>
        </w:rPr>
        <w:t>1</w:t>
      </w:r>
      <w:r w:rsidR="00C04337">
        <w:fldChar w:fldCharType="end"/>
      </w:r>
      <w:bookmarkEnd w:id="82"/>
      <w:r>
        <w:tab/>
        <w:t>Price elasticities of demand for water in the ACT, 1999 to 2015</w:t>
      </w:r>
      <w:bookmarkEnd w:id="83"/>
    </w:p>
    <w:tbl>
      <w:tblPr>
        <w:tblW w:w="3825" w:type="pct"/>
        <w:tblBorders>
          <w:top w:val="single" w:sz="12" w:space="0" w:color="333399"/>
          <w:bottom w:val="single" w:sz="12" w:space="0" w:color="333399"/>
        </w:tblBorders>
        <w:tblCellMar>
          <w:left w:w="115" w:type="dxa"/>
          <w:right w:w="115" w:type="dxa"/>
        </w:tblCellMar>
        <w:tblLook w:val="0000"/>
      </w:tblPr>
      <w:tblGrid>
        <w:gridCol w:w="4498"/>
        <w:gridCol w:w="1577"/>
      </w:tblGrid>
      <w:tr w:rsidR="00BE59EF" w:rsidRPr="00144F8C" w:rsidTr="00F37661">
        <w:trPr>
          <w:cantSplit/>
        </w:trPr>
        <w:tc>
          <w:tcPr>
            <w:tcW w:w="3702"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BE59EF" w:rsidRPr="00347ADB" w:rsidRDefault="00BE59EF" w:rsidP="00F37661">
            <w:pPr>
              <w:pStyle w:val="TableHeadingLeft"/>
              <w:keepNext/>
            </w:pPr>
            <w:r>
              <w:t>Customer category</w:t>
            </w:r>
          </w:p>
        </w:tc>
        <w:tc>
          <w:tcPr>
            <w:tcW w:w="1298"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BE59EF" w:rsidRPr="00347ADB" w:rsidRDefault="00BE59EF" w:rsidP="00F37661">
            <w:pPr>
              <w:pStyle w:val="TableHeadingLeft"/>
              <w:keepNext/>
            </w:pPr>
            <w:r>
              <w:t>Elasticity estimate</w:t>
            </w:r>
          </w:p>
        </w:tc>
      </w:tr>
      <w:tr w:rsidR="00BE59EF" w:rsidRPr="00144F8C" w:rsidTr="00F37661">
        <w:trPr>
          <w:cantSplit/>
        </w:trPr>
        <w:tc>
          <w:tcPr>
            <w:tcW w:w="3702" w:type="pct"/>
            <w:tcBorders>
              <w:top w:val="nil"/>
              <w:left w:val="nil"/>
              <w:bottom w:val="nil"/>
              <w:right w:val="nil"/>
            </w:tcBorders>
          </w:tcPr>
          <w:p w:rsidR="00BE59EF" w:rsidRPr="00DD58D7" w:rsidRDefault="00BE59EF" w:rsidP="006B1ED6">
            <w:pPr>
              <w:pStyle w:val="TableTextLeft"/>
            </w:pPr>
            <w:r>
              <w:t>Residential (RESS</w:t>
            </w:r>
            <w:r w:rsidR="00F37661">
              <w:t xml:space="preserve"> charge class)</w:t>
            </w:r>
          </w:p>
        </w:tc>
        <w:tc>
          <w:tcPr>
            <w:tcW w:w="1298" w:type="pct"/>
            <w:tcBorders>
              <w:top w:val="nil"/>
              <w:left w:val="nil"/>
              <w:bottom w:val="nil"/>
              <w:right w:val="nil"/>
            </w:tcBorders>
          </w:tcPr>
          <w:p w:rsidR="00BE59EF" w:rsidRPr="00DD58D7" w:rsidRDefault="00BE59EF" w:rsidP="00BE59EF">
            <w:pPr>
              <w:pStyle w:val="TableTextRight"/>
            </w:pPr>
            <w:r>
              <w:t>-0.14</w:t>
            </w:r>
          </w:p>
        </w:tc>
      </w:tr>
      <w:tr w:rsidR="00BE59EF" w:rsidRPr="00144F8C" w:rsidTr="00F37661">
        <w:trPr>
          <w:cantSplit/>
        </w:trPr>
        <w:tc>
          <w:tcPr>
            <w:tcW w:w="3702" w:type="pct"/>
            <w:tcBorders>
              <w:top w:val="nil"/>
              <w:left w:val="nil"/>
              <w:bottom w:val="nil"/>
              <w:right w:val="nil"/>
            </w:tcBorders>
          </w:tcPr>
          <w:p w:rsidR="00BE59EF" w:rsidRPr="00DD58D7" w:rsidRDefault="00F37661" w:rsidP="006B1ED6">
            <w:pPr>
              <w:pStyle w:val="TableTextLeft"/>
            </w:pPr>
            <w:r>
              <w:t>Units and flats (ACP1 charge class)</w:t>
            </w:r>
          </w:p>
        </w:tc>
        <w:tc>
          <w:tcPr>
            <w:tcW w:w="1298" w:type="pct"/>
            <w:tcBorders>
              <w:top w:val="nil"/>
              <w:left w:val="nil"/>
              <w:bottom w:val="nil"/>
              <w:right w:val="nil"/>
            </w:tcBorders>
          </w:tcPr>
          <w:p w:rsidR="00BE59EF" w:rsidRPr="00DD58D7" w:rsidRDefault="006B1ED6" w:rsidP="006B1ED6">
            <w:pPr>
              <w:pStyle w:val="TableTextRight"/>
            </w:pPr>
            <w:r>
              <w:t>-0.07</w:t>
            </w:r>
          </w:p>
        </w:tc>
      </w:tr>
      <w:tr w:rsidR="00BE59EF" w:rsidRPr="00144F8C" w:rsidTr="00F37661">
        <w:trPr>
          <w:cantSplit/>
        </w:trPr>
        <w:tc>
          <w:tcPr>
            <w:tcW w:w="3702" w:type="pct"/>
            <w:tcBorders>
              <w:top w:val="nil"/>
              <w:left w:val="nil"/>
              <w:bottom w:val="single" w:sz="12" w:space="0" w:color="1F497D" w:themeColor="text2"/>
              <w:right w:val="nil"/>
            </w:tcBorders>
          </w:tcPr>
          <w:p w:rsidR="00BE59EF" w:rsidRPr="00A40501" w:rsidRDefault="006B1ED6" w:rsidP="006B1ED6">
            <w:pPr>
              <w:pStyle w:val="TableTextLeft"/>
            </w:pPr>
            <w:r>
              <w:t>Commercial (COMM)</w:t>
            </w:r>
          </w:p>
        </w:tc>
        <w:tc>
          <w:tcPr>
            <w:tcW w:w="1298" w:type="pct"/>
            <w:tcBorders>
              <w:top w:val="nil"/>
              <w:left w:val="nil"/>
              <w:bottom w:val="single" w:sz="12" w:space="0" w:color="1F497D" w:themeColor="text2"/>
              <w:right w:val="nil"/>
            </w:tcBorders>
          </w:tcPr>
          <w:p w:rsidR="00BE59EF" w:rsidRPr="00A40501" w:rsidRDefault="006B1ED6" w:rsidP="006B1ED6">
            <w:pPr>
              <w:pStyle w:val="TableTextRight"/>
            </w:pPr>
            <w:r>
              <w:t>-0.32</w:t>
            </w:r>
          </w:p>
        </w:tc>
      </w:tr>
    </w:tbl>
    <w:p w:rsidR="00BE59EF" w:rsidRDefault="00B83B58" w:rsidP="00B83B58">
      <w:pPr>
        <w:pStyle w:val="TableNotesLast"/>
      </w:pPr>
      <w:r>
        <w:t>Source:</w:t>
      </w:r>
      <w:r>
        <w:tab/>
      </w:r>
      <w:r w:rsidR="00C04337">
        <w:fldChar w:fldCharType="begin"/>
      </w:r>
      <w:r w:rsidR="00B9759B">
        <w:instrText xml:space="preserve"> ADDIN EN.CITE &lt;EndNote&gt;&lt;Cite&gt;&lt;Author&gt;ICRC&lt;/Author&gt;&lt;Year&gt;2016&lt;/Year&gt;&lt;RecNum&gt;697&lt;/RecNum&gt;&lt;DisplayText&gt;ICRC (2016)&lt;/DisplayText&gt;&lt;record&gt;&lt;rec-number&gt;697&lt;/rec-number&gt;&lt;foreign-keys&gt;&lt;key app="EN" db-id="5xwt9zxa6r5fesevwr5xzp97r95ev9wx9zpw" timestamp="1458518329"&gt;697&lt;/key&gt;&lt;key app="ENWeb" db-id=""&gt;0&lt;/key&gt;&lt;/foreign-keys&gt;&lt;ref-type name="AAA ICRC Water References"&gt;40&lt;/ref-type&gt;&lt;contributors&gt;&lt;authors&gt;&lt;author&gt;ICRC,&lt;/author&gt;&lt;/authors&gt;&lt;/contributors&gt;&lt;titles&gt;&lt;title&gt;Technical paper 1: Price elasticity of water demand in the ACT&lt;/title&gt;&lt;/titles&gt;&lt;volume&gt;Report 1 of 2016&lt;/volume&gt;&lt;dates&gt;&lt;year&gt;2016&lt;/year&gt;&lt;pub-dates&gt;&lt;date&gt;February 2016&lt;/date&gt;&lt;/pub-dates&gt;&lt;/dates&gt;&lt;pub-location&gt;Canberra&lt;/pub-location&gt;&lt;publisher&gt;Independent Competition and Regulatory Commission&lt;/publisher&gt;&lt;urls&gt;&lt;/urls&gt;&lt;/record&gt;&lt;/Cite&gt;&lt;/EndNote&gt;</w:instrText>
      </w:r>
      <w:r w:rsidR="00C04337">
        <w:fldChar w:fldCharType="separate"/>
      </w:r>
      <w:hyperlink w:anchor="_ENREF_46" w:tooltip="ICRC, 2016 #697" w:history="1">
        <w:r w:rsidR="000F2FEB">
          <w:rPr>
            <w:noProof/>
          </w:rPr>
          <w:t>ICRC (2016</w:t>
        </w:r>
      </w:hyperlink>
      <w:r>
        <w:rPr>
          <w:noProof/>
        </w:rPr>
        <w:t>)</w:t>
      </w:r>
      <w:r w:rsidR="00C04337">
        <w:fldChar w:fldCharType="end"/>
      </w:r>
      <w:r>
        <w:t>.</w:t>
      </w:r>
    </w:p>
    <w:p w:rsidR="001D1520" w:rsidRPr="001D1520" w:rsidRDefault="001D1520" w:rsidP="001D1520">
      <w:r>
        <w:t>Th</w:t>
      </w:r>
      <w:r w:rsidR="00313A98">
        <w:t xml:space="preserve">e technical paper concluded </w:t>
      </w:r>
      <w:r>
        <w:t xml:space="preserve">that, in general and bearing in mind the caveats around the estimates for </w:t>
      </w:r>
      <w:r w:rsidR="00313A98">
        <w:t>units and flats and commercial customers</w:t>
      </w:r>
      <w:r>
        <w:t>, the demand response is the most price elastic for commercial customers and least elastic for units and flats customers, with residential customers in the middle. Should Ramsey pricing be contemplated, this would imply that units and flats customers, who are price inelastic, could be charged a higher price than the more price elastic commercial and residential customers. Alternatively, both residential and units and flats customers could pay a higher charge.</w:t>
      </w:r>
      <w:r w:rsidR="007D1C09">
        <w:t xml:space="preserve"> Clearly, the application of Ramsey pricing in the ACT is likely to raise equity concerns.</w:t>
      </w:r>
    </w:p>
    <w:p w:rsidR="00A62070" w:rsidRPr="00D47B48" w:rsidRDefault="00302A95" w:rsidP="00D47B48">
      <w:r>
        <w:t>In contrast</w:t>
      </w:r>
      <w:r w:rsidR="007D1C09">
        <w:t xml:space="preserve"> to water</w:t>
      </w:r>
      <w:r>
        <w:t xml:space="preserve">, there is a dearth of information on the elasticity of demand for sewerage services, as noted by </w:t>
      </w:r>
      <w:r w:rsidR="00C04337">
        <w:fldChar w:fldCharType="begin"/>
      </w:r>
      <w:r w:rsidR="00450D54">
        <w:instrText xml:space="preserve"> ADDIN EN.CITE &lt;EndNote&gt;&lt;Cite&gt;&lt;Author&gt;Hanke&lt;/Author&gt;&lt;Year&gt;1981&lt;/Year&gt;&lt;RecNum&gt;694&lt;/RecNum&gt;&lt;DisplayText&gt;Hanke and Wentworth (1981)&lt;/DisplayText&gt;&lt;record&gt;&lt;rec-number&gt;694&lt;/rec-number&gt;&lt;foreign-keys&gt;&lt;key app="EN" db-id="5xwt9zxa6r5fesevwr5xzp97r95ev9wx9zpw" timestamp="1458081167"&gt;694&lt;/key&gt;&lt;key app="ENWeb" db-id=""&gt;0&lt;/key&gt;&lt;/foreign-keys&gt;&lt;ref-type name="Journal Article"&gt;17&lt;/ref-type&gt;&lt;contributors&gt;&lt;authors&gt;&lt;author&gt;Hanke, Steve H&lt;/author&gt;&lt;author&gt;Wentworth, Roland W&lt;/author&gt;&lt;/authors&gt;&lt;/contributors&gt;&lt;titles&gt;&lt;title&gt;On the Marginal Cost of Wastewater Services&lt;/title&gt;&lt;secondary-title&gt;Land Economics&lt;/secondary-title&gt;&lt;/titles&gt;&lt;periodical&gt;&lt;full-title&gt;Land Economics&lt;/full-title&gt;&lt;/periodical&gt;&lt;pages&gt;558-567&lt;/pages&gt;&lt;volume&gt;57&lt;/volume&gt;&lt;number&gt;4&lt;/number&gt;&lt;dates&gt;&lt;year&gt;1981&lt;/year&gt;&lt;/dates&gt;&lt;urls&gt;&lt;/urls&gt;&lt;/record&gt;&lt;/Cite&gt;&lt;/EndNote&gt;</w:instrText>
      </w:r>
      <w:r w:rsidR="00C04337">
        <w:fldChar w:fldCharType="separate"/>
      </w:r>
      <w:hyperlink w:anchor="_ENREF_35" w:tooltip="Hanke, 1981 #694" w:history="1">
        <w:r w:rsidR="000F2FEB">
          <w:rPr>
            <w:noProof/>
          </w:rPr>
          <w:t>Hanke and Wentworth (1981</w:t>
        </w:r>
      </w:hyperlink>
      <w:r w:rsidR="00450D54">
        <w:rPr>
          <w:noProof/>
        </w:rPr>
        <w:t>)</w:t>
      </w:r>
      <w:r w:rsidR="00C04337">
        <w:fldChar w:fldCharType="end"/>
      </w:r>
      <w:r w:rsidR="00450D54">
        <w:t xml:space="preserve"> </w:t>
      </w:r>
      <w:r>
        <w:t xml:space="preserve">who </w:t>
      </w:r>
      <w:r w:rsidR="009720AC">
        <w:t xml:space="preserve">note </w:t>
      </w:r>
      <w:r w:rsidR="00450D54">
        <w:t>the general ‘lack of knowledge of price elasticities of wastewater use.’</w:t>
      </w:r>
      <w:r w:rsidR="00450D54">
        <w:rPr>
          <w:rStyle w:val="FootnoteReference"/>
        </w:rPr>
        <w:footnoteReference w:id="67"/>
      </w:r>
      <w:r w:rsidR="00450D54">
        <w:t xml:space="preserve"> </w:t>
      </w:r>
      <w:r w:rsidR="00E00512">
        <w:t>Moreover, given that the volume of sewerage services provided in the ACT is not measured at the household level, the necessary consumption response to price information is not available to enable the Commission to undertake its own demand elasticity analysis.</w:t>
      </w:r>
    </w:p>
    <w:p w:rsidR="00C73F29" w:rsidRDefault="00C73F29" w:rsidP="009A0293">
      <w:pPr>
        <w:pStyle w:val="Heading3"/>
      </w:pPr>
      <w:r>
        <w:t>Inclining block tariffs</w:t>
      </w:r>
    </w:p>
    <w:p w:rsidR="00C73F29" w:rsidRPr="00FD6BFB" w:rsidRDefault="00C73F29" w:rsidP="00C73F29">
      <w:r>
        <w:t xml:space="preserve">Inclining block tariffs, commonly </w:t>
      </w:r>
      <w:r w:rsidR="006D66DC">
        <w:t xml:space="preserve">applied as pricing mechanism in regulated </w:t>
      </w:r>
      <w:r>
        <w:t>public utility</w:t>
      </w:r>
      <w:r w:rsidR="006D66DC">
        <w:t xml:space="preserve"> industries</w:t>
      </w:r>
      <w:r>
        <w:t xml:space="preserve">, present an </w:t>
      </w:r>
      <w:r w:rsidRPr="00FD6BFB">
        <w:t xml:space="preserve">added complication </w:t>
      </w:r>
      <w:r>
        <w:t xml:space="preserve">for the implementation of marginal cost pricing. </w:t>
      </w:r>
      <w:r w:rsidRPr="004F2305">
        <w:t xml:space="preserve">An </w:t>
      </w:r>
      <w:r>
        <w:t xml:space="preserve">inclining block tariff </w:t>
      </w:r>
      <w:r w:rsidRPr="004F2305">
        <w:t xml:space="preserve">differs from </w:t>
      </w:r>
      <w:r>
        <w:t>the</w:t>
      </w:r>
      <w:r w:rsidRPr="004F2305">
        <w:t xml:space="preserve"> </w:t>
      </w:r>
      <w:r>
        <w:t xml:space="preserve">simple </w:t>
      </w:r>
      <w:r w:rsidRPr="004F2305">
        <w:t xml:space="preserve">two-part tariff in that there is more than one volumetric rate. Under an </w:t>
      </w:r>
      <w:r>
        <w:t>inclining block structure</w:t>
      </w:r>
      <w:r w:rsidRPr="004F2305">
        <w:t>, the volumetric rate increases in a stepped manner as consumption increases.</w:t>
      </w:r>
      <w:r>
        <w:t xml:space="preserve"> Current </w:t>
      </w:r>
      <w:r w:rsidRPr="004F2305">
        <w:t xml:space="preserve">ACT water tariffs are an example of an </w:t>
      </w:r>
      <w:r>
        <w:t>inclining block. A</w:t>
      </w:r>
      <w:r w:rsidRPr="004F2305">
        <w:t xml:space="preserve"> low</w:t>
      </w:r>
      <w:r>
        <w:t>er</w:t>
      </w:r>
      <w:r w:rsidRPr="004F2305">
        <w:t xml:space="preserve"> price is set for consumption up to </w:t>
      </w:r>
      <w:r>
        <w:t>0.548 kilolitres (</w:t>
      </w:r>
      <w:r w:rsidRPr="004F2305">
        <w:t>k</w:t>
      </w:r>
      <w:r>
        <w:t xml:space="preserve">L) per day (equivalent to 200 kL per year) with a </w:t>
      </w:r>
      <w:r w:rsidRPr="004F2305">
        <w:t xml:space="preserve">higher price for consumption </w:t>
      </w:r>
      <w:r>
        <w:t>above this level.</w:t>
      </w:r>
      <w:r>
        <w:rPr>
          <w:rStyle w:val="FootnoteReference"/>
        </w:rPr>
        <w:footnoteReference w:id="68"/>
      </w:r>
    </w:p>
    <w:p w:rsidR="00C73F29" w:rsidRDefault="00C73F29" w:rsidP="00C73F29">
      <w:r>
        <w:t xml:space="preserve">Inclining block tariffs are adopted by regulators for a range of reasons, but most often on equity and water conservation grounds. The first consumption block is intended to </w:t>
      </w:r>
      <w:r>
        <w:lastRenderedPageBreak/>
        <w:t>provide essential water to households at a relatively cheap rate, while the second, more expensive block encourages water conservation as the more discretionary consumption increases.</w:t>
      </w:r>
    </w:p>
    <w:p w:rsidR="00C73F29" w:rsidRDefault="00C73F29" w:rsidP="00C73F29">
      <w:r>
        <w:t xml:space="preserve">The difficulty with inclining block tariffs is that the </w:t>
      </w:r>
      <w:r w:rsidRPr="00DA2A5E">
        <w:t>key requirement for economic efficiency</w:t>
      </w:r>
      <w:r>
        <w:t>, which is that</w:t>
      </w:r>
      <w:r w:rsidRPr="00DA2A5E">
        <w:t xml:space="preserve"> the volumetric charge should equal the opportunity cost of water</w:t>
      </w:r>
      <w:r>
        <w:t xml:space="preserve">, implies a single marginal price for water. </w:t>
      </w:r>
      <w:r w:rsidRPr="00DA2A5E">
        <w:t>If two customers are paying for water at different marginal prices due to different levels of consumption</w:t>
      </w:r>
      <w:r>
        <w:t xml:space="preserve"> under an inclining block structure</w:t>
      </w:r>
      <w:r w:rsidRPr="00DA2A5E">
        <w:t>, one of the two prices ca</w:t>
      </w:r>
      <w:r>
        <w:t>nnot be efficient. As such, inclining block tariffs are often criticised for being inefficient.</w:t>
      </w:r>
    </w:p>
    <w:p w:rsidR="00C73F29" w:rsidRDefault="00246129" w:rsidP="00C73F29">
      <w:pPr>
        <w:pStyle w:val="Heading4"/>
      </w:pPr>
      <w:r>
        <w:t>Commission’s consideration</w:t>
      </w:r>
    </w:p>
    <w:p w:rsidR="00C73F29" w:rsidRDefault="00C73F29" w:rsidP="00C73F29">
      <w:r>
        <w:t xml:space="preserve">There are essentially two issues facing the Commission with respect to inclining block tariffs for water in the ACT in the context of this tariff review.  </w:t>
      </w:r>
    </w:p>
    <w:p w:rsidR="00C73F29" w:rsidRDefault="00C73F29" w:rsidP="00C73F29">
      <w:r>
        <w:t>The first, and threshold issue, is whether to continue with an inclining block tariff or move to a single volumetric rate. The Commission agrees that an inclining block tariff is likely to be less efficient than a single volumetric charge. Moreover, it is clear that following the recent investments in water security, the current levels of water in Icon Water’s expanded storages, and the relatively low levels of per capita demand post the Millennium Drought, there appears to be little need for an inclining block to encourage water conservation.</w:t>
      </w:r>
      <w:r>
        <w:rPr>
          <w:rStyle w:val="FootnoteReference"/>
        </w:rPr>
        <w:footnoteReference w:id="69"/>
      </w:r>
    </w:p>
    <w:p w:rsidR="00C73F29" w:rsidRDefault="00C73F29" w:rsidP="00C73F29">
      <w:r>
        <w:t xml:space="preserve">The equity issue associated with providing households with </w:t>
      </w:r>
      <w:r>
        <w:rPr>
          <w:color w:val="000000"/>
          <w:szCs w:val="22"/>
        </w:rPr>
        <w:t xml:space="preserve">sufficient water at a lower cost to meet their essential health and hygiene needs </w:t>
      </w:r>
      <w:r>
        <w:t xml:space="preserve">is a little more delicate. </w:t>
      </w:r>
      <w:r w:rsidR="00C04337">
        <w:rPr>
          <w:noProof/>
        </w:rPr>
        <w:fldChar w:fldCharType="begin"/>
      </w:r>
      <w:r>
        <w:rPr>
          <w:noProof/>
        </w:rPr>
        <w:instrText xml:space="preserve"> ADDIN EN.CITE &lt;EndNote&gt;&lt;Cite&gt;&lt;Author&gt;Grafton&lt;/Author&gt;&lt;Year&gt;2010&lt;/Year&gt;&lt;RecNum&gt;584&lt;/RecNum&gt;&lt;DisplayText&gt;Grafton and Ward (2010)&lt;/DisplayText&gt;&lt;record&gt;&lt;rec-number&gt;584&lt;/rec-number&gt;&lt;foreign-keys&gt;&lt;key app="EN" db-id="5xwt9zxa6r5fesevwr5xzp97r95ev9wx9zpw" timestamp="1442464790"&gt;584&lt;/key&gt;&lt;/foreign-keys&gt;&lt;ref-type name="AAA ICRC Water References"&gt;40&lt;/ref-type&gt;&lt;contributors&gt;&lt;authors&gt;&lt;author&gt;Grafton, R Quentin&lt;/author&gt;&lt;author&gt;Ward, Michael&lt;/author&gt;&lt;/authors&gt;&lt;/contributors&gt;&lt;titles&gt;&lt;title&gt;Dynamically Efficient Urban Water Policy&lt;/title&gt;&lt;/titles&gt;&lt;volume&gt;Reserach Papers 10-13&lt;/volume&gt;&lt;dates&gt;&lt;year&gt;2010&lt;/year&gt;&lt;pub-dates&gt;&lt;date&gt;12 November 2010&lt;/date&gt;&lt;/pub-dates&gt;&lt;/dates&gt;&lt;pub-location&gt;Canberra&lt;/pub-location&gt;&lt;publisher&gt;Centre for Water Economics, Environment and Policy, The Australian National University&lt;/publisher&gt;&lt;urls&gt;&lt;/urls&gt;&lt;/record&gt;&lt;/Cite&gt;&lt;/EndNote&gt;</w:instrText>
      </w:r>
      <w:r w:rsidR="00C04337">
        <w:rPr>
          <w:noProof/>
        </w:rPr>
        <w:fldChar w:fldCharType="separate"/>
      </w:r>
      <w:hyperlink w:anchor="_ENREF_33" w:tooltip="Grafton, 2010 #584" w:history="1">
        <w:r w:rsidR="000F2FEB">
          <w:rPr>
            <w:noProof/>
          </w:rPr>
          <w:t>Grafton and Ward (2010</w:t>
        </w:r>
      </w:hyperlink>
      <w:r>
        <w:rPr>
          <w:noProof/>
        </w:rPr>
        <w:t>)</w:t>
      </w:r>
      <w:r w:rsidR="00C04337">
        <w:rPr>
          <w:noProof/>
        </w:rPr>
        <w:fldChar w:fldCharType="end"/>
      </w:r>
      <w:r>
        <w:t xml:space="preserve"> cite e</w:t>
      </w:r>
      <w:r w:rsidRPr="00517C8C">
        <w:t>mpirical</w:t>
      </w:r>
      <w:r>
        <w:t xml:space="preserve"> </w:t>
      </w:r>
      <w:r w:rsidRPr="00517C8C">
        <w:t xml:space="preserve">studies </w:t>
      </w:r>
      <w:r>
        <w:t xml:space="preserve">that </w:t>
      </w:r>
      <w:r w:rsidRPr="00517C8C">
        <w:t xml:space="preserve">show that the number of people in a household increases water consumption. </w:t>
      </w:r>
      <w:r>
        <w:t>The implication of this is that</w:t>
      </w:r>
      <w:r w:rsidRPr="00517C8C">
        <w:t xml:space="preserve"> an increasing block structure </w:t>
      </w:r>
      <w:r>
        <w:t xml:space="preserve">may </w:t>
      </w:r>
      <w:r w:rsidRPr="00517C8C">
        <w:t>ha</w:t>
      </w:r>
      <w:r>
        <w:t>ve</w:t>
      </w:r>
      <w:r w:rsidRPr="00517C8C">
        <w:t xml:space="preserve"> the unfortunate consequence that large and poor households, who</w:t>
      </w:r>
      <w:r>
        <w:t xml:space="preserve"> </w:t>
      </w:r>
      <w:r w:rsidRPr="00517C8C">
        <w:t>may have little discretionary use about water they can use, may pay a higher price</w:t>
      </w:r>
      <w:r>
        <w:t xml:space="preserve"> </w:t>
      </w:r>
      <w:r w:rsidRPr="00517C8C">
        <w:t>for water than small</w:t>
      </w:r>
      <w:r>
        <w:t>, high-</w:t>
      </w:r>
      <w:r w:rsidRPr="00517C8C">
        <w:t>income households.</w:t>
      </w:r>
    </w:p>
    <w:p w:rsidR="00C73F29" w:rsidRDefault="00C04337" w:rsidP="00C73F29">
      <w:r>
        <w:fldChar w:fldCharType="begin"/>
      </w:r>
      <w:r w:rsidR="00C73F29">
        <w:instrText xml:space="preserve"> ADDIN EN.CITE &lt;EndNote&gt;&lt;Cite&gt;&lt;Author&gt;Saunders&lt;/Author&gt;&lt;Year&gt;1977&lt;/Year&gt;&lt;RecNum&gt;681&lt;/RecNum&gt;&lt;DisplayText&gt;Saunders et al. (1977)&lt;/DisplayText&gt;&lt;record&gt;&lt;rec-number&gt;681&lt;/rec-number&gt;&lt;foreign-keys&gt;&lt;key app="EN" db-id="5xwt9zxa6r5fesevwr5xzp97r95ev9wx9zpw" timestamp="1457654329"&gt;681&lt;/key&gt;&lt;key app="ENWeb" db-id=""&gt;0&lt;/key&gt;&lt;/foreign-keys&gt;&lt;ref-type name="AAA ICRC Water References"&gt;40&lt;/ref-type&gt;&lt;contributors&gt;&lt;authors&gt;&lt;author&gt;Saunders, Robert J.&lt;/author&gt;&lt;author&gt;Warford, Jeremy J.&lt;/author&gt;&lt;author&gt;Mann, Patrick C. &lt;/author&gt;&lt;/authors&gt;&lt;/contributors&gt;&lt;titles&gt;&lt;title&gt;Alternative Concepts of Marginal Cost for Public Utility Pricing: Problems of Applicationin the Water Supply Sector&lt;/title&gt;&lt;/titles&gt;&lt;volume&gt;Staff Working Paper No. 25&lt;/volume&gt;&lt;dates&gt;&lt;year&gt;1977&lt;/year&gt;&lt;pub-dates&gt;&lt;date&gt;May 1977&lt;/date&gt;&lt;/pub-dates&gt;&lt;/dates&gt;&lt;publisher&gt;World Bank&lt;/publisher&gt;&lt;urls&gt;&lt;/urls&gt;&lt;/record&gt;&lt;/Cite&gt;&lt;/EndNote&gt;</w:instrText>
      </w:r>
      <w:r>
        <w:fldChar w:fldCharType="separate"/>
      </w:r>
      <w:hyperlink w:anchor="_ENREF_66" w:tooltip="Saunders, 1977 #681" w:history="1">
        <w:r w:rsidR="000F2FEB">
          <w:rPr>
            <w:noProof/>
          </w:rPr>
          <w:t>Saunders et al. (1977</w:t>
        </w:r>
      </w:hyperlink>
      <w:r w:rsidR="00C73F29">
        <w:rPr>
          <w:noProof/>
        </w:rPr>
        <w:t>)</w:t>
      </w:r>
      <w:r>
        <w:fldChar w:fldCharType="end"/>
      </w:r>
      <w:r w:rsidR="00C73F29">
        <w:t xml:space="preserve"> also comment on this issue, in the developing country context, noting that:</w:t>
      </w:r>
    </w:p>
    <w:p w:rsidR="00C73F29" w:rsidRDefault="00C73F29" w:rsidP="00C73F29">
      <w:pPr>
        <w:pStyle w:val="Quote"/>
      </w:pPr>
      <w:r>
        <w:t>There are many influences on water consumption other than income, a reliable correlation between water consumption and household per capita income being particularly difficult to establish.</w:t>
      </w:r>
      <w:r>
        <w:rPr>
          <w:rStyle w:val="FootnoteReference"/>
        </w:rPr>
        <w:footnoteReference w:id="70"/>
      </w:r>
      <w:r>
        <w:t xml:space="preserve"> </w:t>
      </w:r>
    </w:p>
    <w:p w:rsidR="00C73F29" w:rsidRPr="00485EE4" w:rsidRDefault="00C73F29" w:rsidP="00C73F29">
      <w:r w:rsidRPr="00485EE4">
        <w:t xml:space="preserve">The second issue relates to the distributional impacts between high and low water use customers. As the Commission noted in the issues paper, </w:t>
      </w:r>
      <w:r>
        <w:t xml:space="preserve">due to the cost recovery constraint, </w:t>
      </w:r>
      <w:r w:rsidRPr="00485EE4">
        <w:t>a move from the current to any new tariff structure may result in winners and losers. For example, should the Commission</w:t>
      </w:r>
      <w:r>
        <w:t xml:space="preserve"> </w:t>
      </w:r>
      <w:r w:rsidRPr="00485EE4">
        <w:t xml:space="preserve">recommend changing the water tariff </w:t>
      </w:r>
      <w:r w:rsidRPr="00485EE4">
        <w:lastRenderedPageBreak/>
        <w:t>structure to a single volumetric price from the current two-tier structure</w:t>
      </w:r>
      <w:r w:rsidR="00563CE6">
        <w:t xml:space="preserve"> while keeping the supply charge the same</w:t>
      </w:r>
      <w:r w:rsidRPr="00485EE4">
        <w:t>, the resulting single price will be somewhere between the first- and second-tier price. Such a change is likely to benefit the large</w:t>
      </w:r>
      <w:r>
        <w:t xml:space="preserve"> </w:t>
      </w:r>
      <w:r w:rsidRPr="00485EE4">
        <w:t>volume water user while low-volume customers may pay more.</w:t>
      </w:r>
    </w:p>
    <w:p w:rsidR="0086731D" w:rsidRDefault="00C73F29" w:rsidP="00442A02">
      <w:pPr>
        <w:rPr>
          <w:b/>
        </w:rPr>
      </w:pPr>
      <w:r>
        <w:t>These matters will be addressed in more detail in the draft report, with any recommendations considered in the context of all the proposed tariff review pricing principles.</w:t>
      </w:r>
      <w:r w:rsidR="00442A02">
        <w:rPr>
          <w:b/>
        </w:rPr>
        <w:t xml:space="preserve"> </w:t>
      </w:r>
    </w:p>
    <w:bookmarkEnd w:id="78"/>
    <w:bookmarkEnd w:id="66"/>
    <w:bookmarkEnd w:id="67"/>
    <w:p w:rsidR="003D7D8D" w:rsidRDefault="003D7D8D" w:rsidP="008A1C91">
      <w:pPr>
        <w:pStyle w:val="References"/>
      </w:pPr>
    </w:p>
    <w:p w:rsidR="00A75EF5" w:rsidRDefault="00A75EF5" w:rsidP="008A1C91">
      <w:pPr>
        <w:pStyle w:val="References"/>
      </w:pPr>
    </w:p>
    <w:p w:rsidR="00915BF6" w:rsidRDefault="00915BF6" w:rsidP="00915BF6">
      <w:pPr>
        <w:pStyle w:val="References"/>
      </w:pPr>
    </w:p>
    <w:p w:rsidR="00915BF6" w:rsidRPr="00B3506E" w:rsidRDefault="00915BF6" w:rsidP="00915BF6">
      <w:pPr>
        <w:pStyle w:val="References"/>
        <w:sectPr w:rsidR="00915BF6" w:rsidRPr="00B3506E" w:rsidSect="00E12A27">
          <w:headerReference w:type="even" r:id="rId42"/>
          <w:headerReference w:type="default" r:id="rId43"/>
          <w:endnotePr>
            <w:numFmt w:val="decimal"/>
          </w:endnotePr>
          <w:type w:val="continuous"/>
          <w:pgSz w:w="11907" w:h="16840" w:code="9"/>
          <w:pgMar w:top="2268" w:right="2098" w:bottom="1701" w:left="2098" w:header="578" w:footer="578" w:gutter="0"/>
          <w:cols w:space="720"/>
          <w:docGrid w:linePitch="299"/>
        </w:sectPr>
      </w:pPr>
    </w:p>
    <w:p w:rsidR="00915BF6" w:rsidRDefault="00915BF6" w:rsidP="00915BF6">
      <w:pPr>
        <w:pStyle w:val="Heading1"/>
        <w:sectPr w:rsidR="00915BF6" w:rsidSect="00FD0141">
          <w:headerReference w:type="even" r:id="rId44"/>
          <w:headerReference w:type="default" r:id="rId45"/>
          <w:endnotePr>
            <w:numFmt w:val="decimal"/>
          </w:endnotePr>
          <w:type w:val="oddPage"/>
          <w:pgSz w:w="11907" w:h="16840" w:code="9"/>
          <w:pgMar w:top="2268" w:right="2098" w:bottom="1701" w:left="2098" w:header="578" w:footer="578" w:gutter="0"/>
          <w:cols w:space="720"/>
          <w:noEndnote/>
          <w:docGrid w:linePitch="299"/>
        </w:sectPr>
      </w:pPr>
      <w:bookmarkStart w:id="84" w:name="_Ref448923205"/>
      <w:bookmarkStart w:id="85" w:name="_Toc453920865"/>
      <w:r>
        <w:lastRenderedPageBreak/>
        <w:t>Measuring marginal cost</w:t>
      </w:r>
      <w:bookmarkEnd w:id="84"/>
      <w:r w:rsidR="0089138F">
        <w:t xml:space="preserve"> in practice</w:t>
      </w:r>
      <w:bookmarkEnd w:id="85"/>
    </w:p>
    <w:p w:rsidR="00915BF6" w:rsidRDefault="00915BF6" w:rsidP="002B6726">
      <w:pPr>
        <w:pStyle w:val="Heading2"/>
      </w:pPr>
      <w:bookmarkStart w:id="86" w:name="_Toc453920866"/>
      <w:r>
        <w:lastRenderedPageBreak/>
        <w:t>Introduction</w:t>
      </w:r>
      <w:bookmarkEnd w:id="86"/>
    </w:p>
    <w:p w:rsidR="00915BF6" w:rsidRDefault="00915BF6" w:rsidP="00915BF6">
      <w:r>
        <w:t>This chapter moves from the theory of marginal cost pricing to practical matters associated with estimating marginal costs in a public utility industry, and the ACT water and sewerage services industry in particular.</w:t>
      </w:r>
    </w:p>
    <w:p w:rsidR="00915BF6" w:rsidRDefault="00915BF6" w:rsidP="00915BF6">
      <w:r>
        <w:t>The chapter starts by defining what we mean by marginal cost in practice, including the scope and timing elements, both of which directly impact the marginal cost calculation. A number of matters relevant to setting ACT water and sewerage services prices are then considered, including the price elasticity of demand for water, the WAC and the appropriate discount rate to apply when calculating marginal cost.</w:t>
      </w:r>
    </w:p>
    <w:p w:rsidR="00915BF6" w:rsidRDefault="00915BF6" w:rsidP="00915BF6">
      <w:r>
        <w:t>This is followed by an examination of a range of different method</w:t>
      </w:r>
      <w:r w:rsidR="00E16201">
        <w:t>s</w:t>
      </w:r>
      <w:r>
        <w:t xml:space="preserve"> for calculating marginal cost. A brief review of the marginal cost pricing methods applied by other utility regulators in Australia and overseas is then presented. </w:t>
      </w:r>
    </w:p>
    <w:p w:rsidR="00915BF6" w:rsidRDefault="00915BF6" w:rsidP="002B6726">
      <w:pPr>
        <w:pStyle w:val="Heading2"/>
      </w:pPr>
      <w:bookmarkStart w:id="87" w:name="_Toc453920867"/>
      <w:r>
        <w:t>Defining marginal cost</w:t>
      </w:r>
      <w:bookmarkEnd w:id="87"/>
      <w:r>
        <w:t xml:space="preserve"> </w:t>
      </w:r>
    </w:p>
    <w:p w:rsidR="00915BF6" w:rsidRDefault="00915BF6" w:rsidP="00915BF6">
      <w:r>
        <w:t>When applying marginal cost pricing in practice, and before considering the preferred method of estimating marginal cost, it is first necessary to put some boundaries around what we mean by marginal costs. At this stage of the technical paper, we can define the scope and timing elements.</w:t>
      </w:r>
    </w:p>
    <w:p w:rsidR="00915BF6" w:rsidRDefault="00915BF6" w:rsidP="00915BF6">
      <w:pPr>
        <w:pStyle w:val="Heading3"/>
      </w:pPr>
      <w:r>
        <w:t>Scope</w:t>
      </w:r>
    </w:p>
    <w:p w:rsidR="00915BF6" w:rsidRDefault="00915BF6" w:rsidP="00915BF6">
      <w:r>
        <w:t>The first point to make with respect to scope is that we are only concerned with marginal cost with respect to changes in the quantity or volume or services</w:t>
      </w:r>
      <w:r w:rsidR="009720AC">
        <w:t xml:space="preserve"> (for a given level of quality)</w:t>
      </w:r>
      <w:r>
        <w:t xml:space="preserve">. This point was made by </w:t>
      </w:r>
      <w:r w:rsidR="00C04337">
        <w:fldChar w:fldCharType="begin"/>
      </w:r>
      <w:r>
        <w:instrText xml:space="preserve"> ADDIN EN.CITE &lt;EndNote&gt;&lt;Cite&gt;&lt;Author&gt;Turvey&lt;/Author&gt;&lt;Year&gt;1976&lt;/Year&gt;&lt;RecNum&gt;519&lt;/RecNum&gt;&lt;DisplayText&gt;Turvey (1976)&lt;/DisplayText&gt;&lt;record&gt;&lt;rec-number&gt;519&lt;/rec-number&gt;&lt;foreign-keys&gt;&lt;key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hyperlink w:anchor="_ENREF_72" w:tooltip="Turvey, 1976 #519" w:history="1">
        <w:r w:rsidR="000F2FEB">
          <w:rPr>
            <w:noProof/>
          </w:rPr>
          <w:t>Turvey (1976</w:t>
        </w:r>
      </w:hyperlink>
      <w:r>
        <w:rPr>
          <w:noProof/>
        </w:rPr>
        <w:t>)</w:t>
      </w:r>
      <w:r w:rsidR="00C04337">
        <w:fldChar w:fldCharType="end"/>
      </w:r>
      <w:r>
        <w:t>:</w:t>
      </w:r>
    </w:p>
    <w:p w:rsidR="00915BF6" w:rsidRDefault="00915BF6" w:rsidP="00915BF6">
      <w:pPr>
        <w:pStyle w:val="Quote"/>
      </w:pPr>
      <w:r>
        <w:t xml:space="preserve">The cost of a newly introduced water-softening plant, for example, cannot be said to constitute a marginal cost since it changes quality, not quantity, and we are here considering only marginal cost with respect to quantity. </w:t>
      </w:r>
    </w:p>
    <w:p w:rsidR="00915BF6" w:rsidRDefault="00915BF6" w:rsidP="00915BF6">
      <w:pPr>
        <w:pStyle w:val="Quote"/>
      </w:pPr>
      <w:r>
        <w:t>……</w:t>
      </w:r>
    </w:p>
    <w:p w:rsidR="00915BF6" w:rsidRDefault="00915BF6" w:rsidP="00915BF6">
      <w:pPr>
        <w:pStyle w:val="Quote"/>
      </w:pPr>
      <w:r>
        <w:t>The fundamental notion is that one examines the effect upon costs of faster or slower growth in the quantity of water to be supplied; one does not go through projected expenditures in order to classify certain of them as marginal.</w:t>
      </w:r>
      <w:r>
        <w:rPr>
          <w:rStyle w:val="FootnoteReference"/>
        </w:rPr>
        <w:footnoteReference w:id="71"/>
      </w:r>
    </w:p>
    <w:p w:rsidR="00915BF6" w:rsidRDefault="00915BF6" w:rsidP="00915BF6">
      <w:r>
        <w:lastRenderedPageBreak/>
        <w:t>In the case of Icon Water project classification therefore, this means the immediate focus is on growth rather than renewal or improvement projects.</w:t>
      </w:r>
    </w:p>
    <w:p w:rsidR="00915BF6" w:rsidRDefault="00915BF6" w:rsidP="00915BF6">
      <w:r>
        <w:t xml:space="preserve">The second point, again following </w:t>
      </w:r>
      <w:r w:rsidR="00C04337">
        <w:fldChar w:fldCharType="begin"/>
      </w:r>
      <w:r>
        <w:instrText xml:space="preserve"> ADDIN EN.CITE &lt;EndNote&gt;&lt;Cite&gt;&lt;Author&gt;Turvey&lt;/Author&gt;&lt;Year&gt;1976&lt;/Year&gt;&lt;RecNum&gt;519&lt;/RecNum&gt;&lt;DisplayText&gt;Turvey (1976)&lt;/DisplayText&gt;&lt;record&gt;&lt;rec-number&gt;519&lt;/rec-number&gt;&lt;foreign-keys&gt;&lt;key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hyperlink w:anchor="_ENREF_72" w:tooltip="Turvey, 1976 #519" w:history="1">
        <w:r w:rsidR="000F2FEB">
          <w:rPr>
            <w:noProof/>
          </w:rPr>
          <w:t>Turvey (1976</w:t>
        </w:r>
      </w:hyperlink>
      <w:r>
        <w:rPr>
          <w:noProof/>
        </w:rPr>
        <w:t>)</w:t>
      </w:r>
      <w:r w:rsidR="00C04337">
        <w:fldChar w:fldCharType="end"/>
      </w:r>
      <w:r>
        <w:t>, and using water as an example, is to distinguish the central system of supply, treatment and trunk mains from the distribution network comprising local water reservoirs and pipes.</w:t>
      </w:r>
      <w:r>
        <w:rPr>
          <w:rStyle w:val="FootnoteReference"/>
        </w:rPr>
        <w:footnoteReference w:id="72"/>
      </w:r>
      <w:r>
        <w:t xml:space="preserve"> The key difference between the two is that growth in the distribution element is largely driven by new land developments and therefore occurs through many small regular investments, while the central system expands with infrequent large investments.</w:t>
      </w:r>
      <w:r w:rsidR="00CD6057">
        <w:t xml:space="preserve"> For the purposes of estimating marginal cost </w:t>
      </w:r>
      <w:r w:rsidR="00BD2507">
        <w:t xml:space="preserve">in this paper </w:t>
      </w:r>
      <w:r w:rsidR="00CD6057">
        <w:t>we are only concerned with the central system.</w:t>
      </w:r>
    </w:p>
    <w:p w:rsidR="00915BF6" w:rsidRDefault="00915BF6" w:rsidP="00915BF6">
      <w:pPr>
        <w:pStyle w:val="Heading3"/>
      </w:pPr>
      <w:r>
        <w:t>Timing</w:t>
      </w:r>
    </w:p>
    <w:p w:rsidR="00915BF6" w:rsidRDefault="00915BF6" w:rsidP="00915BF6">
      <w:r>
        <w:t xml:space="preserve">As noted in Chapter </w:t>
      </w:r>
      <w:r w:rsidR="00C04337">
        <w:fldChar w:fldCharType="begin"/>
      </w:r>
      <w:r>
        <w:instrText xml:space="preserve"> REF _Ref364695177 \r \h </w:instrText>
      </w:r>
      <w:r w:rsidR="00C04337">
        <w:fldChar w:fldCharType="separate"/>
      </w:r>
      <w:r w:rsidR="00027D28">
        <w:t>1</w:t>
      </w:r>
      <w:r w:rsidR="00C04337">
        <w:fldChar w:fldCharType="end"/>
      </w:r>
      <w:r>
        <w:t xml:space="preserve">, marginal cost pricing is a forward-looking concept. </w:t>
      </w:r>
      <w:r w:rsidR="005A2D41">
        <w:t>In this paper w</w:t>
      </w:r>
      <w:r>
        <w:t>e are interested in the estimation of future marginal costs associated with an increment in demand</w:t>
      </w:r>
      <w:r w:rsidR="002B314C">
        <w:t xml:space="preserve"> over the forward period from 2016 to 2062</w:t>
      </w:r>
      <w:r>
        <w:t>.</w:t>
      </w:r>
      <w:r>
        <w:rPr>
          <w:rStyle w:val="FootnoteReference"/>
        </w:rPr>
        <w:footnoteReference w:id="73"/>
      </w:r>
      <w:r w:rsidR="002B314C">
        <w:t xml:space="preserve"> This is the current period over which Icon Water models water supply and demand for water security planning purposes.</w:t>
      </w:r>
    </w:p>
    <w:p w:rsidR="00915BF6" w:rsidRDefault="00915BF6" w:rsidP="00915BF6">
      <w:r>
        <w:t>Another point to note is that marginal cost is a dynamic concept in that any estimate is dependent on the circumstance prevailing at the time it is estimated, and will be different as conditions change. For example, the short-run marginal operating cost for water will be dependent on dam levels and source of supply at the time. Demand requirements can also change significantly from one estimation point to the next.</w:t>
      </w:r>
      <w:r>
        <w:rPr>
          <w:rStyle w:val="FootnoteReference"/>
        </w:rPr>
        <w:footnoteReference w:id="74"/>
      </w:r>
    </w:p>
    <w:p w:rsidR="00915BF6" w:rsidRDefault="00915BF6" w:rsidP="002B6726">
      <w:pPr>
        <w:pStyle w:val="Heading2"/>
      </w:pPr>
      <w:bookmarkStart w:id="88" w:name="_Ref448755878"/>
      <w:bookmarkStart w:id="89" w:name="_Toc453920868"/>
      <w:r>
        <w:t>Marginal cost estimation methods</w:t>
      </w:r>
      <w:bookmarkEnd w:id="88"/>
      <w:bookmarkEnd w:id="89"/>
    </w:p>
    <w:p w:rsidR="00915BF6" w:rsidRDefault="00915BF6" w:rsidP="00915BF6">
      <w:pPr>
        <w:pStyle w:val="Heading3"/>
      </w:pPr>
      <w:bookmarkStart w:id="90" w:name="_Ref448839342"/>
      <w:r>
        <w:t>Short- or long-run?</w:t>
      </w:r>
      <w:bookmarkEnd w:id="90"/>
    </w:p>
    <w:p w:rsidR="00915BF6" w:rsidRDefault="00915BF6" w:rsidP="00915BF6">
      <w:r>
        <w:t xml:space="preserve">Recalling the discussion in section </w:t>
      </w:r>
      <w:r w:rsidR="00C04337">
        <w:fldChar w:fldCharType="begin"/>
      </w:r>
      <w:r>
        <w:instrText xml:space="preserve"> REF _Ref448142801 \r \h </w:instrText>
      </w:r>
      <w:r w:rsidR="00C04337">
        <w:fldChar w:fldCharType="separate"/>
      </w:r>
      <w:r w:rsidR="00027D28">
        <w:t>2.4</w:t>
      </w:r>
      <w:r w:rsidR="00C04337">
        <w:fldChar w:fldCharType="end"/>
      </w:r>
      <w:r>
        <w:t>, the first question to be resolved at the practical level is whether to use short- or long-run marginal cost as the reference point for setting prices.</w:t>
      </w:r>
      <w:r w:rsidR="00AC5A12">
        <w:t xml:space="preserve"> </w:t>
      </w:r>
      <w:r>
        <w:t>The Commission agrees</w:t>
      </w:r>
      <w:r w:rsidR="00662352">
        <w:t xml:space="preserve"> that short</w:t>
      </w:r>
      <w:r>
        <w:t>-run marginal cost pricing is the efficient basis for pricing. In addition to the efficiency benefits, short-run marginal cost is relativel</w:t>
      </w:r>
      <w:r w:rsidR="00662352">
        <w:t>y straightforward to calculate.</w:t>
      </w:r>
    </w:p>
    <w:p w:rsidR="00915BF6" w:rsidRDefault="00915BF6" w:rsidP="00915BF6">
      <w:r>
        <w:t xml:space="preserve">However, as noted by </w:t>
      </w:r>
      <w:r w:rsidR="00C04337">
        <w:fldChar w:fldCharType="begin"/>
      </w:r>
      <w:r>
        <w:instrText xml:space="preserve"> ADDIN EN.CITE &lt;EndNote&gt;&lt;Cite&gt;&lt;Author&gt;Marsden Jacob Associates&lt;/Author&gt;&lt;Year&gt;2004&lt;/Year&gt;&lt;RecNum&gt;543&lt;/RecNum&gt;&lt;DisplayText&gt;Marsden Jacob Associates (2004)&lt;/DisplayText&gt;&lt;record&gt;&lt;rec-number&gt;543&lt;/rec-number&gt;&lt;foreign-keys&gt;&lt;key app="EN" db-id="5xwt9zxa6r5fesevwr5xzp97r95ev9wx9zpw" timestamp="1441337579"&gt;543&lt;/key&gt;&lt;/foreign-keys&gt;&lt;ref-type name="AAA ICRC Water References"&gt;40&lt;/ref-type&gt;&lt;contributors&gt;&lt;authors&gt;&lt;author&gt;Marsden Jacob Associates,&lt;/author&gt;&lt;/authors&gt;&lt;/contributors&gt;&lt;titles&gt;&lt;title&gt;Estimation of Long Run Marginal Cost (LRMC): A report prepared for the Queensland Competition Authority&lt;/title&gt;&lt;/titles&gt;&lt;dates&gt;&lt;year&gt;2004&lt;/year&gt;&lt;pub-dates&gt;&lt;date&gt;3 November 2004&lt;/date&gt;&lt;/pub-dates&gt;&lt;/dates&gt;&lt;pub-location&gt;Brisbane&lt;/pub-location&gt;&lt;urls&gt;&lt;/urls&gt;&lt;/record&gt;&lt;/Cite&gt;&lt;/EndNote&gt;</w:instrText>
      </w:r>
      <w:r w:rsidR="00C04337">
        <w:fldChar w:fldCharType="separate"/>
      </w:r>
      <w:hyperlink w:anchor="_ENREF_53" w:tooltip="Marsden Jacob Associates, 2004 #543" w:history="1">
        <w:r w:rsidR="000F2FEB">
          <w:rPr>
            <w:noProof/>
          </w:rPr>
          <w:t>Marsden Jacob Associates (2004</w:t>
        </w:r>
      </w:hyperlink>
      <w:r>
        <w:rPr>
          <w:noProof/>
        </w:rPr>
        <w:t>)</w:t>
      </w:r>
      <w:r w:rsidR="00C04337">
        <w:fldChar w:fldCharType="end"/>
      </w:r>
      <w:r>
        <w:t xml:space="preserve"> and </w:t>
      </w:r>
      <w:r w:rsidR="00C04337">
        <w:fldChar w:fldCharType="begin"/>
      </w:r>
      <w:r>
        <w:instrText xml:space="preserve"> ADDIN EN.CITE &lt;EndNote&gt;&lt;Cite&gt;&lt;Author&gt;London Economics&lt;/Author&gt;&lt;Year&gt;1997&lt;/Year&gt;&lt;RecNum&gt;228&lt;/RecNum&gt;&lt;DisplayText&gt;London Economics (1997)&lt;/DisplayText&gt;&lt;record&gt;&lt;rec-number&gt;228&lt;/rec-number&gt;&lt;foreign-keys&gt;&lt;key app="EN" db-id="5xwt9zxa6r5fesevwr5xzp97r95ev9wx9zpw" timestamp="1375845758"&gt;228&lt;/key&gt;&lt;/foreign-keys&gt;&lt;ref-type name="AAA ICRC Water References"&gt;40&lt;/ref-type&gt;&lt;contributors&gt;&lt;authors&gt;&lt;author&gt;London Economics,&lt;/author&gt;&lt;/authors&gt;&lt;/contributors&gt;&lt;titles&gt;&lt;title&gt;Water Pricing: The importance of long run marginal costs&lt;/title&gt;&lt;/titles&gt;&lt;dates&gt;&lt;year&gt;1997&lt;/year&gt;&lt;pub-dates&gt;&lt;date&gt;January 1997&lt;/date&gt;&lt;/pub-dates&gt;&lt;/dates&gt;&lt;pub-location&gt;London&lt;/pub-location&gt;&lt;publisher&gt;Office of Water Services&lt;/publisher&gt;&lt;urls&gt;&lt;/urls&gt;&lt;/record&gt;&lt;/Cite&gt;&lt;/EndNote&gt;</w:instrText>
      </w:r>
      <w:r w:rsidR="00C04337">
        <w:fldChar w:fldCharType="separate"/>
      </w:r>
      <w:hyperlink w:anchor="_ENREF_51" w:tooltip="London Economics, 1997 #228" w:history="1">
        <w:r w:rsidR="000F2FEB">
          <w:rPr>
            <w:noProof/>
          </w:rPr>
          <w:t>London Economics (1997</w:t>
        </w:r>
      </w:hyperlink>
      <w:r>
        <w:rPr>
          <w:noProof/>
        </w:rPr>
        <w:t>)</w:t>
      </w:r>
      <w:r w:rsidR="00C04337">
        <w:fldChar w:fldCharType="end"/>
      </w:r>
      <w:r>
        <w:t xml:space="preserve">, short-run marginal cost can show significant variability. Costs may rise as capacity constraints </w:t>
      </w:r>
      <w:proofErr w:type="gramStart"/>
      <w:r>
        <w:t>are approached</w:t>
      </w:r>
      <w:proofErr w:type="gramEnd"/>
      <w:r>
        <w:t xml:space="preserve"> due to, for example, inefficient production capacity </w:t>
      </w:r>
      <w:r>
        <w:lastRenderedPageBreak/>
        <w:t xml:space="preserve">has to utilised, and then fall away following the capacity upgrade, as illustrated in </w:t>
      </w:r>
      <w:r w:rsidR="00C04337">
        <w:fldChar w:fldCharType="begin"/>
      </w:r>
      <w:r>
        <w:instrText xml:space="preserve"> REF _Ref448133748 \h </w:instrText>
      </w:r>
      <w:r w:rsidR="00C04337">
        <w:fldChar w:fldCharType="separate"/>
      </w:r>
      <w:r w:rsidR="00027D28" w:rsidRPr="00DB3C19">
        <w:t xml:space="preserve">Figure </w:t>
      </w:r>
      <w:r w:rsidR="00027D28">
        <w:rPr>
          <w:noProof/>
        </w:rPr>
        <w:t>3</w:t>
      </w:r>
      <w:r w:rsidR="00027D28" w:rsidRPr="00003E12">
        <w:t>.</w:t>
      </w:r>
      <w:r w:rsidR="00027D28">
        <w:rPr>
          <w:noProof/>
        </w:rPr>
        <w:t>1</w:t>
      </w:r>
      <w:r w:rsidR="00C04337">
        <w:fldChar w:fldCharType="end"/>
      </w:r>
      <w:r>
        <w:t>. Setting prices on this basis may result significant price instability, even on an annual basis, an unhelpful characteristic if one is seeking a stable charging base.</w:t>
      </w:r>
    </w:p>
    <w:p w:rsidR="00915BF6" w:rsidRPr="00003E12" w:rsidRDefault="00915BF6" w:rsidP="00915BF6">
      <w:pPr>
        <w:pStyle w:val="FigureName"/>
        <w:keepNext/>
      </w:pPr>
      <w:bookmarkStart w:id="91" w:name="_Ref448133748"/>
      <w:bookmarkStart w:id="92" w:name="_Toc453920904"/>
      <w:r w:rsidRPr="00DB3C19">
        <w:t xml:space="preserve">Figure </w:t>
      </w:r>
      <w:r w:rsidR="00C04337">
        <w:fldChar w:fldCharType="begin"/>
      </w:r>
      <w:r>
        <w:instrText xml:space="preserve"> STYLEREF 1 \s </w:instrText>
      </w:r>
      <w:r w:rsidR="00C04337">
        <w:fldChar w:fldCharType="separate"/>
      </w:r>
      <w:r w:rsidR="00027D28">
        <w:rPr>
          <w:noProof/>
        </w:rPr>
        <w:t>3</w:t>
      </w:r>
      <w:r w:rsidR="00C04337">
        <w:fldChar w:fldCharType="end"/>
      </w:r>
      <w:r w:rsidRPr="00003E12">
        <w:t>.</w:t>
      </w:r>
      <w:r w:rsidR="00C04337" w:rsidRPr="00003E12">
        <w:fldChar w:fldCharType="begin"/>
      </w:r>
      <w:r w:rsidRPr="00003E12">
        <w:instrText xml:space="preserve"> SEQ Figure \* ARABIC \s 1 </w:instrText>
      </w:r>
      <w:r w:rsidR="00C04337" w:rsidRPr="00003E12">
        <w:fldChar w:fldCharType="separate"/>
      </w:r>
      <w:r w:rsidR="00027D28">
        <w:rPr>
          <w:noProof/>
        </w:rPr>
        <w:t>1</w:t>
      </w:r>
      <w:r w:rsidR="00C04337" w:rsidRPr="00003E12">
        <w:fldChar w:fldCharType="end"/>
      </w:r>
      <w:bookmarkEnd w:id="91"/>
      <w:r w:rsidRPr="00003E12">
        <w:tab/>
      </w:r>
      <w:r>
        <w:t>Short-run marginal cost variability</w:t>
      </w:r>
      <w:bookmarkEnd w:id="92"/>
    </w:p>
    <w:p w:rsidR="00915BF6" w:rsidRDefault="00D74F83" w:rsidP="00915BF6">
      <w:pPr>
        <w:keepNext/>
      </w:pPr>
      <w:r w:rsidRPr="00D74F83">
        <w:rPr>
          <w:noProof/>
          <w:lang w:val="en-AU" w:eastAsia="en-AU"/>
        </w:rPr>
        <w:drawing>
          <wp:inline distT="0" distB="0" distL="0" distR="0">
            <wp:extent cx="4261945" cy="5263575"/>
            <wp:effectExtent l="19050" t="19050" r="2476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8515" cy="5271689"/>
                    </a:xfrm>
                    <a:prstGeom prst="rect">
                      <a:avLst/>
                    </a:prstGeom>
                    <a:noFill/>
                    <a:ln>
                      <a:solidFill>
                        <a:schemeClr val="bg1">
                          <a:lumMod val="50000"/>
                        </a:schemeClr>
                      </a:solidFill>
                    </a:ln>
                  </pic:spPr>
                </pic:pic>
              </a:graphicData>
            </a:graphic>
          </wp:inline>
        </w:drawing>
      </w:r>
    </w:p>
    <w:p w:rsidR="00915BF6" w:rsidRDefault="00915BF6" w:rsidP="00915BF6">
      <w:pPr>
        <w:pStyle w:val="TableNotesLast"/>
      </w:pPr>
      <w:r>
        <w:t>Source:</w:t>
      </w:r>
      <w:r>
        <w:tab/>
        <w:t xml:space="preserve">Adapted from </w:t>
      </w:r>
      <w:r w:rsidR="00C04337">
        <w:fldChar w:fldCharType="begin"/>
      </w:r>
      <w:r>
        <w:instrText xml:space="preserve"> ADDIN EN.CITE &lt;EndNote&gt;&lt;Cite&gt;&lt;Author&gt;Marsden Jacob Associates&lt;/Author&gt;&lt;Year&gt;2004&lt;/Year&gt;&lt;RecNum&gt;543&lt;/RecNum&gt;&lt;DisplayText&gt;Marsden Jacob Associates (2004)&lt;/DisplayText&gt;&lt;record&gt;&lt;rec-number&gt;543&lt;/rec-number&gt;&lt;foreign-keys&gt;&lt;key app="EN" db-id="5xwt9zxa6r5fesevwr5xzp97r95ev9wx9zpw" timestamp="1441337579"&gt;543&lt;/key&gt;&lt;/foreign-keys&gt;&lt;ref-type name="AAA ICRC Water References"&gt;40&lt;/ref-type&gt;&lt;contributors&gt;&lt;authors&gt;&lt;author&gt;Marsden Jacob Associates,&lt;/author&gt;&lt;/authors&gt;&lt;/contributors&gt;&lt;titles&gt;&lt;title&gt;Estimation of Long Run Marginal Cost (LRMC): A report prepared for the Queensland Competition Authority&lt;/title&gt;&lt;/titles&gt;&lt;dates&gt;&lt;year&gt;2004&lt;/year&gt;&lt;pub-dates&gt;&lt;date&gt;3 November 2004&lt;/date&gt;&lt;/pub-dates&gt;&lt;/dates&gt;&lt;pub-location&gt;Brisbane&lt;/pub-location&gt;&lt;urls&gt;&lt;/urls&gt;&lt;/record&gt;&lt;/Cite&gt;&lt;/EndNote&gt;</w:instrText>
      </w:r>
      <w:r w:rsidR="00C04337">
        <w:fldChar w:fldCharType="separate"/>
      </w:r>
      <w:hyperlink w:anchor="_ENREF_53" w:tooltip="Marsden Jacob Associates, 2004 #543" w:history="1">
        <w:r w:rsidR="000F2FEB">
          <w:rPr>
            <w:noProof/>
          </w:rPr>
          <w:t>Marsden Jacob Associates (2004</w:t>
        </w:r>
      </w:hyperlink>
      <w:r>
        <w:rPr>
          <w:noProof/>
        </w:rPr>
        <w:t>)</w:t>
      </w:r>
      <w:r w:rsidR="00C04337">
        <w:fldChar w:fldCharType="end"/>
      </w:r>
      <w:r>
        <w:t>.</w:t>
      </w:r>
    </w:p>
    <w:p w:rsidR="00915BF6" w:rsidRDefault="00E80305" w:rsidP="00915BF6">
      <w:r>
        <w:t xml:space="preserve">In contrast, </w:t>
      </w:r>
      <w:r w:rsidR="00C04337" w:rsidRPr="004F789B">
        <w:fldChar w:fldCharType="begin"/>
      </w:r>
      <w:r w:rsidR="00915BF6" w:rsidRPr="004F789B">
        <w:instrText xml:space="preserve"> ADDIN EN.CITE &lt;EndNote&gt;&lt;Cite&gt;&lt;Author&gt;Hirshleifer&lt;/Author&gt;&lt;Year&gt;1960&lt;/Year&gt;&lt;RecNum&gt;706&lt;/RecNum&gt;&lt;DisplayText&gt;Hirshleifer et al. (1960)&lt;/DisplayText&gt;&lt;record&gt;&lt;rec-number&gt;706&lt;/rec-number&gt;&lt;foreign-keys&gt;&lt;key app="EN" db-id="5xwt9zxa6r5fesevwr5xzp97r95ev9wx9zpw" timestamp="1460417661"&gt;706&lt;/key&gt;&lt;/foreign-keys&gt;&lt;ref-type name="Book"&gt;6&lt;/ref-type&gt;&lt;contributors&gt;&lt;authors&gt;&lt;author&gt;Hirshleifer, Jack&lt;/author&gt;&lt;author&gt;DeHaven, James C&lt;/author&gt;&lt;author&gt;Milliman, Jerome W&lt;/author&gt;&lt;/authors&gt;&lt;/contributors&gt;&lt;titles&gt;&lt;title&gt;Water Supply: Economics, Technology and Policy&lt;/title&gt;&lt;/titles&gt;&lt;dates&gt;&lt;year&gt;1960&lt;/year&gt;&lt;/dates&gt;&lt;publisher&gt;University of Chicago Press&lt;/publisher&gt;&lt;urls&gt;&lt;related-urls&gt;&lt;url&gt;http://babel.hathitrust.org/cgi/pt?id=mdp.39015011501270;view=1up;seq=11&lt;/url&gt;&lt;/related-urls&gt;&lt;/urls&gt;&lt;/record&gt;&lt;/Cite&gt;&lt;/EndNote&gt;</w:instrText>
      </w:r>
      <w:r w:rsidR="00C04337" w:rsidRPr="004F789B">
        <w:fldChar w:fldCharType="separate"/>
      </w:r>
      <w:hyperlink w:anchor="_ENREF_36" w:tooltip="Hirshleifer, 1960 #706" w:history="1">
        <w:r w:rsidR="000F2FEB" w:rsidRPr="004F789B">
          <w:t>Hirshleifer et al. (1960</w:t>
        </w:r>
      </w:hyperlink>
      <w:r w:rsidR="00915BF6" w:rsidRPr="004F789B">
        <w:t>)</w:t>
      </w:r>
      <w:r w:rsidR="00C04337" w:rsidRPr="004F789B">
        <w:fldChar w:fldCharType="end"/>
      </w:r>
      <w:r w:rsidR="00915BF6">
        <w:t xml:space="preserve"> dismiss objections to price fluctuations as ‘prejudice’:</w:t>
      </w:r>
    </w:p>
    <w:p w:rsidR="00915BF6" w:rsidRDefault="00915BF6" w:rsidP="00915BF6">
      <w:pPr>
        <w:pStyle w:val="Quote"/>
      </w:pPr>
      <w:r w:rsidRPr="004F789B">
        <w:t>While a popular</w:t>
      </w:r>
      <w:r>
        <w:t xml:space="preserve"> </w:t>
      </w:r>
      <w:r w:rsidRPr="004F789B">
        <w:t xml:space="preserve">prejudice against such changing prices may be a real difficulty, we would emphasize that it is just that—a prejudice. No buyer has any good reason to </w:t>
      </w:r>
      <w:r w:rsidRPr="004F789B">
        <w:lastRenderedPageBreak/>
        <w:t>expect that prices will remain fixed while conditions of demand and supply change, unless indeed he is willing to bind himself to a long-range contract.</w:t>
      </w:r>
      <w:r>
        <w:rPr>
          <w:rStyle w:val="FootnoteReference"/>
        </w:rPr>
        <w:footnoteReference w:id="75"/>
      </w:r>
    </w:p>
    <w:p w:rsidR="00915BF6" w:rsidRDefault="00915BF6" w:rsidP="00915BF6">
      <w:r>
        <w:t>The Commission, however, needs to be mindful of the broader set of proposed pricing principles for this tariff review, and in particular those concerning price path stability. The fourth proposed principle states that tariff structures should be robust enough to promote the economically efficient use of Icon Water’s water and sewerage services infrastructure over a reasonable period of time. While this principle is fundamentally concerned with a stable tariff structure (inclining block or single volumetric charge, for example), it would be remiss not to also consider the variability of constituent price levels.</w:t>
      </w:r>
    </w:p>
    <w:p w:rsidR="00915BF6" w:rsidRDefault="00915BF6" w:rsidP="00915BF6">
      <w:r>
        <w:t xml:space="preserve">For the purposes of this paper, following </w:t>
      </w:r>
      <w:r w:rsidR="00C04337">
        <w:fldChar w:fldCharType="begin"/>
      </w:r>
      <w:r>
        <w:instrText xml:space="preserve"> ADDIN EN.CITE &lt;EndNote&gt;&lt;Cite&gt;&lt;Author&gt;Mann&lt;/Author&gt;&lt;Year&gt;1980&lt;/Year&gt;&lt;RecNum&gt;695&lt;/RecNum&gt;&lt;DisplayText&gt;Mann et al. (1980)&lt;/DisplayText&gt;&lt;record&gt;&lt;rec-number&gt;695&lt;/rec-number&gt;&lt;foreign-keys&gt;&lt;key app="EN" db-id="5xwt9zxa6r5fesevwr5xzp97r95ev9wx9zpw" timestamp="1458185524"&gt;695&lt;/key&gt;&lt;key app="ENWeb" db-id=""&gt;0&lt;/key&gt;&lt;/foreign-keys&gt;&lt;ref-type name="Journal Article"&gt;17&lt;/ref-type&gt;&lt;contributors&gt;&lt;authors&gt;&lt;author&gt;Mann, Patrick C.&lt;/author&gt;&lt;author&gt;Saunders, Robert J.&lt;/author&gt;&lt;author&gt;Warford, Jeremy J.&lt;/author&gt;&lt;/authors&gt;&lt;/contributors&gt;&lt;titles&gt;&lt;title&gt;A Note on Capital Indivisibility and the Definition of Marginal Cost&lt;/title&gt;&lt;secondary-title&gt;Water Resources Research&lt;/secondary-title&gt;&lt;/titles&gt;&lt;periodical&gt;&lt;full-title&gt;Water Resources Research&lt;/full-title&gt;&lt;/periodical&gt;&lt;pages&gt;602-604&lt;/pages&gt;&lt;volume&gt;16&lt;/volume&gt;&lt;number&gt;3&lt;/number&gt;&lt;dates&gt;&lt;year&gt;1980&lt;/year&gt;&lt;/dates&gt;&lt;urls&gt;&lt;/urls&gt;&lt;/record&gt;&lt;/Cite&gt;&lt;/EndNote&gt;</w:instrText>
      </w:r>
      <w:r w:rsidR="00C04337">
        <w:fldChar w:fldCharType="separate"/>
      </w:r>
      <w:hyperlink w:anchor="_ENREF_52" w:tooltip="Mann, 1980 #695" w:history="1">
        <w:r w:rsidR="000F2FEB">
          <w:rPr>
            <w:noProof/>
          </w:rPr>
          <w:t>Mann et al. (1980</w:t>
        </w:r>
      </w:hyperlink>
      <w:r>
        <w:rPr>
          <w:noProof/>
        </w:rPr>
        <w:t>)</w:t>
      </w:r>
      <w:r w:rsidR="00C04337">
        <w:fldChar w:fldCharType="end"/>
      </w:r>
      <w:r>
        <w:t>, short-run marginal cost</w:t>
      </w:r>
      <w:r w:rsidR="00C11E1D">
        <w:t xml:space="preserve"> of water </w:t>
      </w:r>
      <w:r>
        <w:t>is defined</w:t>
      </w:r>
      <w:r w:rsidR="003C322D">
        <w:t xml:space="preserve"> </w:t>
      </w:r>
      <w:r>
        <w:t>as set out in equatio</w:t>
      </w:r>
      <w:r w:rsidR="00320F0B">
        <w:t>n (1</w:t>
      </w:r>
      <w:r w:rsidR="003C322D">
        <w:t>),</w:t>
      </w:r>
      <w:r w:rsidR="003C322D" w:rsidRPr="003C322D">
        <w:t xml:space="preserve"> </w:t>
      </w:r>
      <w:r w:rsidR="003C322D">
        <w:t xml:space="preserve">and </w:t>
      </w:r>
      <w:r w:rsidR="00C51538">
        <w:t xml:space="preserve">is </w:t>
      </w:r>
      <w:r w:rsidR="003C322D">
        <w:t xml:space="preserve">estimated in Chapter </w:t>
      </w:r>
      <w:r w:rsidR="00C04337">
        <w:fldChar w:fldCharType="begin"/>
      </w:r>
      <w:r w:rsidR="003C322D">
        <w:instrText xml:space="preserve"> REF _Ref448321586 \r \h </w:instrText>
      </w:r>
      <w:r w:rsidR="00C04337">
        <w:fldChar w:fldCharType="separate"/>
      </w:r>
      <w:r w:rsidR="00027D28">
        <w:t>4</w:t>
      </w:r>
      <w:r w:rsidR="00C04337">
        <w:fldChar w:fldCharType="end"/>
      </w:r>
      <w:r w:rsidR="00320F0B">
        <w:t>.</w:t>
      </w:r>
    </w:p>
    <w:p w:rsidR="00915BF6" w:rsidRDefault="00C04337" w:rsidP="00915BF6">
      <w:pPr>
        <w:spacing w:before="240"/>
      </w:pPr>
      <m:oMath>
        <m:sSub>
          <m:sSubPr>
            <m:ctrlPr>
              <w:rPr>
                <w:rFonts w:ascii="Cambria Math" w:hAnsi="Cambria Math"/>
                <w:i/>
              </w:rPr>
            </m:ctrlPr>
          </m:sSubPr>
          <m:e>
            <m:r>
              <w:rPr>
                <w:rFonts w:ascii="Cambria Math" w:hAnsi="Cambria Math"/>
              </w:rPr>
              <m:t>SRMC</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m:t>
                </m:r>
              </m:sub>
            </m:sSub>
          </m:den>
        </m:f>
      </m:oMath>
      <w:r w:rsidR="00915BF6">
        <w:tab/>
      </w:r>
      <w:r w:rsidR="00915BF6">
        <w:tab/>
      </w:r>
      <w:r w:rsidR="00915BF6">
        <w:tab/>
      </w:r>
      <w:r w:rsidR="00915BF6">
        <w:tab/>
      </w:r>
      <w:r w:rsidR="00915BF6">
        <w:tab/>
      </w:r>
      <w:r w:rsidR="00915BF6">
        <w:tab/>
      </w:r>
      <w:r w:rsidR="00915BF6">
        <w:tab/>
        <w:t>(1)</w:t>
      </w:r>
    </w:p>
    <w:p w:rsidR="00915BF6" w:rsidRDefault="00915BF6" w:rsidP="00915BF6">
      <w:r>
        <w:t>where</w:t>
      </w:r>
    </w:p>
    <w:p w:rsidR="00915BF6" w:rsidRDefault="00915BF6" w:rsidP="00915BF6">
      <w:pPr>
        <w:pStyle w:val="Bullet"/>
      </w:pPr>
      <w:r w:rsidRPr="000761DA">
        <w:rPr>
          <w:i/>
        </w:rPr>
        <w:t>t</w:t>
      </w:r>
      <w:r>
        <w:t xml:space="preserve"> is the year for which short-run marginal cost is being calculated;</w:t>
      </w:r>
    </w:p>
    <w:p w:rsidR="00915BF6" w:rsidRDefault="00915BF6" w:rsidP="00915BF6">
      <w:pPr>
        <w:pStyle w:val="Bullet"/>
      </w:pPr>
      <w:r w:rsidRPr="000761DA">
        <w:rPr>
          <w:i/>
        </w:rPr>
        <w:t>R</w:t>
      </w:r>
      <w:r w:rsidRPr="000761DA">
        <w:rPr>
          <w:vertAlign w:val="subscript"/>
        </w:rPr>
        <w:t>t</w:t>
      </w:r>
      <w:r>
        <w:t xml:space="preserve"> is operating expenditure in year </w:t>
      </w:r>
      <w:r w:rsidRPr="0006421A">
        <w:rPr>
          <w:i/>
        </w:rPr>
        <w:t>t</w:t>
      </w:r>
      <w:r>
        <w:t>; and</w:t>
      </w:r>
    </w:p>
    <w:p w:rsidR="00915BF6" w:rsidRDefault="00915BF6" w:rsidP="00915BF6">
      <w:pPr>
        <w:pStyle w:val="BulletLast"/>
      </w:pPr>
      <w:r w:rsidRPr="0036296D">
        <w:rPr>
          <w:i/>
        </w:rPr>
        <w:t>Q</w:t>
      </w:r>
      <w:r w:rsidRPr="0036296D">
        <w:rPr>
          <w:i/>
          <w:vertAlign w:val="subscript"/>
        </w:rPr>
        <w:t>t</w:t>
      </w:r>
      <w:r>
        <w:t xml:space="preserve"> is </w:t>
      </w:r>
      <w:r w:rsidR="00351225">
        <w:t xml:space="preserve">the volume </w:t>
      </w:r>
      <w:r>
        <w:t xml:space="preserve">water produced in in year </w:t>
      </w:r>
      <w:r w:rsidRPr="0036296D">
        <w:rPr>
          <w:i/>
        </w:rPr>
        <w:t>t</w:t>
      </w:r>
      <w:r>
        <w:rPr>
          <w:i/>
        </w:rPr>
        <w:t>.</w:t>
      </w:r>
    </w:p>
    <w:p w:rsidR="00915BF6" w:rsidRDefault="00915BF6" w:rsidP="00915BF6">
      <w:pPr>
        <w:pStyle w:val="Heading3"/>
      </w:pPr>
      <w:bookmarkStart w:id="93" w:name="_Ref448755915"/>
      <w:bookmarkStart w:id="94" w:name="_Ref448819043"/>
      <w:bookmarkStart w:id="95" w:name="_Ref448819565"/>
      <w:r>
        <w:t>Long-run marginal cost</w:t>
      </w:r>
      <w:bookmarkEnd w:id="93"/>
      <w:bookmarkEnd w:id="94"/>
      <w:bookmarkEnd w:id="95"/>
    </w:p>
    <w:p w:rsidR="00915BF6" w:rsidRDefault="00915BF6" w:rsidP="00915BF6">
      <w:r>
        <w:t xml:space="preserve">While the foregoing suggests that long-run marginal cost may provide a more stable basis for setting utility prices, short-run cost still has an important role to play. There are a range of methods to calculate long-run marginal costs, with </w:t>
      </w:r>
      <w:r w:rsidR="00672CD3">
        <w:t xml:space="preserve">three </w:t>
      </w:r>
      <w:r>
        <w:t xml:space="preserve">of the most common described in this section, following </w:t>
      </w:r>
      <w:r w:rsidR="00C04337">
        <w:fldChar w:fldCharType="begin"/>
      </w:r>
      <w:r>
        <w:instrText xml:space="preserve"> ADDIN EN.CITE &lt;EndNote&gt;&lt;Cite&gt;&lt;Author&gt;Mann&lt;/Author&gt;&lt;Year&gt;1980&lt;/Year&gt;&lt;RecNum&gt;695&lt;/RecNum&gt;&lt;DisplayText&gt;Mann et al. (1980)&lt;/DisplayText&gt;&lt;record&gt;&lt;rec-number&gt;695&lt;/rec-number&gt;&lt;foreign-keys&gt;&lt;key app="EN" db-id="5xwt9zxa6r5fesevwr5xzp97r95ev9wx9zpw" timestamp="1458185524"&gt;695&lt;/key&gt;&lt;key app="ENWeb" db-id=""&gt;0&lt;/key&gt;&lt;/foreign-keys&gt;&lt;ref-type name="Journal Article"&gt;17&lt;/ref-type&gt;&lt;contributors&gt;&lt;authors&gt;&lt;author&gt;Mann, Patrick C.&lt;/author&gt;&lt;author&gt;Saunders, Robert J.&lt;/author&gt;&lt;author&gt;Warford, Jeremy J.&lt;/author&gt;&lt;/authors&gt;&lt;/contributors&gt;&lt;titles&gt;&lt;title&gt;A Note on Capital Indivisibility and the Definition of Marginal Cost&lt;/title&gt;&lt;secondary-title&gt;Water Resources Research&lt;/secondary-title&gt;&lt;/titles&gt;&lt;periodical&gt;&lt;full-title&gt;Water Resources Research&lt;/full-title&gt;&lt;/periodical&gt;&lt;pages&gt;602-604&lt;/pages&gt;&lt;volume&gt;16&lt;/volume&gt;&lt;number&gt;3&lt;/number&gt;&lt;dates&gt;&lt;year&gt;1980&lt;/year&gt;&lt;/dates&gt;&lt;urls&gt;&lt;/urls&gt;&lt;/record&gt;&lt;/Cite&gt;&lt;/EndNote&gt;</w:instrText>
      </w:r>
      <w:r w:rsidR="00C04337">
        <w:fldChar w:fldCharType="separate"/>
      </w:r>
      <w:hyperlink w:anchor="_ENREF_52" w:tooltip="Mann, 1980 #695" w:history="1">
        <w:r w:rsidR="000F2FEB">
          <w:rPr>
            <w:noProof/>
          </w:rPr>
          <w:t>Mann et al. (1980</w:t>
        </w:r>
      </w:hyperlink>
      <w:r>
        <w:rPr>
          <w:noProof/>
        </w:rPr>
        <w:t>)</w:t>
      </w:r>
      <w:r w:rsidR="00C04337">
        <w:fldChar w:fldCharType="end"/>
      </w:r>
      <w:r>
        <w:t>. All of the methods are similar in that they are only concerned with future cost and output and take into account both the short- and long-run. The key difference between them is the degree to which they account for short- versus long-run marginal cost.</w:t>
      </w:r>
    </w:p>
    <w:p w:rsidR="00915BF6" w:rsidRDefault="00915BF6" w:rsidP="00915BF6">
      <w:pPr>
        <w:pStyle w:val="Heading4"/>
      </w:pPr>
      <w:r>
        <w:t>‘Textbook’ marginal cost</w:t>
      </w:r>
    </w:p>
    <w:p w:rsidR="00915BF6" w:rsidRDefault="00915BF6" w:rsidP="00915BF6">
      <w:r>
        <w:t>The textbook definition of marginal cost is straightforward</w:t>
      </w:r>
      <w:r w:rsidRPr="00DE57B8">
        <w:t xml:space="preserve"> </w:t>
      </w:r>
      <w:r>
        <w:t>where total cost is a continuous single-valued function: it is the first derivative of total cost with respect to output.</w:t>
      </w:r>
      <w:r>
        <w:rPr>
          <w:rStyle w:val="FootnoteReference"/>
        </w:rPr>
        <w:footnoteReference w:id="76"/>
      </w:r>
      <w:r>
        <w:t xml:space="preserve"> This is of course not the case where capital indivisibilities are present which means that in practice we are more concerned with the per unit change in cost caused by a substantial change in output.</w:t>
      </w:r>
    </w:p>
    <w:p w:rsidR="00915BF6" w:rsidRDefault="00915BF6" w:rsidP="00915BF6">
      <w:r>
        <w:lastRenderedPageBreak/>
        <w:t>The ‘Textbook’ marginal cost (TMC) definition shown in equation (2) adopts this approach by taking each increment to be the change in output which occurs in one year. Accordingly, TMC:</w:t>
      </w:r>
    </w:p>
    <w:p w:rsidR="00915BF6" w:rsidRPr="005155A9" w:rsidRDefault="00915BF6" w:rsidP="00915BF6">
      <w:pPr>
        <w:pStyle w:val="Quote"/>
      </w:pPr>
      <w:r>
        <w:t>m</w:t>
      </w:r>
      <w:r w:rsidRPr="00416B10">
        <w:t>akes</w:t>
      </w:r>
      <w:r>
        <w:t xml:space="preserve"> </w:t>
      </w:r>
      <w:r w:rsidRPr="00416B10">
        <w:t>use of two concepts</w:t>
      </w:r>
      <w:r>
        <w:sym w:font="Symbol" w:char="F02D"/>
      </w:r>
      <w:r w:rsidRPr="00416B10">
        <w:t>i.e.,</w:t>
      </w:r>
      <w:r>
        <w:t xml:space="preserve"> </w:t>
      </w:r>
      <w:r w:rsidRPr="00416B10">
        <w:t>short-run</w:t>
      </w:r>
      <w:r>
        <w:t xml:space="preserve"> </w:t>
      </w:r>
      <w:r w:rsidRPr="00416B10">
        <w:t>marginal cost (SRMC),</w:t>
      </w:r>
      <w:r>
        <w:t xml:space="preserve"> </w:t>
      </w:r>
      <w:r w:rsidRPr="00416B10">
        <w:t xml:space="preserve">which </w:t>
      </w:r>
      <w:r>
        <w:t>r</w:t>
      </w:r>
      <w:r w:rsidRPr="00416B10">
        <w:t>eflects</w:t>
      </w:r>
      <w:r>
        <w:t xml:space="preserve"> </w:t>
      </w:r>
      <w:r w:rsidRPr="00416B10">
        <w:t>increments</w:t>
      </w:r>
      <w:r>
        <w:t xml:space="preserve"> </w:t>
      </w:r>
      <w:r w:rsidRPr="00416B10">
        <w:t>in operating</w:t>
      </w:r>
      <w:r>
        <w:t xml:space="preserve"> </w:t>
      </w:r>
      <w:r w:rsidRPr="00416B10">
        <w:t>costs</w:t>
      </w:r>
      <w:r>
        <w:t xml:space="preserve"> </w:t>
      </w:r>
      <w:r w:rsidRPr="00416B10">
        <w:t>brought</w:t>
      </w:r>
      <w:r>
        <w:t xml:space="preserve"> </w:t>
      </w:r>
      <w:r w:rsidRPr="00416B10">
        <w:t>about</w:t>
      </w:r>
      <w:r>
        <w:t xml:space="preserve"> </w:t>
      </w:r>
      <w:r w:rsidRPr="00416B10">
        <w:t>by</w:t>
      </w:r>
      <w:r>
        <w:t xml:space="preserve"> </w:t>
      </w:r>
      <w:r w:rsidRPr="00416B10">
        <w:t>increase</w:t>
      </w:r>
      <w:r>
        <w:t>s i</w:t>
      </w:r>
      <w:r w:rsidRPr="00416B10">
        <w:t xml:space="preserve">n </w:t>
      </w:r>
      <w:r w:rsidR="00F70636" w:rsidRPr="00416B10">
        <w:t>output</w:t>
      </w:r>
      <w:r w:rsidR="00F70636">
        <w:t>, and</w:t>
      </w:r>
      <w:r w:rsidRPr="00416B10">
        <w:t xml:space="preserve"> marginal</w:t>
      </w:r>
      <w:r>
        <w:t xml:space="preserve"> </w:t>
      </w:r>
      <w:r w:rsidRPr="00416B10">
        <w:t>capacity</w:t>
      </w:r>
      <w:r>
        <w:t xml:space="preserve"> </w:t>
      </w:r>
      <w:r w:rsidRPr="00416B10">
        <w:t>c</w:t>
      </w:r>
      <w:r>
        <w:t>o</w:t>
      </w:r>
      <w:r w:rsidRPr="00416B10">
        <w:t>st</w:t>
      </w:r>
      <w:r>
        <w:t xml:space="preserve"> </w:t>
      </w:r>
      <w:r w:rsidRPr="00416B10">
        <w:t>(MCC), which</w:t>
      </w:r>
      <w:r>
        <w:t xml:space="preserve"> </w:t>
      </w:r>
      <w:r w:rsidRPr="00416B10">
        <w:t>reflects</w:t>
      </w:r>
      <w:r>
        <w:t xml:space="preserve"> </w:t>
      </w:r>
      <w:r w:rsidRPr="00416B10">
        <w:t>increments</w:t>
      </w:r>
      <w:r>
        <w:t xml:space="preserve"> </w:t>
      </w:r>
      <w:r w:rsidRPr="00416B10">
        <w:t>in capital expenditures</w:t>
      </w:r>
      <w:r>
        <w:t xml:space="preserve"> </w:t>
      </w:r>
      <w:r w:rsidRPr="00416B10">
        <w:t>necessary</w:t>
      </w:r>
      <w:r>
        <w:t xml:space="preserve"> </w:t>
      </w:r>
      <w:r w:rsidRPr="00416B10">
        <w:t>to increase</w:t>
      </w:r>
      <w:r>
        <w:t xml:space="preserve"> </w:t>
      </w:r>
      <w:r w:rsidRPr="00416B10">
        <w:t>output</w:t>
      </w:r>
      <w:r>
        <w:t>.</w:t>
      </w:r>
      <w:r>
        <w:rPr>
          <w:rStyle w:val="FootnoteReference"/>
        </w:rPr>
        <w:footnoteReference w:id="77"/>
      </w:r>
    </w:p>
    <w:p w:rsidR="00915BF6" w:rsidRDefault="00C04337" w:rsidP="00915BF6">
      <w:pPr>
        <w:spacing w:before="240"/>
      </w:pPr>
      <m:oMath>
        <w:bookmarkStart w:id="96" w:name="OLE_LINK1"/>
        <m:sSub>
          <m:sSubPr>
            <m:ctrlPr>
              <w:rPr>
                <w:rFonts w:ascii="Cambria Math" w:hAnsi="Cambria Math"/>
                <w:i/>
              </w:rPr>
            </m:ctrlPr>
          </m:sSubPr>
          <m:e>
            <m:r>
              <w:rPr>
                <w:rFonts w:ascii="Cambria Math" w:hAnsi="Cambria Math"/>
              </w:rPr>
              <m:t>TMC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SRMC</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MCC</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r</m:t>
            </m:r>
            <m:sSub>
              <m:sSubPr>
                <m:ctrlPr>
                  <w:rPr>
                    <w:rFonts w:ascii="Cambria Math" w:hAnsi="Cambria Math"/>
                    <w:i/>
                  </w:rPr>
                </m:ctrlPr>
              </m:sSubPr>
              <m:e>
                <m:r>
                  <w:rPr>
                    <w:rFonts w:ascii="Cambria Math" w:hAnsi="Cambria Math"/>
                  </w:rPr>
                  <m:t>I</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 xml:space="preserve"> Q</m:t>
                </m:r>
              </m:e>
              <m:sub>
                <m:r>
                  <w:rPr>
                    <w:rFonts w:ascii="Cambria Math" w:hAnsi="Cambria Math"/>
                  </w:rPr>
                  <m:t>t</m:t>
                </m:r>
              </m:sub>
            </m:sSub>
          </m:den>
        </m:f>
      </m:oMath>
      <w:bookmarkEnd w:id="96"/>
      <w:r w:rsidR="00915BF6">
        <w:tab/>
      </w:r>
      <w:r w:rsidR="00915BF6">
        <w:tab/>
      </w:r>
      <w:r w:rsidR="00915BF6">
        <w:tab/>
      </w:r>
      <w:r w:rsidR="00915BF6">
        <w:tab/>
        <w:t>(2)</w:t>
      </w:r>
    </w:p>
    <w:p w:rsidR="00915BF6" w:rsidRDefault="00915BF6" w:rsidP="00915BF6">
      <w:r>
        <w:t>where</w:t>
      </w:r>
    </w:p>
    <w:p w:rsidR="00915BF6" w:rsidRDefault="00915BF6" w:rsidP="00915BF6">
      <w:pPr>
        <w:pStyle w:val="Bullet"/>
      </w:pPr>
      <w:r w:rsidRPr="000761DA">
        <w:rPr>
          <w:i/>
        </w:rPr>
        <w:t>t</w:t>
      </w:r>
      <w:r>
        <w:t xml:space="preserve"> is the year for which TMC is being calculated;</w:t>
      </w:r>
    </w:p>
    <w:p w:rsidR="00915BF6" w:rsidRDefault="00915BF6" w:rsidP="00915BF6">
      <w:pPr>
        <w:pStyle w:val="Bullet"/>
      </w:pPr>
      <w:r w:rsidRPr="000761DA">
        <w:rPr>
          <w:i/>
        </w:rPr>
        <w:t>R</w:t>
      </w:r>
      <w:r w:rsidRPr="000761DA">
        <w:rPr>
          <w:vertAlign w:val="subscript"/>
        </w:rPr>
        <w:t>t</w:t>
      </w:r>
      <w:r>
        <w:t xml:space="preserve"> is operating expenditure in year </w:t>
      </w:r>
      <w:r w:rsidRPr="0006421A">
        <w:rPr>
          <w:i/>
        </w:rPr>
        <w:t>t</w:t>
      </w:r>
      <w:r>
        <w:t>;</w:t>
      </w:r>
    </w:p>
    <w:p w:rsidR="00915BF6" w:rsidRDefault="00915BF6" w:rsidP="00915BF6">
      <w:pPr>
        <w:pStyle w:val="Bullet"/>
      </w:pPr>
      <w:r w:rsidRPr="0006421A">
        <w:rPr>
          <w:i/>
        </w:rPr>
        <w:t>Q</w:t>
      </w:r>
      <w:r w:rsidRPr="0006421A">
        <w:rPr>
          <w:i/>
          <w:vertAlign w:val="subscript"/>
        </w:rPr>
        <w:t>t</w:t>
      </w:r>
      <w:r>
        <w:t xml:space="preserve"> is </w:t>
      </w:r>
      <w:r w:rsidR="00811F7C">
        <w:t xml:space="preserve">the volume of </w:t>
      </w:r>
      <w:r>
        <w:t xml:space="preserve">water produced in in year </w:t>
      </w:r>
      <w:r w:rsidRPr="0006421A">
        <w:rPr>
          <w:i/>
        </w:rPr>
        <w:t>t</w:t>
      </w:r>
      <w:r>
        <w:t>;</w:t>
      </w:r>
    </w:p>
    <w:p w:rsidR="00915BF6" w:rsidRDefault="00915BF6" w:rsidP="00915BF6">
      <w:pPr>
        <w:pStyle w:val="Bullet"/>
      </w:pPr>
      <w:r w:rsidRPr="00A539D5">
        <w:rPr>
          <w:i/>
        </w:rPr>
        <w:t>I</w:t>
      </w:r>
      <w:r w:rsidRPr="00A539D5">
        <w:rPr>
          <w:i/>
          <w:vertAlign w:val="subscript"/>
        </w:rPr>
        <w:t>t</w:t>
      </w:r>
      <w:r>
        <w:t xml:space="preserve"> is capital expenditure in year </w:t>
      </w:r>
      <w:r w:rsidRPr="0006421A">
        <w:rPr>
          <w:i/>
        </w:rPr>
        <w:t>t</w:t>
      </w:r>
      <w:r>
        <w:t>;</w:t>
      </w:r>
    </w:p>
    <w:p w:rsidR="00915BF6" w:rsidRPr="000377BF" w:rsidRDefault="00915BF6" w:rsidP="00915BF6">
      <w:pPr>
        <w:pStyle w:val="BulletLast"/>
      </w:pPr>
      <m:oMath>
        <m:r>
          <w:rPr>
            <w:rFonts w:ascii="Cambria Math" w:hAnsi="Cambria Math"/>
          </w:rPr>
          <m:t xml:space="preserve">r= </m:t>
        </m:r>
        <m:f>
          <m:fPr>
            <m:ctrlPr>
              <w:rPr>
                <w:rFonts w:ascii="Cambria Math" w:hAnsi="Cambria Math"/>
                <w:i/>
              </w:rPr>
            </m:ctrlPr>
          </m:fPr>
          <m:num>
            <m:r>
              <w:rPr>
                <w:rFonts w:ascii="Cambria Math" w:hAnsi="Cambria Math"/>
              </w:rPr>
              <m:t>i</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m:t>
                </m:r>
              </m:sup>
            </m:sSup>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n-1</m:t>
                </m:r>
              </m:sup>
            </m:sSup>
          </m:den>
        </m:f>
      </m:oMath>
      <w:r>
        <w:t xml:space="preserve"> = the capital recovery factor, where </w:t>
      </w:r>
      <w:r w:rsidRPr="00644900">
        <w:rPr>
          <w:i/>
        </w:rPr>
        <w:t>i</w:t>
      </w:r>
      <w:r>
        <w:t xml:space="preserve"> is the appropriate interest rate and n is the useful life the investment.</w:t>
      </w:r>
      <w:r>
        <w:rPr>
          <w:rStyle w:val="FootnoteReference"/>
        </w:rPr>
        <w:footnoteReference w:id="78"/>
      </w:r>
    </w:p>
    <w:p w:rsidR="00915BF6" w:rsidRDefault="00915BF6" w:rsidP="00915BF6">
      <w:r w:rsidRPr="003E1362">
        <w:t xml:space="preserve">Mann et al. (1990) note that </w:t>
      </w:r>
      <w:r>
        <w:t>w</w:t>
      </w:r>
      <w:r w:rsidRPr="003E1362">
        <w:t xml:space="preserve">ith a lumpy investment stream TMC </w:t>
      </w:r>
      <w:r>
        <w:t xml:space="preserve">can </w:t>
      </w:r>
      <w:r w:rsidRPr="003E1362">
        <w:t xml:space="preserve">involve significant fluctuations in price. </w:t>
      </w:r>
      <w:r>
        <w:t xml:space="preserve">This is because TMC </w:t>
      </w:r>
      <w:r w:rsidRPr="003E1362">
        <w:t xml:space="preserve">reflects both </w:t>
      </w:r>
      <w:r>
        <w:t>short-run marginal cost a</w:t>
      </w:r>
      <w:r w:rsidRPr="003E1362">
        <w:t xml:space="preserve">nd </w:t>
      </w:r>
      <w:r>
        <w:t xml:space="preserve">marginal capital cost </w:t>
      </w:r>
      <w:r w:rsidRPr="003E1362">
        <w:t>for the years in</w:t>
      </w:r>
      <w:r>
        <w:t xml:space="preserve"> </w:t>
      </w:r>
      <w:r w:rsidRPr="003E1362">
        <w:t xml:space="preserve">which capacity expenditure </w:t>
      </w:r>
      <w:r>
        <w:t xml:space="preserve">occur while </w:t>
      </w:r>
      <w:r w:rsidRPr="003E1362">
        <w:t>during years</w:t>
      </w:r>
      <w:r>
        <w:t xml:space="preserve"> </w:t>
      </w:r>
      <w:r w:rsidRPr="003E1362">
        <w:t>in which no capital expenditure</w:t>
      </w:r>
      <w:r>
        <w:t xml:space="preserve"> </w:t>
      </w:r>
      <w:r w:rsidRPr="003E1362">
        <w:t>take</w:t>
      </w:r>
      <w:r>
        <w:t xml:space="preserve"> p</w:t>
      </w:r>
      <w:r w:rsidRPr="003E1362">
        <w:t>lace,</w:t>
      </w:r>
      <w:r>
        <w:t xml:space="preserve"> </w:t>
      </w:r>
      <w:r w:rsidRPr="003E1362">
        <w:t>TMC equals</w:t>
      </w:r>
      <w:r>
        <w:t xml:space="preserve"> short-run marginal cost</w:t>
      </w:r>
      <w:r w:rsidRPr="003E1362">
        <w:t>.</w:t>
      </w:r>
    </w:p>
    <w:p w:rsidR="00915BF6" w:rsidRDefault="00915BF6" w:rsidP="00915BF6">
      <w:pPr>
        <w:pStyle w:val="Heading4"/>
      </w:pPr>
      <w:r>
        <w:t>Marginal incremental cost</w:t>
      </w:r>
      <w:r w:rsidR="00672CD3">
        <w:rPr>
          <w:rStyle w:val="FootnoteReference"/>
        </w:rPr>
        <w:footnoteReference w:id="79"/>
      </w:r>
      <w:r>
        <w:t xml:space="preserve"> </w:t>
      </w:r>
    </w:p>
    <w:p w:rsidR="00915BF6" w:rsidRDefault="00666439" w:rsidP="00915BF6">
      <w:r>
        <w:t xml:space="preserve">Following </w:t>
      </w:r>
      <w:r w:rsidR="00C04337">
        <w:fldChar w:fldCharType="begin"/>
      </w:r>
      <w:r>
        <w:instrText xml:space="preserve"> ADDIN EN.CITE &lt;EndNote&gt;&lt;Cite&gt;&lt;Author&gt;NERA&lt;/Author&gt;&lt;Year&gt;2014&lt;/Year&gt;&lt;RecNum&gt;679&lt;/RecNum&gt;&lt;DisplayText&gt;NERA (2014b)&lt;/DisplayText&gt;&lt;record&gt;&lt;rec-number&gt;679&lt;/rec-number&gt;&lt;foreign-keys&gt;&lt;key app="EN" db-id="5xwt9zxa6r5fesevwr5xzp97r95ev9wx9zpw" timestamp="1457654323"&gt;679&lt;/key&gt;&lt;key app="ENWeb" db-id=""&gt;0&lt;/key&gt;&lt;/foreign-keys&gt;&lt;ref-type name="AAA ICRC Water References"&gt;40&lt;/ref-type&gt;&lt;contributors&gt;&lt;authors&gt;&lt;author&gt;NERA,&lt;/author&gt;&lt;/authors&gt;&lt;/contributors&gt;&lt;titles&gt;&lt;title&gt;Incorporating Marginal Costs in Water Supply Tariffs: Prospects for Change&lt;/title&gt;&lt;/titles&gt;&lt;dates&gt;&lt;year&gt;2014&lt;/year&gt;&lt;pub-dates&gt;&lt;date&gt;18 November 2014&lt;/date&gt;&lt;/pub-dates&gt;&lt;/dates&gt;&lt;publisher&gt;NERA&lt;/publisher&gt;&lt;urls&gt;&lt;/urls&gt;&lt;/record&gt;&lt;/Cite&gt;&lt;/EndNote&gt;</w:instrText>
      </w:r>
      <w:r w:rsidR="00C04337">
        <w:fldChar w:fldCharType="separate"/>
      </w:r>
      <w:hyperlink w:anchor="_ENREF_58" w:tooltip="NERA, 2014 #679" w:history="1">
        <w:r w:rsidR="000F2FEB">
          <w:rPr>
            <w:noProof/>
          </w:rPr>
          <w:t>NERA (2014b</w:t>
        </w:r>
      </w:hyperlink>
      <w:r>
        <w:rPr>
          <w:noProof/>
        </w:rPr>
        <w:t>)</w:t>
      </w:r>
      <w:r w:rsidR="00C04337">
        <w:fldChar w:fldCharType="end"/>
      </w:r>
      <w:r>
        <w:t>, m</w:t>
      </w:r>
      <w:r w:rsidR="00915BF6">
        <w:t>arginal incremental cost</w:t>
      </w:r>
      <w:r w:rsidR="00B02953">
        <w:t xml:space="preserve"> (MIC)</w:t>
      </w:r>
      <w:r w:rsidR="00915BF6">
        <w:t>, also known as the Turvey or perturbation method, can be summarised as follows:</w:t>
      </w:r>
    </w:p>
    <w:p w:rsidR="00915BF6" w:rsidRPr="00A22E6C" w:rsidRDefault="00E12199" w:rsidP="00E12199">
      <w:pPr>
        <w:pStyle w:val="Bullet"/>
      </w:pPr>
      <w:r>
        <w:t xml:space="preserve">Step 1: </w:t>
      </w:r>
      <w:r w:rsidR="007D5536">
        <w:t>f</w:t>
      </w:r>
      <w:r w:rsidRPr="00E12199">
        <w:t>orecast supply and demand under the optimal expansion plan for the water utility</w:t>
      </w:r>
      <w:r>
        <w:t>.</w:t>
      </w:r>
    </w:p>
    <w:p w:rsidR="00915BF6" w:rsidRPr="00A22E6C" w:rsidRDefault="00E12199" w:rsidP="00B43A38">
      <w:pPr>
        <w:pStyle w:val="Bullet"/>
      </w:pPr>
      <w:r>
        <w:t xml:space="preserve">Step 2: </w:t>
      </w:r>
      <w:r w:rsidR="007D5536">
        <w:t>h</w:t>
      </w:r>
      <w:r>
        <w:t>ypothesise a permanent increment (or decrement) to the expected demand forecast, and estimate a new optimal expansion plan in light of that increment (or decrement).</w:t>
      </w:r>
    </w:p>
    <w:p w:rsidR="00915BF6" w:rsidRDefault="00E12199" w:rsidP="00B43A38">
      <w:pPr>
        <w:pStyle w:val="BulletLast"/>
      </w:pPr>
      <w:r>
        <w:lastRenderedPageBreak/>
        <w:t xml:space="preserve">Step 3: </w:t>
      </w:r>
      <w:r w:rsidR="007D5536">
        <w:t>c</w:t>
      </w:r>
      <w:r>
        <w:t xml:space="preserve">alculate the </w:t>
      </w:r>
      <w:r w:rsidR="00825B39">
        <w:t>MIC</w:t>
      </w:r>
      <w:r>
        <w:t xml:space="preserve"> as the change in the present value of expenditure in step 1 and step 2, divided by </w:t>
      </w:r>
      <w:r w:rsidR="00371266">
        <w:t xml:space="preserve">the </w:t>
      </w:r>
      <w:r w:rsidR="00666439">
        <w:t xml:space="preserve">present value of </w:t>
      </w:r>
      <w:r>
        <w:t>hypothesised increment (or decrement) in expected demand.</w:t>
      </w:r>
    </w:p>
    <w:p w:rsidR="00915BF6" w:rsidRDefault="00915BF6" w:rsidP="00915BF6">
      <w:r>
        <w:t xml:space="preserve">This approach </w:t>
      </w:r>
      <w:proofErr w:type="gramStart"/>
      <w:r>
        <w:t>is shown</w:t>
      </w:r>
      <w:proofErr w:type="gramEnd"/>
      <w:r>
        <w:t xml:space="preserve"> graphically in </w:t>
      </w:r>
      <w:r w:rsidR="00C04337">
        <w:fldChar w:fldCharType="begin"/>
      </w:r>
      <w:r>
        <w:instrText xml:space="preserve"> REF _Ref447803331 \h </w:instrText>
      </w:r>
      <w:r w:rsidR="00C04337">
        <w:fldChar w:fldCharType="separate"/>
      </w:r>
      <w:r w:rsidR="00027D28" w:rsidRPr="00E33D9E">
        <w:t xml:space="preserve">Figure </w:t>
      </w:r>
      <w:r w:rsidR="00027D28">
        <w:rPr>
          <w:noProof/>
        </w:rPr>
        <w:t>3</w:t>
      </w:r>
      <w:r w:rsidR="00027D28" w:rsidRPr="00E33D9E">
        <w:t>.</w:t>
      </w:r>
      <w:r w:rsidR="00027D28">
        <w:rPr>
          <w:noProof/>
        </w:rPr>
        <w:t>2</w:t>
      </w:r>
      <w:r w:rsidR="00C04337">
        <w:fldChar w:fldCharType="end"/>
      </w:r>
      <w:r>
        <w:t>.</w:t>
      </w:r>
    </w:p>
    <w:p w:rsidR="00915BF6" w:rsidRPr="00E33D9E" w:rsidRDefault="00915BF6" w:rsidP="00915BF6">
      <w:pPr>
        <w:pStyle w:val="FigureName"/>
        <w:keepNext/>
      </w:pPr>
      <w:bookmarkStart w:id="97" w:name="_Ref447803331"/>
      <w:bookmarkStart w:id="98" w:name="_Toc453920905"/>
      <w:r w:rsidRPr="00E33D9E">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3</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2</w:t>
      </w:r>
      <w:r w:rsidR="00C04337" w:rsidRPr="00E33D9E">
        <w:fldChar w:fldCharType="end"/>
      </w:r>
      <w:bookmarkEnd w:id="97"/>
      <w:r w:rsidRPr="00E33D9E">
        <w:tab/>
        <w:t>Marginal incremental cost illustration</w:t>
      </w:r>
      <w:bookmarkEnd w:id="98"/>
      <w:r w:rsidRPr="00E33D9E">
        <w:t xml:space="preserve"> </w:t>
      </w:r>
    </w:p>
    <w:p w:rsidR="00915BF6" w:rsidRPr="00E33D9E" w:rsidRDefault="00915BF6" w:rsidP="00915BF6">
      <w:pPr>
        <w:pStyle w:val="TableNotesLast"/>
      </w:pPr>
      <w:r w:rsidRPr="005A60AA">
        <w:rPr>
          <w:noProof/>
          <w:lang w:val="en-AU" w:eastAsia="en-AU"/>
        </w:rPr>
        <w:drawing>
          <wp:inline distT="0" distB="0" distL="0" distR="0">
            <wp:extent cx="4896485" cy="3289074"/>
            <wp:effectExtent l="19050" t="1905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6485" cy="3289074"/>
                    </a:xfrm>
                    <a:prstGeom prst="rect">
                      <a:avLst/>
                    </a:prstGeom>
                    <a:noFill/>
                    <a:ln>
                      <a:solidFill>
                        <a:schemeClr val="tx1">
                          <a:lumMod val="50000"/>
                          <a:lumOff val="50000"/>
                        </a:schemeClr>
                      </a:solidFill>
                    </a:ln>
                  </pic:spPr>
                </pic:pic>
              </a:graphicData>
            </a:graphic>
          </wp:inline>
        </w:drawing>
      </w:r>
    </w:p>
    <w:p w:rsidR="00915BF6" w:rsidRPr="00E33D9E" w:rsidRDefault="00915BF6" w:rsidP="00915BF6">
      <w:pPr>
        <w:pStyle w:val="TableNotesLast"/>
      </w:pPr>
      <w:r w:rsidRPr="00E33D9E">
        <w:t>Source:</w:t>
      </w:r>
      <w:r w:rsidRPr="00E33D9E">
        <w:tab/>
        <w:t xml:space="preserve">Adapted from: </w:t>
      </w:r>
      <w:r w:rsidR="00C04337">
        <w:fldChar w:fldCharType="begin"/>
      </w:r>
      <w:r>
        <w:instrText xml:space="preserve"> ADDIN EN.CITE &lt;EndNote&gt;&lt;Cite&gt;&lt;Author&gt;NERA&lt;/Author&gt;&lt;Year&gt;2011&lt;/Year&gt;&lt;RecNum&gt;705&lt;/RecNum&gt;&lt;DisplayText&gt;NERA (2011)&lt;/DisplayText&gt;&lt;record&gt;&lt;rec-number&gt;705&lt;/rec-number&gt;&lt;foreign-keys&gt;&lt;key app="EN" db-id="5xwt9zxa6r5fesevwr5xzp97r95ev9wx9zpw" timestamp="1460000286"&gt;705&lt;/key&gt;&lt;key app="ENWeb" db-id=""&gt;0&lt;/key&gt;&lt;/foreign-keys&gt;&lt;ref-type name="AAA ICRC Water References"&gt;40&lt;/ref-type&gt;&lt;contributors&gt;&lt;authors&gt;&lt;author&gt;NERA,&lt;/author&gt;&lt;/authors&gt;&lt;/contributors&gt;&lt;titles&gt;&lt;title&gt;Estimating long-run marginal cost in the National Electricity Market: A paper for the AEMC&lt;/title&gt;&lt;/titles&gt;&lt;dates&gt;&lt;year&gt;2011&lt;/year&gt;&lt;pub-dates&gt;&lt;date&gt;19 December 2011&lt;/date&gt;&lt;/pub-dates&gt;&lt;/dates&gt;&lt;pub-location&gt;Sydney&lt;/pub-location&gt;&lt;urls&gt;&lt;/urls&gt;&lt;/record&gt;&lt;/Cite&gt;&lt;/EndNote&gt;</w:instrText>
      </w:r>
      <w:r w:rsidR="00C04337">
        <w:fldChar w:fldCharType="separate"/>
      </w:r>
      <w:hyperlink w:anchor="_ENREF_56" w:tooltip="NERA, 2011 #705" w:history="1">
        <w:r w:rsidR="000F2FEB">
          <w:rPr>
            <w:noProof/>
          </w:rPr>
          <w:t>NERA (2011</w:t>
        </w:r>
      </w:hyperlink>
      <w:r>
        <w:rPr>
          <w:noProof/>
        </w:rPr>
        <w:t>)</w:t>
      </w:r>
      <w:r w:rsidR="00C04337">
        <w:fldChar w:fldCharType="end"/>
      </w:r>
      <w:r w:rsidRPr="00E33D9E">
        <w:t>.</w:t>
      </w:r>
    </w:p>
    <w:p w:rsidR="00915BF6" w:rsidRPr="0003463D" w:rsidRDefault="00371266" w:rsidP="00915BF6">
      <w:r>
        <w:t xml:space="preserve">Following </w:t>
      </w:r>
      <w:r w:rsidR="00C04337">
        <w:fldChar w:fldCharType="begin"/>
      </w:r>
      <w:r>
        <w:instrText xml:space="preserve"> ADDIN EN.CITE &lt;EndNote&gt;&lt;Cite&gt;&lt;Author&gt;NERA&lt;/Author&gt;&lt;Year&gt;2011&lt;/Year&gt;&lt;RecNum&gt;705&lt;/RecNum&gt;&lt;DisplayText&gt;NERA (2011)&lt;/DisplayText&gt;&lt;record&gt;&lt;rec-number&gt;705&lt;/rec-number&gt;&lt;foreign-keys&gt;&lt;key app="EN" db-id="5xwt9zxa6r5fesevwr5xzp97r95ev9wx9zpw" timestamp="1460000286"&gt;705&lt;/key&gt;&lt;key app="ENWeb" db-id=""&gt;0&lt;/key&gt;&lt;/foreign-keys&gt;&lt;ref-type name="AAA ICRC Water References"&gt;40&lt;/ref-type&gt;&lt;contributors&gt;&lt;authors&gt;&lt;author&gt;NERA,&lt;/author&gt;&lt;/authors&gt;&lt;/contributors&gt;&lt;titles&gt;&lt;title&gt;Estimating long-run marginal cost in the National Electricity Market: A paper for the AEMC&lt;/title&gt;&lt;/titles&gt;&lt;dates&gt;&lt;year&gt;2011&lt;/year&gt;&lt;pub-dates&gt;&lt;date&gt;19 December 2011&lt;/date&gt;&lt;/pub-dates&gt;&lt;/dates&gt;&lt;pub-location&gt;Sydney&lt;/pub-location&gt;&lt;urls&gt;&lt;/urls&gt;&lt;/record&gt;&lt;/Cite&gt;&lt;/EndNote&gt;</w:instrText>
      </w:r>
      <w:r w:rsidR="00C04337">
        <w:fldChar w:fldCharType="separate"/>
      </w:r>
      <w:hyperlink w:anchor="_ENREF_56" w:tooltip="NERA, 2011 #705" w:history="1">
        <w:r w:rsidR="000F2FEB">
          <w:rPr>
            <w:noProof/>
          </w:rPr>
          <w:t>NERA (2011</w:t>
        </w:r>
      </w:hyperlink>
      <w:r>
        <w:rPr>
          <w:noProof/>
        </w:rPr>
        <w:t>)</w:t>
      </w:r>
      <w:r w:rsidR="00C04337">
        <w:fldChar w:fldCharType="end"/>
      </w:r>
      <w:r>
        <w:t xml:space="preserve">, </w:t>
      </w:r>
      <w:r w:rsidR="00915BF6">
        <w:t>MIC can be expressed informally and formally, as set out in equations (</w:t>
      </w:r>
      <w:r w:rsidR="00672CD3">
        <w:t>3</w:t>
      </w:r>
      <w:r w:rsidR="00915BF6">
        <w:t>) and (</w:t>
      </w:r>
      <w:r w:rsidR="00672CD3">
        <w:t>4</w:t>
      </w:r>
      <w:r w:rsidR="00915BF6">
        <w:t xml:space="preserve">), respectively. </w:t>
      </w:r>
    </w:p>
    <w:p w:rsidR="00915BF6" w:rsidRDefault="00C04337" w:rsidP="00915BF6">
      <m:oMath>
        <m:sSub>
          <m:sSubPr>
            <m:ctrlPr>
              <w:rPr>
                <w:rFonts w:ascii="Cambria Math" w:hAnsi="Cambria Math"/>
                <w:i/>
              </w:rPr>
            </m:ctrlPr>
          </m:sSubPr>
          <m:e>
            <m:r>
              <w:rPr>
                <w:rFonts w:ascii="Cambria Math" w:hAnsi="Cambria Math"/>
              </w:rPr>
              <m:t>MIC</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NPV</m:t>
            </m:r>
            <m:d>
              <m:dPr>
                <m:ctrlPr>
                  <w:rPr>
                    <w:rFonts w:ascii="Cambria Math" w:hAnsi="Cambria Math"/>
                    <w:i/>
                  </w:rPr>
                </m:ctrlPr>
              </m:dPr>
              <m:e>
                <m:r>
                  <w:rPr>
                    <w:rFonts w:ascii="Cambria Math" w:hAnsi="Cambria Math"/>
                  </w:rPr>
                  <m:t>revised optimal capex plus opex-optimal capex plus opex</m:t>
                </m:r>
              </m:e>
            </m:d>
          </m:num>
          <m:den>
            <m:r>
              <w:rPr>
                <w:rFonts w:ascii="Cambria Math" w:hAnsi="Cambria Math"/>
              </w:rPr>
              <m:t>NPV</m:t>
            </m:r>
            <m:d>
              <m:dPr>
                <m:ctrlPr>
                  <w:rPr>
                    <w:rFonts w:ascii="Cambria Math" w:hAnsi="Cambria Math"/>
                    <w:i/>
                  </w:rPr>
                </m:ctrlPr>
              </m:dPr>
              <m:e>
                <m:r>
                  <w:rPr>
                    <w:rFonts w:ascii="Cambria Math" w:hAnsi="Cambria Math"/>
                  </w:rPr>
                  <m:t>revised demand- initial demand</m:t>
                </m:r>
              </m:e>
            </m:d>
          </m:den>
        </m:f>
      </m:oMath>
      <w:r w:rsidR="00915BF6">
        <w:t xml:space="preserve"> =</w:t>
      </w:r>
      <w:r w:rsidR="00915BF6">
        <w:tab/>
      </w:r>
      <w:r w:rsidR="00915BF6">
        <w:tab/>
        <w:t>(</w:t>
      </w:r>
      <w:r w:rsidR="00672CD3">
        <w:t>3</w:t>
      </w:r>
      <w:r w:rsidR="00915BF6">
        <w:t>)</w:t>
      </w:r>
    </w:p>
    <w:p w:rsidR="00915BF6" w:rsidRDefault="00C04337" w:rsidP="00915BF6">
      <m:oMath>
        <w:bookmarkStart w:id="99" w:name="OLE_LINK2"/>
        <m:sSub>
          <m:sSubPr>
            <m:ctrlPr>
              <w:rPr>
                <w:rFonts w:ascii="Cambria Math" w:hAnsi="Cambria Math"/>
                <w:i/>
              </w:rPr>
            </m:ctrlPr>
          </m:sSubPr>
          <m:e>
            <m:r>
              <w:rPr>
                <w:rFonts w:ascii="Cambria Math" w:hAnsi="Cambria Math"/>
              </w:rPr>
              <m:t>MIC</m:t>
            </m:r>
          </m:e>
          <m:sub>
            <m:r>
              <w:rPr>
                <w:rFonts w:ascii="Cambria Math" w:hAnsi="Cambria Math"/>
              </w:rPr>
              <m:t>t</m:t>
            </m:r>
          </m:sub>
        </m:sSub>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j</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j-t</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 xml:space="preserve">j+ </m:t>
                        </m:r>
                      </m:sub>
                    </m:sSub>
                    <m:sSub>
                      <m:sSubPr>
                        <m:ctrlPr>
                          <w:rPr>
                            <w:rFonts w:ascii="Cambria Math" w:hAnsi="Cambria Math"/>
                            <w:i/>
                          </w:rPr>
                        </m:ctrlPr>
                      </m:sSubPr>
                      <m:e>
                        <m:r>
                          <w:rPr>
                            <w:rFonts w:ascii="Cambria Math" w:hAnsi="Cambria Math"/>
                          </w:rPr>
                          <m:t>R</m:t>
                        </m:r>
                      </m:e>
                      <m:sub>
                        <m:r>
                          <w:rPr>
                            <w:rFonts w:ascii="Cambria Math" w:hAnsi="Cambria Math"/>
                          </w:rPr>
                          <m:t>j</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j+1-t</m:t>
                        </m:r>
                      </m:sup>
                    </m:sSup>
                  </m:den>
                </m:f>
              </m:e>
            </m:d>
          </m:num>
          <m:den>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j</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j-t</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j</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j+1-t</m:t>
                        </m:r>
                      </m:sup>
                    </m:sSup>
                  </m:den>
                </m:f>
              </m:e>
            </m:d>
          </m:den>
        </m:f>
      </m:oMath>
      <w:bookmarkEnd w:id="99"/>
      <w:r w:rsidR="00915BF6">
        <w:tab/>
      </w:r>
      <w:r w:rsidR="00915BF6">
        <w:tab/>
      </w:r>
      <w:r w:rsidR="00915BF6">
        <w:tab/>
      </w:r>
      <w:r w:rsidR="00FA01A6">
        <w:tab/>
      </w:r>
      <w:r w:rsidR="00915BF6">
        <w:t>(</w:t>
      </w:r>
      <w:r w:rsidR="00672CD3">
        <w:t>4</w:t>
      </w:r>
      <w:r w:rsidR="00915BF6">
        <w:t>)</w:t>
      </w:r>
    </w:p>
    <w:p w:rsidR="00915BF6" w:rsidRDefault="00915BF6" w:rsidP="00915BF6">
      <w:r>
        <w:t>where</w:t>
      </w:r>
    </w:p>
    <w:p w:rsidR="00915BF6" w:rsidRDefault="00915BF6" w:rsidP="00915BF6">
      <w:pPr>
        <w:pStyle w:val="Bullet"/>
      </w:pPr>
      <w:r w:rsidRPr="00C9175A">
        <w:rPr>
          <w:i/>
        </w:rPr>
        <w:t>t</w:t>
      </w:r>
      <w:r>
        <w:t xml:space="preserve"> is the year for which MIC is being calculated;</w:t>
      </w:r>
    </w:p>
    <w:p w:rsidR="00915BF6" w:rsidRDefault="00915BF6" w:rsidP="00915BF6">
      <w:pPr>
        <w:pStyle w:val="Bullet"/>
      </w:pPr>
      <w:r w:rsidRPr="00063E32">
        <w:rPr>
          <w:i/>
        </w:rPr>
        <w:t>I</w:t>
      </w:r>
      <w:r w:rsidRPr="00063E32">
        <w:rPr>
          <w:i/>
          <w:vertAlign w:val="subscript"/>
        </w:rPr>
        <w:t>j</w:t>
      </w:r>
      <w:r>
        <w:t xml:space="preserve"> is the capital expenditure in year </w:t>
      </w:r>
      <w:r>
        <w:rPr>
          <w:i/>
        </w:rPr>
        <w:t>j</w:t>
      </w:r>
      <w:r>
        <w:t>, the year in which the next large investment expenditure takes place or the year in which the system reaches capacity;</w:t>
      </w:r>
    </w:p>
    <w:p w:rsidR="00B17132" w:rsidRDefault="00B17132" w:rsidP="00B17132">
      <w:pPr>
        <w:pStyle w:val="Bullet"/>
      </w:pPr>
      <w:r w:rsidRPr="000761DA">
        <w:rPr>
          <w:i/>
        </w:rPr>
        <w:t>R</w:t>
      </w:r>
      <w:r w:rsidRPr="00B17132">
        <w:rPr>
          <w:i/>
          <w:vertAlign w:val="subscript"/>
        </w:rPr>
        <w:t>j</w:t>
      </w:r>
      <w:r>
        <w:t xml:space="preserve"> is operating expenditure in year </w:t>
      </w:r>
      <w:r w:rsidRPr="00B17132">
        <w:rPr>
          <w:i/>
        </w:rPr>
        <w:t>j</w:t>
      </w:r>
      <w:r>
        <w:t>;</w:t>
      </w:r>
    </w:p>
    <w:p w:rsidR="00915BF6" w:rsidRPr="00063E32" w:rsidRDefault="00915BF6" w:rsidP="00915BF6">
      <w:pPr>
        <w:pStyle w:val="Bullet"/>
      </w:pPr>
      <w:r w:rsidRPr="00063E32">
        <w:rPr>
          <w:i/>
        </w:rPr>
        <w:t>i</w:t>
      </w:r>
      <w:r w:rsidRPr="00063E32">
        <w:t xml:space="preserve"> is the opportunity cost of capital</w:t>
      </w:r>
      <w:r>
        <w:t>; and</w:t>
      </w:r>
    </w:p>
    <w:p w:rsidR="00915BF6" w:rsidRDefault="00915BF6" w:rsidP="00915BF6">
      <w:pPr>
        <w:pStyle w:val="BulletLast"/>
      </w:pPr>
      <w:r w:rsidRPr="00596983">
        <w:rPr>
          <w:i/>
        </w:rPr>
        <w:t>Q</w:t>
      </w:r>
      <w:r w:rsidR="00B17132" w:rsidRPr="00B17132">
        <w:rPr>
          <w:i/>
          <w:vertAlign w:val="subscript"/>
        </w:rPr>
        <w:t>j</w:t>
      </w:r>
      <w:r>
        <w:t xml:space="preserve"> is the water demand in year t.</w:t>
      </w:r>
    </w:p>
    <w:p w:rsidR="00915BF6" w:rsidRDefault="00915BF6" w:rsidP="00915BF6">
      <w:r>
        <w:lastRenderedPageBreak/>
        <w:t>The MIC approach recognises that an increment of demand can be satisfied by expanding output at existing capacity (incurring additional operating costs) and/or by expanding the total capacity (incurring additional capital and operating costs). This reflects</w:t>
      </w:r>
      <w:r w:rsidR="00DF7984">
        <w:t xml:space="preserve"> Turvey’s </w:t>
      </w:r>
      <w:r>
        <w:t>view that given some growth in demand, additional capacity increments cannot be totally avoided, but can be postponed by reductions in demand.</w:t>
      </w:r>
      <w:r>
        <w:rPr>
          <w:rStyle w:val="FootnoteReference"/>
        </w:rPr>
        <w:footnoteReference w:id="80"/>
      </w:r>
    </w:p>
    <w:p w:rsidR="00915BF6" w:rsidRDefault="00915BF6" w:rsidP="00915BF6">
      <w:pPr>
        <w:pStyle w:val="Heading4"/>
      </w:pPr>
      <w:r>
        <w:t>Average incremental cost</w:t>
      </w:r>
    </w:p>
    <w:p w:rsidR="00915BF6" w:rsidRDefault="00C973B3" w:rsidP="00915BF6">
      <w:r>
        <w:t xml:space="preserve">Again following </w:t>
      </w:r>
      <w:r w:rsidR="00C04337">
        <w:fldChar w:fldCharType="begin"/>
      </w:r>
      <w:r>
        <w:instrText xml:space="preserve"> ADDIN EN.CITE &lt;EndNote&gt;&lt;Cite&gt;&lt;Author&gt;NERA&lt;/Author&gt;&lt;Year&gt;2014&lt;/Year&gt;&lt;RecNum&gt;679&lt;/RecNum&gt;&lt;DisplayText&gt;NERA (2014b)&lt;/DisplayText&gt;&lt;record&gt;&lt;rec-number&gt;679&lt;/rec-number&gt;&lt;foreign-keys&gt;&lt;key app="EN" db-id="5xwt9zxa6r5fesevwr5xzp97r95ev9wx9zpw" timestamp="1457654323"&gt;679&lt;/key&gt;&lt;key app="ENWeb" db-id=""&gt;0&lt;/key&gt;&lt;/foreign-keys&gt;&lt;ref-type name="AAA ICRC Water References"&gt;40&lt;/ref-type&gt;&lt;contributors&gt;&lt;authors&gt;&lt;author&gt;NERA,&lt;/author&gt;&lt;/authors&gt;&lt;/contributors&gt;&lt;titles&gt;&lt;title&gt;Incorporating Marginal Costs in Water Supply Tariffs: Prospects for Change&lt;/title&gt;&lt;/titles&gt;&lt;dates&gt;&lt;year&gt;2014&lt;/year&gt;&lt;pub-dates&gt;&lt;date&gt;18 November 2014&lt;/date&gt;&lt;/pub-dates&gt;&lt;/dates&gt;&lt;publisher&gt;NERA&lt;/publisher&gt;&lt;urls&gt;&lt;/urls&gt;&lt;/record&gt;&lt;/Cite&gt;&lt;/EndNote&gt;</w:instrText>
      </w:r>
      <w:r w:rsidR="00C04337">
        <w:fldChar w:fldCharType="separate"/>
      </w:r>
      <w:hyperlink w:anchor="_ENREF_58" w:tooltip="NERA, 2014 #679" w:history="1">
        <w:r w:rsidR="000F2FEB">
          <w:rPr>
            <w:noProof/>
          </w:rPr>
          <w:t>NERA (2014b</w:t>
        </w:r>
      </w:hyperlink>
      <w:r>
        <w:rPr>
          <w:noProof/>
        </w:rPr>
        <w:t>)</w:t>
      </w:r>
      <w:r w:rsidR="00C04337">
        <w:fldChar w:fldCharType="end"/>
      </w:r>
      <w:r>
        <w:t>, the a</w:t>
      </w:r>
      <w:r w:rsidR="00915BF6">
        <w:t xml:space="preserve">verage incremental cost (AIC) </w:t>
      </w:r>
      <w:r>
        <w:t xml:space="preserve">approach </w:t>
      </w:r>
      <w:r w:rsidR="00915BF6">
        <w:t>can be summarised as follows:</w:t>
      </w:r>
    </w:p>
    <w:p w:rsidR="00C973B3" w:rsidRDefault="00C973B3" w:rsidP="00C973B3">
      <w:pPr>
        <w:pStyle w:val="Bullet"/>
      </w:pPr>
      <w:r>
        <w:t>Step 1: forecast the costs of servicing demand including anticipated growth under the optimal expansion plan for the water utility (the same as under the MIC approach);</w:t>
      </w:r>
    </w:p>
    <w:p w:rsidR="00C973B3" w:rsidRDefault="00C973B3" w:rsidP="00C973B3">
      <w:pPr>
        <w:pStyle w:val="Bullet"/>
      </w:pPr>
      <w:r>
        <w:t>Step 2: forecast costs without demand growth.</w:t>
      </w:r>
    </w:p>
    <w:p w:rsidR="00C973B3" w:rsidRDefault="00C973B3" w:rsidP="00B43A38">
      <w:pPr>
        <w:pStyle w:val="BulletLast"/>
      </w:pPr>
      <w:r>
        <w:t>Step 3: calculate the AIC as the change in the present value of expenditure in step 1 and step 2, divided by the present value of additional demand served.</w:t>
      </w:r>
    </w:p>
    <w:p w:rsidR="00F6674E" w:rsidRPr="00F6674E" w:rsidRDefault="00F6674E" w:rsidP="00F6674E">
      <w:r>
        <w:t xml:space="preserve">This approach </w:t>
      </w:r>
      <w:proofErr w:type="gramStart"/>
      <w:r>
        <w:t>is shown</w:t>
      </w:r>
      <w:proofErr w:type="gramEnd"/>
      <w:r>
        <w:t xml:space="preserve"> graphically in </w:t>
      </w:r>
      <w:r w:rsidR="00C04337">
        <w:fldChar w:fldCharType="begin"/>
      </w:r>
      <w:r>
        <w:instrText xml:space="preserve"> REF _Ref447806974 \h </w:instrText>
      </w:r>
      <w:r w:rsidR="00C04337">
        <w:fldChar w:fldCharType="separate"/>
      </w:r>
      <w:r w:rsidR="00027D28" w:rsidRPr="00E33D9E">
        <w:t xml:space="preserve">Figure </w:t>
      </w:r>
      <w:r w:rsidR="00027D28">
        <w:rPr>
          <w:noProof/>
        </w:rPr>
        <w:t>3</w:t>
      </w:r>
      <w:r w:rsidR="00027D28" w:rsidRPr="00E33D9E">
        <w:t>.</w:t>
      </w:r>
      <w:r w:rsidR="00027D28">
        <w:rPr>
          <w:noProof/>
        </w:rPr>
        <w:t>3</w:t>
      </w:r>
      <w:r w:rsidR="00C04337">
        <w:fldChar w:fldCharType="end"/>
      </w:r>
      <w:r>
        <w:t>.</w:t>
      </w:r>
    </w:p>
    <w:p w:rsidR="00915BF6" w:rsidRPr="00E33D9E" w:rsidRDefault="00915BF6" w:rsidP="00915BF6">
      <w:pPr>
        <w:pStyle w:val="FigureName"/>
        <w:keepNext/>
      </w:pPr>
      <w:bookmarkStart w:id="100" w:name="_Ref447806974"/>
      <w:bookmarkStart w:id="101" w:name="_Toc453920906"/>
      <w:r w:rsidRPr="00E33D9E">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3</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3</w:t>
      </w:r>
      <w:r w:rsidR="00C04337" w:rsidRPr="00E33D9E">
        <w:fldChar w:fldCharType="end"/>
      </w:r>
      <w:bookmarkEnd w:id="100"/>
      <w:r w:rsidRPr="00E33D9E">
        <w:tab/>
      </w:r>
      <w:r>
        <w:t xml:space="preserve">Average </w:t>
      </w:r>
      <w:r w:rsidRPr="00E33D9E">
        <w:t>incremental cost illustration</w:t>
      </w:r>
      <w:bookmarkEnd w:id="101"/>
      <w:r w:rsidRPr="00E33D9E">
        <w:t xml:space="preserve"> </w:t>
      </w:r>
    </w:p>
    <w:p w:rsidR="00915BF6" w:rsidRPr="00E33D9E" w:rsidRDefault="00915BF6" w:rsidP="00915BF6">
      <w:pPr>
        <w:pStyle w:val="TableNotesLast"/>
      </w:pPr>
      <w:r w:rsidRPr="00981E00">
        <w:rPr>
          <w:noProof/>
          <w:lang w:val="en-AU" w:eastAsia="en-AU"/>
        </w:rPr>
        <w:drawing>
          <wp:inline distT="0" distB="0" distL="0" distR="0">
            <wp:extent cx="4896485" cy="3186629"/>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6485" cy="3186629"/>
                    </a:xfrm>
                    <a:prstGeom prst="rect">
                      <a:avLst/>
                    </a:prstGeom>
                    <a:noFill/>
                    <a:ln>
                      <a:solidFill>
                        <a:schemeClr val="tx1">
                          <a:lumMod val="50000"/>
                          <a:lumOff val="50000"/>
                        </a:schemeClr>
                      </a:solidFill>
                    </a:ln>
                  </pic:spPr>
                </pic:pic>
              </a:graphicData>
            </a:graphic>
          </wp:inline>
        </w:drawing>
      </w:r>
    </w:p>
    <w:p w:rsidR="00915BF6" w:rsidRPr="00E33D9E" w:rsidRDefault="00915BF6" w:rsidP="00915BF6">
      <w:pPr>
        <w:pStyle w:val="TableNotesLast"/>
      </w:pPr>
      <w:r w:rsidRPr="00E33D9E">
        <w:t>Source:</w:t>
      </w:r>
      <w:r w:rsidRPr="00E33D9E">
        <w:tab/>
        <w:t xml:space="preserve">Adapted from: </w:t>
      </w:r>
      <w:r w:rsidR="00C04337">
        <w:fldChar w:fldCharType="begin"/>
      </w:r>
      <w:r>
        <w:instrText xml:space="preserve"> ADDIN EN.CITE &lt;EndNote&gt;&lt;Cite&gt;&lt;Author&gt;NERA&lt;/Author&gt;&lt;Year&gt;2011&lt;/Year&gt;&lt;RecNum&gt;705&lt;/RecNum&gt;&lt;DisplayText&gt;NERA (2011)&lt;/DisplayText&gt;&lt;record&gt;&lt;rec-number&gt;705&lt;/rec-number&gt;&lt;foreign-keys&gt;&lt;key app="EN" db-id="5xwt9zxa6r5fesevwr5xzp97r95ev9wx9zpw" timestamp="1460000286"&gt;705&lt;/key&gt;&lt;key app="ENWeb" db-id=""&gt;0&lt;/key&gt;&lt;/foreign-keys&gt;&lt;ref-type name="AAA ICRC Water References"&gt;40&lt;/ref-type&gt;&lt;contributors&gt;&lt;authors&gt;&lt;author&gt;NERA,&lt;/author&gt;&lt;/authors&gt;&lt;/contributors&gt;&lt;titles&gt;&lt;title&gt;Estimating long-run marginal cost in the National Electricity Market: A paper for the AEMC&lt;/title&gt;&lt;/titles&gt;&lt;dates&gt;&lt;year&gt;2011&lt;/year&gt;&lt;pub-dates&gt;&lt;date&gt;19 December 2011&lt;/date&gt;&lt;/pub-dates&gt;&lt;/dates&gt;&lt;pub-location&gt;Sydney&lt;/pub-location&gt;&lt;urls&gt;&lt;/urls&gt;&lt;/record&gt;&lt;/Cite&gt;&lt;/EndNote&gt;</w:instrText>
      </w:r>
      <w:r w:rsidR="00C04337">
        <w:fldChar w:fldCharType="separate"/>
      </w:r>
      <w:hyperlink w:anchor="_ENREF_56" w:tooltip="NERA, 2011 #705" w:history="1">
        <w:r w:rsidR="000F2FEB">
          <w:rPr>
            <w:noProof/>
          </w:rPr>
          <w:t>NERA (2011</w:t>
        </w:r>
      </w:hyperlink>
      <w:r>
        <w:rPr>
          <w:noProof/>
        </w:rPr>
        <w:t>)</w:t>
      </w:r>
      <w:r w:rsidR="00C04337">
        <w:fldChar w:fldCharType="end"/>
      </w:r>
      <w:r w:rsidRPr="00E33D9E">
        <w:t>.</w:t>
      </w:r>
    </w:p>
    <w:p w:rsidR="00915BF6" w:rsidRPr="0003463D" w:rsidRDefault="00915BF6" w:rsidP="00915BF6">
      <w:r>
        <w:lastRenderedPageBreak/>
        <w:t>AIC can be expressed informally and formally, as set out in equations (</w:t>
      </w:r>
      <w:r w:rsidR="00B02953">
        <w:t>5</w:t>
      </w:r>
      <w:r>
        <w:t>) and (</w:t>
      </w:r>
      <w:r w:rsidR="00393DCD">
        <w:t>6</w:t>
      </w:r>
      <w:r>
        <w:t xml:space="preserve">), respectively. </w:t>
      </w:r>
    </w:p>
    <w:p w:rsidR="00915BF6" w:rsidRDefault="00C04337" w:rsidP="00915BF6">
      <m:oMath>
        <m:sSub>
          <m:sSubPr>
            <m:ctrlPr>
              <w:rPr>
                <w:rFonts w:ascii="Cambria Math" w:hAnsi="Cambria Math"/>
                <w:i/>
              </w:rPr>
            </m:ctrlPr>
          </m:sSubPr>
          <m:e>
            <m:r>
              <w:rPr>
                <w:rFonts w:ascii="Cambria Math" w:hAnsi="Cambria Math"/>
              </w:rPr>
              <m:t>AIC</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NPV</m:t>
            </m:r>
            <m:d>
              <m:dPr>
                <m:ctrlPr>
                  <w:rPr>
                    <w:rFonts w:ascii="Cambria Math" w:hAnsi="Cambria Math"/>
                    <w:i/>
                  </w:rPr>
                </m:ctrlPr>
              </m:dPr>
              <m:e>
                <m:r>
                  <w:rPr>
                    <w:rFonts w:ascii="Cambria Math" w:hAnsi="Cambria Math"/>
                  </w:rPr>
                  <m:t>new capex plus opex</m:t>
                </m:r>
              </m:e>
            </m:d>
          </m:num>
          <m:den>
            <m:r>
              <w:rPr>
                <w:rFonts w:ascii="Cambria Math" w:hAnsi="Cambria Math"/>
              </w:rPr>
              <m:t>NPV</m:t>
            </m:r>
            <m:d>
              <m:dPr>
                <m:ctrlPr>
                  <w:rPr>
                    <w:rFonts w:ascii="Cambria Math" w:hAnsi="Cambria Math"/>
                    <w:i/>
                  </w:rPr>
                </m:ctrlPr>
              </m:dPr>
              <m:e>
                <m:r>
                  <w:rPr>
                    <w:rFonts w:ascii="Cambria Math" w:hAnsi="Cambria Math"/>
                  </w:rPr>
                  <m:t>additional demand served</m:t>
                </m:r>
              </m:e>
            </m:d>
          </m:den>
        </m:f>
      </m:oMath>
      <w:r w:rsidR="00915BF6">
        <w:t xml:space="preserve"> </w:t>
      </w:r>
      <w:r w:rsidR="00915BF6">
        <w:tab/>
      </w:r>
      <w:r w:rsidR="00915BF6">
        <w:tab/>
      </w:r>
      <w:r w:rsidR="00915BF6">
        <w:tab/>
      </w:r>
      <w:r w:rsidR="00915BF6">
        <w:tab/>
      </w:r>
      <w:r w:rsidR="00915BF6">
        <w:tab/>
      </w:r>
      <w:r w:rsidR="00915BF6">
        <w:tab/>
        <w:t>(</w:t>
      </w:r>
      <w:r w:rsidR="00B02953">
        <w:t>5</w:t>
      </w:r>
      <w:r w:rsidR="00915BF6">
        <w:t>)</w:t>
      </w:r>
    </w:p>
    <w:p w:rsidR="00915BF6" w:rsidRDefault="00C04337" w:rsidP="00915BF6">
      <m:oMath>
        <m:sSub>
          <m:sSubPr>
            <m:ctrlPr>
              <w:rPr>
                <w:rFonts w:ascii="Cambria Math" w:hAnsi="Cambria Math"/>
                <w:i/>
              </w:rPr>
            </m:ctrlPr>
          </m:sSubPr>
          <m:e>
            <m:r>
              <w:rPr>
                <w:rFonts w:ascii="Cambria Math" w:hAnsi="Cambria Math"/>
              </w:rPr>
              <m:t>AIC</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k=1</m:t>
            </m:r>
          </m:sub>
          <m:sup>
            <m:r>
              <w:rPr>
                <w:rFonts w:ascii="Cambria Math" w:hAnsi="Cambria Math"/>
              </w:rPr>
              <m:t>T</m:t>
            </m:r>
          </m:sup>
          <m:e>
            <m:d>
              <m:dPr>
                <m:begChr m:val="["/>
                <m:endChr m:val="]"/>
                <m:ctrlPr>
                  <w:rPr>
                    <w:rFonts w:ascii="Cambria Math" w:hAnsi="Cambria Math"/>
                    <w:i/>
                  </w:rPr>
                </m:ctrlPr>
              </m:dPr>
              <m:e>
                <m:f>
                  <m:fPr>
                    <m:type m:val="skw"/>
                    <m:ctrlPr>
                      <w:rPr>
                        <w:rFonts w:ascii="Cambria Math" w:hAnsi="Cambria Math"/>
                        <w:i/>
                      </w:rPr>
                    </m:ctrlPr>
                  </m:fPr>
                  <m:num>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t+k</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t+k-1</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k-1</m:t>
                            </m:r>
                          </m:sup>
                        </m:sSup>
                      </m:den>
                    </m:f>
                  </m:num>
                  <m:den>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t+k</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m:t>
                                </m:r>
                              </m:sub>
                            </m:sSub>
                          </m:e>
                        </m:d>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k-1</m:t>
                            </m:r>
                          </m:sup>
                        </m:sSup>
                      </m:den>
                    </m:f>
                  </m:den>
                </m:f>
              </m:e>
            </m:d>
          </m:e>
        </m:nary>
      </m:oMath>
      <w:r w:rsidR="00915BF6">
        <w:tab/>
      </w:r>
      <w:r w:rsidR="00915BF6">
        <w:tab/>
      </w:r>
      <w:r w:rsidR="00915BF6">
        <w:tab/>
      </w:r>
      <w:r w:rsidR="00915BF6">
        <w:tab/>
      </w:r>
      <w:r w:rsidR="00915BF6">
        <w:tab/>
        <w:t>(</w:t>
      </w:r>
      <w:r w:rsidR="00B02953">
        <w:t>6</w:t>
      </w:r>
      <w:r w:rsidR="00915BF6">
        <w:t>)</w:t>
      </w:r>
    </w:p>
    <w:p w:rsidR="00915BF6" w:rsidRDefault="00915BF6" w:rsidP="00915BF6">
      <w:r>
        <w:t xml:space="preserve">The notation is similar to that used for the MIC definition, except for </w:t>
      </w:r>
      <w:r w:rsidRPr="00F80416">
        <w:rPr>
          <w:i/>
        </w:rPr>
        <w:t>T</w:t>
      </w:r>
      <w:r>
        <w:t xml:space="preserve"> which is the forecasting planning horizon.</w:t>
      </w:r>
    </w:p>
    <w:p w:rsidR="00915BF6" w:rsidRDefault="00915BF6" w:rsidP="00915BF6">
      <w:r>
        <w:t xml:space="preserve">The key difference between AIC and MIC is that the former takes account of incremental demand over the whole planning period while MIC only deals with incremental demand in the first year. As such, the AIC gives marginal cost estimates that smooth out any expenditure lumps while at the same time reflecting the trend of future costs which will have to be incurred as consumption increases.  </w:t>
      </w:r>
    </w:p>
    <w:p w:rsidR="00915BF6" w:rsidRDefault="00C31D99" w:rsidP="00915BF6">
      <w:pPr>
        <w:pStyle w:val="Heading4"/>
      </w:pPr>
      <w:r>
        <w:t>Summary</w:t>
      </w:r>
    </w:p>
    <w:p w:rsidR="00915BF6" w:rsidRDefault="00C04337" w:rsidP="00915BF6">
      <w:r>
        <w:fldChar w:fldCharType="begin"/>
      </w:r>
      <w:r w:rsidR="00915BF6">
        <w:instrText xml:space="preserve"> ADDIN EN.CITE &lt;EndNote&gt;&lt;Cite&gt;&lt;Author&gt;Mann&lt;/Author&gt;&lt;Year&gt;1980&lt;/Year&gt;&lt;RecNum&gt;695&lt;/RecNum&gt;&lt;DisplayText&gt;Mann et al. (1980)&lt;/DisplayText&gt;&lt;record&gt;&lt;rec-number&gt;695&lt;/rec-number&gt;&lt;foreign-keys&gt;&lt;key app="EN" db-id="5xwt9zxa6r5fesevwr5xzp97r95ev9wx9zpw" timestamp="1458185524"&gt;695&lt;/key&gt;&lt;key app="ENWeb" db-id=""&gt;0&lt;/key&gt;&lt;/foreign-keys&gt;&lt;ref-type name="Journal Article"&gt;17&lt;/ref-type&gt;&lt;contributors&gt;&lt;authors&gt;&lt;author&gt;Mann, Patrick C.&lt;/author&gt;&lt;author&gt;Saunders, Robert J.&lt;/author&gt;&lt;author&gt;Warford, Jeremy J.&lt;/author&gt;&lt;/authors&gt;&lt;/contributors&gt;&lt;titles&gt;&lt;title&gt;A Note on Capital Indivisibility and the Definition of Marginal Cost&lt;/title&gt;&lt;secondary-title&gt;Water Resources Research&lt;/secondary-title&gt;&lt;/titles&gt;&lt;periodical&gt;&lt;full-title&gt;Water Resources Research&lt;/full-title&gt;&lt;/periodical&gt;&lt;pages&gt;602-604&lt;/pages&gt;&lt;volume&gt;16&lt;/volume&gt;&lt;number&gt;3&lt;/number&gt;&lt;dates&gt;&lt;year&gt;1980&lt;/year&gt;&lt;/dates&gt;&lt;urls&gt;&lt;/urls&gt;&lt;/record&gt;&lt;/Cite&gt;&lt;/EndNote&gt;</w:instrText>
      </w:r>
      <w:r>
        <w:fldChar w:fldCharType="separate"/>
      </w:r>
      <w:hyperlink w:anchor="_ENREF_52" w:tooltip="Mann, 1980 #695" w:history="1">
        <w:r w:rsidR="000F2FEB">
          <w:rPr>
            <w:noProof/>
          </w:rPr>
          <w:t>Mann et al. (1980</w:t>
        </w:r>
      </w:hyperlink>
      <w:r w:rsidR="00915BF6">
        <w:rPr>
          <w:noProof/>
        </w:rPr>
        <w:t>)</w:t>
      </w:r>
      <w:r>
        <w:fldChar w:fldCharType="end"/>
      </w:r>
      <w:r w:rsidR="00915BF6">
        <w:t xml:space="preserve"> conclude their analysis of the four marginal cost measurement methods described above with the following:</w:t>
      </w:r>
      <w:r w:rsidR="00915BF6">
        <w:rPr>
          <w:rStyle w:val="FootnoteReference"/>
        </w:rPr>
        <w:footnoteReference w:id="81"/>
      </w:r>
    </w:p>
    <w:p w:rsidR="00915BF6" w:rsidRDefault="00915BF6" w:rsidP="00915BF6">
      <w:pPr>
        <w:pStyle w:val="Bullet"/>
      </w:pPr>
      <w:r>
        <w:t xml:space="preserve">Of the </w:t>
      </w:r>
      <w:r w:rsidR="00B02953">
        <w:t xml:space="preserve">three </w:t>
      </w:r>
      <w:r>
        <w:t>methods, TMC adheres most strictly to the actual marginal costs incurred, but has the drawback of price fluctuations when investments are lumpy.</w:t>
      </w:r>
    </w:p>
    <w:p w:rsidR="00915BF6" w:rsidRDefault="00915BF6" w:rsidP="00915BF6">
      <w:pPr>
        <w:pStyle w:val="Bullet"/>
      </w:pPr>
      <w:r>
        <w:t>TMC</w:t>
      </w:r>
      <w:r w:rsidR="00B02953">
        <w:t xml:space="preserve"> and </w:t>
      </w:r>
      <w:r>
        <w:t>MIC adequately signal the need for investment in capacity.</w:t>
      </w:r>
    </w:p>
    <w:p w:rsidR="00915BF6" w:rsidRDefault="00915BF6" w:rsidP="00915BF6">
      <w:pPr>
        <w:pStyle w:val="Bullet"/>
      </w:pPr>
      <w:r>
        <w:t>AIC, which takes a longer view of costs and avoids price fluctuations, is a compromise solution that neither adequately signals the justification for any specific investment, nor adheres closely to TMC either at capacity points or dur</w:t>
      </w:r>
      <w:r w:rsidR="00B02953">
        <w:t>ing periods of excess capacity.</w:t>
      </w:r>
    </w:p>
    <w:p w:rsidR="00915BF6" w:rsidRDefault="00915BF6" w:rsidP="00915BF6">
      <w:pPr>
        <w:pStyle w:val="BulletLast"/>
      </w:pPr>
      <w:r>
        <w:t xml:space="preserve">With the introduction of capital indivisibility, AIC becomes more appropriate, compromising between avoiding price fluctuations, signalling justification for investment, and making the best use of existing capacity. </w:t>
      </w:r>
    </w:p>
    <w:p w:rsidR="00915BF6" w:rsidRDefault="00C04337" w:rsidP="00915BF6">
      <w:r>
        <w:fldChar w:fldCharType="begin"/>
      </w:r>
      <w:r w:rsidR="00915BF6">
        <w:instrText xml:space="preserve"> ADDIN EN.CITE &lt;EndNote&gt;&lt;Cite&gt;&lt;Author&gt;NERA&lt;/Author&gt;&lt;Year&gt;2011&lt;/Year&gt;&lt;RecNum&gt;705&lt;/RecNum&gt;&lt;DisplayText&gt;NERA (2011)&lt;/DisplayText&gt;&lt;record&gt;&lt;rec-number&gt;705&lt;/rec-number&gt;&lt;foreign-keys&gt;&lt;key app="EN" db-id="5xwt9zxa6r5fesevwr5xzp97r95ev9wx9zpw" timestamp="1460000286"&gt;705&lt;/key&gt;&lt;key app="ENWeb" db-id=""&gt;0&lt;/key&gt;&lt;/foreign-keys&gt;&lt;ref-type name="AAA ICRC Water References"&gt;40&lt;/ref-type&gt;&lt;contributors&gt;&lt;authors&gt;&lt;author&gt;NERA,&lt;/author&gt;&lt;/authors&gt;&lt;/contributors&gt;&lt;titles&gt;&lt;title&gt;Estimating long-run marginal cost in the National Electricity Market: A paper for the AEMC&lt;/title&gt;&lt;/titles&gt;&lt;dates&gt;&lt;year&gt;2011&lt;/year&gt;&lt;pub-dates&gt;&lt;date&gt;19 December 2011&lt;/date&gt;&lt;/pub-dates&gt;&lt;/dates&gt;&lt;pub-location&gt;Sydney&lt;/pub-location&gt;&lt;urls&gt;&lt;/urls&gt;&lt;/record&gt;&lt;/Cite&gt;&lt;/EndNote&gt;</w:instrText>
      </w:r>
      <w:r>
        <w:fldChar w:fldCharType="separate"/>
      </w:r>
      <w:hyperlink w:anchor="_ENREF_56" w:tooltip="NERA, 2011 #705" w:history="1">
        <w:r w:rsidR="000F2FEB">
          <w:rPr>
            <w:noProof/>
          </w:rPr>
          <w:t>NERA (2011</w:t>
        </w:r>
      </w:hyperlink>
      <w:r w:rsidR="00915BF6">
        <w:rPr>
          <w:noProof/>
        </w:rPr>
        <w:t>)</w:t>
      </w:r>
      <w:r>
        <w:fldChar w:fldCharType="end"/>
      </w:r>
      <w:r w:rsidR="00915BF6">
        <w:t xml:space="preserve"> express</w:t>
      </w:r>
      <w:r w:rsidR="00E6588E">
        <w:t>es</w:t>
      </w:r>
      <w:r w:rsidR="00915BF6">
        <w:t xml:space="preserve"> a preference for the MIC approach over AIC, citing </w:t>
      </w:r>
      <w:r w:rsidR="005F768B">
        <w:t xml:space="preserve">the </w:t>
      </w:r>
      <w:r w:rsidR="00915BF6">
        <w:t>principal shortcoming of the latter as the fact that it uses average future capital costs to approximate the likely marginal costs associated with a change in demand:</w:t>
      </w:r>
    </w:p>
    <w:p w:rsidR="00915BF6" w:rsidRDefault="00915BF6" w:rsidP="00915BF6">
      <w:pPr>
        <w:pStyle w:val="Quote"/>
      </w:pPr>
      <w:r>
        <w:t>Put another way, the AIC does not discriminate across the ‘size’ of increments to capacity, ie, ignoring the time value of money each unit of new investment is treated equally in their ability to match supply and demand.</w:t>
      </w:r>
      <w:r>
        <w:rPr>
          <w:rStyle w:val="FootnoteReference"/>
        </w:rPr>
        <w:footnoteReference w:id="82"/>
      </w:r>
    </w:p>
    <w:p w:rsidR="00915BF6" w:rsidRDefault="00C04337" w:rsidP="00915BF6">
      <w:r>
        <w:lastRenderedPageBreak/>
        <w:fldChar w:fldCharType="begin"/>
      </w:r>
      <w:r w:rsidR="00915BF6">
        <w:instrText xml:space="preserve"> ADDIN EN.CITE &lt;EndNote&gt;&lt;Cite&gt;&lt;Author&gt;Marsden Jacob Associates&lt;/Author&gt;&lt;Year&gt;2004&lt;/Year&gt;&lt;RecNum&gt;543&lt;/RecNum&gt;&lt;DisplayText&gt;Marsden Jacob Associates (2004)&lt;/DisplayText&gt;&lt;record&gt;&lt;rec-number&gt;543&lt;/rec-number&gt;&lt;foreign-keys&gt;&lt;key app="EN" db-id="5xwt9zxa6r5fesevwr5xzp97r95ev9wx9zpw" timestamp="1441337579"&gt;543&lt;/key&gt;&lt;/foreign-keys&gt;&lt;ref-type name="AAA ICRC Water References"&gt;40&lt;/ref-type&gt;&lt;contributors&gt;&lt;authors&gt;&lt;author&gt;Marsden Jacob Associates,&lt;/author&gt;&lt;/authors&gt;&lt;/contributors&gt;&lt;titles&gt;&lt;title&gt;Estimation of Long Run Marginal Cost (LRMC): A report prepared for the Queensland Competition Authority&lt;/title&gt;&lt;/titles&gt;&lt;dates&gt;&lt;year&gt;2004&lt;/year&gt;&lt;pub-dates&gt;&lt;date&gt;3 November 2004&lt;/date&gt;&lt;/pub-dates&gt;&lt;/dates&gt;&lt;pub-location&gt;Brisbane&lt;/pub-location&gt;&lt;urls&gt;&lt;/urls&gt;&lt;/record&gt;&lt;/Cite&gt;&lt;/EndNote&gt;</w:instrText>
      </w:r>
      <w:r>
        <w:fldChar w:fldCharType="separate"/>
      </w:r>
      <w:hyperlink w:anchor="_ENREF_53" w:tooltip="Marsden Jacob Associates, 2004 #543" w:history="1">
        <w:r w:rsidR="000F2FEB">
          <w:rPr>
            <w:noProof/>
          </w:rPr>
          <w:t>Marsden Jacob Associates (2004</w:t>
        </w:r>
      </w:hyperlink>
      <w:r w:rsidR="00915BF6">
        <w:rPr>
          <w:noProof/>
        </w:rPr>
        <w:t>)</w:t>
      </w:r>
      <w:r>
        <w:fldChar w:fldCharType="end"/>
      </w:r>
      <w:r w:rsidR="00915BF6">
        <w:t xml:space="preserve"> note </w:t>
      </w:r>
      <w:r w:rsidR="00EE5EE2">
        <w:t xml:space="preserve">that </w:t>
      </w:r>
      <w:r w:rsidR="00915BF6">
        <w:t xml:space="preserve">MIC and AIC are the most common methods used in the water industry. They also note that that MIC is more explicitly concerned with decision making at the margin, which </w:t>
      </w:r>
      <w:r w:rsidR="00EE5EE2">
        <w:t xml:space="preserve">may </w:t>
      </w:r>
      <w:r w:rsidR="00915BF6">
        <w:t>increase price instability as prices are adjusted more frequently, in contrast to the AIC approach. Marsden Jacob Associates conclude that overall the AIC method is preferred as it:</w:t>
      </w:r>
    </w:p>
    <w:p w:rsidR="00915BF6" w:rsidRDefault="00915BF6" w:rsidP="00915BF6">
      <w:pPr>
        <w:pStyle w:val="Bullet"/>
      </w:pPr>
      <w:r>
        <w:t>is easy to understand;</w:t>
      </w:r>
    </w:p>
    <w:p w:rsidR="00915BF6" w:rsidRDefault="00915BF6" w:rsidP="00915BF6">
      <w:pPr>
        <w:pStyle w:val="Bullet"/>
      </w:pPr>
      <w:r>
        <w:t>is computationally straightforward;</w:t>
      </w:r>
    </w:p>
    <w:p w:rsidR="00915BF6" w:rsidRDefault="00915BF6" w:rsidP="00915BF6">
      <w:pPr>
        <w:pStyle w:val="Bullet"/>
      </w:pPr>
      <w:r>
        <w:t>consistent with future infrastructure planning;</w:t>
      </w:r>
    </w:p>
    <w:p w:rsidR="00915BF6" w:rsidRDefault="00915BF6" w:rsidP="00915BF6">
      <w:pPr>
        <w:pStyle w:val="Bullet"/>
      </w:pPr>
      <w:r>
        <w:t>forces businesses to think long-term;</w:t>
      </w:r>
    </w:p>
    <w:p w:rsidR="00915BF6" w:rsidRDefault="00915BF6" w:rsidP="00915BF6">
      <w:pPr>
        <w:pStyle w:val="Bullet"/>
      </w:pPr>
      <w:r>
        <w:t xml:space="preserve">produces stable results over time; and  </w:t>
      </w:r>
    </w:p>
    <w:p w:rsidR="00915BF6" w:rsidRDefault="00915BF6" w:rsidP="00915BF6">
      <w:pPr>
        <w:pStyle w:val="BulletLast"/>
      </w:pPr>
      <w:r>
        <w:t>minimises opportunities for regulatory gaming.</w:t>
      </w:r>
      <w:r>
        <w:rPr>
          <w:rStyle w:val="FootnoteReference"/>
        </w:rPr>
        <w:footnoteReference w:id="83"/>
      </w:r>
      <w:r>
        <w:t xml:space="preserve">  </w:t>
      </w:r>
    </w:p>
    <w:p w:rsidR="00915BF6" w:rsidRDefault="00915BF6" w:rsidP="00915BF6">
      <w:r>
        <w:t>The Australian Energy Market Commission examined this issue in formulating its advice on best practice retail electricity pricing, noting that:</w:t>
      </w:r>
    </w:p>
    <w:p w:rsidR="00915BF6" w:rsidRDefault="00915BF6" w:rsidP="00915BF6">
      <w:pPr>
        <w:pStyle w:val="Quote"/>
      </w:pPr>
      <w:r w:rsidRPr="00D86526">
        <w:t>The average incremental cost method represents a relatively straightforward means of</w:t>
      </w:r>
      <w:r>
        <w:t xml:space="preserve"> </w:t>
      </w:r>
      <w:r w:rsidRPr="00D86526">
        <w:t>estimating the LRMC, but is generally considered to be a less precise method than the</w:t>
      </w:r>
      <w:r>
        <w:t xml:space="preserve"> </w:t>
      </w:r>
      <w:r w:rsidRPr="00D86526">
        <w:t>perturbation method.</w:t>
      </w:r>
      <w:r>
        <w:rPr>
          <w:rStyle w:val="FootnoteReference"/>
        </w:rPr>
        <w:footnoteReference w:id="84"/>
      </w:r>
    </w:p>
    <w:p w:rsidR="00AF4AB1" w:rsidRDefault="00AF4AB1" w:rsidP="00AF4AB1">
      <w:pPr>
        <w:pStyle w:val="Heading4"/>
      </w:pPr>
      <w:r>
        <w:t>Commission’s consideration</w:t>
      </w:r>
    </w:p>
    <w:p w:rsidR="00A94C61" w:rsidRPr="00A94C61" w:rsidRDefault="00EB15E5" w:rsidP="00A94C61">
      <w:r>
        <w:t xml:space="preserve">Of the </w:t>
      </w:r>
      <w:r w:rsidR="00B02953">
        <w:t xml:space="preserve">three </w:t>
      </w:r>
      <w:r>
        <w:t>methods</w:t>
      </w:r>
      <w:r w:rsidRPr="00EB15E5">
        <w:t xml:space="preserve"> </w:t>
      </w:r>
      <w:r>
        <w:t xml:space="preserve">for calculating long-run marginal cost discussed above, </w:t>
      </w:r>
      <w:r w:rsidR="00370F3B">
        <w:t>TMC best reflects the forward-looking marginal costs associated with servicing an increment (or decrement) in demand.</w:t>
      </w:r>
      <w:r w:rsidR="0085230E">
        <w:t xml:space="preserve"> </w:t>
      </w:r>
      <w:r w:rsidR="00E80305">
        <w:t xml:space="preserve">However, the drawback is </w:t>
      </w:r>
      <w:r w:rsidR="0085230E">
        <w:t>price fluctuat</w:t>
      </w:r>
      <w:r w:rsidR="00E80305">
        <w:t>ions</w:t>
      </w:r>
      <w:r w:rsidR="00CA47BE">
        <w:t xml:space="preserve"> before and after a new lumpy investment</w:t>
      </w:r>
      <w:r w:rsidR="00E80305">
        <w:t>. The AIC approach</w:t>
      </w:r>
      <w:r w:rsidR="008E0040">
        <w:t xml:space="preserve"> rel</w:t>
      </w:r>
      <w:r w:rsidR="00E80305">
        <w:t xml:space="preserve">ies </w:t>
      </w:r>
      <w:r w:rsidR="008E0040">
        <w:t>on average costs</w:t>
      </w:r>
      <w:r w:rsidR="00794388">
        <w:t xml:space="preserve"> </w:t>
      </w:r>
      <w:r w:rsidR="009D0BFF">
        <w:t xml:space="preserve">and this </w:t>
      </w:r>
      <w:r w:rsidR="00794388">
        <w:t xml:space="preserve">limits </w:t>
      </w:r>
      <w:r w:rsidR="00E80305">
        <w:t xml:space="preserve">its </w:t>
      </w:r>
      <w:r w:rsidR="008E0040">
        <w:t>usefulness as a basis for setting prices to encourage efficiency.</w:t>
      </w:r>
      <w:r w:rsidR="00E80305">
        <w:t xml:space="preserve"> Th</w:t>
      </w:r>
      <w:r w:rsidR="009D0BFF">
        <w:t>e</w:t>
      </w:r>
      <w:r w:rsidR="00E80305">
        <w:t xml:space="preserve"> MIC method</w:t>
      </w:r>
      <w:r w:rsidR="00794388">
        <w:t xml:space="preserve">, which is more closely associated with decision-making at the margin, </w:t>
      </w:r>
      <w:r w:rsidR="009D0BFF">
        <w:t>is likely to better reflect economic efficiency objectives. However, this needs to be balanced against all the other pricing principles</w:t>
      </w:r>
      <w:r w:rsidR="00794388">
        <w:t xml:space="preserve">. </w:t>
      </w:r>
      <w:r w:rsidR="00E80305">
        <w:t xml:space="preserve">The Commission has </w:t>
      </w:r>
      <w:r w:rsidR="00E30B2F">
        <w:t>estimat</w:t>
      </w:r>
      <w:r w:rsidR="003A6235">
        <w:t>ed</w:t>
      </w:r>
      <w:r w:rsidR="00E80305">
        <w:t>,</w:t>
      </w:r>
      <w:r w:rsidR="00E30B2F">
        <w:t xml:space="preserve"> </w:t>
      </w:r>
      <w:r w:rsidR="00E80305">
        <w:t xml:space="preserve">for comparative purposes, </w:t>
      </w:r>
      <w:r w:rsidR="00E30B2F">
        <w:t xml:space="preserve">the long-run marginal cost of providing water services in the ACT using all </w:t>
      </w:r>
      <w:r w:rsidR="00B02953">
        <w:t xml:space="preserve">three </w:t>
      </w:r>
      <w:r w:rsidR="00E30B2F">
        <w:t>methods</w:t>
      </w:r>
      <w:r w:rsidR="00E80305">
        <w:t xml:space="preserve"> in Chapter </w:t>
      </w:r>
      <w:r w:rsidR="00C04337">
        <w:fldChar w:fldCharType="begin"/>
      </w:r>
      <w:r w:rsidR="00E80305">
        <w:instrText xml:space="preserve"> REF _Ref448321586 \r \h </w:instrText>
      </w:r>
      <w:r w:rsidR="00C04337">
        <w:fldChar w:fldCharType="separate"/>
      </w:r>
      <w:r w:rsidR="00027D28">
        <w:t>4</w:t>
      </w:r>
      <w:r w:rsidR="00C04337">
        <w:fldChar w:fldCharType="end"/>
      </w:r>
      <w:r w:rsidR="003A6235">
        <w:t>.</w:t>
      </w:r>
    </w:p>
    <w:p w:rsidR="00915BF6" w:rsidRDefault="00915BF6" w:rsidP="00915BF6">
      <w:pPr>
        <w:pStyle w:val="Heading3"/>
      </w:pPr>
      <w:bookmarkStart w:id="102" w:name="_Ref449424431"/>
      <w:r>
        <w:t>Other practical measurement matters</w:t>
      </w:r>
      <w:bookmarkEnd w:id="102"/>
    </w:p>
    <w:p w:rsidR="00915BF6" w:rsidRDefault="00915BF6" w:rsidP="00915BF6">
      <w:pPr>
        <w:pStyle w:val="Heading4"/>
      </w:pPr>
      <w:r>
        <w:t>Elasticity of demand</w:t>
      </w:r>
    </w:p>
    <w:p w:rsidR="00915BF6" w:rsidRDefault="00915BF6" w:rsidP="00915BF6">
      <w:r>
        <w:t xml:space="preserve">The marginal cost pricing concept relies on a consumption response to a change in price. If demand were perfectly inelastic (η = 0), that is there was no consumption response to a change in price, ‘marginal cost pricing would be irrelevant for efficient </w:t>
      </w:r>
      <w:r>
        <w:lastRenderedPageBreak/>
        <w:t>resource allocation’.</w:t>
      </w:r>
      <w:r>
        <w:rPr>
          <w:rStyle w:val="FootnoteReference"/>
        </w:rPr>
        <w:footnoteReference w:id="85"/>
      </w:r>
      <w:r>
        <w:t xml:space="preserve"> As noted earlier, the Commissioned recently estimated a relatively inelastic, but not zero, elasticity of demand for water in the ACT of -0.14 across the 1999 to 2015 period.</w:t>
      </w:r>
    </w:p>
    <w:p w:rsidR="00915BF6" w:rsidRDefault="004C3936" w:rsidP="00915BF6">
      <w:r>
        <w:t>As</w:t>
      </w:r>
      <w:r w:rsidR="00481711">
        <w:t xml:space="preserve"> noted earlier, t</w:t>
      </w:r>
      <w:r w:rsidR="00915BF6">
        <w:t xml:space="preserve">he Commission’s </w:t>
      </w:r>
      <w:r w:rsidR="00AB019D">
        <w:t xml:space="preserve">general </w:t>
      </w:r>
      <w:r w:rsidR="001F1EB3">
        <w:t xml:space="preserve">preference </w:t>
      </w:r>
      <w:r w:rsidR="00915BF6">
        <w:t xml:space="preserve">is </w:t>
      </w:r>
      <w:r w:rsidR="001F1EB3">
        <w:t xml:space="preserve">to </w:t>
      </w:r>
      <w:r w:rsidR="00915BF6">
        <w:t xml:space="preserve">take account of the price elasticity of demand in calculating marginal cost, </w:t>
      </w:r>
      <w:r w:rsidR="001F1EB3">
        <w:t xml:space="preserve">if practically possible, </w:t>
      </w:r>
      <w:r w:rsidR="00915BF6">
        <w:t xml:space="preserve">even though demand is relatively inelastic and therefore unlikely have a material effect on the end result. This matter </w:t>
      </w:r>
      <w:r w:rsidR="001F1EB3">
        <w:t xml:space="preserve">is discussed further </w:t>
      </w:r>
      <w:r w:rsidR="00915BF6">
        <w:t>in the next chapter.</w:t>
      </w:r>
    </w:p>
    <w:p w:rsidR="00915BF6" w:rsidRDefault="00915BF6" w:rsidP="00915BF6">
      <w:pPr>
        <w:pStyle w:val="Heading4"/>
      </w:pPr>
      <w:r>
        <w:t>Water Abstraction Charge</w:t>
      </w:r>
    </w:p>
    <w:p w:rsidR="00915BF6" w:rsidRDefault="00915BF6" w:rsidP="00915BF6">
      <w:r>
        <w:t xml:space="preserve">As noted in Chapter </w:t>
      </w:r>
      <w:r w:rsidR="00C04337">
        <w:fldChar w:fldCharType="begin"/>
      </w:r>
      <w:r>
        <w:instrText xml:space="preserve"> REF _Ref447870428 \r \h </w:instrText>
      </w:r>
      <w:r w:rsidR="00C04337">
        <w:fldChar w:fldCharType="separate"/>
      </w:r>
      <w:r w:rsidR="00027D28">
        <w:t>2</w:t>
      </w:r>
      <w:r w:rsidR="00C04337">
        <w:fldChar w:fldCharType="end"/>
      </w:r>
      <w:r>
        <w:t>, the ACT Government levies a WAC on each kilolitre of water abstracted from ACT water resources. The rate for 2015</w:t>
      </w:r>
      <w:r>
        <w:sym w:font="Symbol" w:char="F02D"/>
      </w:r>
      <w:r>
        <w:t xml:space="preserve">16 is $0.55 per kilolitre for water abstracted for the purposes of urban water supply. This cost, payable by Icon Water customers, is collected by Icon Water through water charges and </w:t>
      </w:r>
      <w:r w:rsidR="00165131">
        <w:t>th</w:t>
      </w:r>
      <w:r>
        <w:t>en remitted to the ACT Government.</w:t>
      </w:r>
    </w:p>
    <w:p w:rsidR="00915BF6" w:rsidRDefault="00915BF6" w:rsidP="00915BF6">
      <w:r>
        <w:t>From a practical perspective therefore, in addition to any marginal pumping and treatment costs, an additional kilolitre of water abstracted from ACT dams will attract a further $0.55 for the WAC.</w:t>
      </w:r>
      <w:r w:rsidR="00721928">
        <w:rPr>
          <w:rStyle w:val="FootnoteReference"/>
        </w:rPr>
        <w:footnoteReference w:id="86"/>
      </w:r>
      <w:r>
        <w:t xml:space="preserve"> </w:t>
      </w:r>
    </w:p>
    <w:p w:rsidR="00915BF6" w:rsidRDefault="00915BF6" w:rsidP="00915BF6">
      <w:pPr>
        <w:pStyle w:val="Heading4"/>
      </w:pPr>
      <w:r>
        <w:t>Discount rate</w:t>
      </w:r>
    </w:p>
    <w:p w:rsidR="00915BF6" w:rsidRDefault="00915BF6" w:rsidP="00915BF6">
      <w:r>
        <w:t>All four of the long-run marginal cost estimation methods rely on a discount rate (or interest rate). The rate is required to calculate the capital recovery factor for the TMC method, and for the net present value calculation for the MIC and AIC techniques.</w:t>
      </w:r>
    </w:p>
    <w:p w:rsidR="00915BF6" w:rsidRDefault="00915BF6" w:rsidP="00915BF6">
      <w:r>
        <w:t>There is limited discussion in the marginal cost pricing literature about the choice of discount rate to apply when calculating long-run marginal cost. The terminology used is generally broad referring to an ‘appropriate interest rate’ or ‘the opportunity cost of capital’.</w:t>
      </w:r>
    </w:p>
    <w:p w:rsidR="00915BF6" w:rsidRDefault="00915BF6" w:rsidP="00915BF6">
      <w:r>
        <w:t xml:space="preserve">Opportunity cost can be broadly defined as the benefit foregone by using a scarce resource for one purpose instead of its next best alternative. </w:t>
      </w:r>
      <w:r w:rsidR="00C04337">
        <w:fldChar w:fldCharType="begin"/>
      </w:r>
      <w:r>
        <w:instrText xml:space="preserve"> ADDIN EN.CITE &lt;EndNote&gt;&lt;Cite&gt;&lt;Author&gt;Gittinger&lt;/Author&gt;&lt;Year&gt;1982&lt;/Year&gt;&lt;RecNum&gt;707&lt;/RecNum&gt;&lt;DisplayText&gt;Gittinger (1982)&lt;/DisplayText&gt;&lt;record&gt;&lt;rec-number&gt;707&lt;/rec-number&gt;&lt;foreign-keys&gt;&lt;key app="EN" db-id="5xwt9zxa6r5fesevwr5xzp97r95ev9wx9zpw" timestamp="1460423989"&gt;707&lt;/key&gt;&lt;/foreign-keys&gt;&lt;ref-type name="Book"&gt;6&lt;/ref-type&gt;&lt;contributors&gt;&lt;authors&gt;&lt;author&gt;Gittinger, J Price&lt;/author&gt;&lt;/authors&gt;&lt;/contributors&gt;&lt;titles&gt;&lt;title&gt;Economic Analysis of Agricultural Projects&lt;/title&gt;&lt;/titles&gt;&lt;number&gt;Second edition&lt;/number&gt;&lt;dates&gt;&lt;year&gt;1982&lt;/year&gt;&lt;/dates&gt;&lt;publisher&gt;Johns Hopkins University Press&lt;/publisher&gt;&lt;urls&gt;&lt;/urls&gt;&lt;/record&gt;&lt;/Cite&gt;&lt;/EndNote&gt;</w:instrText>
      </w:r>
      <w:r w:rsidR="00C04337">
        <w:fldChar w:fldCharType="separate"/>
      </w:r>
      <w:hyperlink w:anchor="_ENREF_31" w:tooltip="Gittinger, 1982 #707" w:history="1">
        <w:r w:rsidR="000F2FEB">
          <w:rPr>
            <w:noProof/>
          </w:rPr>
          <w:t>Gittinger (1982</w:t>
        </w:r>
      </w:hyperlink>
      <w:r>
        <w:rPr>
          <w:noProof/>
        </w:rPr>
        <w:t>)</w:t>
      </w:r>
      <w:r w:rsidR="00C04337">
        <w:fldChar w:fldCharType="end"/>
      </w:r>
      <w:r>
        <w:t>, in the context of determining the discount rate for measuring project worth, defines the opportunity cost of capital as ‘the rate that will result in utilization of all capital in the economy if all possible investments are undertaken that yield that much or more return.’</w:t>
      </w:r>
      <w:r>
        <w:rPr>
          <w:rStyle w:val="FootnoteReference"/>
        </w:rPr>
        <w:footnoteReference w:id="87"/>
      </w:r>
      <w:r>
        <w:t xml:space="preserve"> Gittinger notes, not unexpectedly, that no one knows what the opportunity cost of capital really is. As such, in the interests of practicality, the search turns to a proxy measure.</w:t>
      </w:r>
    </w:p>
    <w:p w:rsidR="00915BF6" w:rsidRDefault="00915BF6" w:rsidP="00915BF6">
      <w:r>
        <w:lastRenderedPageBreak/>
        <w:t>For the purposes of financial analysis, the proxy measure is often the rate at which the business or enterprise is able to borrow money. Alternatively, where the capital to be obtained is a mixture of equity and borrowed capital, the proxy is usually the weighted average of the return required by the equity holder and the borrowing rate. In the public utility context, this is known as the weighted average cost of capital (WACC).</w:t>
      </w:r>
    </w:p>
    <w:p w:rsidR="00915BF6" w:rsidRDefault="00915BF6" w:rsidP="00915BF6">
      <w:r>
        <w:t xml:space="preserve">In Icon Water’s case, the WACC is determined by the regulator and applied over the course of a regulatory period. Currently, </w:t>
      </w:r>
      <w:r w:rsidR="00A7100E">
        <w:t xml:space="preserve">under the substitute price direction, </w:t>
      </w:r>
      <w:r>
        <w:t>Icon Water is subject to a WACC of 7.2 per cent.</w:t>
      </w:r>
      <w:r>
        <w:rPr>
          <w:rStyle w:val="FootnoteReference"/>
        </w:rPr>
        <w:footnoteReference w:id="88"/>
      </w:r>
      <w:r w:rsidR="00BC2E3C">
        <w:t xml:space="preserve"> According to the </w:t>
      </w:r>
      <w:r>
        <w:t>Industry Panel, this is intended to reflect ‘the rate of return investors would earn by investing in another asset of equivalent risk’.</w:t>
      </w:r>
      <w:r>
        <w:rPr>
          <w:rStyle w:val="FootnoteReference"/>
        </w:rPr>
        <w:footnoteReference w:id="89"/>
      </w:r>
    </w:p>
    <w:p w:rsidR="00915BF6" w:rsidRPr="008022B4" w:rsidRDefault="00915BF6" w:rsidP="00915BF6">
      <w:pPr>
        <w:rPr>
          <w:rStyle w:val="HighlightYellow"/>
        </w:rPr>
      </w:pPr>
      <w:r>
        <w:t xml:space="preserve">For the purposes of estimating Icon Water’s marginal costs for this technical paper, the Commission’s view is that it is appropriate to use the WACC as the discount rate where required for calculation purposes. In addition, it would seem sensible to test marginal cost estimates for sensitivity to changes in the WACC.   </w:t>
      </w:r>
    </w:p>
    <w:p w:rsidR="00915BF6" w:rsidRDefault="00915BF6" w:rsidP="00915BF6">
      <w:pPr>
        <w:pStyle w:val="Heading4"/>
      </w:pPr>
      <w:r>
        <w:t>Water network losses</w:t>
      </w:r>
    </w:p>
    <w:p w:rsidR="00915BF6" w:rsidRDefault="00915BF6" w:rsidP="00915BF6">
      <w:r>
        <w:t>The volume of water received by Icon Water’s customers is always less than the amount of water abstracted from ACT dams for that purpose due to network losses from leaking pipes and the like. In its 2013 draft determination report, the Commission used a figure of 8.1 per cent to account for network losses through leakage.</w:t>
      </w:r>
      <w:r>
        <w:rPr>
          <w:rStyle w:val="FootnoteReference"/>
        </w:rPr>
        <w:footnoteReference w:id="90"/>
      </w:r>
      <w:r>
        <w:t xml:space="preserve"> Network losses need to be </w:t>
      </w:r>
      <w:r w:rsidR="00BC6B59">
        <w:t xml:space="preserve">taken into </w:t>
      </w:r>
      <w:r>
        <w:t>account for any costs that are calculated on the basis of water abstracted (rather than consumed by customers), such as the WAC.</w:t>
      </w:r>
    </w:p>
    <w:p w:rsidR="00915BF6" w:rsidRPr="00705D50" w:rsidRDefault="00915BF6" w:rsidP="00915BF6">
      <w:pPr>
        <w:pStyle w:val="Heading4"/>
      </w:pPr>
      <w:r>
        <w:t>Developer charges</w:t>
      </w:r>
    </w:p>
    <w:p w:rsidR="00915BF6" w:rsidRDefault="00915BF6" w:rsidP="00915BF6">
      <w:r>
        <w:t>The Commission raised the issue of developer charges (also known as capital contributions) in the tariff review issues paper.</w:t>
      </w:r>
      <w:r>
        <w:rPr>
          <w:rStyle w:val="FootnoteReference"/>
        </w:rPr>
        <w:footnoteReference w:id="91"/>
      </w:r>
      <w:r>
        <w:t xml:space="preserve"> Such charges are often imposed by water and sewerage service utilities on land developers to recover network augmentation or upgrade costs to the existing network that are required to service a new development. For example, this could include the construction of additional trunk assets such as mains pipelines or water reservoirs.</w:t>
      </w:r>
    </w:p>
    <w:p w:rsidR="00915BF6" w:rsidRPr="00705D50" w:rsidRDefault="00915BF6" w:rsidP="00915BF6">
      <w:r>
        <w:lastRenderedPageBreak/>
        <w:t>Icon Water currently does not have formalised system of levying developer charges.</w:t>
      </w:r>
      <w:r>
        <w:rPr>
          <w:rStyle w:val="FootnoteReference"/>
        </w:rPr>
        <w:footnoteReference w:id="92"/>
      </w:r>
      <w:r>
        <w:t xml:space="preserve"> Nonetheless, should developer charges be introduced at some future time, the interaction between such charges and marginal cost pricing, given that</w:t>
      </w:r>
      <w:r w:rsidRPr="00506BAC">
        <w:t xml:space="preserve"> </w:t>
      </w:r>
      <w:r>
        <w:t xml:space="preserve">the capital cost of future augmentation </w:t>
      </w:r>
      <w:r w:rsidR="0071265B">
        <w:t xml:space="preserve">may </w:t>
      </w:r>
      <w:r>
        <w:t xml:space="preserve">already </w:t>
      </w:r>
      <w:r w:rsidR="0071265B">
        <w:t xml:space="preserve">be </w:t>
      </w:r>
      <w:r>
        <w:t>included in long-run marginal cost estimates, will need to be explored.</w:t>
      </w:r>
      <w:r>
        <w:rPr>
          <w:rStyle w:val="FootnoteReference"/>
        </w:rPr>
        <w:footnoteReference w:id="93"/>
      </w:r>
    </w:p>
    <w:p w:rsidR="00915BF6" w:rsidRDefault="00915BF6" w:rsidP="002B6726">
      <w:pPr>
        <w:pStyle w:val="Heading2"/>
      </w:pPr>
      <w:bookmarkStart w:id="103" w:name="_Toc453920869"/>
      <w:r>
        <w:t>Experience in other jurisdictions</w:t>
      </w:r>
      <w:bookmarkEnd w:id="103"/>
    </w:p>
    <w:p w:rsidR="00915BF6" w:rsidRPr="003231E5" w:rsidRDefault="00915BF6" w:rsidP="00915BF6">
      <w:r>
        <w:t>A number of Australian and overseas economic regulators apply marginal cost pricing techniques when setting prices for regulated water and sewerage businesses.</w:t>
      </w:r>
    </w:p>
    <w:p w:rsidR="00915BF6" w:rsidRPr="007E786D" w:rsidRDefault="00915BF6" w:rsidP="00915BF6">
      <w:pPr>
        <w:pStyle w:val="Heading3"/>
      </w:pPr>
      <w:r>
        <w:t xml:space="preserve">Water </w:t>
      </w:r>
    </w:p>
    <w:p w:rsidR="00915BF6" w:rsidRDefault="00915BF6" w:rsidP="00915BF6">
      <w:pPr>
        <w:pStyle w:val="Heading4"/>
      </w:pPr>
      <w:r>
        <w:t>New South Wales</w:t>
      </w:r>
    </w:p>
    <w:p w:rsidR="00915BF6" w:rsidRDefault="00915BF6" w:rsidP="00915BF6">
      <w:r>
        <w:t>In its review of Sydney Water Corporation’s prices for the 2012 to 2016 regulatory period, the Independent Pricing and Regulatory Tribunal of New South Wales (IPART) noted that it:</w:t>
      </w:r>
    </w:p>
    <w:p w:rsidR="00915BF6" w:rsidRDefault="00915BF6" w:rsidP="00915BF6">
      <w:pPr>
        <w:pStyle w:val="Quote"/>
      </w:pPr>
      <w:r w:rsidRPr="0074374E">
        <w:t>usually set the</w:t>
      </w:r>
      <w:r>
        <w:t xml:space="preserve"> </w:t>
      </w:r>
      <w:r w:rsidRPr="0074374E">
        <w:t>usage price of water for retail customers with reference to the long</w:t>
      </w:r>
      <w:r>
        <w:t>-</w:t>
      </w:r>
      <w:r w:rsidRPr="0074374E">
        <w:t>run marginal cost</w:t>
      </w:r>
      <w:r>
        <w:t xml:space="preserve"> </w:t>
      </w:r>
      <w:r w:rsidRPr="0074374E">
        <w:t>of the next increment of augmentation (LRMC), to provide a price signal of the</w:t>
      </w:r>
      <w:r>
        <w:t xml:space="preserve"> </w:t>
      </w:r>
      <w:r w:rsidRPr="0074374E">
        <w:t>incremental costs of consumption</w:t>
      </w:r>
      <w:r>
        <w:t>’</w:t>
      </w:r>
      <w:r w:rsidRPr="0074374E">
        <w:t>.</w:t>
      </w:r>
      <w:r>
        <w:rPr>
          <w:rStyle w:val="FootnoteReference"/>
        </w:rPr>
        <w:footnoteReference w:id="94"/>
      </w:r>
    </w:p>
    <w:p w:rsidR="00915BF6" w:rsidRDefault="00915BF6" w:rsidP="00915BF6">
      <w:r>
        <w:t>IPART estimated Sydney Water’s long-run marginal cost at between $1.82 and $2.54 per kL, with a mid-point of $2.18 per kL</w:t>
      </w:r>
      <w:r w:rsidRPr="0074374E">
        <w:t>.</w:t>
      </w:r>
      <w:r>
        <w:rPr>
          <w:rStyle w:val="FootnoteReference"/>
        </w:rPr>
        <w:footnoteReference w:id="95"/>
      </w:r>
      <w:r>
        <w:t xml:space="preserve"> In the Hunter Water case, IPART used a long-run marginal cost calculation from a previous determination for reference purposes.</w:t>
      </w:r>
    </w:p>
    <w:p w:rsidR="00915BF6" w:rsidRDefault="00915BF6" w:rsidP="00915BF6">
      <w:pPr>
        <w:pStyle w:val="Heading4"/>
      </w:pPr>
      <w:r>
        <w:t>Tasmania</w:t>
      </w:r>
    </w:p>
    <w:p w:rsidR="00915BF6" w:rsidRDefault="00915BF6" w:rsidP="00915BF6">
      <w:r>
        <w:t>In contrast, the Office of the Tasmanian Economic Regulator (OTTER) determined TasWater’s prices to apply from 1 July 2015 with reference to short-run marginal cost</w:t>
      </w:r>
      <w:r w:rsidRPr="00947D19">
        <w:t xml:space="preserve"> </w:t>
      </w:r>
      <w:r>
        <w:t>estimates, which ranged from $0.29 to $0.45 per kL. More accurately, OTTER agreed to TasWater’s proposal to set the volumetric price above the short-run marginal cost, stating:</w:t>
      </w:r>
    </w:p>
    <w:p w:rsidR="00915BF6" w:rsidRDefault="00915BF6" w:rsidP="00915BF6">
      <w:pPr>
        <w:pStyle w:val="Quote"/>
      </w:pPr>
      <w:r w:rsidRPr="00947D19">
        <w:t>The extent to which variable charges may be set above cost is a matter of</w:t>
      </w:r>
      <w:r>
        <w:t xml:space="preserve"> </w:t>
      </w:r>
      <w:r w:rsidRPr="00947D19">
        <w:t>judgement. It should be noted that setting variable charges at levels above cost</w:t>
      </w:r>
      <w:r>
        <w:t xml:space="preserve"> </w:t>
      </w:r>
      <w:r w:rsidRPr="00947D19">
        <w:t>results in large water users (such as industrial customers, hospitals and schools)</w:t>
      </w:r>
      <w:r>
        <w:t xml:space="preserve"> </w:t>
      </w:r>
      <w:r w:rsidRPr="00947D19">
        <w:t>subsidising low use customers (residences and office blocks). This has the effect of</w:t>
      </w:r>
      <w:r>
        <w:t xml:space="preserve"> </w:t>
      </w:r>
      <w:r w:rsidRPr="00947D19">
        <w:t xml:space="preserve">creating a cross </w:t>
      </w:r>
      <w:r w:rsidRPr="00947D19">
        <w:lastRenderedPageBreak/>
        <w:t>subsidy and is inconsistent with the Pricing Principles in relation to</w:t>
      </w:r>
      <w:r>
        <w:t xml:space="preserve"> </w:t>
      </w:r>
      <w:r w:rsidRPr="00947D19">
        <w:t>cost reflective charging.</w:t>
      </w:r>
      <w:r>
        <w:rPr>
          <w:rStyle w:val="FootnoteReference"/>
        </w:rPr>
        <w:footnoteReference w:id="96"/>
      </w:r>
    </w:p>
    <w:p w:rsidR="00915BF6" w:rsidRPr="00DE5D72" w:rsidRDefault="00915BF6" w:rsidP="00915BF6">
      <w:r w:rsidRPr="00DE5D72">
        <w:t>OTTER decided to set the variable charge at around $1.00</w:t>
      </w:r>
      <w:r>
        <w:t xml:space="preserve"> per </w:t>
      </w:r>
      <w:r w:rsidRPr="00DE5D72">
        <w:t>kL, double the highest short-run marginal cost estimate.</w:t>
      </w:r>
    </w:p>
    <w:p w:rsidR="00915BF6" w:rsidRDefault="00915BF6" w:rsidP="00915BF6">
      <w:pPr>
        <w:pStyle w:val="Heading4"/>
      </w:pPr>
      <w:r>
        <w:t>Western Australia</w:t>
      </w:r>
    </w:p>
    <w:p w:rsidR="00915BF6" w:rsidRDefault="00915BF6" w:rsidP="00915BF6">
      <w:r>
        <w:t>In Western Australia, the Economic Regulatory Authority (ERA) recommended water prices for residential customers in 2013</w:t>
      </w:r>
      <w:r>
        <w:sym w:font="Symbol" w:char="F02D"/>
      </w:r>
      <w:r>
        <w:t>14 be set with reference to long-run marginal cost at the lower estimate ($1.39 per kL), mean estimate ($1.85 per kL), and upper estimate ($2.61 per kL) for the first tier, second tier and third tier usage charges, respectively. Three estimates were derived to account for 'the uncertainty surrounding long-term rainfall patterns and hence infrastructure requirements as well as future levels of demand'.</w:t>
      </w:r>
      <w:r>
        <w:rPr>
          <w:rStyle w:val="FootnoteReference"/>
        </w:rPr>
        <w:footnoteReference w:id="97"/>
      </w:r>
      <w:r>
        <w:t xml:space="preserve"> ERA used the MIC method to calculate long-run marginal cost.</w:t>
      </w:r>
    </w:p>
    <w:p w:rsidR="00915BF6" w:rsidRDefault="00915BF6" w:rsidP="00915BF6">
      <w:pPr>
        <w:pStyle w:val="Heading4"/>
      </w:pPr>
      <w:r>
        <w:t>South Australia</w:t>
      </w:r>
    </w:p>
    <w:p w:rsidR="00915BF6" w:rsidRDefault="00915BF6" w:rsidP="00915BF6">
      <w:r>
        <w:t>The Essential Services Commission of South Australia (ESCOSA) set water usage charges consistent with long-run marginal cost estimates provided by SA Water. In its 2010</w:t>
      </w:r>
      <w:r>
        <w:sym w:font="Symbol" w:char="F02D"/>
      </w:r>
      <w:r>
        <w:t>11 price review, ESCOSA decided to adopt a long-run marginal cost estimate of $2.40 per kL, which was calculated using the AIC approach.</w:t>
      </w:r>
      <w:r>
        <w:rPr>
          <w:rStyle w:val="FootnoteReference"/>
        </w:rPr>
        <w:footnoteReference w:id="98"/>
      </w:r>
      <w:r>
        <w:t xml:space="preserve"> ESCOSA went on to note, however, that while the usage charge for the second tier was now relatively close to the long-run marginal cost estimate, the third tier charge was significantly above the estimate: </w:t>
      </w:r>
    </w:p>
    <w:p w:rsidR="00915BF6" w:rsidRDefault="00915BF6" w:rsidP="00915BF6">
      <w:pPr>
        <w:pStyle w:val="Quote"/>
      </w:pPr>
      <w:r>
        <w:t>If the LRMC provides an accurate reflection of the costs associated with water consumption (including externalities), then there is limited justification for charging prices well in excess of the LRMC. Such an outcome would be likely to lead to an inefficient allocation of resources in terms of customers’ decisions about using water and SA Water’s decisions about investing in infrastructure.</w:t>
      </w:r>
      <w:r>
        <w:rPr>
          <w:rStyle w:val="FootnoteReference"/>
        </w:rPr>
        <w:footnoteReference w:id="99"/>
      </w:r>
    </w:p>
    <w:p w:rsidR="00915BF6" w:rsidRDefault="00915BF6" w:rsidP="00915BF6">
      <w:pPr>
        <w:pStyle w:val="Heading4"/>
      </w:pPr>
      <w:r>
        <w:t>Queensland</w:t>
      </w:r>
    </w:p>
    <w:p w:rsidR="00915BF6" w:rsidRDefault="00915BF6" w:rsidP="00915BF6">
      <w:r>
        <w:t>In its 2000 statement of regulatory pricing principles for the waters sector, the Queensland Competition Authority (QCA) recommended that volumetric water prices be set with reference to long-run marginal cost estimated using the AIC approach.</w:t>
      </w:r>
      <w:r>
        <w:rPr>
          <w:rStyle w:val="FootnoteReference"/>
        </w:rPr>
        <w:footnoteReference w:id="100"/>
      </w:r>
      <w:r>
        <w:t xml:space="preserve">  </w:t>
      </w:r>
    </w:p>
    <w:p w:rsidR="00915BF6" w:rsidRDefault="00915BF6" w:rsidP="00915BF6">
      <w:pPr>
        <w:pStyle w:val="Heading4"/>
      </w:pPr>
      <w:r>
        <w:t>Victoria</w:t>
      </w:r>
    </w:p>
    <w:p w:rsidR="00915BF6" w:rsidRDefault="00915BF6" w:rsidP="00915BF6">
      <w:r>
        <w:t xml:space="preserve">In the case of Melbourne Water, the Essential Services Commission of Victoria (ESC) emphasised the importance of setting volumetric tariffs with reference to long-run </w:t>
      </w:r>
      <w:r>
        <w:lastRenderedPageBreak/>
        <w:t>marginal cost to gain from economic efficiency and to 'provide appropriate signals about the costs associated with future supplies or disposal’.</w:t>
      </w:r>
      <w:r>
        <w:rPr>
          <w:rStyle w:val="FootnoteReference"/>
        </w:rPr>
        <w:footnoteReference w:id="101"/>
      </w:r>
      <w:r>
        <w:t xml:space="preserve"> In its 2016 price review guidance paper, ESC required Melbourne Water to 'describe the relationship between the proposed price and the associated LRMC' in its 2016 price submission.</w:t>
      </w:r>
      <w:r>
        <w:rPr>
          <w:rStyle w:val="FootnoteReference"/>
        </w:rPr>
        <w:footnoteReference w:id="102"/>
      </w:r>
    </w:p>
    <w:p w:rsidR="00915BF6" w:rsidRDefault="00915BF6" w:rsidP="00915BF6">
      <w:pPr>
        <w:pStyle w:val="Heading4"/>
      </w:pPr>
      <w:r>
        <w:t>Overseas</w:t>
      </w:r>
    </w:p>
    <w:p w:rsidR="00915BF6" w:rsidRDefault="00915BF6" w:rsidP="00915BF6">
      <w:r>
        <w:t>Despite its growing popularity in Australia, the international regulatory literature cites only a few practical examples of marginal cost pricing in the water sector. Especially pertinent in this regard includes the Water Services Regulation Authority (OFWAT) in the United Kingdom and</w:t>
      </w:r>
      <w:r w:rsidRPr="00CF4F3C">
        <w:t xml:space="preserve"> </w:t>
      </w:r>
      <w:r>
        <w:t xml:space="preserve">the Canadian Water </w:t>
      </w:r>
      <w:r w:rsidR="00376390">
        <w:t xml:space="preserve">and </w:t>
      </w:r>
      <w:r>
        <w:t>Waste</w:t>
      </w:r>
      <w:r w:rsidR="00376390">
        <w:t>water</w:t>
      </w:r>
      <w:r>
        <w:t xml:space="preserve"> A</w:t>
      </w:r>
      <w:r w:rsidR="009B4837">
        <w:t>ssociation</w:t>
      </w:r>
      <w:r>
        <w:t xml:space="preserve"> (CWWA).</w:t>
      </w:r>
      <w:r w:rsidR="009B4837">
        <w:rPr>
          <w:rStyle w:val="FootnoteReference"/>
        </w:rPr>
        <w:footnoteReference w:id="103"/>
      </w:r>
    </w:p>
    <w:p w:rsidR="00915BF6" w:rsidRDefault="00915BF6" w:rsidP="00915BF6">
      <w:r>
        <w:t>Following a series of reports highlighting the relevance and importance of marginal cost pricing in determining water tariffs in the United Kingdom, OFWAT required water companies in England and Wales to provide annual long-run marginal cost estimates in their price submissions from 2001.</w:t>
      </w:r>
      <w:r>
        <w:rPr>
          <w:rStyle w:val="FootnoteReference"/>
        </w:rPr>
        <w:footnoteReference w:id="104"/>
      </w:r>
      <w:r>
        <w:t xml:space="preserve"> Given the choice between the MIC or AIC approaches, most of the companies opted for AIC. </w:t>
      </w:r>
      <w:r w:rsidR="00C04337">
        <w:fldChar w:fldCharType="begin"/>
      </w:r>
      <w:r>
        <w:instrText xml:space="preserve"> ADDIN EN.CITE &lt;EndNote&gt;&lt;Cite&gt;&lt;Author&gt;NERA&lt;/Author&gt;&lt;Year&gt;2014&lt;/Year&gt;&lt;RecNum&gt;679&lt;/RecNum&gt;&lt;DisplayText&gt;NERA (2014b)&lt;/DisplayText&gt;&lt;record&gt;&lt;rec-number&gt;679&lt;/rec-number&gt;&lt;foreign-keys&gt;&lt;key app="EN" db-id="5xwt9zxa6r5fesevwr5xzp97r95ev9wx9zpw" timestamp="1457654323"&gt;679&lt;/key&gt;&lt;key app="ENWeb" db-id=""&gt;0&lt;/key&gt;&lt;/foreign-keys&gt;&lt;ref-type name="AAA ICRC Water References"&gt;40&lt;/ref-type&gt;&lt;contributors&gt;&lt;authors&gt;&lt;author&gt;NERA,&lt;/author&gt;&lt;/authors&gt;&lt;/contributors&gt;&lt;titles&gt;&lt;title&gt;Incorporating Marginal Costs in Water Supply Tariffs: Prospects for Change&lt;/title&gt;&lt;/titles&gt;&lt;dates&gt;&lt;year&gt;2014&lt;/year&gt;&lt;pub-dates&gt;&lt;date&gt;18 November 2014&lt;/date&gt;&lt;/pub-dates&gt;&lt;/dates&gt;&lt;publisher&gt;NERA&lt;/publisher&gt;&lt;urls&gt;&lt;/urls&gt;&lt;/record&gt;&lt;/Cite&gt;&lt;/EndNote&gt;</w:instrText>
      </w:r>
      <w:r w:rsidR="00C04337">
        <w:fldChar w:fldCharType="separate"/>
      </w:r>
      <w:hyperlink w:anchor="_ENREF_58" w:tooltip="NERA, 2014 #679" w:history="1">
        <w:r w:rsidR="000F2FEB">
          <w:rPr>
            <w:noProof/>
          </w:rPr>
          <w:t>NERA (2014b</w:t>
        </w:r>
      </w:hyperlink>
      <w:r>
        <w:rPr>
          <w:noProof/>
        </w:rPr>
        <w:t>)</w:t>
      </w:r>
      <w:r w:rsidR="00C04337">
        <w:fldChar w:fldCharType="end"/>
      </w:r>
      <w:r>
        <w:t xml:space="preserve"> note that the long-run marginal cost estimates were not used to set prices for customers, partly due to the lack of metering for many household customers.</w:t>
      </w:r>
    </w:p>
    <w:p w:rsidR="00915BF6" w:rsidRPr="00926194" w:rsidRDefault="00915BF6" w:rsidP="00915BF6">
      <w:r>
        <w:t>The CWWA has been promoting the importance of marginal-cost pricing since the 1990s</w:t>
      </w:r>
      <w:r w:rsidR="00966F76">
        <w:t xml:space="preserve"> and published a manual in 1993 that set outs its approach</w:t>
      </w:r>
      <w:r>
        <w:t>.</w:t>
      </w:r>
      <w:r w:rsidR="00966F76">
        <w:rPr>
          <w:rStyle w:val="FootnoteReference"/>
        </w:rPr>
        <w:footnoteReference w:id="105"/>
      </w:r>
      <w:r>
        <w:t xml:space="preserve"> The CWWA has decided to adopt a two-part tariff structure, with the volumetric component based on long-run marginal cost and estimated using the AIC approach.</w:t>
      </w:r>
      <w:r>
        <w:rPr>
          <w:rStyle w:val="FootnoteReference"/>
        </w:rPr>
        <w:footnoteReference w:id="106"/>
      </w:r>
    </w:p>
    <w:p w:rsidR="00915BF6" w:rsidRDefault="00915BF6" w:rsidP="00915BF6">
      <w:pPr>
        <w:pStyle w:val="Heading3"/>
      </w:pPr>
      <w:r>
        <w:t>Sewerage services</w:t>
      </w:r>
    </w:p>
    <w:p w:rsidR="00915BF6" w:rsidRPr="00A97B5E" w:rsidRDefault="00915BF6" w:rsidP="00915BF6">
      <w:r w:rsidRPr="00A97B5E">
        <w:t>The</w:t>
      </w:r>
      <w:r>
        <w:t xml:space="preserve"> application of marginal cost pricing in the provision of sewerage services is more limited than for water as it presupposes a volumetric charge for sewage disposal.</w:t>
      </w:r>
    </w:p>
    <w:p w:rsidR="00915BF6" w:rsidRDefault="00915BF6" w:rsidP="00915BF6">
      <w:pPr>
        <w:pStyle w:val="Heading4"/>
      </w:pPr>
      <w:r>
        <w:t>New South Wales</w:t>
      </w:r>
    </w:p>
    <w:p w:rsidR="00915BF6" w:rsidRDefault="00915BF6" w:rsidP="00915BF6">
      <w:r w:rsidRPr="00503DEA">
        <w:t xml:space="preserve">IPART’s view </w:t>
      </w:r>
      <w:r>
        <w:t xml:space="preserve">on sewerage usage pricing in NSW </w:t>
      </w:r>
      <w:r w:rsidRPr="00503DEA">
        <w:t>is that:</w:t>
      </w:r>
    </w:p>
    <w:p w:rsidR="00915BF6" w:rsidRPr="00503DEA" w:rsidRDefault="00915BF6" w:rsidP="00915BF6">
      <w:pPr>
        <w:pStyle w:val="Quote"/>
      </w:pPr>
      <w:r w:rsidRPr="00503DEA">
        <w:t>SRMC is more applicable for sewerage usage pricing since the current sewerage systems are</w:t>
      </w:r>
      <w:r>
        <w:t xml:space="preserve"> </w:t>
      </w:r>
      <w:r w:rsidRPr="00503DEA">
        <w:t>based around individual sewerage plants that are not interconnected</w:t>
      </w:r>
      <w:r>
        <w:t xml:space="preserve">. </w:t>
      </w:r>
      <w:r w:rsidRPr="00503DEA">
        <w:t>Hunter Water has 18</w:t>
      </w:r>
      <w:r>
        <w:t xml:space="preserve"> </w:t>
      </w:r>
      <w:r w:rsidRPr="00503DEA">
        <w:t>sewerage treatment catchments.</w:t>
      </w:r>
      <w:r>
        <w:rPr>
          <w:rStyle w:val="FootnoteReference"/>
        </w:rPr>
        <w:footnoteReference w:id="107"/>
      </w:r>
    </w:p>
    <w:p w:rsidR="00915BF6" w:rsidRDefault="00915BF6" w:rsidP="00915BF6">
      <w:r w:rsidRPr="00D85DAB">
        <w:lastRenderedPageBreak/>
        <w:t xml:space="preserve">In </w:t>
      </w:r>
      <w:r>
        <w:t xml:space="preserve">its 2012 review of </w:t>
      </w:r>
      <w:r w:rsidRPr="00D85DAB">
        <w:t>Sydney Water</w:t>
      </w:r>
      <w:r>
        <w:t xml:space="preserve"> prices</w:t>
      </w:r>
      <w:r w:rsidRPr="00D85DAB">
        <w:t xml:space="preserve">, IPART </w:t>
      </w:r>
      <w:r>
        <w:t>stated:</w:t>
      </w:r>
    </w:p>
    <w:p w:rsidR="00915BF6" w:rsidRDefault="00915BF6" w:rsidP="00915BF6">
      <w:pPr>
        <w:pStyle w:val="Quote"/>
      </w:pPr>
      <w:r>
        <w:t>To improve cost reflectivity, and send appropriate price signals, we consider that this [sewerage usage] charge should reflect Sydney Water’s short run marginal cost (SRMC) of sewage transportation, treatment and disposal, which is estimated to be $0.23/kL.</w:t>
      </w:r>
      <w:r>
        <w:rPr>
          <w:rStyle w:val="FootnoteReference"/>
        </w:rPr>
        <w:footnoteReference w:id="108"/>
      </w:r>
    </w:p>
    <w:p w:rsidR="00915BF6" w:rsidRDefault="00915BF6" w:rsidP="00915BF6">
      <w:r>
        <w:t>Given that this estimate is much lower than the usage charge prevailing at the time, IPART determined a transition towards this cost over the regulatory period.</w:t>
      </w:r>
    </w:p>
    <w:p w:rsidR="00915BF6" w:rsidRDefault="00915BF6" w:rsidP="00915BF6">
      <w:pPr>
        <w:pStyle w:val="Heading4"/>
      </w:pPr>
      <w:r>
        <w:t>Victoria</w:t>
      </w:r>
    </w:p>
    <w:p w:rsidR="00915BF6" w:rsidRDefault="00915BF6" w:rsidP="00915BF6">
      <w:r w:rsidRPr="0059689C">
        <w:t>In its 2013 price review for metropolitan water businesses, ESC</w:t>
      </w:r>
      <w:r>
        <w:t xml:space="preserve">’s draft decision noted </w:t>
      </w:r>
      <w:r w:rsidRPr="0059689C">
        <w:t xml:space="preserve">that the proposed bulk variable sewerage tariff </w:t>
      </w:r>
      <w:r>
        <w:t xml:space="preserve">proposed </w:t>
      </w:r>
      <w:r w:rsidRPr="0059689C">
        <w:t>by</w:t>
      </w:r>
      <w:r>
        <w:t xml:space="preserve"> </w:t>
      </w:r>
      <w:r w:rsidRPr="0059689C">
        <w:t>Melbourne Water does not reflect the long run marginal cost of providing sewerage</w:t>
      </w:r>
      <w:r>
        <w:t xml:space="preserve"> </w:t>
      </w:r>
      <w:r w:rsidRPr="0059689C">
        <w:t>services</w:t>
      </w:r>
      <w:r>
        <w:t xml:space="preserve">. Melbourne Water was then compelled </w:t>
      </w:r>
      <w:r w:rsidRPr="0059689C">
        <w:t>to resubmit a more cost reflective proposal</w:t>
      </w:r>
      <w:r>
        <w:t xml:space="preserve"> </w:t>
      </w:r>
      <w:r w:rsidRPr="0059689C">
        <w:t>having regard to</w:t>
      </w:r>
      <w:r>
        <w:t xml:space="preserve"> </w:t>
      </w:r>
      <w:r w:rsidRPr="0059689C">
        <w:t>long run marginal cost.</w:t>
      </w:r>
      <w:r>
        <w:rPr>
          <w:rStyle w:val="FootnoteReference"/>
        </w:rPr>
        <w:footnoteReference w:id="109"/>
      </w:r>
      <w:r>
        <w:t xml:space="preserve"> In its final decision, ESC approved the revised variable charges on the basis that they reasonably reflect long-run marginal cost.</w:t>
      </w:r>
      <w:r>
        <w:rPr>
          <w:rStyle w:val="FootnoteReference"/>
        </w:rPr>
        <w:footnoteReference w:id="110"/>
      </w:r>
    </w:p>
    <w:p w:rsidR="00915BF6" w:rsidRDefault="00915BF6" w:rsidP="00915BF6"/>
    <w:p w:rsidR="00915BF6" w:rsidRDefault="00915BF6" w:rsidP="00915BF6"/>
    <w:p w:rsidR="00915BF6" w:rsidRPr="001A5979" w:rsidRDefault="00915BF6" w:rsidP="00915BF6"/>
    <w:p w:rsidR="00A75EF5" w:rsidRDefault="00A75EF5" w:rsidP="008A1C91">
      <w:pPr>
        <w:pStyle w:val="References"/>
      </w:pPr>
    </w:p>
    <w:p w:rsidR="00A27A1C" w:rsidRDefault="00A27A1C" w:rsidP="00A27A1C">
      <w:pPr>
        <w:pStyle w:val="References"/>
      </w:pPr>
    </w:p>
    <w:p w:rsidR="00A27A1C" w:rsidRDefault="00A27A1C" w:rsidP="00A27A1C">
      <w:pPr>
        <w:pStyle w:val="References"/>
        <w:sectPr w:rsidR="00A27A1C" w:rsidSect="00756B97">
          <w:headerReference w:type="even" r:id="rId49"/>
          <w:headerReference w:type="default" r:id="rId50"/>
          <w:endnotePr>
            <w:numFmt w:val="decimal"/>
          </w:endnotePr>
          <w:type w:val="continuous"/>
          <w:pgSz w:w="11907" w:h="16840" w:code="9"/>
          <w:pgMar w:top="2268" w:right="2098" w:bottom="1701" w:left="2098" w:header="578" w:footer="578" w:gutter="0"/>
          <w:cols w:space="720"/>
          <w:docGrid w:linePitch="299"/>
        </w:sectPr>
      </w:pPr>
    </w:p>
    <w:p w:rsidR="00E86BCC" w:rsidRDefault="00AD4CD0" w:rsidP="00E86BCC">
      <w:pPr>
        <w:pStyle w:val="Heading1"/>
        <w:sectPr w:rsidR="00E86BCC" w:rsidSect="00FD0141">
          <w:headerReference w:type="even" r:id="rId51"/>
          <w:headerReference w:type="default" r:id="rId52"/>
          <w:endnotePr>
            <w:numFmt w:val="decimal"/>
          </w:endnotePr>
          <w:type w:val="oddPage"/>
          <w:pgSz w:w="11907" w:h="16840" w:code="9"/>
          <w:pgMar w:top="2268" w:right="2098" w:bottom="1701" w:left="2098" w:header="578" w:footer="578" w:gutter="0"/>
          <w:cols w:space="720"/>
          <w:noEndnote/>
          <w:docGrid w:linePitch="299"/>
        </w:sectPr>
      </w:pPr>
      <w:bookmarkStart w:id="104" w:name="_Ref433615233"/>
      <w:bookmarkStart w:id="105" w:name="_Ref448321586"/>
      <w:bookmarkStart w:id="106" w:name="_Toc453920870"/>
      <w:r>
        <w:lastRenderedPageBreak/>
        <w:t>M</w:t>
      </w:r>
      <w:r w:rsidR="00A701EC">
        <w:t>arginal cost</w:t>
      </w:r>
      <w:bookmarkEnd w:id="104"/>
      <w:r w:rsidR="00A701EC">
        <w:t xml:space="preserve"> </w:t>
      </w:r>
      <w:r w:rsidR="00CB7AFB">
        <w:t xml:space="preserve">of water </w:t>
      </w:r>
      <w:r w:rsidR="00A701EC">
        <w:t>in the ACT</w:t>
      </w:r>
      <w:bookmarkEnd w:id="105"/>
      <w:bookmarkEnd w:id="106"/>
    </w:p>
    <w:p w:rsidR="0009621D" w:rsidRDefault="0009621D" w:rsidP="002B6726">
      <w:pPr>
        <w:pStyle w:val="Heading2"/>
      </w:pPr>
      <w:bookmarkStart w:id="107" w:name="_Toc453920871"/>
      <w:bookmarkStart w:id="108" w:name="_Ref448819516"/>
      <w:r>
        <w:lastRenderedPageBreak/>
        <w:t>The water network</w:t>
      </w:r>
      <w:bookmarkEnd w:id="107"/>
    </w:p>
    <w:p w:rsidR="0073093F" w:rsidRDefault="0073093F" w:rsidP="00C61946">
      <w:r>
        <w:t>The ACT water network comprises a number of dams, water treatment plants and a reticulation system.</w:t>
      </w:r>
      <w:r>
        <w:rPr>
          <w:rStyle w:val="FootnoteReference"/>
        </w:rPr>
        <w:footnoteReference w:id="111"/>
      </w:r>
    </w:p>
    <w:p w:rsidR="00C61946" w:rsidRPr="00020E9C" w:rsidRDefault="0074722C" w:rsidP="00C61946">
      <w:pPr>
        <w:rPr>
          <w:szCs w:val="22"/>
        </w:rPr>
      </w:pPr>
      <w:r>
        <w:t>The ACT has</w:t>
      </w:r>
      <w:r w:rsidR="00C61946" w:rsidRPr="008E1127">
        <w:rPr>
          <w:szCs w:val="22"/>
        </w:rPr>
        <w:t xml:space="preserve"> four major </w:t>
      </w:r>
      <w:r w:rsidR="00C61946">
        <w:rPr>
          <w:szCs w:val="22"/>
        </w:rPr>
        <w:t xml:space="preserve">water </w:t>
      </w:r>
      <w:r w:rsidR="00C61946" w:rsidRPr="008E1127">
        <w:rPr>
          <w:szCs w:val="22"/>
        </w:rPr>
        <w:t xml:space="preserve">storages. These are </w:t>
      </w:r>
      <w:r w:rsidR="00C61946">
        <w:rPr>
          <w:szCs w:val="22"/>
        </w:rPr>
        <w:t xml:space="preserve">the </w:t>
      </w:r>
      <w:r w:rsidR="00C61946" w:rsidRPr="008E1127">
        <w:rPr>
          <w:szCs w:val="22"/>
        </w:rPr>
        <w:t>three dams to the west of Canberra</w:t>
      </w:r>
      <w:r w:rsidR="00C61946">
        <w:rPr>
          <w:szCs w:val="22"/>
        </w:rPr>
        <w:t xml:space="preserve"> on the Cotter River</w:t>
      </w:r>
      <w:r w:rsidR="00C61946" w:rsidRPr="008E1127">
        <w:rPr>
          <w:szCs w:val="22"/>
        </w:rPr>
        <w:t xml:space="preserve">; Corin Dam, Bendora Dam and Cotter Dam; and Googong Dam to the east of Canberra </w:t>
      </w:r>
      <w:r w:rsidR="00C61946">
        <w:rPr>
          <w:szCs w:val="22"/>
        </w:rPr>
        <w:t>on the Queanbeyan River</w:t>
      </w:r>
      <w:r w:rsidR="00C61946" w:rsidRPr="008E1127">
        <w:rPr>
          <w:szCs w:val="22"/>
        </w:rPr>
        <w:t>.</w:t>
      </w:r>
      <w:r w:rsidR="00C61946">
        <w:rPr>
          <w:szCs w:val="22"/>
        </w:rPr>
        <w:t xml:space="preserve"> The current </w:t>
      </w:r>
      <w:r w:rsidR="00C61946" w:rsidRPr="00020E9C">
        <w:rPr>
          <w:szCs w:val="22"/>
        </w:rPr>
        <w:t>total</w:t>
      </w:r>
      <w:r w:rsidR="000D5FEC">
        <w:rPr>
          <w:szCs w:val="22"/>
        </w:rPr>
        <w:t xml:space="preserve"> </w:t>
      </w:r>
      <w:r w:rsidR="00C61946" w:rsidRPr="00020E9C">
        <w:rPr>
          <w:szCs w:val="22"/>
        </w:rPr>
        <w:t>storage capacity is</w:t>
      </w:r>
      <w:r w:rsidR="000D5FEC">
        <w:rPr>
          <w:szCs w:val="22"/>
        </w:rPr>
        <w:t xml:space="preserve"> about</w:t>
      </w:r>
      <w:r w:rsidR="00C61946" w:rsidRPr="00020E9C">
        <w:rPr>
          <w:szCs w:val="22"/>
        </w:rPr>
        <w:t xml:space="preserve"> 2</w:t>
      </w:r>
      <w:r w:rsidR="002915CE">
        <w:rPr>
          <w:szCs w:val="22"/>
        </w:rPr>
        <w:t>78</w:t>
      </w:r>
      <w:r w:rsidR="00C61946">
        <w:rPr>
          <w:szCs w:val="22"/>
        </w:rPr>
        <w:t> </w:t>
      </w:r>
      <w:r w:rsidR="00864942">
        <w:rPr>
          <w:szCs w:val="22"/>
        </w:rPr>
        <w:t>gigalitres (</w:t>
      </w:r>
      <w:r w:rsidR="00C61946" w:rsidRPr="00020E9C">
        <w:rPr>
          <w:szCs w:val="22"/>
        </w:rPr>
        <w:t>GL</w:t>
      </w:r>
      <w:r w:rsidR="00864942">
        <w:rPr>
          <w:szCs w:val="22"/>
        </w:rPr>
        <w:t>)</w:t>
      </w:r>
      <w:r w:rsidR="00C61946" w:rsidRPr="00020E9C">
        <w:rPr>
          <w:szCs w:val="22"/>
        </w:rPr>
        <w:t xml:space="preserve">. </w:t>
      </w:r>
      <w:r w:rsidR="00C201ED">
        <w:rPr>
          <w:szCs w:val="22"/>
        </w:rPr>
        <w:t xml:space="preserve">In addition, </w:t>
      </w:r>
      <w:r w:rsidR="00C201ED" w:rsidRPr="00F81B4B">
        <w:t>Icon Water can also draw water from two pump stations located on the upper Murrumbidgee River.</w:t>
      </w:r>
      <w:r w:rsidR="00C201ED">
        <w:t xml:space="preserve"> W</w:t>
      </w:r>
      <w:r w:rsidR="00C201ED" w:rsidRPr="00F81B4B">
        <w:t xml:space="preserve">ater can </w:t>
      </w:r>
      <w:r w:rsidR="00C201ED">
        <w:t xml:space="preserve">also </w:t>
      </w:r>
      <w:r w:rsidR="00C201ED" w:rsidRPr="00F81B4B">
        <w:t>be released to the river from Snowy Hydro’s Tantangara Reservoir and transferred to Googong Dam via the Murrumbidgee to Googong pipeline.</w:t>
      </w:r>
    </w:p>
    <w:p w:rsidR="006F18A4" w:rsidRPr="00E33D9E" w:rsidRDefault="006F18A4" w:rsidP="006F18A4">
      <w:pPr>
        <w:pStyle w:val="FigureName"/>
      </w:pPr>
      <w:bookmarkStart w:id="109" w:name="_Toc453920907"/>
      <w:r w:rsidRPr="00E33D9E">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4</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1</w:t>
      </w:r>
      <w:r w:rsidR="00C04337" w:rsidRPr="00E33D9E">
        <w:fldChar w:fldCharType="end"/>
      </w:r>
      <w:r w:rsidRPr="00E33D9E">
        <w:tab/>
      </w:r>
      <w:r w:rsidR="001C00BE">
        <w:t>Icon Water dam storage capacity and levels</w:t>
      </w:r>
      <w:bookmarkEnd w:id="109"/>
    </w:p>
    <w:p w:rsidR="006F18A4" w:rsidRDefault="00C96156" w:rsidP="006F18A4">
      <w:r w:rsidRPr="00C96156">
        <w:rPr>
          <w:noProof/>
          <w:lang w:val="en-AU" w:eastAsia="en-AU"/>
        </w:rPr>
        <w:t xml:space="preserve"> </w:t>
      </w:r>
      <w:r>
        <w:rPr>
          <w:noProof/>
          <w:lang w:val="en-AU" w:eastAsia="en-AU"/>
        </w:rPr>
        <w:drawing>
          <wp:inline distT="0" distB="0" distL="0" distR="0">
            <wp:extent cx="4896485" cy="3192145"/>
            <wp:effectExtent l="0" t="0" r="18415"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F18A4" w:rsidRDefault="006F18A4" w:rsidP="006F18A4">
      <w:pPr>
        <w:pStyle w:val="TableNotesLast"/>
      </w:pPr>
      <w:r>
        <w:t>Source:</w:t>
      </w:r>
      <w:r>
        <w:tab/>
      </w:r>
      <w:r w:rsidRPr="006F18A4">
        <w:t>https://www.iconwater.com.au/Water-and-Sewerage-System/Dams/Water-Storage-Levels.aspx</w:t>
      </w:r>
      <w:r>
        <w:t>.</w:t>
      </w:r>
    </w:p>
    <w:p w:rsidR="006F18A4" w:rsidRDefault="001563AA" w:rsidP="0009621D">
      <w:pPr>
        <w:rPr>
          <w:szCs w:val="22"/>
        </w:rPr>
      </w:pPr>
      <w:r w:rsidRPr="008E1127">
        <w:rPr>
          <w:szCs w:val="22"/>
        </w:rPr>
        <w:t xml:space="preserve">The ACT has two </w:t>
      </w:r>
      <w:r>
        <w:rPr>
          <w:szCs w:val="22"/>
        </w:rPr>
        <w:t xml:space="preserve">main </w:t>
      </w:r>
      <w:r w:rsidRPr="008E1127">
        <w:rPr>
          <w:szCs w:val="22"/>
        </w:rPr>
        <w:t>treatment plants</w:t>
      </w:r>
      <w:r>
        <w:rPr>
          <w:szCs w:val="22"/>
        </w:rPr>
        <w:t xml:space="preserve"> that treat water from the various storages to the required potable standard before supply to consumers.</w:t>
      </w:r>
      <w:r w:rsidRPr="008E1127">
        <w:rPr>
          <w:szCs w:val="22"/>
        </w:rPr>
        <w:t xml:space="preserve"> The first is Mt Stromlo</w:t>
      </w:r>
      <w:r>
        <w:rPr>
          <w:szCs w:val="22"/>
        </w:rPr>
        <w:t>,</w:t>
      </w:r>
      <w:r w:rsidRPr="008E1127">
        <w:rPr>
          <w:szCs w:val="22"/>
        </w:rPr>
        <w:t xml:space="preserve"> which treats the water from the dams to the west of Canberra</w:t>
      </w:r>
      <w:r>
        <w:rPr>
          <w:szCs w:val="22"/>
        </w:rPr>
        <w:t xml:space="preserve">. The </w:t>
      </w:r>
      <w:r w:rsidRPr="008E1127">
        <w:rPr>
          <w:szCs w:val="22"/>
        </w:rPr>
        <w:t xml:space="preserve">second is located at the base of </w:t>
      </w:r>
      <w:r>
        <w:rPr>
          <w:szCs w:val="22"/>
        </w:rPr>
        <w:t xml:space="preserve">the </w:t>
      </w:r>
      <w:r w:rsidRPr="008E1127">
        <w:rPr>
          <w:szCs w:val="22"/>
        </w:rPr>
        <w:t>Googong Dam.</w:t>
      </w:r>
      <w:r>
        <w:rPr>
          <w:szCs w:val="22"/>
        </w:rPr>
        <w:t xml:space="preserve"> W</w:t>
      </w:r>
      <w:r w:rsidRPr="00503DA5">
        <w:rPr>
          <w:szCs w:val="22"/>
        </w:rPr>
        <w:t xml:space="preserve">ater from the various dams is piped to the ACT’s </w:t>
      </w:r>
      <w:r w:rsidRPr="00503DA5">
        <w:rPr>
          <w:szCs w:val="22"/>
        </w:rPr>
        <w:lastRenderedPageBreak/>
        <w:t>water treatment plants when required for usage.</w:t>
      </w:r>
      <w:r>
        <w:rPr>
          <w:szCs w:val="22"/>
        </w:rPr>
        <w:t xml:space="preserve"> </w:t>
      </w:r>
      <w:r w:rsidRPr="008E1127">
        <w:rPr>
          <w:szCs w:val="22"/>
        </w:rPr>
        <w:t xml:space="preserve">Water from the treatment plants is transferred to </w:t>
      </w:r>
      <w:r>
        <w:rPr>
          <w:szCs w:val="22"/>
        </w:rPr>
        <w:t xml:space="preserve">the 46 </w:t>
      </w:r>
      <w:r w:rsidRPr="008E1127">
        <w:rPr>
          <w:szCs w:val="22"/>
        </w:rPr>
        <w:t xml:space="preserve">local </w:t>
      </w:r>
      <w:r>
        <w:rPr>
          <w:szCs w:val="22"/>
        </w:rPr>
        <w:t>reservoirs</w:t>
      </w:r>
      <w:r w:rsidRPr="008E1127">
        <w:rPr>
          <w:szCs w:val="22"/>
        </w:rPr>
        <w:t>, via the reticulation network, where it is stored until required by ACT water users.</w:t>
      </w:r>
    </w:p>
    <w:p w:rsidR="002B042D" w:rsidRDefault="00C04337" w:rsidP="0009621D">
      <w:pPr>
        <w:rPr>
          <w:szCs w:val="22"/>
        </w:rPr>
      </w:pPr>
      <w:r>
        <w:rPr>
          <w:szCs w:val="22"/>
        </w:rPr>
        <w:fldChar w:fldCharType="begin"/>
      </w:r>
      <w:r w:rsidR="002B042D">
        <w:rPr>
          <w:szCs w:val="22"/>
        </w:rPr>
        <w:instrText xml:space="preserve"> REF _Ref449432131 \h </w:instrText>
      </w:r>
      <w:r>
        <w:rPr>
          <w:szCs w:val="22"/>
        </w:rPr>
      </w:r>
      <w:r>
        <w:rPr>
          <w:szCs w:val="22"/>
        </w:rPr>
        <w:fldChar w:fldCharType="separate"/>
      </w:r>
      <w:r w:rsidR="00027D28" w:rsidRPr="00E33D9E">
        <w:t xml:space="preserve">Figure </w:t>
      </w:r>
      <w:r w:rsidR="00027D28">
        <w:rPr>
          <w:noProof/>
        </w:rPr>
        <w:t>4</w:t>
      </w:r>
      <w:r w:rsidR="00027D28" w:rsidRPr="00E33D9E">
        <w:t>.</w:t>
      </w:r>
      <w:r w:rsidR="00027D28">
        <w:rPr>
          <w:noProof/>
        </w:rPr>
        <w:t>2</w:t>
      </w:r>
      <w:r>
        <w:rPr>
          <w:szCs w:val="22"/>
        </w:rPr>
        <w:fldChar w:fldCharType="end"/>
      </w:r>
      <w:r w:rsidR="002B042D">
        <w:rPr>
          <w:szCs w:val="22"/>
        </w:rPr>
        <w:t xml:space="preserve"> shows </w:t>
      </w:r>
      <w:r w:rsidR="00092930">
        <w:rPr>
          <w:szCs w:val="22"/>
        </w:rPr>
        <w:t xml:space="preserve">Icon Water </w:t>
      </w:r>
      <w:r w:rsidR="002B042D">
        <w:rPr>
          <w:szCs w:val="22"/>
        </w:rPr>
        <w:t xml:space="preserve">dam releases and </w:t>
      </w:r>
      <w:r w:rsidR="00092930">
        <w:rPr>
          <w:szCs w:val="22"/>
        </w:rPr>
        <w:t xml:space="preserve">ACT </w:t>
      </w:r>
      <w:r w:rsidR="002B042D">
        <w:rPr>
          <w:szCs w:val="22"/>
        </w:rPr>
        <w:t>billed consumption over the last 15 years</w:t>
      </w:r>
      <w:r w:rsidR="00C50C1A">
        <w:rPr>
          <w:szCs w:val="22"/>
        </w:rPr>
        <w:t>. The difference between the two data series is due to network losses and bulk water provided to Quean</w:t>
      </w:r>
      <w:r w:rsidR="00C433FD">
        <w:rPr>
          <w:szCs w:val="22"/>
        </w:rPr>
        <w:t>beyan City Council.</w:t>
      </w:r>
      <w:r w:rsidR="00C50C1A">
        <w:rPr>
          <w:szCs w:val="22"/>
        </w:rPr>
        <w:t xml:space="preserve">   </w:t>
      </w:r>
      <w:r w:rsidR="002B042D">
        <w:rPr>
          <w:szCs w:val="22"/>
        </w:rPr>
        <w:t xml:space="preserve"> </w:t>
      </w:r>
    </w:p>
    <w:p w:rsidR="00430A7C" w:rsidRPr="00E33D9E" w:rsidRDefault="00430A7C" w:rsidP="00430A7C">
      <w:pPr>
        <w:pStyle w:val="FigureName"/>
      </w:pPr>
      <w:bookmarkStart w:id="110" w:name="_Ref449432131"/>
      <w:bookmarkStart w:id="111" w:name="_Toc453920908"/>
      <w:r w:rsidRPr="00E33D9E">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4</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2</w:t>
      </w:r>
      <w:r w:rsidR="00C04337" w:rsidRPr="00E33D9E">
        <w:fldChar w:fldCharType="end"/>
      </w:r>
      <w:bookmarkEnd w:id="110"/>
      <w:r w:rsidRPr="00E33D9E">
        <w:tab/>
      </w:r>
      <w:r>
        <w:t xml:space="preserve">Icon Water dam </w:t>
      </w:r>
      <w:r w:rsidR="00B052EB">
        <w:t>releases and billed consumption, 2000 to 2015</w:t>
      </w:r>
      <w:bookmarkEnd w:id="111"/>
    </w:p>
    <w:p w:rsidR="00430A7C" w:rsidRDefault="00217904" w:rsidP="00430A7C">
      <w:r>
        <w:rPr>
          <w:noProof/>
          <w:lang w:val="en-AU" w:eastAsia="en-AU"/>
        </w:rPr>
        <w:drawing>
          <wp:inline distT="0" distB="0" distL="0" distR="0">
            <wp:extent cx="4896485" cy="3192145"/>
            <wp:effectExtent l="0" t="0" r="18415" b="825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30A7C" w:rsidRDefault="00430A7C" w:rsidP="00430A7C">
      <w:pPr>
        <w:pStyle w:val="TableNotesLast"/>
      </w:pPr>
      <w:r>
        <w:t>Source:</w:t>
      </w:r>
      <w:r>
        <w:tab/>
        <w:t>Icon Water.</w:t>
      </w:r>
    </w:p>
    <w:p w:rsidR="00AB6A0C" w:rsidRDefault="00AB6A0C" w:rsidP="002B6726">
      <w:pPr>
        <w:pStyle w:val="Heading2"/>
      </w:pPr>
      <w:bookmarkStart w:id="112" w:name="_Toc453920872"/>
      <w:r>
        <w:t>Short-run marginal cost</w:t>
      </w:r>
      <w:bookmarkEnd w:id="108"/>
      <w:r w:rsidR="00DC783B">
        <w:t xml:space="preserve"> estimate</w:t>
      </w:r>
      <w:bookmarkEnd w:id="112"/>
    </w:p>
    <w:p w:rsidR="00AB6A0C" w:rsidRDefault="00AB6A0C" w:rsidP="00AB6A0C">
      <w:r>
        <w:t>For the purposes of this paper, the short-run marginal cost of water is taken to comprise the following:</w:t>
      </w:r>
    </w:p>
    <w:p w:rsidR="00AB6A0C" w:rsidRDefault="00AB6A0C" w:rsidP="00AB6A0C">
      <w:pPr>
        <w:pStyle w:val="Bullet"/>
      </w:pPr>
      <w:r>
        <w:t xml:space="preserve">operating cost </w:t>
      </w:r>
      <w:r>
        <w:sym w:font="Symbol" w:char="F02D"/>
      </w:r>
      <w:r>
        <w:t xml:space="preserve"> the pumping and treatment costs required to deliver an additional kilolitre of water from Icon’s</w:t>
      </w:r>
      <w:r w:rsidR="008841D5">
        <w:t xml:space="preserve"> supply sources to the customer, which </w:t>
      </w:r>
      <w:r>
        <w:t>varies by water source; and</w:t>
      </w:r>
    </w:p>
    <w:p w:rsidR="00AB6A0C" w:rsidRDefault="00AB6A0C" w:rsidP="00AB6A0C">
      <w:pPr>
        <w:pStyle w:val="BulletLast"/>
      </w:pPr>
      <w:r>
        <w:t xml:space="preserve">the WAC </w:t>
      </w:r>
      <w:r>
        <w:sym w:font="Symbol" w:char="F02D"/>
      </w:r>
      <w:r>
        <w:t xml:space="preserve"> the $0.55 per kL charge levied by the ACT Government on water abstracted for urban supply purposes.</w:t>
      </w:r>
      <w:r>
        <w:rPr>
          <w:rStyle w:val="FootnoteReference"/>
        </w:rPr>
        <w:footnoteReference w:id="112"/>
      </w:r>
      <w:r>
        <w:t xml:space="preserve"> </w:t>
      </w:r>
    </w:p>
    <w:p w:rsidR="00AB6A0C" w:rsidRDefault="00AB6A0C" w:rsidP="00AB6A0C">
      <w:r>
        <w:lastRenderedPageBreak/>
        <w:t xml:space="preserve">The operating costs associated with supplying an additional kilolitre of water to customers in the ACT, primarily energy costs for pumping and chemical costs for treatment, varies significantly depending on the supply source. The three main sources of supply are Bendora Dam, Cotter Dam and Googong Dam. The estimated operating cost by source, </w:t>
      </w:r>
      <w:r w:rsidR="00112254">
        <w:t xml:space="preserve">as </w:t>
      </w:r>
      <w:r>
        <w:t xml:space="preserve">shown in </w:t>
      </w:r>
      <w:r w:rsidR="00C04337">
        <w:fldChar w:fldCharType="begin"/>
      </w:r>
      <w:r>
        <w:instrText xml:space="preserve"> REF _Ref448326935 \h </w:instrText>
      </w:r>
      <w:r w:rsidR="00C04337">
        <w:fldChar w:fldCharType="separate"/>
      </w:r>
      <w:r w:rsidR="00027D28" w:rsidRPr="003C3AEA">
        <w:t>Table</w:t>
      </w:r>
      <w:r w:rsidR="00027D28">
        <w:t xml:space="preserve"> </w:t>
      </w:r>
      <w:r w:rsidR="00027D28">
        <w:rPr>
          <w:noProof/>
        </w:rPr>
        <w:t>4</w:t>
      </w:r>
      <w:r w:rsidR="00027D28">
        <w:t>.</w:t>
      </w:r>
      <w:r w:rsidR="00027D28">
        <w:rPr>
          <w:noProof/>
        </w:rPr>
        <w:t>1</w:t>
      </w:r>
      <w:r w:rsidR="00C04337">
        <w:fldChar w:fldCharType="end"/>
      </w:r>
      <w:r w:rsidR="00112254">
        <w:t xml:space="preserve"> and </w:t>
      </w:r>
      <w:r w:rsidR="00C04337">
        <w:fldChar w:fldCharType="begin"/>
      </w:r>
      <w:r w:rsidR="00112254">
        <w:instrText xml:space="preserve"> REF _Ref448843767 \h </w:instrText>
      </w:r>
      <w:r w:rsidR="00C04337">
        <w:fldChar w:fldCharType="separate"/>
      </w:r>
      <w:r w:rsidR="00027D28" w:rsidRPr="00E33D9E">
        <w:t xml:space="preserve">Figure </w:t>
      </w:r>
      <w:r w:rsidR="00027D28">
        <w:rPr>
          <w:noProof/>
        </w:rPr>
        <w:t>4</w:t>
      </w:r>
      <w:r w:rsidR="00027D28" w:rsidRPr="00E33D9E">
        <w:t>.</w:t>
      </w:r>
      <w:r w:rsidR="00027D28">
        <w:rPr>
          <w:noProof/>
        </w:rPr>
        <w:t>3</w:t>
      </w:r>
      <w:r w:rsidR="00C04337">
        <w:fldChar w:fldCharType="end"/>
      </w:r>
      <w:r>
        <w:t xml:space="preserve">, ranges from $0.07 per kL for Bendora to $0.25 per kL for Cotter.  </w:t>
      </w:r>
    </w:p>
    <w:p w:rsidR="00AB6A0C" w:rsidRDefault="00AB6A0C" w:rsidP="00AB6A0C">
      <w:pPr>
        <w:pStyle w:val="FigureName"/>
        <w:keepNext/>
      </w:pPr>
      <w:bookmarkStart w:id="113" w:name="_Ref448326935"/>
      <w:bookmarkStart w:id="114" w:name="_Toc453920894"/>
      <w:r w:rsidRPr="003C3AEA">
        <w:t>Table</w:t>
      </w:r>
      <w:r>
        <w:t xml:space="preserve"> </w:t>
      </w:r>
      <w:r w:rsidR="00C04337">
        <w:fldChar w:fldCharType="begin"/>
      </w:r>
      <w:r>
        <w:instrText xml:space="preserve"> STYLEREF 1 \s </w:instrText>
      </w:r>
      <w:r w:rsidR="00C04337">
        <w:fldChar w:fldCharType="separate"/>
      </w:r>
      <w:r w:rsidR="00027D28">
        <w:rPr>
          <w:noProof/>
        </w:rPr>
        <w:t>4</w:t>
      </w:r>
      <w:r w:rsidR="00C04337">
        <w:fldChar w:fldCharType="end"/>
      </w:r>
      <w:r>
        <w:t>.</w:t>
      </w:r>
      <w:r w:rsidR="00C04337">
        <w:fldChar w:fldCharType="begin"/>
      </w:r>
      <w:r>
        <w:instrText xml:space="preserve"> SEQ Table \* ARABIC \s 1 </w:instrText>
      </w:r>
      <w:r w:rsidR="00C04337">
        <w:fldChar w:fldCharType="separate"/>
      </w:r>
      <w:r w:rsidR="00027D28">
        <w:rPr>
          <w:noProof/>
        </w:rPr>
        <w:t>1</w:t>
      </w:r>
      <w:r w:rsidR="00C04337">
        <w:fldChar w:fldCharType="end"/>
      </w:r>
      <w:bookmarkEnd w:id="113"/>
      <w:r>
        <w:tab/>
        <w:t xml:space="preserve">Estimated short-run marginal cost </w:t>
      </w:r>
      <w:r w:rsidR="00734FC0">
        <w:t xml:space="preserve">of water </w:t>
      </w:r>
      <w:r>
        <w:t>by supply source, current prices</w:t>
      </w:r>
      <w:r>
        <w:rPr>
          <w:rStyle w:val="FootnoteReference"/>
        </w:rPr>
        <w:footnoteReference w:id="113"/>
      </w:r>
      <w:bookmarkEnd w:id="114"/>
    </w:p>
    <w:tbl>
      <w:tblPr>
        <w:tblW w:w="3681" w:type="pct"/>
        <w:tblBorders>
          <w:top w:val="single" w:sz="12" w:space="0" w:color="333399"/>
          <w:bottom w:val="single" w:sz="12" w:space="0" w:color="333399"/>
        </w:tblBorders>
        <w:tblCellMar>
          <w:left w:w="115" w:type="dxa"/>
          <w:right w:w="115" w:type="dxa"/>
        </w:tblCellMar>
        <w:tblLook w:val="0000"/>
      </w:tblPr>
      <w:tblGrid>
        <w:gridCol w:w="2146"/>
        <w:gridCol w:w="1675"/>
        <w:gridCol w:w="2025"/>
      </w:tblGrid>
      <w:tr w:rsidR="00AB6A0C" w:rsidRPr="00144F8C" w:rsidTr="007B2A0D">
        <w:trPr>
          <w:cantSplit/>
        </w:trPr>
        <w:tc>
          <w:tcPr>
            <w:tcW w:w="1835"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AB6A0C" w:rsidRPr="00347ADB" w:rsidRDefault="00AB6A0C" w:rsidP="00AB6A0C">
            <w:pPr>
              <w:pStyle w:val="TableHeadingLeft"/>
              <w:keepNext/>
            </w:pPr>
            <w:r>
              <w:t>Source</w:t>
            </w:r>
          </w:p>
        </w:tc>
        <w:tc>
          <w:tcPr>
            <w:tcW w:w="1433"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AB6A0C" w:rsidRDefault="00AB6A0C" w:rsidP="00AB6A0C">
            <w:pPr>
              <w:pStyle w:val="TableHeadingRight"/>
              <w:keepNext/>
            </w:pPr>
            <w:r>
              <w:t>Operating cost</w:t>
            </w:r>
          </w:p>
          <w:p w:rsidR="00AB6A0C" w:rsidRPr="00347ADB" w:rsidRDefault="00AB6A0C" w:rsidP="00AB6A0C">
            <w:pPr>
              <w:pStyle w:val="TableTextRight"/>
              <w:keepNext/>
            </w:pPr>
            <w:r>
              <w:t>($ per kL)</w:t>
            </w:r>
          </w:p>
        </w:tc>
        <w:tc>
          <w:tcPr>
            <w:tcW w:w="1732" w:type="pct"/>
            <w:tcBorders>
              <w:top w:val="single" w:sz="12" w:space="0" w:color="1F497D" w:themeColor="text2"/>
              <w:left w:val="nil"/>
              <w:bottom w:val="single" w:sz="8" w:space="0" w:color="1F497D" w:themeColor="text2"/>
              <w:right w:val="nil"/>
            </w:tcBorders>
            <w:shd w:val="clear" w:color="auto" w:fill="DBE5F1" w:themeFill="accent1" w:themeFillTint="33"/>
          </w:tcPr>
          <w:p w:rsidR="00AB6A0C" w:rsidRDefault="00AB6A0C" w:rsidP="00AB6A0C">
            <w:pPr>
              <w:pStyle w:val="TableHeadingRight"/>
              <w:keepNext/>
            </w:pPr>
            <w:r>
              <w:t>Short-run marginal cost</w:t>
            </w:r>
          </w:p>
          <w:p w:rsidR="00AB6A0C" w:rsidRDefault="00AB6A0C" w:rsidP="00AB6A0C">
            <w:pPr>
              <w:pStyle w:val="TableTextRight"/>
              <w:keepNext/>
            </w:pPr>
            <w:r>
              <w:t>($ per kL)</w:t>
            </w:r>
          </w:p>
        </w:tc>
      </w:tr>
      <w:tr w:rsidR="00AB6A0C" w:rsidRPr="00144F8C" w:rsidTr="007B2A0D">
        <w:trPr>
          <w:cantSplit/>
        </w:trPr>
        <w:tc>
          <w:tcPr>
            <w:tcW w:w="1835" w:type="pct"/>
            <w:tcBorders>
              <w:top w:val="nil"/>
              <w:left w:val="nil"/>
              <w:bottom w:val="nil"/>
              <w:right w:val="nil"/>
            </w:tcBorders>
          </w:tcPr>
          <w:p w:rsidR="00AB6A0C" w:rsidRPr="00DD58D7" w:rsidRDefault="00AB6A0C" w:rsidP="00AB6A0C">
            <w:pPr>
              <w:pStyle w:val="TableTextLeft"/>
              <w:keepNext/>
            </w:pPr>
            <w:r>
              <w:t>Bendora Dam</w:t>
            </w:r>
          </w:p>
        </w:tc>
        <w:tc>
          <w:tcPr>
            <w:tcW w:w="1433" w:type="pct"/>
            <w:tcBorders>
              <w:top w:val="nil"/>
              <w:left w:val="nil"/>
              <w:bottom w:val="nil"/>
              <w:right w:val="nil"/>
            </w:tcBorders>
          </w:tcPr>
          <w:p w:rsidR="00AB6A0C" w:rsidRPr="00F34EDE" w:rsidRDefault="00AB6A0C" w:rsidP="00AB6A0C">
            <w:pPr>
              <w:pStyle w:val="TableTextRight"/>
              <w:keepNext/>
            </w:pPr>
            <w:r w:rsidRPr="00F34EDE">
              <w:t xml:space="preserve"> 0.07 </w:t>
            </w:r>
          </w:p>
        </w:tc>
        <w:tc>
          <w:tcPr>
            <w:tcW w:w="1732" w:type="pct"/>
            <w:tcBorders>
              <w:top w:val="nil"/>
              <w:left w:val="nil"/>
              <w:bottom w:val="nil"/>
              <w:right w:val="nil"/>
            </w:tcBorders>
          </w:tcPr>
          <w:p w:rsidR="00AB6A0C" w:rsidRPr="00ED1732" w:rsidRDefault="00AB6A0C" w:rsidP="00AB6A0C">
            <w:pPr>
              <w:pStyle w:val="TableTextRight"/>
              <w:keepNext/>
              <w:rPr>
                <w:b/>
              </w:rPr>
            </w:pPr>
            <w:r w:rsidRPr="00ED1732">
              <w:rPr>
                <w:b/>
              </w:rPr>
              <w:t xml:space="preserve"> 0.62 </w:t>
            </w:r>
          </w:p>
        </w:tc>
      </w:tr>
      <w:tr w:rsidR="00AB6A0C" w:rsidRPr="00144F8C" w:rsidTr="007B2A0D">
        <w:trPr>
          <w:cantSplit/>
        </w:trPr>
        <w:tc>
          <w:tcPr>
            <w:tcW w:w="1835" w:type="pct"/>
            <w:tcBorders>
              <w:top w:val="nil"/>
              <w:left w:val="nil"/>
              <w:bottom w:val="nil"/>
              <w:right w:val="nil"/>
            </w:tcBorders>
          </w:tcPr>
          <w:p w:rsidR="00AB6A0C" w:rsidRPr="00DD58D7" w:rsidRDefault="00AB6A0C" w:rsidP="00AB6A0C">
            <w:pPr>
              <w:pStyle w:val="TableTextLeft"/>
              <w:keepNext/>
            </w:pPr>
            <w:r>
              <w:t>Cotter Dam</w:t>
            </w:r>
          </w:p>
        </w:tc>
        <w:tc>
          <w:tcPr>
            <w:tcW w:w="1433" w:type="pct"/>
            <w:tcBorders>
              <w:top w:val="nil"/>
              <w:left w:val="nil"/>
              <w:bottom w:val="nil"/>
              <w:right w:val="nil"/>
            </w:tcBorders>
          </w:tcPr>
          <w:p w:rsidR="00AB6A0C" w:rsidRPr="00F34EDE" w:rsidRDefault="00AB6A0C" w:rsidP="00AB6A0C">
            <w:pPr>
              <w:pStyle w:val="TableTextRight"/>
              <w:keepNext/>
            </w:pPr>
            <w:r w:rsidRPr="00F34EDE">
              <w:t xml:space="preserve"> 0.25 </w:t>
            </w:r>
          </w:p>
        </w:tc>
        <w:tc>
          <w:tcPr>
            <w:tcW w:w="1732" w:type="pct"/>
            <w:tcBorders>
              <w:top w:val="nil"/>
              <w:left w:val="nil"/>
              <w:bottom w:val="nil"/>
              <w:right w:val="nil"/>
            </w:tcBorders>
          </w:tcPr>
          <w:p w:rsidR="00AB6A0C" w:rsidRPr="00ED1732" w:rsidRDefault="00AB6A0C" w:rsidP="00AB6A0C">
            <w:pPr>
              <w:pStyle w:val="TableTextRight"/>
              <w:keepNext/>
              <w:rPr>
                <w:b/>
              </w:rPr>
            </w:pPr>
            <w:r w:rsidRPr="00ED1732">
              <w:rPr>
                <w:b/>
              </w:rPr>
              <w:t xml:space="preserve"> 0.80 </w:t>
            </w:r>
          </w:p>
        </w:tc>
      </w:tr>
      <w:tr w:rsidR="00AB6A0C" w:rsidRPr="00144F8C" w:rsidTr="007B2A0D">
        <w:trPr>
          <w:cantSplit/>
          <w:trHeight w:val="318"/>
        </w:trPr>
        <w:tc>
          <w:tcPr>
            <w:tcW w:w="1835" w:type="pct"/>
            <w:tcBorders>
              <w:top w:val="nil"/>
              <w:left w:val="nil"/>
              <w:bottom w:val="nil"/>
              <w:right w:val="nil"/>
            </w:tcBorders>
          </w:tcPr>
          <w:p w:rsidR="00AB6A0C" w:rsidRPr="00A40501" w:rsidRDefault="00AB6A0C" w:rsidP="00AB6A0C">
            <w:pPr>
              <w:pStyle w:val="TableTextLeft"/>
              <w:keepNext/>
            </w:pPr>
            <w:r>
              <w:t>Googong</w:t>
            </w:r>
          </w:p>
        </w:tc>
        <w:tc>
          <w:tcPr>
            <w:tcW w:w="1433" w:type="pct"/>
            <w:tcBorders>
              <w:top w:val="nil"/>
              <w:left w:val="nil"/>
              <w:bottom w:val="nil"/>
              <w:right w:val="nil"/>
            </w:tcBorders>
          </w:tcPr>
          <w:p w:rsidR="00AB6A0C" w:rsidRPr="00F34EDE" w:rsidRDefault="00AB6A0C" w:rsidP="00AB6A0C">
            <w:pPr>
              <w:pStyle w:val="TableTextRight"/>
              <w:keepNext/>
            </w:pPr>
            <w:r w:rsidRPr="00F34EDE">
              <w:t xml:space="preserve"> 0.18 </w:t>
            </w:r>
          </w:p>
        </w:tc>
        <w:tc>
          <w:tcPr>
            <w:tcW w:w="1732" w:type="pct"/>
            <w:tcBorders>
              <w:top w:val="nil"/>
              <w:left w:val="nil"/>
              <w:bottom w:val="nil"/>
              <w:right w:val="nil"/>
            </w:tcBorders>
          </w:tcPr>
          <w:p w:rsidR="00AB6A0C" w:rsidRPr="00ED1732" w:rsidRDefault="00AB6A0C" w:rsidP="00AB6A0C">
            <w:pPr>
              <w:pStyle w:val="TableTextRight"/>
              <w:keepNext/>
              <w:rPr>
                <w:b/>
              </w:rPr>
            </w:pPr>
            <w:r w:rsidRPr="00ED1732">
              <w:rPr>
                <w:b/>
              </w:rPr>
              <w:t xml:space="preserve"> 0.73 </w:t>
            </w:r>
          </w:p>
        </w:tc>
      </w:tr>
      <w:tr w:rsidR="00AB6A0C" w:rsidRPr="00144F8C" w:rsidTr="007B2A0D">
        <w:trPr>
          <w:cantSplit/>
          <w:trHeight w:val="318"/>
        </w:trPr>
        <w:tc>
          <w:tcPr>
            <w:tcW w:w="1835" w:type="pct"/>
            <w:tcBorders>
              <w:top w:val="nil"/>
              <w:left w:val="nil"/>
              <w:bottom w:val="nil"/>
              <w:right w:val="nil"/>
            </w:tcBorders>
          </w:tcPr>
          <w:p w:rsidR="00AB6A0C" w:rsidRPr="00A40501" w:rsidRDefault="00AB6A0C" w:rsidP="00AB6A0C">
            <w:pPr>
              <w:pStyle w:val="TableTextLeft"/>
              <w:keepNext/>
            </w:pPr>
            <w:r>
              <w:t>Murrumbidgee via Stromlo</w:t>
            </w:r>
          </w:p>
        </w:tc>
        <w:tc>
          <w:tcPr>
            <w:tcW w:w="1433" w:type="pct"/>
            <w:tcBorders>
              <w:top w:val="nil"/>
              <w:left w:val="nil"/>
              <w:bottom w:val="nil"/>
              <w:right w:val="nil"/>
            </w:tcBorders>
          </w:tcPr>
          <w:p w:rsidR="00AB6A0C" w:rsidRPr="00F34EDE" w:rsidRDefault="00AB6A0C" w:rsidP="00AB6A0C">
            <w:pPr>
              <w:pStyle w:val="TableTextRight"/>
              <w:keepNext/>
            </w:pPr>
            <w:r w:rsidRPr="00F34EDE">
              <w:t xml:space="preserve"> 0.29 </w:t>
            </w:r>
          </w:p>
        </w:tc>
        <w:tc>
          <w:tcPr>
            <w:tcW w:w="1732" w:type="pct"/>
            <w:tcBorders>
              <w:top w:val="nil"/>
              <w:left w:val="nil"/>
              <w:bottom w:val="nil"/>
              <w:right w:val="nil"/>
            </w:tcBorders>
          </w:tcPr>
          <w:p w:rsidR="00AB6A0C" w:rsidRPr="00ED1732" w:rsidRDefault="00AB6A0C" w:rsidP="00AB6A0C">
            <w:pPr>
              <w:pStyle w:val="TableTextRight"/>
              <w:keepNext/>
              <w:rPr>
                <w:b/>
              </w:rPr>
            </w:pPr>
            <w:r w:rsidRPr="00ED1732">
              <w:rPr>
                <w:b/>
              </w:rPr>
              <w:t xml:space="preserve"> 0.84 </w:t>
            </w:r>
          </w:p>
        </w:tc>
      </w:tr>
      <w:tr w:rsidR="00AB6A0C" w:rsidRPr="00144F8C" w:rsidTr="007B2A0D">
        <w:trPr>
          <w:cantSplit/>
          <w:trHeight w:val="200"/>
        </w:trPr>
        <w:tc>
          <w:tcPr>
            <w:tcW w:w="1835" w:type="pct"/>
            <w:tcBorders>
              <w:top w:val="nil"/>
              <w:left w:val="nil"/>
              <w:bottom w:val="nil"/>
              <w:right w:val="nil"/>
            </w:tcBorders>
          </w:tcPr>
          <w:p w:rsidR="00AB6A0C" w:rsidRPr="00A40501" w:rsidRDefault="00AB6A0C" w:rsidP="00AB6A0C">
            <w:pPr>
              <w:pStyle w:val="TableTextLeft"/>
              <w:keepNext/>
            </w:pPr>
            <w:r>
              <w:t>Murrumbidgee via Googong</w:t>
            </w:r>
          </w:p>
        </w:tc>
        <w:tc>
          <w:tcPr>
            <w:tcW w:w="1433" w:type="pct"/>
            <w:tcBorders>
              <w:top w:val="nil"/>
              <w:left w:val="nil"/>
              <w:bottom w:val="nil"/>
              <w:right w:val="nil"/>
            </w:tcBorders>
          </w:tcPr>
          <w:p w:rsidR="00AB6A0C" w:rsidRPr="00F34EDE" w:rsidRDefault="00AB6A0C" w:rsidP="00AB6A0C">
            <w:pPr>
              <w:pStyle w:val="TableTextRight"/>
              <w:keepNext/>
            </w:pPr>
            <w:r w:rsidRPr="00F34EDE">
              <w:t xml:space="preserve"> 0.28 </w:t>
            </w:r>
          </w:p>
        </w:tc>
        <w:tc>
          <w:tcPr>
            <w:tcW w:w="1732" w:type="pct"/>
            <w:tcBorders>
              <w:top w:val="nil"/>
              <w:left w:val="nil"/>
              <w:bottom w:val="nil"/>
              <w:right w:val="nil"/>
            </w:tcBorders>
          </w:tcPr>
          <w:p w:rsidR="00AB6A0C" w:rsidRPr="00ED1732" w:rsidRDefault="00AB6A0C" w:rsidP="00AB6A0C">
            <w:pPr>
              <w:pStyle w:val="TableTextRight"/>
              <w:keepNext/>
              <w:rPr>
                <w:b/>
              </w:rPr>
            </w:pPr>
            <w:r w:rsidRPr="00ED1732">
              <w:rPr>
                <w:b/>
              </w:rPr>
              <w:t xml:space="preserve"> 0.83 </w:t>
            </w:r>
          </w:p>
        </w:tc>
      </w:tr>
      <w:tr w:rsidR="0018159D" w:rsidRPr="00144F8C" w:rsidTr="007B2A0D">
        <w:trPr>
          <w:cantSplit/>
        </w:trPr>
        <w:tc>
          <w:tcPr>
            <w:tcW w:w="1835" w:type="pct"/>
            <w:tcBorders>
              <w:top w:val="nil"/>
              <w:left w:val="nil"/>
              <w:bottom w:val="single" w:sz="12" w:space="0" w:color="1F497D" w:themeColor="text2"/>
              <w:right w:val="nil"/>
            </w:tcBorders>
          </w:tcPr>
          <w:p w:rsidR="0018159D" w:rsidRPr="00A40501" w:rsidRDefault="0018159D" w:rsidP="0018159D">
            <w:pPr>
              <w:pStyle w:val="TableTextLeft"/>
              <w:keepNext/>
            </w:pPr>
            <w:r>
              <w:t>Tantangara via Googong</w:t>
            </w:r>
          </w:p>
        </w:tc>
        <w:tc>
          <w:tcPr>
            <w:tcW w:w="1433" w:type="pct"/>
            <w:tcBorders>
              <w:top w:val="nil"/>
              <w:left w:val="nil"/>
              <w:bottom w:val="single" w:sz="12" w:space="0" w:color="1F497D" w:themeColor="text2"/>
              <w:right w:val="nil"/>
            </w:tcBorders>
          </w:tcPr>
          <w:p w:rsidR="0018159D" w:rsidRDefault="0018159D" w:rsidP="0018159D">
            <w:pPr>
              <w:pStyle w:val="TableTextRight"/>
              <w:keepNext/>
            </w:pPr>
            <w:r w:rsidRPr="00F34EDE">
              <w:t xml:space="preserve"> 0.88 </w:t>
            </w:r>
          </w:p>
        </w:tc>
        <w:tc>
          <w:tcPr>
            <w:tcW w:w="1732" w:type="pct"/>
            <w:tcBorders>
              <w:top w:val="nil"/>
              <w:left w:val="nil"/>
              <w:bottom w:val="single" w:sz="12" w:space="0" w:color="1F497D" w:themeColor="text2"/>
              <w:right w:val="nil"/>
            </w:tcBorders>
          </w:tcPr>
          <w:p w:rsidR="0018159D" w:rsidRPr="00ED1732" w:rsidRDefault="0018159D" w:rsidP="0018159D">
            <w:pPr>
              <w:pStyle w:val="TableTextRight"/>
              <w:keepNext/>
              <w:rPr>
                <w:b/>
              </w:rPr>
            </w:pPr>
            <w:r w:rsidRPr="00ED1732">
              <w:rPr>
                <w:b/>
              </w:rPr>
              <w:t xml:space="preserve"> 1.43 </w:t>
            </w:r>
          </w:p>
        </w:tc>
      </w:tr>
    </w:tbl>
    <w:p w:rsidR="00AB6A0C" w:rsidRDefault="00AB6A0C" w:rsidP="00AB6A0C">
      <w:pPr>
        <w:pStyle w:val="TableNotesLast"/>
        <w:keepNext/>
      </w:pPr>
      <w:r>
        <w:t>Source:</w:t>
      </w:r>
      <w:r>
        <w:tab/>
      </w:r>
      <w:r w:rsidR="00C04337">
        <w:fldChar w:fldCharType="begin"/>
      </w:r>
      <w:r>
        <w:instrText xml:space="preserve"> ADDIN EN.CITE &lt;EndNote&gt;&lt;Cite&gt;&lt;Author&gt;Icon Water&lt;/Author&gt;&lt;Year&gt;2016&lt;/Year&gt;&lt;RecNum&gt;708&lt;/RecNum&gt;&lt;DisplayText&gt;Icon Water (2016)&lt;/DisplayText&gt;&lt;record&gt;&lt;rec-number&gt;708&lt;/rec-number&gt;&lt;foreign-keys&gt;&lt;key app="EN" db-id="5xwt9zxa6r5fesevwr5xzp97r95ev9wx9zpw" timestamp="1460437894"&gt;708&lt;/key&gt;&lt;/foreign-keys&gt;&lt;ref-type name="AAA ICRC Water References"&gt;40&lt;/ref-type&gt;&lt;contributors&gt;&lt;authors&gt;&lt;author&gt;Icon Water,&lt;/author&gt;&lt;/authors&gt;&lt;/contributors&gt;&lt;titles&gt;&lt;title&gt;Marginal cost information return&lt;/title&gt;&lt;/titles&gt;&lt;dates&gt;&lt;year&gt;2016&lt;/year&gt;&lt;pub-dates&gt;&lt;date&gt;8 April 2016&lt;/date&gt;&lt;/pub-dates&gt;&lt;/dates&gt;&lt;publisher&gt;Icon Water&lt;/publisher&gt;&lt;urls&gt;&lt;/urls&gt;&lt;/record&gt;&lt;/Cite&gt;&lt;/EndNote&gt;</w:instrText>
      </w:r>
      <w:r w:rsidR="00C04337">
        <w:fldChar w:fldCharType="separate"/>
      </w:r>
      <w:hyperlink w:anchor="_ENREF_39" w:tooltip="Icon Water, 2016 #708" w:history="1">
        <w:r w:rsidR="000F2FEB">
          <w:rPr>
            <w:noProof/>
          </w:rPr>
          <w:t>Icon Water (2016</w:t>
        </w:r>
      </w:hyperlink>
      <w:r>
        <w:rPr>
          <w:noProof/>
        </w:rPr>
        <w:t>)</w:t>
      </w:r>
      <w:r w:rsidR="00C04337">
        <w:fldChar w:fldCharType="end"/>
      </w:r>
      <w:r>
        <w:t>.</w:t>
      </w:r>
    </w:p>
    <w:p w:rsidR="00AB6A0C" w:rsidRPr="00AB6A0C" w:rsidRDefault="00AB6A0C" w:rsidP="00AB6A0C">
      <w:r>
        <w:t>Bendora is the cheapest delivery source as, given its elevation, no pumping costs are involved as the water is gravity fed to the Mt Stromlo water treatment plant. When the WAC is added, short-run marginal cost estimates range from $0.62 per kL for Bendora to $0.80 per kL for Cotter. As far as the supply options that could be employed during times of prolonged water shortages, the Tantangara option is the most expensive at about $1.43 per kL, more than twice the cost of Bendora.</w:t>
      </w:r>
    </w:p>
    <w:p w:rsidR="00AB6A0C" w:rsidRPr="00E33D9E" w:rsidRDefault="00AB6A0C" w:rsidP="006B3F7D">
      <w:pPr>
        <w:pStyle w:val="FigureName"/>
      </w:pPr>
      <w:bookmarkStart w:id="115" w:name="_Ref448843767"/>
      <w:bookmarkStart w:id="116" w:name="_Toc453920909"/>
      <w:r w:rsidRPr="00E33D9E">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4</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3</w:t>
      </w:r>
      <w:r w:rsidR="00C04337" w:rsidRPr="00E33D9E">
        <w:fldChar w:fldCharType="end"/>
      </w:r>
      <w:bookmarkEnd w:id="115"/>
      <w:r w:rsidRPr="00E33D9E">
        <w:tab/>
      </w:r>
      <w:r>
        <w:t xml:space="preserve">Short-run marginal cost </w:t>
      </w:r>
      <w:r w:rsidR="0076509F">
        <w:t xml:space="preserve">of water </w:t>
      </w:r>
      <w:r>
        <w:t>by component and supply source, current prices</w:t>
      </w:r>
      <w:bookmarkEnd w:id="116"/>
    </w:p>
    <w:p w:rsidR="00AB6A0C" w:rsidRDefault="001006FD" w:rsidP="006B3F7D">
      <w:r>
        <w:rPr>
          <w:noProof/>
          <w:lang w:val="en-AU" w:eastAsia="en-AU"/>
        </w:rPr>
        <w:drawing>
          <wp:inline distT="0" distB="0" distL="0" distR="0">
            <wp:extent cx="4644958" cy="2222770"/>
            <wp:effectExtent l="0" t="0" r="3810" b="63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B6A0C" w:rsidRDefault="00AB6A0C" w:rsidP="006B3F7D">
      <w:pPr>
        <w:pStyle w:val="TableNotesLast"/>
      </w:pPr>
      <w:r>
        <w:t>Source:</w:t>
      </w:r>
      <w:r>
        <w:tab/>
      </w:r>
      <w:r w:rsidR="00C04337">
        <w:fldChar w:fldCharType="begin"/>
      </w:r>
      <w:r>
        <w:instrText xml:space="preserve"> ADDIN EN.CITE &lt;EndNote&gt;&lt;Cite&gt;&lt;Author&gt;Icon Water&lt;/Author&gt;&lt;Year&gt;2016&lt;/Year&gt;&lt;RecNum&gt;708&lt;/RecNum&gt;&lt;DisplayText&gt;Icon Water (2016)&lt;/DisplayText&gt;&lt;record&gt;&lt;rec-number&gt;708&lt;/rec-number&gt;&lt;foreign-keys&gt;&lt;key app="EN" db-id="5xwt9zxa6r5fesevwr5xzp97r95ev9wx9zpw" timestamp="1460437894"&gt;708&lt;/key&gt;&lt;/foreign-keys&gt;&lt;ref-type name="AAA ICRC Water References"&gt;40&lt;/ref-type&gt;&lt;contributors&gt;&lt;authors&gt;&lt;author&gt;Icon Water,&lt;/author&gt;&lt;/authors&gt;&lt;/contributors&gt;&lt;titles&gt;&lt;title&gt;Marginal cost information return&lt;/title&gt;&lt;/titles&gt;&lt;dates&gt;&lt;year&gt;2016&lt;/year&gt;&lt;pub-dates&gt;&lt;date&gt;8 April 2016&lt;/date&gt;&lt;/pub-dates&gt;&lt;/dates&gt;&lt;publisher&gt;Icon Water&lt;/publisher&gt;&lt;urls&gt;&lt;/urls&gt;&lt;/record&gt;&lt;/Cite&gt;&lt;/EndNote&gt;</w:instrText>
      </w:r>
      <w:r w:rsidR="00C04337">
        <w:fldChar w:fldCharType="separate"/>
      </w:r>
      <w:hyperlink w:anchor="_ENREF_39" w:tooltip="Icon Water, 2016 #708" w:history="1">
        <w:r w:rsidR="000F2FEB">
          <w:rPr>
            <w:noProof/>
          </w:rPr>
          <w:t>Icon Water (2016</w:t>
        </w:r>
      </w:hyperlink>
      <w:r>
        <w:rPr>
          <w:noProof/>
        </w:rPr>
        <w:t>)</w:t>
      </w:r>
      <w:r w:rsidR="00C04337">
        <w:fldChar w:fldCharType="end"/>
      </w:r>
      <w:r>
        <w:t>.</w:t>
      </w:r>
    </w:p>
    <w:p w:rsidR="00A83C9B" w:rsidRDefault="00AB6A0C" w:rsidP="006B3F7D">
      <w:r>
        <w:lastRenderedPageBreak/>
        <w:t xml:space="preserve">Applying equation (1) from section </w:t>
      </w:r>
      <w:r w:rsidR="00C04337">
        <w:fldChar w:fldCharType="begin"/>
      </w:r>
      <w:r>
        <w:instrText xml:space="preserve"> REF _Ref448839342 \r \h </w:instrText>
      </w:r>
      <w:r w:rsidR="00C04337">
        <w:fldChar w:fldCharType="separate"/>
      </w:r>
      <w:r w:rsidR="00027D28">
        <w:t>3.3.1</w:t>
      </w:r>
      <w:r w:rsidR="00C04337">
        <w:fldChar w:fldCharType="end"/>
      </w:r>
      <w:r>
        <w:t xml:space="preserve"> to the baseline scenario for the AIC calculation</w:t>
      </w:r>
      <w:r w:rsidR="00D6603A">
        <w:t xml:space="preserve"> </w:t>
      </w:r>
      <w:r w:rsidR="00E35AF9">
        <w:t>(</w:t>
      </w:r>
      <w:r w:rsidR="00D6603A">
        <w:t xml:space="preserve">discussed in section </w:t>
      </w:r>
      <w:r w:rsidR="00C04337">
        <w:fldChar w:fldCharType="begin"/>
      </w:r>
      <w:r w:rsidR="00D6603A">
        <w:instrText xml:space="preserve"> REF _Ref448906850 \r \h </w:instrText>
      </w:r>
      <w:r w:rsidR="00C04337">
        <w:fldChar w:fldCharType="separate"/>
      </w:r>
      <w:r w:rsidR="00027D28">
        <w:t>4.3</w:t>
      </w:r>
      <w:r w:rsidR="00C04337">
        <w:fldChar w:fldCharType="end"/>
      </w:r>
      <w:r w:rsidR="00E35AF9">
        <w:t xml:space="preserve"> below)</w:t>
      </w:r>
      <w:r>
        <w:t xml:space="preserve">, gives a short-run cost marginal cost estimate across the supply sources modelled in use of about </w:t>
      </w:r>
      <w:r w:rsidRPr="00683DF7">
        <w:t>$0.</w:t>
      </w:r>
      <w:r w:rsidR="00683DF7" w:rsidRPr="00683DF7">
        <w:t>72</w:t>
      </w:r>
      <w:r>
        <w:t xml:space="preserve"> per kL</w:t>
      </w:r>
      <w:r w:rsidR="00121552">
        <w:t xml:space="preserve"> of water delivered to ACT customers</w:t>
      </w:r>
      <w:r>
        <w:t>.</w:t>
      </w:r>
      <w:r>
        <w:rPr>
          <w:rStyle w:val="FootnoteReference"/>
        </w:rPr>
        <w:footnoteReference w:id="114"/>
      </w:r>
    </w:p>
    <w:p w:rsidR="00AB6A0C" w:rsidRDefault="00DC783B" w:rsidP="002B6726">
      <w:pPr>
        <w:pStyle w:val="Heading2"/>
      </w:pPr>
      <w:bookmarkStart w:id="117" w:name="_Ref448906850"/>
      <w:bookmarkStart w:id="118" w:name="_Toc453920873"/>
      <w:r>
        <w:t>Water supply and demand modelling</w:t>
      </w:r>
      <w:bookmarkEnd w:id="117"/>
      <w:bookmarkEnd w:id="118"/>
    </w:p>
    <w:p w:rsidR="00AB6A0C" w:rsidRDefault="008C3816" w:rsidP="008C3816">
      <w:pPr>
        <w:pStyle w:val="Heading3"/>
      </w:pPr>
      <w:r>
        <w:t>Introduction</w:t>
      </w:r>
    </w:p>
    <w:p w:rsidR="00E86649" w:rsidRDefault="00822F23" w:rsidP="00CA0552">
      <w:r>
        <w:t xml:space="preserve">In order to sensibly calculate the </w:t>
      </w:r>
      <w:r w:rsidR="00B11DA4">
        <w:t xml:space="preserve">long-run </w:t>
      </w:r>
      <w:r>
        <w:t xml:space="preserve">marginal cost </w:t>
      </w:r>
      <w:r w:rsidR="007606A0">
        <w:t xml:space="preserve">of water in the ACT, it is necessary </w:t>
      </w:r>
      <w:r w:rsidR="004519EC">
        <w:t xml:space="preserve">first </w:t>
      </w:r>
      <w:r w:rsidR="007606A0">
        <w:t>to forecast when the next capacity augmentation is likely to be required. In the ACT</w:t>
      </w:r>
      <w:r w:rsidR="00BA551F">
        <w:t xml:space="preserve"> context</w:t>
      </w:r>
      <w:r w:rsidR="007606A0">
        <w:t>, this means modelling the future urban water supply and demand balance against the ACT Government’s water security objective of less than 1 year in 20 in temporary water restrictions</w:t>
      </w:r>
      <w:r w:rsidR="0067463A">
        <w:t>.</w:t>
      </w:r>
      <w:r w:rsidR="008D1475">
        <w:rPr>
          <w:rStyle w:val="FootnoteReference"/>
        </w:rPr>
        <w:footnoteReference w:id="115"/>
      </w:r>
      <w:r w:rsidR="00E86649">
        <w:t xml:space="preserve"> </w:t>
      </w:r>
      <w:r w:rsidR="00815BB8">
        <w:t>For this exercise, t</w:t>
      </w:r>
      <w:r w:rsidR="00E86649">
        <w:t xml:space="preserve">he Commission has, as it did for the secondary water review in 2012, </w:t>
      </w:r>
      <w:r w:rsidR="00815BB8">
        <w:t xml:space="preserve">relied on Icon Water’s water supply and demand model. </w:t>
      </w:r>
      <w:r w:rsidR="00BF2A88" w:rsidRPr="003A05AD">
        <w:rPr>
          <w:lang w:val="en-AU"/>
        </w:rPr>
        <w:t xml:space="preserve">The Commission </w:t>
      </w:r>
      <w:r w:rsidR="00BF2A88">
        <w:rPr>
          <w:lang w:val="en-AU"/>
        </w:rPr>
        <w:t>thanks</w:t>
      </w:r>
      <w:r w:rsidR="00BF2A88" w:rsidRPr="003A05AD">
        <w:rPr>
          <w:lang w:val="en-AU"/>
        </w:rPr>
        <w:t xml:space="preserve"> </w:t>
      </w:r>
      <w:r w:rsidR="00BF2A88">
        <w:rPr>
          <w:lang w:val="en-AU"/>
        </w:rPr>
        <w:t>Icon Water for running the model on the Commission’s behalf</w:t>
      </w:r>
      <w:r w:rsidR="00AD3A4C">
        <w:rPr>
          <w:lang w:val="en-AU"/>
        </w:rPr>
        <w:t>.</w:t>
      </w:r>
    </w:p>
    <w:p w:rsidR="0072170B" w:rsidRDefault="00577E18" w:rsidP="00CA0552">
      <w:r>
        <w:t>Armed with the supply and demand modelling results, attention</w:t>
      </w:r>
      <w:r w:rsidR="00BA551F">
        <w:t xml:space="preserve"> can then </w:t>
      </w:r>
      <w:r>
        <w:t xml:space="preserve">turn to </w:t>
      </w:r>
      <w:r w:rsidR="00141DD0">
        <w:t>estimat</w:t>
      </w:r>
      <w:r>
        <w:t>ing</w:t>
      </w:r>
      <w:r w:rsidR="00141DD0">
        <w:t xml:space="preserve"> </w:t>
      </w:r>
      <w:r w:rsidR="00BA551F">
        <w:t xml:space="preserve">the </w:t>
      </w:r>
      <w:r w:rsidR="00141DD0">
        <w:t xml:space="preserve">relevant </w:t>
      </w:r>
      <w:r w:rsidR="00BA551F">
        <w:t>operating and capital costs</w:t>
      </w:r>
      <w:r w:rsidR="0067463A">
        <w:t xml:space="preserve"> associated with meeting the modelled increments to demand</w:t>
      </w:r>
      <w:r w:rsidR="002E383B">
        <w:t xml:space="preserve"> over the relevant forward period</w:t>
      </w:r>
      <w:r w:rsidR="0067463A">
        <w:t>.</w:t>
      </w:r>
    </w:p>
    <w:p w:rsidR="009A0293" w:rsidRDefault="009A0293" w:rsidP="00DC783B">
      <w:pPr>
        <w:pStyle w:val="Heading3"/>
      </w:pPr>
      <w:bookmarkStart w:id="119" w:name="_Ref324173523"/>
      <w:bookmarkStart w:id="120" w:name="_Toc329009467"/>
      <w:r>
        <w:t>ACT water security objective</w:t>
      </w:r>
      <w:bookmarkEnd w:id="119"/>
      <w:bookmarkEnd w:id="120"/>
    </w:p>
    <w:p w:rsidR="009A0293" w:rsidRDefault="009A0293" w:rsidP="009A0293">
      <w:r>
        <w:rPr>
          <w:lang w:val="en-AU"/>
        </w:rPr>
        <w:t xml:space="preserve">Modelling water supply and demand requires understanding the level of water security that the ACT Government wishes to attain. For the purposes of this paper, </w:t>
      </w:r>
      <w:r w:rsidR="006061DA">
        <w:rPr>
          <w:lang w:val="en-AU"/>
        </w:rPr>
        <w:t xml:space="preserve">for all scenarios modelled, </w:t>
      </w:r>
      <w:r w:rsidRPr="002E069B">
        <w:t xml:space="preserve">the Commission </w:t>
      </w:r>
      <w:r>
        <w:t xml:space="preserve">has </w:t>
      </w:r>
      <w:r w:rsidRPr="002E069B">
        <w:t xml:space="preserve">adopted </w:t>
      </w:r>
      <w:r>
        <w:t xml:space="preserve">the common interpretation of </w:t>
      </w:r>
      <w:r w:rsidRPr="002E069B">
        <w:t xml:space="preserve">the </w:t>
      </w:r>
      <w:r>
        <w:t>ACT Government</w:t>
      </w:r>
      <w:r w:rsidR="00DB362B">
        <w:t>’</w:t>
      </w:r>
      <w:r>
        <w:t>s water security objective</w:t>
      </w:r>
      <w:r w:rsidRPr="002E069B">
        <w:t xml:space="preserve">, which is that </w:t>
      </w:r>
      <w:r w:rsidRPr="00FB4210">
        <w:t>for any year over the modelled period, there should be less than a 5</w:t>
      </w:r>
      <w:r>
        <w:t xml:space="preserve"> per cent</w:t>
      </w:r>
      <w:r w:rsidRPr="00FB4210">
        <w:t xml:space="preserve"> probability of any level of </w:t>
      </w:r>
      <w:r>
        <w:t xml:space="preserve">temporary </w:t>
      </w:r>
      <w:r w:rsidRPr="00FB4210">
        <w:t>water restrictions.</w:t>
      </w:r>
      <w:r>
        <w:rPr>
          <w:rStyle w:val="FootnoteReference"/>
        </w:rPr>
        <w:footnoteReference w:id="116"/>
      </w:r>
    </w:p>
    <w:p w:rsidR="009A0293" w:rsidRDefault="009A0293" w:rsidP="00DC783B">
      <w:pPr>
        <w:pStyle w:val="Heading3"/>
      </w:pPr>
      <w:bookmarkStart w:id="121" w:name="_Toc329009468"/>
      <w:r>
        <w:t>The Icon Water model</w:t>
      </w:r>
      <w:bookmarkEnd w:id="121"/>
    </w:p>
    <w:p w:rsidR="009A0293" w:rsidRDefault="009A0293" w:rsidP="009A0293">
      <w:r>
        <w:t>Icon Water’s water supply and demand model</w:t>
      </w:r>
      <w:r w:rsidR="00BF2A88">
        <w:t xml:space="preserve"> </w:t>
      </w:r>
      <w:proofErr w:type="gramStart"/>
      <w:r w:rsidR="00BF2A88">
        <w:t>is</w:t>
      </w:r>
      <w:r>
        <w:t xml:space="preserve"> illustrated</w:t>
      </w:r>
      <w:proofErr w:type="gramEnd"/>
      <w:r>
        <w:t xml:space="preserve"> in</w:t>
      </w:r>
      <w:r w:rsidR="006501C8">
        <w:t xml:space="preserve"> </w:t>
      </w:r>
      <w:r w:rsidR="00C04337">
        <w:fldChar w:fldCharType="begin"/>
      </w:r>
      <w:r w:rsidR="006501C8">
        <w:instrText xml:space="preserve"> REF _Ref448317684 \h </w:instrText>
      </w:r>
      <w:r w:rsidR="00C04337">
        <w:fldChar w:fldCharType="separate"/>
      </w:r>
      <w:r w:rsidR="00027D28" w:rsidRPr="00E33D9E">
        <w:t xml:space="preserve">Figure </w:t>
      </w:r>
      <w:r w:rsidR="00027D28">
        <w:rPr>
          <w:noProof/>
        </w:rPr>
        <w:t>4</w:t>
      </w:r>
      <w:r w:rsidR="00027D28" w:rsidRPr="00E33D9E">
        <w:t>.</w:t>
      </w:r>
      <w:r w:rsidR="00027D28">
        <w:rPr>
          <w:noProof/>
        </w:rPr>
        <w:t>4</w:t>
      </w:r>
      <w:r w:rsidR="00C04337">
        <w:fldChar w:fldCharType="end"/>
      </w:r>
      <w:r w:rsidR="006501C8">
        <w:t xml:space="preserve"> </w:t>
      </w:r>
      <w:r>
        <w:t xml:space="preserve">with a summary of </w:t>
      </w:r>
      <w:r w:rsidR="00BF2A88">
        <w:t xml:space="preserve">its key processes </w:t>
      </w:r>
      <w:r>
        <w:t>provided</w:t>
      </w:r>
      <w:r w:rsidRPr="00C33492">
        <w:t xml:space="preserve"> in</w:t>
      </w:r>
      <w:r w:rsidR="00086CB0">
        <w:t xml:space="preserve"> </w:t>
      </w:r>
      <w:r w:rsidR="00C04337">
        <w:fldChar w:fldCharType="begin"/>
      </w:r>
      <w:r w:rsidR="00086CB0">
        <w:instrText xml:space="preserve"> REF _Ref452973532 \r \h </w:instrText>
      </w:r>
      <w:r w:rsidR="00C04337">
        <w:fldChar w:fldCharType="separate"/>
      </w:r>
      <w:r w:rsidR="00027D28">
        <w:t>Appendix 2</w:t>
      </w:r>
      <w:r w:rsidR="00C04337">
        <w:fldChar w:fldCharType="end"/>
      </w:r>
      <w:r w:rsidR="00BE7AC5">
        <w:t>.</w:t>
      </w:r>
    </w:p>
    <w:p w:rsidR="00BE7AC5" w:rsidRDefault="00BE7AC5" w:rsidP="00BE7AC5"/>
    <w:p w:rsidR="009A0293" w:rsidRDefault="00504FF4" w:rsidP="009A0293">
      <w:pPr>
        <w:pStyle w:val="FigureName"/>
        <w:keepNext/>
      </w:pPr>
      <w:bookmarkStart w:id="122" w:name="_Ref448317684"/>
      <w:bookmarkStart w:id="123" w:name="_Toc328729298"/>
      <w:bookmarkStart w:id="124" w:name="_Toc453920910"/>
      <w:r w:rsidRPr="00E33D9E">
        <w:lastRenderedPageBreak/>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4</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4</w:t>
      </w:r>
      <w:r w:rsidR="00C04337" w:rsidRPr="00E33D9E">
        <w:fldChar w:fldCharType="end"/>
      </w:r>
      <w:bookmarkEnd w:id="122"/>
      <w:r w:rsidRPr="00E33D9E">
        <w:tab/>
      </w:r>
      <w:r w:rsidR="00DB362B">
        <w:t xml:space="preserve">Water </w:t>
      </w:r>
      <w:r w:rsidR="009A0293">
        <w:t>supply and demand model representation</w:t>
      </w:r>
      <w:bookmarkEnd w:id="123"/>
      <w:bookmarkEnd w:id="124"/>
    </w:p>
    <w:p w:rsidR="009A0293" w:rsidRPr="006C508F" w:rsidRDefault="00270C58" w:rsidP="009A0293">
      <w:r w:rsidRPr="00270C58">
        <w:rPr>
          <w:noProof/>
          <w:lang w:val="en-AU" w:eastAsia="en-AU"/>
        </w:rPr>
        <w:drawing>
          <wp:inline distT="0" distB="0" distL="0" distR="0">
            <wp:extent cx="4896485" cy="6595942"/>
            <wp:effectExtent l="19050" t="19050" r="1841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6485" cy="6595942"/>
                    </a:xfrm>
                    <a:prstGeom prst="rect">
                      <a:avLst/>
                    </a:prstGeom>
                    <a:noFill/>
                    <a:ln>
                      <a:solidFill>
                        <a:schemeClr val="bg1">
                          <a:lumMod val="50000"/>
                        </a:schemeClr>
                      </a:solidFill>
                    </a:ln>
                  </pic:spPr>
                </pic:pic>
              </a:graphicData>
            </a:graphic>
          </wp:inline>
        </w:drawing>
      </w:r>
    </w:p>
    <w:p w:rsidR="009A0293" w:rsidRDefault="009A0293" w:rsidP="009A0293">
      <w:pPr>
        <w:pStyle w:val="FigureNotes"/>
      </w:pPr>
      <w:r w:rsidRPr="00B62906">
        <w:t>Source:</w:t>
      </w:r>
      <w:r w:rsidRPr="0005117C">
        <w:t xml:space="preserve"> </w:t>
      </w:r>
      <w:r>
        <w:t xml:space="preserve">Adapted from </w:t>
      </w:r>
      <w:r w:rsidR="00C04337">
        <w:fldChar w:fldCharType="begin"/>
      </w:r>
      <w:r w:rsidR="0020199F">
        <w:instrText xml:space="preserve"> ADDIN EN.CITE &lt;EndNote&gt;&lt;Cite&gt;&lt;Author&gt;ACTEW&lt;/Author&gt;&lt;Year&gt;2011&lt;/Year&gt;&lt;RecNum&gt;25&lt;/RecNum&gt;&lt;DisplayText&gt;ACTEW (2011a)&lt;/DisplayText&gt;&lt;record&gt;&lt;rec-number&gt;25&lt;/rec-number&gt;&lt;foreign-keys&gt;&lt;key app="EN" db-id="5xwt9zxa6r5fesevwr5xzp97r95ev9wx9zpw" timestamp="1328584676"&gt;25&lt;/key&gt;&lt;/foreign-keys&gt;&lt;ref-type name="Report"&gt;27&lt;/ref-type&gt;&lt;contributors&gt;&lt;authors&gt;&lt;author&gt;ACTEW,&lt;/author&gt;&lt;/authors&gt;&lt;/contributors&gt;&lt;titles&gt;&lt;title&gt;ACTEW water modelling presentation&lt;/title&gt;&lt;/titles&gt;&lt;dates&gt;&lt;year&gt;2011&lt;/year&gt;&lt;pub-dates&gt;&lt;date&gt;December 2011&lt;/date&gt;&lt;/pub-dates&gt;&lt;/dates&gt;&lt;pub-location&gt;Canberra ACT&lt;/pub-location&gt;&lt;publisher&gt;ACTEW&lt;/publisher&gt;&lt;urls&gt;&lt;/urls&gt;&lt;/record&gt;&lt;/Cite&gt;&lt;/EndNote&gt;</w:instrText>
      </w:r>
      <w:r w:rsidR="00C04337">
        <w:fldChar w:fldCharType="separate"/>
      </w:r>
      <w:hyperlink w:anchor="_ENREF_10" w:tooltip="ACTEW, 2011 #25" w:history="1">
        <w:r w:rsidR="000F2FEB">
          <w:rPr>
            <w:noProof/>
          </w:rPr>
          <w:t>ACTEW (2011a</w:t>
        </w:r>
      </w:hyperlink>
      <w:r w:rsidR="0020199F">
        <w:rPr>
          <w:noProof/>
        </w:rPr>
        <w:t>)</w:t>
      </w:r>
      <w:r w:rsidR="00C04337">
        <w:fldChar w:fldCharType="end"/>
      </w:r>
      <w:r>
        <w:t>, p. 2.</w:t>
      </w:r>
    </w:p>
    <w:p w:rsidR="009760F9" w:rsidRDefault="009760F9" w:rsidP="009760F9">
      <w:pPr>
        <w:pStyle w:val="TableNotesHangingLast"/>
      </w:pPr>
      <w:r>
        <w:t>Note:</w:t>
      </w:r>
      <w:r>
        <w:tab/>
        <w:t>The inflow time series for the Murrumbidgee go</w:t>
      </w:r>
      <w:r w:rsidR="006D7199">
        <w:t>es</w:t>
      </w:r>
      <w:r>
        <w:t xml:space="preserve"> through an additional model before input to REALM. This model estimates monthly pumping availability with and without Tantangara releases based on the daily stochastic flow and assumed water quality.</w:t>
      </w:r>
    </w:p>
    <w:p w:rsidR="00231686" w:rsidRDefault="00231686" w:rsidP="00231686">
      <w:r>
        <w:lastRenderedPageBreak/>
        <w:t>As a simplification, a bucket analogy of the ACT water supply system can be used to describe the water supply and demand modelling process described in this chapter.</w:t>
      </w:r>
    </w:p>
    <w:p w:rsidR="00231686" w:rsidRDefault="00231686" w:rsidP="00231686">
      <w:r>
        <w:t>T</w:t>
      </w:r>
      <w:r w:rsidRPr="000B0C09">
        <w:t xml:space="preserve">he ACT primary water supply system </w:t>
      </w:r>
      <w:r>
        <w:t xml:space="preserve">is comparable to a </w:t>
      </w:r>
      <w:r w:rsidRPr="000B0C09">
        <w:t>bucket of water. Water flows into the bucket via precipitation falling in ACT catchments</w:t>
      </w:r>
      <w:r>
        <w:t>. W</w:t>
      </w:r>
      <w:r w:rsidRPr="000B0C09">
        <w:t xml:space="preserve">ater is removed from the bucket for urban use </w:t>
      </w:r>
      <w:r>
        <w:t xml:space="preserve">and </w:t>
      </w:r>
      <w:r w:rsidRPr="000B0C09">
        <w:t>environmental flows.</w:t>
      </w:r>
      <w:r>
        <w:t xml:space="preserve"> </w:t>
      </w:r>
      <w:r w:rsidRPr="000B0C09">
        <w:t>The bucket is required because of a timing mismatch between when water is available to flow into the bucket and when it is required for use.</w:t>
      </w:r>
      <w:r>
        <w:t xml:space="preserve"> The challenge is to ensure that there is sufficient water in the bucket (water supply) to provide the amount of water required for urban use and environmental flows (water demand) over time. Ensuring that the water supply and demand are in balance is known as providing water security.</w:t>
      </w:r>
    </w:p>
    <w:p w:rsidR="00231686" w:rsidRDefault="00231686" w:rsidP="00231686">
      <w:r w:rsidRPr="00F47AD6">
        <w:t xml:space="preserve">The </w:t>
      </w:r>
      <w:r>
        <w:t xml:space="preserve">desired </w:t>
      </w:r>
      <w:r w:rsidRPr="00F47AD6">
        <w:t xml:space="preserve">level of water security can be </w:t>
      </w:r>
      <w:r>
        <w:t xml:space="preserve">expressed </w:t>
      </w:r>
      <w:r w:rsidRPr="00F47AD6">
        <w:t xml:space="preserve">in several ways. </w:t>
      </w:r>
      <w:r>
        <w:t>A</w:t>
      </w:r>
      <w:r w:rsidRPr="00F47AD6">
        <w:t xml:space="preserve"> common approach is </w:t>
      </w:r>
      <w:r>
        <w:t xml:space="preserve">for a government to set </w:t>
      </w:r>
      <w:r w:rsidRPr="00F47AD6">
        <w:t>a level of service</w:t>
      </w:r>
      <w:r>
        <w:t>, such as supplying a minimum volume of water per household each year that a water provider is required to meet over a future period of time. As discussed above, the ACT Government has adopted an alternative approach, announcing an objective that temporary water restrictions occur no more than one year in 20, or 5 per cent of the time. The level and duration of water restrictions depends on the level of water in the bucket. The lower the level, the more severe and the longer the restrictions will be in place.</w:t>
      </w:r>
    </w:p>
    <w:p w:rsidR="009A0293" w:rsidRDefault="00794EC1" w:rsidP="00231686">
      <w:r>
        <w:t>For the purposes of this paper,</w:t>
      </w:r>
      <w:r w:rsidR="009A0293">
        <w:t xml:space="preserve"> the current level of ACT water security is estimated by starting with the existing </w:t>
      </w:r>
      <w:r>
        <w:t xml:space="preserve">amount </w:t>
      </w:r>
      <w:r w:rsidR="00AC5EA2">
        <w:t xml:space="preserve">in the </w:t>
      </w:r>
      <w:r w:rsidR="009A0293">
        <w:t>bucket, and then modelling the projected flows of water into and out of the bucket every year over the next 4</w:t>
      </w:r>
      <w:r w:rsidR="00A90CB0">
        <w:t>7</w:t>
      </w:r>
      <w:r w:rsidR="009A0293">
        <w:t> years—over the modelling period from 201</w:t>
      </w:r>
      <w:r w:rsidR="008801A4">
        <w:t>6</w:t>
      </w:r>
      <w:r w:rsidR="009A0293">
        <w:t xml:space="preserve"> to 20</w:t>
      </w:r>
      <w:r w:rsidR="002B2257">
        <w:t>62</w:t>
      </w:r>
      <w:r w:rsidR="009A0293">
        <w:t>.</w:t>
      </w:r>
    </w:p>
    <w:p w:rsidR="009A0293" w:rsidRDefault="009A0293" w:rsidP="009A0293">
      <w:r>
        <w:t xml:space="preserve">There </w:t>
      </w:r>
      <w:r w:rsidRPr="00F61BFA">
        <w:t xml:space="preserve">is </w:t>
      </w:r>
      <w:r>
        <w:t xml:space="preserve">a great deal of </w:t>
      </w:r>
      <w:r w:rsidRPr="00F61BFA">
        <w:t>uncertainty about future climatic conditions. For example, we do not know the timing, extent or duration of a</w:t>
      </w:r>
      <w:r>
        <w:t xml:space="preserve"> future dry spell that may require temporary water restrictions to be imposed. Modelling this uncertainty requires assessing the relative frequency of the future range of climatic conditions—wet, dry and average—based on historical climate experience, with allowance made for future impact of climate change. Given these relative frequencies, the </w:t>
      </w:r>
      <w:r w:rsidR="004A20C5">
        <w:t xml:space="preserve">Icon Water </w:t>
      </w:r>
      <w:r>
        <w:t xml:space="preserve">model generates a set of </w:t>
      </w:r>
      <w:r w:rsidR="00DC5E54">
        <w:t>1,000</w:t>
      </w:r>
      <w:r>
        <w:t xml:space="preserve"> climate paths, each of which specifies the climate in each of the years of the modelling period.</w:t>
      </w:r>
    </w:p>
    <w:p w:rsidR="009A0293" w:rsidRDefault="00B76C82" w:rsidP="009A0293">
      <w:r>
        <w:t>F</w:t>
      </w:r>
      <w:r w:rsidR="009A0293">
        <w:t xml:space="preserve">uture water inflow volumes are dependent on climatic conditions and the state of the ACT water catchments. Accordingly, for each of the generated future climate paths, the model generates a corresponding path of future dam inflows, allowing for bushfire effects on water catchments. </w:t>
      </w:r>
      <w:r w:rsidR="009A0293" w:rsidRPr="007F786C">
        <w:t>Future</w:t>
      </w:r>
      <w:r w:rsidR="009A0293">
        <w:t xml:space="preserve"> outflows from the bucket are largely determined by the demand for water by the ACT community. This in turn is influenced by a number of factors, including population growth, weather conditions (including climate change), efficiency of water use and the price of water.</w:t>
      </w:r>
      <w:r w:rsidR="009A0293">
        <w:rPr>
          <w:rStyle w:val="FootnoteReference"/>
        </w:rPr>
        <w:footnoteReference w:id="117"/>
      </w:r>
      <w:r w:rsidR="009A0293">
        <w:t xml:space="preserve"> Again, for each generated climate path, future water demand for each year is modelled by estimating per capita </w:t>
      </w:r>
      <w:r w:rsidR="009A0293">
        <w:lastRenderedPageBreak/>
        <w:t>water demand based on previous experience, and multiplying this number by the projected population for that year to give total demand in that year.</w:t>
      </w:r>
    </w:p>
    <w:p w:rsidR="009A0293" w:rsidRDefault="009A0293" w:rsidP="009A0293">
      <w:r>
        <w:t>Each pair of supply and demand paths is input to the water balance module of the model, REALM, in turn.</w:t>
      </w:r>
      <w:r w:rsidRPr="00872DB2">
        <w:t xml:space="preserve"> </w:t>
      </w:r>
      <w:r>
        <w:t>REALM models the management of the dam system and is able to indicate, month by month, whether the level of water in the bucket has fallen enough to require the imposition of water restrictions. For each year of the modelling period, the proportion of the paths in which water restrictions needed to be imposed gives us an estimate of the probability of being in water restrictions in that year.</w:t>
      </w:r>
      <w:r>
        <w:rPr>
          <w:rStyle w:val="FootnoteReference"/>
        </w:rPr>
        <w:footnoteReference w:id="118"/>
      </w:r>
    </w:p>
    <w:p w:rsidR="009A0293" w:rsidRDefault="009A0293" w:rsidP="009A0293">
      <w:r>
        <w:t>This estimated probability of being in water restrictions can be compared to the 5</w:t>
      </w:r>
      <w:r w:rsidR="00DC71E3">
        <w:t xml:space="preserve"> per cent</w:t>
      </w:r>
      <w:r>
        <w:t xml:space="preserve"> water security objective. If the probability starts trending above the 5</w:t>
      </w:r>
      <w:r w:rsidR="00504FF4">
        <w:t xml:space="preserve"> per cent </w:t>
      </w:r>
      <w:r>
        <w:t>level, this indicates that augmentation of the bucket may need to be delivered around this time if water security is to be maintained at the set objective.</w:t>
      </w:r>
      <w:r w:rsidR="00DC71E3">
        <w:rPr>
          <w:rStyle w:val="FootnoteReference"/>
        </w:rPr>
        <w:footnoteReference w:id="119"/>
      </w:r>
    </w:p>
    <w:p w:rsidR="009A0293" w:rsidRDefault="001B26F5" w:rsidP="00DC783B">
      <w:pPr>
        <w:pStyle w:val="Heading3"/>
      </w:pPr>
      <w:bookmarkStart w:id="125" w:name="_Ref323043626"/>
      <w:r>
        <w:t>Commission m</w:t>
      </w:r>
      <w:r w:rsidR="00644486">
        <w:t xml:space="preserve">odel </w:t>
      </w:r>
      <w:r w:rsidR="00AE111F">
        <w:t xml:space="preserve">scenarios, </w:t>
      </w:r>
      <w:r w:rsidR="0044188E">
        <w:t>assumptions and constraints</w:t>
      </w:r>
    </w:p>
    <w:bookmarkEnd w:id="125"/>
    <w:p w:rsidR="0013413B" w:rsidRDefault="002C1C47" w:rsidP="00F81B4B">
      <w:r>
        <w:t xml:space="preserve">For the purposes of estimating the long-run marginal cost of water </w:t>
      </w:r>
      <w:r w:rsidR="00751F17">
        <w:t xml:space="preserve">in </w:t>
      </w:r>
      <w:r>
        <w:t xml:space="preserve">this paper, the Commission has considered </w:t>
      </w:r>
      <w:r w:rsidR="00CA327C">
        <w:t xml:space="preserve">a baseline and three </w:t>
      </w:r>
      <w:r w:rsidR="008062E0">
        <w:t xml:space="preserve">future </w:t>
      </w:r>
      <w:r w:rsidR="00DB301B">
        <w:t xml:space="preserve">water supply and demand </w:t>
      </w:r>
      <w:r>
        <w:t>scenarios</w:t>
      </w:r>
      <w:r w:rsidR="00DB301B">
        <w:t xml:space="preserve">, as shown in </w:t>
      </w:r>
      <w:r w:rsidR="00C04337">
        <w:fldChar w:fldCharType="begin"/>
      </w:r>
      <w:r w:rsidR="008062E0">
        <w:instrText xml:space="preserve"> REF _Ref448747538 \h </w:instrText>
      </w:r>
      <w:r w:rsidR="00C04337">
        <w:fldChar w:fldCharType="separate"/>
      </w:r>
      <w:r w:rsidR="00027D28" w:rsidRPr="003C3AEA">
        <w:t>Table</w:t>
      </w:r>
      <w:r w:rsidR="00027D28">
        <w:t xml:space="preserve"> </w:t>
      </w:r>
      <w:r w:rsidR="00027D28">
        <w:rPr>
          <w:noProof/>
        </w:rPr>
        <w:t>4</w:t>
      </w:r>
      <w:r w:rsidR="00027D28">
        <w:t>.</w:t>
      </w:r>
      <w:r w:rsidR="00027D28">
        <w:rPr>
          <w:noProof/>
        </w:rPr>
        <w:t>2</w:t>
      </w:r>
      <w:r w:rsidR="00C04337">
        <w:fldChar w:fldCharType="end"/>
      </w:r>
      <w:r w:rsidR="00DB301B">
        <w:t>.</w:t>
      </w:r>
      <w:r w:rsidR="00311769">
        <w:t xml:space="preserve"> In addition, for sensitivity purposes, the scenarios were al</w:t>
      </w:r>
      <w:r w:rsidR="00B7490D">
        <w:t>so run without climate change.</w:t>
      </w:r>
    </w:p>
    <w:p w:rsidR="0013413B" w:rsidRDefault="0013413B" w:rsidP="0013413B">
      <w:pPr>
        <w:pStyle w:val="TableName0"/>
      </w:pPr>
      <w:bookmarkStart w:id="126" w:name="_Ref448747538"/>
      <w:bookmarkStart w:id="127" w:name="_Toc453920895"/>
      <w:r w:rsidRPr="003C3AEA">
        <w:t>Table</w:t>
      </w:r>
      <w:r>
        <w:t xml:space="preserve"> </w:t>
      </w:r>
      <w:r w:rsidR="00C04337">
        <w:fldChar w:fldCharType="begin"/>
      </w:r>
      <w:r>
        <w:instrText xml:space="preserve"> STYLEREF 1 \s </w:instrText>
      </w:r>
      <w:r w:rsidR="00C04337">
        <w:fldChar w:fldCharType="separate"/>
      </w:r>
      <w:r w:rsidR="00027D28">
        <w:rPr>
          <w:noProof/>
        </w:rPr>
        <w:t>4</w:t>
      </w:r>
      <w:r w:rsidR="00C04337">
        <w:fldChar w:fldCharType="end"/>
      </w:r>
      <w:r>
        <w:t>.</w:t>
      </w:r>
      <w:r w:rsidR="00C04337">
        <w:fldChar w:fldCharType="begin"/>
      </w:r>
      <w:r>
        <w:instrText xml:space="preserve"> SEQ Table \* ARABIC \s 1 </w:instrText>
      </w:r>
      <w:r w:rsidR="00C04337">
        <w:fldChar w:fldCharType="separate"/>
      </w:r>
      <w:r w:rsidR="00027D28">
        <w:rPr>
          <w:noProof/>
        </w:rPr>
        <w:t>2</w:t>
      </w:r>
      <w:r w:rsidR="00C04337">
        <w:fldChar w:fldCharType="end"/>
      </w:r>
      <w:bookmarkEnd w:id="126"/>
      <w:r>
        <w:tab/>
      </w:r>
      <w:r w:rsidRPr="001D70BF">
        <w:t xml:space="preserve">Commission </w:t>
      </w:r>
      <w:r w:rsidR="003B5651">
        <w:t>model scenarios</w:t>
      </w:r>
      <w:bookmarkEnd w:id="127"/>
    </w:p>
    <w:tbl>
      <w:tblPr>
        <w:tblW w:w="5000" w:type="pct"/>
        <w:tblBorders>
          <w:top w:val="single" w:sz="12" w:space="0" w:color="333399"/>
          <w:bottom w:val="single" w:sz="12" w:space="0" w:color="333399"/>
        </w:tblBorders>
        <w:tblCellMar>
          <w:left w:w="115" w:type="dxa"/>
          <w:right w:w="115" w:type="dxa"/>
        </w:tblCellMar>
        <w:tblLook w:val="0000"/>
      </w:tblPr>
      <w:tblGrid>
        <w:gridCol w:w="854"/>
        <w:gridCol w:w="2988"/>
        <w:gridCol w:w="4099"/>
      </w:tblGrid>
      <w:tr w:rsidR="0013413B" w:rsidRPr="00144F8C" w:rsidTr="002D6D19">
        <w:trPr>
          <w:cantSplit/>
        </w:trPr>
        <w:tc>
          <w:tcPr>
            <w:tcW w:w="509"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13413B" w:rsidRPr="00FF597B" w:rsidRDefault="00AD7A79" w:rsidP="009D6EE8">
            <w:pPr>
              <w:pStyle w:val="TableHeading"/>
            </w:pPr>
            <w:r>
              <w:t>Scenario</w:t>
            </w:r>
          </w:p>
        </w:tc>
        <w:tc>
          <w:tcPr>
            <w:tcW w:w="1896"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13413B" w:rsidRPr="00FF597B" w:rsidRDefault="00AD7A79" w:rsidP="0013413B">
            <w:pPr>
              <w:pStyle w:val="TableHeadingLeft"/>
            </w:pPr>
            <w:r>
              <w:t>Description</w:t>
            </w:r>
          </w:p>
        </w:tc>
        <w:tc>
          <w:tcPr>
            <w:tcW w:w="2595"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13413B" w:rsidRPr="00FF597B" w:rsidRDefault="0013413B" w:rsidP="00217A60">
            <w:pPr>
              <w:pStyle w:val="TableHeadingLeft"/>
            </w:pPr>
            <w:r>
              <w:t>Comments</w:t>
            </w:r>
          </w:p>
        </w:tc>
      </w:tr>
      <w:tr w:rsidR="0013413B" w:rsidRPr="00144F8C" w:rsidTr="002D6D19">
        <w:trPr>
          <w:cantSplit/>
        </w:trPr>
        <w:tc>
          <w:tcPr>
            <w:tcW w:w="509" w:type="pct"/>
            <w:tcBorders>
              <w:top w:val="nil"/>
              <w:left w:val="nil"/>
              <w:bottom w:val="nil"/>
              <w:right w:val="nil"/>
            </w:tcBorders>
          </w:tcPr>
          <w:p w:rsidR="0013413B" w:rsidRPr="00025809" w:rsidRDefault="00B7490D" w:rsidP="0013413B">
            <w:pPr>
              <w:pStyle w:val="TableTextLeft"/>
              <w:keepNext/>
              <w:rPr>
                <w:b/>
              </w:rPr>
            </w:pPr>
            <w:r w:rsidRPr="00025809">
              <w:rPr>
                <w:b/>
              </w:rPr>
              <w:t>Baseline</w:t>
            </w:r>
          </w:p>
        </w:tc>
        <w:tc>
          <w:tcPr>
            <w:tcW w:w="1896" w:type="pct"/>
            <w:tcBorders>
              <w:top w:val="nil"/>
              <w:left w:val="nil"/>
              <w:bottom w:val="nil"/>
              <w:right w:val="nil"/>
            </w:tcBorders>
          </w:tcPr>
          <w:p w:rsidR="0013413B" w:rsidRPr="006F37B1" w:rsidRDefault="0013413B" w:rsidP="00380E71">
            <w:pPr>
              <w:pStyle w:val="TableText0"/>
              <w:rPr>
                <w:b/>
              </w:rPr>
            </w:pPr>
            <w:r w:rsidRPr="006F37B1">
              <w:rPr>
                <w:b/>
                <w:lang w:val="en-AU"/>
              </w:rPr>
              <w:t xml:space="preserve">No </w:t>
            </w:r>
            <w:r w:rsidR="008F3544" w:rsidRPr="006F37B1">
              <w:rPr>
                <w:b/>
                <w:lang w:val="en-AU"/>
              </w:rPr>
              <w:t xml:space="preserve">demand </w:t>
            </w:r>
            <w:r w:rsidRPr="006F37B1">
              <w:rPr>
                <w:b/>
                <w:lang w:val="en-AU"/>
              </w:rPr>
              <w:t xml:space="preserve">growth + </w:t>
            </w:r>
            <w:r w:rsidR="00380E71" w:rsidRPr="006F37B1">
              <w:rPr>
                <w:b/>
                <w:lang w:val="en-AU"/>
              </w:rPr>
              <w:t xml:space="preserve">likely </w:t>
            </w:r>
            <w:r w:rsidRPr="006F37B1">
              <w:rPr>
                <w:b/>
                <w:lang w:val="en-AU"/>
              </w:rPr>
              <w:t xml:space="preserve">climate </w:t>
            </w:r>
          </w:p>
        </w:tc>
        <w:tc>
          <w:tcPr>
            <w:tcW w:w="2595" w:type="pct"/>
            <w:tcBorders>
              <w:top w:val="nil"/>
              <w:left w:val="nil"/>
              <w:bottom w:val="nil"/>
              <w:right w:val="nil"/>
            </w:tcBorders>
          </w:tcPr>
          <w:p w:rsidR="0013413B" w:rsidRPr="006F37B1" w:rsidRDefault="0065775C" w:rsidP="00217A60">
            <w:pPr>
              <w:pStyle w:val="TableTextLeft"/>
              <w:rPr>
                <w:b/>
              </w:rPr>
            </w:pPr>
            <w:r w:rsidRPr="006F37B1">
              <w:rPr>
                <w:b/>
              </w:rPr>
              <w:t xml:space="preserve">Baseline </w:t>
            </w:r>
            <w:r w:rsidR="00217A60" w:rsidRPr="006F37B1">
              <w:rPr>
                <w:b/>
              </w:rPr>
              <w:t>or no change scenario</w:t>
            </w:r>
          </w:p>
        </w:tc>
      </w:tr>
      <w:tr w:rsidR="0013413B" w:rsidRPr="00144F8C" w:rsidTr="002D6D19">
        <w:trPr>
          <w:cantSplit/>
          <w:trHeight w:val="318"/>
        </w:trPr>
        <w:tc>
          <w:tcPr>
            <w:tcW w:w="509" w:type="pct"/>
            <w:tcBorders>
              <w:top w:val="nil"/>
              <w:left w:val="nil"/>
              <w:bottom w:val="nil"/>
              <w:right w:val="nil"/>
            </w:tcBorders>
          </w:tcPr>
          <w:p w:rsidR="0013413B" w:rsidRPr="00025809" w:rsidRDefault="00B7490D" w:rsidP="0013413B">
            <w:pPr>
              <w:pStyle w:val="TableTextLeft"/>
              <w:keepNext/>
              <w:rPr>
                <w:b/>
              </w:rPr>
            </w:pPr>
            <w:r w:rsidRPr="00025809">
              <w:rPr>
                <w:b/>
              </w:rPr>
              <w:t>1</w:t>
            </w:r>
          </w:p>
        </w:tc>
        <w:tc>
          <w:tcPr>
            <w:tcW w:w="1896" w:type="pct"/>
            <w:tcBorders>
              <w:top w:val="nil"/>
              <w:left w:val="nil"/>
              <w:bottom w:val="nil"/>
              <w:right w:val="nil"/>
            </w:tcBorders>
          </w:tcPr>
          <w:p w:rsidR="0013413B" w:rsidRPr="00FF597B" w:rsidRDefault="0013413B" w:rsidP="004B2CA4">
            <w:pPr>
              <w:pStyle w:val="TableText0"/>
            </w:pPr>
            <w:r>
              <w:t>M</w:t>
            </w:r>
            <w:r w:rsidR="007324CE">
              <w:t xml:space="preserve">inor </w:t>
            </w:r>
            <w:r w:rsidR="00CD673D">
              <w:t xml:space="preserve">demand </w:t>
            </w:r>
            <w:r>
              <w:t xml:space="preserve">growth + </w:t>
            </w:r>
            <w:r w:rsidR="004B2CA4">
              <w:t>likely climate</w:t>
            </w:r>
          </w:p>
        </w:tc>
        <w:tc>
          <w:tcPr>
            <w:tcW w:w="2595" w:type="pct"/>
            <w:tcBorders>
              <w:top w:val="nil"/>
              <w:left w:val="nil"/>
              <w:bottom w:val="nil"/>
              <w:right w:val="nil"/>
            </w:tcBorders>
          </w:tcPr>
          <w:p w:rsidR="0013413B" w:rsidRPr="002625DD" w:rsidRDefault="0052740A" w:rsidP="002D6D19">
            <w:pPr>
              <w:pStyle w:val="TableTextLeft"/>
            </w:pPr>
            <w:r>
              <w:t xml:space="preserve">Optimal </w:t>
            </w:r>
            <w:r w:rsidR="00217A60">
              <w:t>investment scenario</w:t>
            </w:r>
            <w:r w:rsidR="00FE334E">
              <w:t xml:space="preserve"> </w:t>
            </w:r>
            <w:r w:rsidR="00FE334E">
              <w:sym w:font="Symbol" w:char="F02D"/>
            </w:r>
            <w:r w:rsidR="00FE334E">
              <w:t xml:space="preserve"> medium series population growth with </w:t>
            </w:r>
            <w:r w:rsidR="002D6D19">
              <w:t>50 per cent contribution to aggregate demand</w:t>
            </w:r>
          </w:p>
        </w:tc>
      </w:tr>
      <w:tr w:rsidR="0013413B" w:rsidRPr="00144F8C" w:rsidTr="002D6D19">
        <w:trPr>
          <w:cantSplit/>
          <w:trHeight w:val="200"/>
        </w:trPr>
        <w:tc>
          <w:tcPr>
            <w:tcW w:w="509" w:type="pct"/>
            <w:tcBorders>
              <w:top w:val="nil"/>
              <w:left w:val="nil"/>
              <w:bottom w:val="nil"/>
              <w:right w:val="nil"/>
            </w:tcBorders>
          </w:tcPr>
          <w:p w:rsidR="0013413B" w:rsidRPr="00025809" w:rsidRDefault="00B7490D" w:rsidP="0013413B">
            <w:pPr>
              <w:pStyle w:val="TableTextLeft"/>
              <w:keepNext/>
              <w:rPr>
                <w:b/>
              </w:rPr>
            </w:pPr>
            <w:r w:rsidRPr="00025809">
              <w:rPr>
                <w:b/>
              </w:rPr>
              <w:t>2</w:t>
            </w:r>
          </w:p>
        </w:tc>
        <w:tc>
          <w:tcPr>
            <w:tcW w:w="1896" w:type="pct"/>
            <w:tcBorders>
              <w:top w:val="nil"/>
              <w:left w:val="nil"/>
              <w:bottom w:val="nil"/>
              <w:right w:val="nil"/>
            </w:tcBorders>
          </w:tcPr>
          <w:p w:rsidR="0013413B" w:rsidRPr="00FF597B" w:rsidRDefault="0013413B" w:rsidP="00380E71">
            <w:pPr>
              <w:pStyle w:val="TableText0"/>
            </w:pPr>
            <w:r>
              <w:t>Medium</w:t>
            </w:r>
            <w:r w:rsidR="00CD673D">
              <w:t xml:space="preserve"> demand </w:t>
            </w:r>
            <w:r>
              <w:t xml:space="preserve">growth + </w:t>
            </w:r>
            <w:r w:rsidR="00380E71">
              <w:rPr>
                <w:lang w:val="en-AU"/>
              </w:rPr>
              <w:t>likely climate</w:t>
            </w:r>
          </w:p>
        </w:tc>
        <w:tc>
          <w:tcPr>
            <w:tcW w:w="2595" w:type="pct"/>
            <w:tcBorders>
              <w:top w:val="nil"/>
              <w:left w:val="nil"/>
              <w:bottom w:val="nil"/>
              <w:right w:val="nil"/>
            </w:tcBorders>
          </w:tcPr>
          <w:p w:rsidR="0013413B" w:rsidRPr="002625DD" w:rsidRDefault="00CD673D" w:rsidP="00AD7A79">
            <w:pPr>
              <w:pStyle w:val="TableTextLeft"/>
            </w:pPr>
            <w:r>
              <w:t xml:space="preserve">Incremental adjustment above Scenario </w:t>
            </w:r>
            <w:r w:rsidR="00AD7A79">
              <w:t>1</w:t>
            </w:r>
            <w:r w:rsidR="00FE334E">
              <w:t xml:space="preserve"> </w:t>
            </w:r>
            <w:r w:rsidR="00FE334E">
              <w:sym w:font="Symbol" w:char="F02D"/>
            </w:r>
            <w:r w:rsidR="00FE334E">
              <w:t xml:space="preserve"> medium series population growth with</w:t>
            </w:r>
            <w:r w:rsidR="00191E39">
              <w:t xml:space="preserve"> </w:t>
            </w:r>
            <w:r w:rsidR="002D6D19">
              <w:t>100 per cent contribution to aggregate demand</w:t>
            </w:r>
          </w:p>
        </w:tc>
      </w:tr>
      <w:tr w:rsidR="0013413B" w:rsidRPr="00144F8C" w:rsidTr="002D6D19">
        <w:trPr>
          <w:cantSplit/>
        </w:trPr>
        <w:tc>
          <w:tcPr>
            <w:tcW w:w="509" w:type="pct"/>
            <w:tcBorders>
              <w:top w:val="nil"/>
              <w:left w:val="nil"/>
              <w:bottom w:val="single" w:sz="12" w:space="0" w:color="1F497D" w:themeColor="text2"/>
              <w:right w:val="nil"/>
            </w:tcBorders>
          </w:tcPr>
          <w:p w:rsidR="0013413B" w:rsidRPr="00025809" w:rsidRDefault="00B7490D" w:rsidP="0013413B">
            <w:pPr>
              <w:pStyle w:val="TableTextLeft"/>
              <w:keepNext/>
              <w:rPr>
                <w:b/>
              </w:rPr>
            </w:pPr>
            <w:r w:rsidRPr="00025809">
              <w:rPr>
                <w:b/>
              </w:rPr>
              <w:t>3</w:t>
            </w:r>
          </w:p>
        </w:tc>
        <w:tc>
          <w:tcPr>
            <w:tcW w:w="1896" w:type="pct"/>
            <w:tcBorders>
              <w:top w:val="nil"/>
              <w:left w:val="nil"/>
              <w:bottom w:val="single" w:sz="12" w:space="0" w:color="1F497D" w:themeColor="text2"/>
              <w:right w:val="nil"/>
            </w:tcBorders>
          </w:tcPr>
          <w:p w:rsidR="0013413B" w:rsidRPr="00FF597B" w:rsidRDefault="0013413B" w:rsidP="00380E71">
            <w:pPr>
              <w:pStyle w:val="TableText0"/>
            </w:pPr>
            <w:r>
              <w:t xml:space="preserve">High </w:t>
            </w:r>
            <w:r w:rsidR="00CD673D">
              <w:t xml:space="preserve">demand </w:t>
            </w:r>
            <w:r>
              <w:t xml:space="preserve">growth + </w:t>
            </w:r>
            <w:r w:rsidR="00380E71">
              <w:rPr>
                <w:lang w:val="en-AU"/>
              </w:rPr>
              <w:t>likely climate</w:t>
            </w:r>
          </w:p>
        </w:tc>
        <w:tc>
          <w:tcPr>
            <w:tcW w:w="2595" w:type="pct"/>
            <w:tcBorders>
              <w:top w:val="nil"/>
              <w:left w:val="nil"/>
              <w:bottom w:val="single" w:sz="12" w:space="0" w:color="1F497D" w:themeColor="text2"/>
              <w:right w:val="nil"/>
            </w:tcBorders>
          </w:tcPr>
          <w:p w:rsidR="0013413B" w:rsidRPr="002625DD" w:rsidRDefault="00CD673D" w:rsidP="002D6D19">
            <w:pPr>
              <w:pStyle w:val="TableTextLeft"/>
            </w:pPr>
            <w:r>
              <w:t>Upper bound investment scenario</w:t>
            </w:r>
            <w:r w:rsidR="00597FC5">
              <w:t xml:space="preserve"> </w:t>
            </w:r>
            <w:r w:rsidR="00597FC5">
              <w:sym w:font="Symbol" w:char="F02D"/>
            </w:r>
            <w:r w:rsidR="00597FC5">
              <w:t xml:space="preserve"> high series population growth with </w:t>
            </w:r>
            <w:r w:rsidR="002D6D19">
              <w:t>100 per cent contribution to aggregate demand</w:t>
            </w:r>
          </w:p>
        </w:tc>
      </w:tr>
    </w:tbl>
    <w:p w:rsidR="0013413B" w:rsidRPr="0000240B" w:rsidRDefault="0013413B" w:rsidP="0013413B"/>
    <w:p w:rsidR="009A0293" w:rsidRPr="00F81B4B" w:rsidRDefault="009A0293" w:rsidP="00F81B4B">
      <w:r w:rsidRPr="00F81B4B">
        <w:t xml:space="preserve">This section provides a summary of the key </w:t>
      </w:r>
      <w:r w:rsidR="00993AD6">
        <w:t xml:space="preserve">assumptions and constraints </w:t>
      </w:r>
      <w:r w:rsidRPr="00F81B4B">
        <w:t xml:space="preserve">that </w:t>
      </w:r>
      <w:r w:rsidR="00914F15">
        <w:t xml:space="preserve">are applied in the </w:t>
      </w:r>
      <w:r w:rsidR="00B44738">
        <w:t xml:space="preserve">scenarios </w:t>
      </w:r>
      <w:r w:rsidR="00914F15">
        <w:t>undertaken for this p</w:t>
      </w:r>
      <w:r w:rsidR="003D4498">
        <w:t>a</w:t>
      </w:r>
      <w:r w:rsidR="00914F15">
        <w:t>per</w:t>
      </w:r>
      <w:r w:rsidRPr="00F81B4B">
        <w:t>. This section draws on</w:t>
      </w:r>
      <w:r w:rsidR="00F47FA7" w:rsidRPr="00F81B4B">
        <w:t xml:space="preserve"> </w:t>
      </w:r>
      <w:r w:rsidR="00C04337" w:rsidRPr="00F81B4B">
        <w:fldChar w:fldCharType="begin"/>
      </w:r>
      <w:r w:rsidR="00F47FA7" w:rsidRPr="00F81B4B">
        <w:instrText xml:space="preserve"> ADDIN EN.CITE &lt;EndNote&gt;&lt;Cite&gt;&lt;Author&gt;ActewAGL&lt;/Author&gt;&lt;Year&gt;2011&lt;/Year&gt;&lt;RecNum&gt;2&lt;/RecNum&gt;&lt;DisplayText&gt;ActewAGL (2011)&lt;/DisplayText&gt;&lt;record&gt;&lt;rec-number&gt;2&lt;/rec-number&gt;&lt;foreign-keys&gt;&lt;key app="EN" db-id="5xwt9zxa6r5fesevwr5xzp97r95ev9wx9zpw" timestamp="1327903692"&gt;2&lt;/key&gt;&lt;/foreign-keys&gt;&lt;ref-type name="Report"&gt;27&lt;/ref-type&gt;&lt;contributors&gt;&lt;authors&gt;&lt;author&gt;ActewAGL,&lt;/author&gt;&lt;/authors&gt;&lt;/contributors&gt;&lt;titles&gt;&lt;title&gt;Water Planning 2011: Review of Planning Variables for Water Supply and Demand Assessment - A review of the changes in water resources modelling assumptions&lt;/title&gt;&lt;/titles&gt;&lt;keywords&gt;&lt;keyword&gt;modelling&lt;/keyword&gt;&lt;/keywords&gt;&lt;dates&gt;&lt;year&gt;2011&lt;/year&gt;&lt;pub-dates&gt;&lt;date&gt;June 2011&lt;/date&gt;&lt;/pub-dates&gt;&lt;/dates&gt;&lt;pub-location&gt;Canberra&lt;/pub-location&gt;&lt;publisher&gt;ActewAGL Infrastructure Development and Asset Management Branch Water Division&lt;/publisher&gt;&lt;urls&gt;&lt;/urls&gt;&lt;/record&gt;&lt;/Cite&gt;&lt;/EndNote&gt;</w:instrText>
      </w:r>
      <w:r w:rsidR="00C04337" w:rsidRPr="00F81B4B">
        <w:fldChar w:fldCharType="separate"/>
      </w:r>
      <w:hyperlink w:anchor="_ENREF_14" w:tooltip="ActewAGL, 2011 #2" w:history="1">
        <w:r w:rsidR="000F2FEB" w:rsidRPr="007670DC">
          <w:t>ActewAGL (2011</w:t>
        </w:r>
      </w:hyperlink>
      <w:r w:rsidR="00F47FA7" w:rsidRPr="00F81B4B">
        <w:t>)</w:t>
      </w:r>
      <w:r w:rsidR="00C04337" w:rsidRPr="00F81B4B">
        <w:fldChar w:fldCharType="end"/>
      </w:r>
      <w:r w:rsidRPr="00F81B4B">
        <w:t>,</w:t>
      </w:r>
      <w:r w:rsidR="00F47FA7" w:rsidRPr="00F81B4B">
        <w:t xml:space="preserve"> </w:t>
      </w:r>
      <w:r w:rsidR="00C04337" w:rsidRPr="00F81B4B">
        <w:fldChar w:fldCharType="begin"/>
      </w:r>
      <w:r w:rsidR="00F47FA7" w:rsidRPr="00F81B4B">
        <w:instrText xml:space="preserve"> ADDIN EN.CITE &lt;EndNote&gt;&lt;Cite&gt;&lt;Author&gt;ACTEW&lt;/Author&gt;&lt;Year&gt;2014&lt;/Year&gt;&lt;RecNum&gt;712&lt;/RecNum&gt;&lt;DisplayText&gt;ACTEW (2014a)&lt;/DisplayText&gt;&lt;record&gt;&lt;rec-number&gt;712&lt;/rec-number&gt;&lt;foreign-keys&gt;&lt;key app="EN" db-id="5xwt9zxa6r5fesevwr5xzp97r95ev9wx9zpw" timestamp="1460528738"&gt;712&lt;/key&gt;&lt;key app="ENWeb" db-id=""&gt;0&lt;/key&gt;&lt;/foreign-keys&gt;&lt;ref-type name="AAA ICRC Water References"&gt;40&lt;/ref-type&gt;&lt;contributors&gt;&lt;authors&gt;&lt;author&gt;ACTEW,&lt;/author&gt;&lt;/authors&gt;&lt;/contributors&gt;&lt;titles&gt;&lt;title&gt;ACTEW Future Climate Update&lt;/title&gt;&lt;/titles&gt;&lt;dates&gt;&lt;year&gt;2014&lt;/year&gt;&lt;pub-dates&gt;&lt;date&gt;June 2014&lt;/date&gt;&lt;/pub-dates&gt;&lt;/dates&gt;&lt;pub-location&gt;Canberra&lt;/pub-location&gt;&lt;publisher&gt;ACTEW Water&lt;/publisher&gt;&lt;urls&gt;&lt;/urls&gt;&lt;/record&gt;&lt;/Cite&gt;&lt;/EndNote&gt;</w:instrText>
      </w:r>
      <w:r w:rsidR="00C04337" w:rsidRPr="00F81B4B">
        <w:fldChar w:fldCharType="separate"/>
      </w:r>
      <w:hyperlink w:anchor="_ENREF_12" w:tooltip="ACTEW, 2014 #712" w:history="1">
        <w:r w:rsidR="000F2FEB" w:rsidRPr="007670DC">
          <w:t>ACTEW (2014a</w:t>
        </w:r>
      </w:hyperlink>
      <w:r w:rsidR="00F47FA7" w:rsidRPr="00F81B4B">
        <w:t>)</w:t>
      </w:r>
      <w:r w:rsidR="00C04337" w:rsidRPr="00F81B4B">
        <w:fldChar w:fldCharType="end"/>
      </w:r>
      <w:r w:rsidR="00F47FA7" w:rsidRPr="00F81B4B">
        <w:t xml:space="preserve"> and </w:t>
      </w:r>
      <w:r w:rsidR="00C04337" w:rsidRPr="00F81B4B">
        <w:fldChar w:fldCharType="begin"/>
      </w:r>
      <w:r w:rsidR="00F47FA7" w:rsidRPr="00F81B4B">
        <w:instrText xml:space="preserve"> ADDIN EN.CITE &lt;EndNote&gt;&lt;Cite&gt;&lt;Author&gt;ACTEW&lt;/Author&gt;&lt;Year&gt;2014&lt;/Year&gt;&lt;RecNum&gt;713&lt;/RecNum&gt;&lt;DisplayText&gt;ACTEW (2014b)&lt;/DisplayText&gt;&lt;record&gt;&lt;rec-number&gt;713&lt;/rec-number&gt;&lt;foreign-keys&gt;&lt;key app="EN" db-id="5xwt9zxa6r5fesevwr5xzp97r95ev9wx9zpw" timestamp="1460528871"&gt;713&lt;/key&gt;&lt;/foreign-keys&gt;&lt;ref-type name="AAA ICRC Water References"&gt;40&lt;/ref-type&gt;&lt;contributors&gt;&lt;authors&gt;&lt;author&gt;ACTEW,&lt;/author&gt;&lt;/authors&gt;&lt;/contributors&gt;&lt;titles&gt;&lt;title&gt;Information return: demand forecasts: Submission to the Industry Panel review of the Price Direction for regulated water and sewerage services determined by the Independent Competition and Regulatory Commission in June 2013&lt;/title&gt;&lt;/titles&gt;&lt;dates&gt;&lt;year&gt;2014&lt;/year&gt;&lt;pub-dates&gt;&lt;date&gt;August 2014&lt;/date&gt;&lt;/pub-dates&gt;&lt;/dates&gt;&lt;pub-location&gt;Canberra&lt;/pub-location&gt;&lt;publisher&gt;ACTEW Water&lt;/publisher&gt;&lt;urls&gt;&lt;/urls&gt;&lt;/record&gt;&lt;/Cite&gt;&lt;/EndNote&gt;</w:instrText>
      </w:r>
      <w:r w:rsidR="00C04337" w:rsidRPr="00F81B4B">
        <w:fldChar w:fldCharType="separate"/>
      </w:r>
      <w:hyperlink w:anchor="_ENREF_13" w:tooltip="ACTEW, 2014 #713" w:history="1">
        <w:r w:rsidR="000F2FEB" w:rsidRPr="007670DC">
          <w:t>ACTEW (2014b</w:t>
        </w:r>
      </w:hyperlink>
      <w:r w:rsidR="00F47FA7" w:rsidRPr="00F81B4B">
        <w:t>)</w:t>
      </w:r>
      <w:r w:rsidR="00C04337" w:rsidRPr="00F81B4B">
        <w:fldChar w:fldCharType="end"/>
      </w:r>
      <w:r w:rsidR="00F47FA7" w:rsidRPr="00F81B4B">
        <w:t>.</w:t>
      </w:r>
    </w:p>
    <w:p w:rsidR="009A0293" w:rsidRPr="00FC4B84" w:rsidRDefault="009A0293" w:rsidP="00DC783B">
      <w:pPr>
        <w:pStyle w:val="Heading4"/>
      </w:pPr>
      <w:bookmarkStart w:id="128" w:name="_Ref323134368"/>
      <w:bookmarkStart w:id="129" w:name="_Toc324431387"/>
      <w:r w:rsidRPr="00FC4B84">
        <w:lastRenderedPageBreak/>
        <w:t>Water supply infrastructure</w:t>
      </w:r>
      <w:bookmarkEnd w:id="128"/>
      <w:bookmarkEnd w:id="129"/>
    </w:p>
    <w:p w:rsidR="00C11908" w:rsidRDefault="0065736A" w:rsidP="00F81B4B">
      <w:r w:rsidRPr="00F81B4B">
        <w:t xml:space="preserve">Water supply </w:t>
      </w:r>
      <w:r w:rsidR="009A0293" w:rsidRPr="00F81B4B">
        <w:t xml:space="preserve">assumptions </w:t>
      </w:r>
      <w:r w:rsidR="00F67192">
        <w:t xml:space="preserve">for all the scenarios </w:t>
      </w:r>
      <w:r w:rsidR="009A0293" w:rsidRPr="00F81B4B">
        <w:t>include</w:t>
      </w:r>
      <w:r w:rsidR="00C11908" w:rsidRPr="00F81B4B">
        <w:t xml:space="preserve"> the </w:t>
      </w:r>
      <w:r w:rsidR="009A0293" w:rsidRPr="00F81B4B">
        <w:t xml:space="preserve">current </w:t>
      </w:r>
      <w:r w:rsidR="00C11908" w:rsidRPr="00F81B4B">
        <w:t>major supply sources</w:t>
      </w:r>
      <w:r w:rsidR="009A0293" w:rsidRPr="00F81B4B">
        <w:t>—Corin, Bendora</w:t>
      </w:r>
      <w:r w:rsidR="00F47FA7" w:rsidRPr="00F81B4B">
        <w:t xml:space="preserve">, Enlarged Cotter and Googong </w:t>
      </w:r>
      <w:r w:rsidR="009A0293" w:rsidRPr="00F81B4B">
        <w:t>Dams</w:t>
      </w:r>
      <w:r w:rsidR="00C54F11">
        <w:sym w:font="Symbol" w:char="F02D"/>
      </w:r>
      <w:r w:rsidR="00C11908" w:rsidRPr="00F81B4B">
        <w:t xml:space="preserve">with a </w:t>
      </w:r>
      <w:r w:rsidR="00D107B2" w:rsidRPr="00F81B4B">
        <w:t>total capacity 278 GL</w:t>
      </w:r>
      <w:r w:rsidR="00C54F11">
        <w:t>,</w:t>
      </w:r>
      <w:r w:rsidR="002C4A8D" w:rsidRPr="00F81B4B">
        <w:t xml:space="preserve"> and the upgraded Mt Stromlo and Googong Water Treatment Plants and the Murrumbidgee Pump Station. </w:t>
      </w:r>
      <w:r w:rsidR="00C11908" w:rsidRPr="00F81B4B">
        <w:t xml:space="preserve">In extended dry periods, when storage levels are low, Icon Water can </w:t>
      </w:r>
      <w:r w:rsidR="002C4A8D" w:rsidRPr="00F81B4B">
        <w:t xml:space="preserve">also </w:t>
      </w:r>
      <w:r w:rsidR="00C11908" w:rsidRPr="00F81B4B">
        <w:t>draw water from two pump stations located on the upper Murrumbidgee River. During more protracted dry periods, when the river’s natural flows are low, additional water can be released to the river from Snowy Hydro’s Tantangara Reservoir and transferred to Googong Dam via the Murrumbidgee to Googong pipeline.</w:t>
      </w:r>
    </w:p>
    <w:p w:rsidR="00CA327C" w:rsidRPr="00483B9A" w:rsidRDefault="00C12F73" w:rsidP="00CA327C">
      <w:pPr>
        <w:pStyle w:val="Heading4"/>
      </w:pPr>
      <w:bookmarkStart w:id="130" w:name="_Toc324431393"/>
      <w:r>
        <w:t>Water d</w:t>
      </w:r>
      <w:r w:rsidR="00CA327C" w:rsidRPr="00483B9A">
        <w:t>emand</w:t>
      </w:r>
      <w:bookmarkEnd w:id="130"/>
    </w:p>
    <w:p w:rsidR="00D465A7" w:rsidRDefault="00D465A7" w:rsidP="00D465A7">
      <w:pPr>
        <w:pStyle w:val="Heading5"/>
      </w:pPr>
      <w:r>
        <w:t>Introduction</w:t>
      </w:r>
    </w:p>
    <w:p w:rsidR="003217ED" w:rsidRDefault="003217ED" w:rsidP="00CA327C">
      <w:r>
        <w:t xml:space="preserve">For modelling purposes, </w:t>
      </w:r>
      <w:r w:rsidR="00D5286C">
        <w:t xml:space="preserve">demand can primarily be considered a function of </w:t>
      </w:r>
      <w:r w:rsidR="007C6056">
        <w:t xml:space="preserve">the </w:t>
      </w:r>
      <w:r>
        <w:t xml:space="preserve">expected population growth </w:t>
      </w:r>
      <w:r w:rsidR="007C6056">
        <w:t xml:space="preserve">rate and the level of </w:t>
      </w:r>
      <w:r>
        <w:t>per capita consumption.</w:t>
      </w:r>
      <w:r w:rsidR="00D5286C">
        <w:t xml:space="preserve"> Aggregate d</w:t>
      </w:r>
      <w:r w:rsidR="007C6056">
        <w:t xml:space="preserve">emand </w:t>
      </w:r>
      <w:r w:rsidR="00D5286C">
        <w:t xml:space="preserve">can </w:t>
      </w:r>
      <w:r w:rsidR="007C6056">
        <w:t xml:space="preserve">then </w:t>
      </w:r>
      <w:r w:rsidR="00D5286C">
        <w:t>be c</w:t>
      </w:r>
      <w:r w:rsidR="007C6056">
        <w:t xml:space="preserve">alculated using </w:t>
      </w:r>
      <w:r w:rsidR="00532918">
        <w:t xml:space="preserve">generated </w:t>
      </w:r>
      <w:r w:rsidR="007C6056">
        <w:t xml:space="preserve">stochastic rainfall and evaporation sequences, adjusted for climate change in the relevant scenarios. The demand model used by Icon Water </w:t>
      </w:r>
      <w:r w:rsidR="009925A9">
        <w:t xml:space="preserve">in its water supply and demand model </w:t>
      </w:r>
      <w:r w:rsidR="007C6056">
        <w:t>is that provided to the Industry Panel in August</w:t>
      </w:r>
      <w:r w:rsidR="009925A9">
        <w:t> </w:t>
      </w:r>
      <w:r w:rsidR="007C6056">
        <w:t>2014.</w:t>
      </w:r>
      <w:r w:rsidR="00524412">
        <w:rPr>
          <w:rStyle w:val="FootnoteReference"/>
        </w:rPr>
        <w:footnoteReference w:id="120"/>
      </w:r>
    </w:p>
    <w:p w:rsidR="00D465A7" w:rsidRDefault="00D465A7" w:rsidP="00D465A7">
      <w:pPr>
        <w:pStyle w:val="Heading5"/>
      </w:pPr>
      <w:r>
        <w:t>Recent history</w:t>
      </w:r>
    </w:p>
    <w:p w:rsidR="00F91E5D" w:rsidRDefault="00C04337" w:rsidP="00F91E5D">
      <w:r>
        <w:fldChar w:fldCharType="begin"/>
      </w:r>
      <w:r w:rsidR="00251BD3">
        <w:instrText xml:space="preserve"> REF _Ref449605885 \h </w:instrText>
      </w:r>
      <w:r>
        <w:fldChar w:fldCharType="separate"/>
      </w:r>
      <w:r w:rsidR="00027D28" w:rsidRPr="00E33D9E">
        <w:t xml:space="preserve">Figure </w:t>
      </w:r>
      <w:r w:rsidR="00027D28">
        <w:rPr>
          <w:noProof/>
        </w:rPr>
        <w:t>4</w:t>
      </w:r>
      <w:r w:rsidR="00027D28" w:rsidRPr="00E33D9E">
        <w:t>.</w:t>
      </w:r>
      <w:r w:rsidR="00027D28">
        <w:rPr>
          <w:noProof/>
        </w:rPr>
        <w:t>5</w:t>
      </w:r>
      <w:r>
        <w:fldChar w:fldCharType="end"/>
      </w:r>
      <w:r w:rsidR="00251BD3">
        <w:t xml:space="preserve"> shows Icon Water </w:t>
      </w:r>
      <w:r w:rsidR="00557CB4">
        <w:t xml:space="preserve">per capita </w:t>
      </w:r>
      <w:r w:rsidR="00251BD3">
        <w:t xml:space="preserve">dam releases from 1999 to 2015. This shows a </w:t>
      </w:r>
      <w:r w:rsidR="00D465A7">
        <w:t xml:space="preserve">substantial </w:t>
      </w:r>
      <w:r w:rsidR="00251BD3">
        <w:t>decline in per capita consumption, with levels in recent years well below th</w:t>
      </w:r>
      <w:r w:rsidR="00BE439B">
        <w:t>ose</w:t>
      </w:r>
      <w:r w:rsidR="00251BD3">
        <w:t xml:space="preserve"> seen in the early to mid-2000s.</w:t>
      </w:r>
      <w:r w:rsidR="005947FB">
        <w:t xml:space="preserve"> </w:t>
      </w:r>
      <w:r w:rsidR="00F91E5D">
        <w:t>Beginning roughly at the onset of severe water restrictions in 2006, ACT water consumers have been subject to three experiences that may have set in train processes of adaptation that resulted in the structural break in 2006. These are a substantial increase in the volumetric price of water, incentives and campaigns to encourage more frugal use of water inside and outside the home, and lifestyle change to accommodate lower water consumption.</w:t>
      </w:r>
    </w:p>
    <w:p w:rsidR="00251BD3" w:rsidRDefault="00251BD3" w:rsidP="00F91E5D"/>
    <w:p w:rsidR="00251BD3" w:rsidRDefault="00251BD3" w:rsidP="00251BD3">
      <w:pPr>
        <w:pStyle w:val="FigureName0"/>
        <w:rPr>
          <w:lang w:val="en-AU"/>
        </w:rPr>
      </w:pPr>
      <w:bookmarkStart w:id="131" w:name="_Ref449605885"/>
      <w:bookmarkStart w:id="132" w:name="_Toc453920911"/>
      <w:r w:rsidRPr="00E33D9E">
        <w:lastRenderedPageBreak/>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4</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5</w:t>
      </w:r>
      <w:r w:rsidR="00C04337" w:rsidRPr="00E33D9E">
        <w:fldChar w:fldCharType="end"/>
      </w:r>
      <w:bookmarkEnd w:id="131"/>
      <w:r>
        <w:tab/>
        <w:t xml:space="preserve">Annual Icon Water </w:t>
      </w:r>
      <w:r>
        <w:rPr>
          <w:lang w:val="en-AU"/>
        </w:rPr>
        <w:t>dam releases per capita, 1999 to 2015</w:t>
      </w:r>
      <w:r w:rsidR="00B602C1">
        <w:rPr>
          <w:rStyle w:val="FootnoteReference"/>
        </w:rPr>
        <w:footnoteReference w:id="121"/>
      </w:r>
      <w:bookmarkEnd w:id="132"/>
    </w:p>
    <w:p w:rsidR="00251BD3" w:rsidRPr="00C63BD3" w:rsidRDefault="00251BD3" w:rsidP="00251BD3">
      <w:pPr>
        <w:rPr>
          <w:b/>
          <w:lang w:val="en-AU"/>
        </w:rPr>
      </w:pPr>
      <w:r>
        <w:rPr>
          <w:noProof/>
          <w:lang w:val="en-AU" w:eastAsia="en-AU"/>
        </w:rPr>
        <w:drawing>
          <wp:inline distT="0" distB="0" distL="0" distR="0">
            <wp:extent cx="4896485" cy="2642870"/>
            <wp:effectExtent l="0" t="0" r="18415"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51BD3" w:rsidRDefault="00251BD3" w:rsidP="00251BD3">
      <w:pPr>
        <w:pStyle w:val="FigureNotes"/>
      </w:pPr>
      <w:r w:rsidRPr="00B62906">
        <w:t>Source:</w:t>
      </w:r>
      <w:r>
        <w:tab/>
        <w:t>ABS, ACT Treasury and Icon Water data.</w:t>
      </w:r>
    </w:p>
    <w:p w:rsidR="00251BD3" w:rsidRDefault="008B59E6" w:rsidP="00CA327C">
      <w:r>
        <w:t>The relationship</w:t>
      </w:r>
      <w:r w:rsidR="002C1FD4">
        <w:t xml:space="preserve"> between population and </w:t>
      </w:r>
      <w:r w:rsidR="00AC3E7A">
        <w:t xml:space="preserve">water </w:t>
      </w:r>
      <w:r w:rsidR="002C1FD4">
        <w:t>demand has been investigated in the development of a number of ACT forecasting models in the last few years.</w:t>
      </w:r>
    </w:p>
    <w:p w:rsidR="00235DFE" w:rsidRDefault="002C1FD4" w:rsidP="00CA327C">
      <w:r>
        <w:t xml:space="preserve">Icon Water used the Breusch-Ward model, which excludes population as an explanatory variable, as the basis for its demand forecasts for the 2013 water and sewerage services price investigation. </w:t>
      </w:r>
      <w:r w:rsidR="00C04337">
        <w:fldChar w:fldCharType="begin"/>
      </w:r>
      <w:r>
        <w:instrText xml:space="preserve"> ADDIN EN.CITE &lt;EndNote&gt;&lt;Cite&gt;&lt;Author&gt;Breusch&lt;/Author&gt;&lt;Year&gt;2012&lt;/Year&gt;&lt;RecNum&gt;469&lt;/RecNum&gt;&lt;DisplayText&gt;Breusch and Ward (2012)&lt;/DisplayText&gt;&lt;record&gt;&lt;rec-number&gt;469&lt;/rec-number&gt;&lt;foreign-keys&gt;&lt;key app="EN" db-id="5xwt9zxa6r5fesevwr5xzp97r95ev9wx9zpw" timestamp="1418352894"&gt;469&lt;/key&gt;&lt;/foreign-keys&gt;&lt;ref-type name="AAA ICRC Water References"&gt;40&lt;/ref-type&gt;&lt;contributors&gt;&lt;authors&gt;&lt;author&gt;Breusch, Trevor&lt;/author&gt;&lt;author&gt;Michael Ward&lt;/author&gt;&lt;/authors&gt;&lt;/contributors&gt;&lt;titles&gt;&lt;title&gt;Attachment 12: Building a forecasting model of ACT water use&lt;/title&gt;&lt;/titles&gt;&lt;dates&gt;&lt;year&gt;2012&lt;/year&gt;&lt;pub-dates&gt;&lt;date&gt;June 2012&lt;/date&gt;&lt;/pub-dates&gt;&lt;/dates&gt;&lt;pub-location&gt;Canberra&lt;/pub-location&gt;&lt;urls&gt;&lt;/urls&gt;&lt;/record&gt;&lt;/Cite&gt;&lt;/EndNote&gt;</w:instrText>
      </w:r>
      <w:r w:rsidR="00C04337">
        <w:fldChar w:fldCharType="separate"/>
      </w:r>
      <w:hyperlink w:anchor="_ENREF_19" w:tooltip="Breusch, 2012 #469" w:history="1">
        <w:r w:rsidR="000F2FEB">
          <w:rPr>
            <w:noProof/>
          </w:rPr>
          <w:t>Breusch and Ward (2012</w:t>
        </w:r>
      </w:hyperlink>
      <w:r>
        <w:rPr>
          <w:noProof/>
        </w:rPr>
        <w:t>)</w:t>
      </w:r>
      <w:r w:rsidR="00C04337">
        <w:fldChar w:fldCharType="end"/>
      </w:r>
      <w:r w:rsidRPr="008E60FF">
        <w:t xml:space="preserve"> </w:t>
      </w:r>
      <w:r w:rsidR="00424209">
        <w:t xml:space="preserve">state </w:t>
      </w:r>
      <w:r w:rsidRPr="008E60FF">
        <w:t xml:space="preserve">that population </w:t>
      </w:r>
      <w:r w:rsidR="00424209">
        <w:t xml:space="preserve">was excluded from </w:t>
      </w:r>
      <w:r w:rsidRPr="008E60FF">
        <w:t xml:space="preserve">the final model </w:t>
      </w:r>
      <w:r w:rsidR="00424209">
        <w:t xml:space="preserve">as it is </w:t>
      </w:r>
      <w:r w:rsidRPr="008E60FF">
        <w:t>not statistically significant and the coefficient is negative, rather than positive as one would expect.</w:t>
      </w:r>
      <w:r w:rsidRPr="004E7ABE">
        <w:rPr>
          <w:rStyle w:val="FootnoteReference"/>
        </w:rPr>
        <w:footnoteReference w:id="122"/>
      </w:r>
      <w:r w:rsidRPr="008E60FF">
        <w:t xml:space="preserve"> Breusch and Ward surmised that water-saving efficiencies may be increasing at a rate to roughly offset population growth.</w:t>
      </w:r>
      <w:r>
        <w:rPr>
          <w:rStyle w:val="FootnoteReference"/>
        </w:rPr>
        <w:footnoteReference w:id="123"/>
      </w:r>
    </w:p>
    <w:p w:rsidR="00871FE9" w:rsidRDefault="00871FE9" w:rsidP="00CA327C">
      <w:r>
        <w:t>Similarly, Icon Water’s 2015 biennial recalibration forecasting model contains no allowance for population growth, implicitly assuming that population growth is offset by demand reductions.</w:t>
      </w:r>
    </w:p>
    <w:p w:rsidR="0017321D" w:rsidRDefault="0017321D" w:rsidP="00CA327C">
      <w:r>
        <w:t xml:space="preserve">The Commission </w:t>
      </w:r>
      <w:r w:rsidR="00585BE0">
        <w:t>came to a</w:t>
      </w:r>
      <w:r w:rsidR="00CB0D34">
        <w:t>n</w:t>
      </w:r>
      <w:r w:rsidR="00585BE0">
        <w:t xml:space="preserve"> </w:t>
      </w:r>
      <w:r w:rsidR="00CB0D34">
        <w:t>analogous</w:t>
      </w:r>
      <w:r>
        <w:t xml:space="preserve"> </w:t>
      </w:r>
      <w:r w:rsidR="00585BE0">
        <w:t>conclusion</w:t>
      </w:r>
      <w:r>
        <w:t xml:space="preserve"> in its 2015</w:t>
      </w:r>
      <w:r w:rsidR="00F14572">
        <w:t xml:space="preserve"> </w:t>
      </w:r>
      <w:r>
        <w:t>time series forecasting work:</w:t>
      </w:r>
    </w:p>
    <w:p w:rsidR="0017321D" w:rsidRDefault="0017321D" w:rsidP="0017321D">
      <w:pPr>
        <w:pStyle w:val="Quote"/>
      </w:pPr>
      <w:r>
        <w:t xml:space="preserve">The Commission chose not to include a population variable because there is no trend in the Releases data over the estimation period. As the Commission noted in the </w:t>
      </w:r>
      <w:r>
        <w:lastRenderedPageBreak/>
        <w:t>January 2015 paper and as is illustrated in Figure 2.7, over the period 1998 to 2014, there has been a significant, downward trend in Releases.</w:t>
      </w:r>
      <w:r>
        <w:rPr>
          <w:rStyle w:val="FootnoteReference"/>
        </w:rPr>
        <w:footnoteReference w:id="124"/>
      </w:r>
      <w:r>
        <w:t xml:space="preserve"> </w:t>
      </w:r>
    </w:p>
    <w:p w:rsidR="0017321D" w:rsidRDefault="00FA47BD" w:rsidP="009B3893">
      <w:r w:rsidRPr="009B3893">
        <w:t>While the above work suggests that</w:t>
      </w:r>
      <w:r w:rsidR="009B3893" w:rsidRPr="009B3893">
        <w:t>, at least in the near term,</w:t>
      </w:r>
      <w:r w:rsidRPr="009B3893">
        <w:t xml:space="preserve"> population</w:t>
      </w:r>
      <w:r w:rsidR="009B3893" w:rsidRPr="009B3893">
        <w:t xml:space="preserve"> should be excluded as a demand factor, for the purposes of this paper</w:t>
      </w:r>
      <w:r w:rsidR="009B3893">
        <w:t>,</w:t>
      </w:r>
      <w:r w:rsidR="009B3893" w:rsidRPr="009B3893">
        <w:t xml:space="preserve"> the Commission agrees with Breusch and Ward’s view that </w:t>
      </w:r>
      <w:r w:rsidR="009B3893">
        <w:t>‘</w:t>
      </w:r>
      <w:r w:rsidR="009B3893" w:rsidRPr="009B3893">
        <w:t>population growth would likely be an important factor for long-term forecasting and water-security planning.</w:t>
      </w:r>
      <w:r w:rsidR="009B3893">
        <w:t>’</w:t>
      </w:r>
      <w:r w:rsidR="009B3893">
        <w:rPr>
          <w:rStyle w:val="FootnoteReference"/>
        </w:rPr>
        <w:footnoteReference w:id="125"/>
      </w:r>
    </w:p>
    <w:p w:rsidR="0025434B" w:rsidRDefault="0025434B" w:rsidP="009B3893">
      <w:r>
        <w:t xml:space="preserve">The two key modelling assumptions: what population growth rate to apply and how to treat the per capita contribution of any population </w:t>
      </w:r>
      <w:r w:rsidR="00F6153B">
        <w:t xml:space="preserve">increase </w:t>
      </w:r>
      <w:r>
        <w:t>to aggregate demand; are discussed in turn below.</w:t>
      </w:r>
    </w:p>
    <w:p w:rsidR="00CA327C" w:rsidRDefault="00CA327C" w:rsidP="00CA327C">
      <w:pPr>
        <w:pStyle w:val="Heading5"/>
      </w:pPr>
      <w:bookmarkStart w:id="133" w:name="_Toc324431391"/>
      <w:r w:rsidRPr="00CB78AF">
        <w:t>Population growth</w:t>
      </w:r>
      <w:bookmarkEnd w:id="133"/>
      <w:r w:rsidR="008538CD">
        <w:t xml:space="preserve"> rate</w:t>
      </w:r>
    </w:p>
    <w:p w:rsidR="00CA327C" w:rsidRPr="000463B2" w:rsidRDefault="00CA327C" w:rsidP="00CA327C">
      <w:r>
        <w:t xml:space="preserve">In 2013 the Australian Bureau of Statistics (ABS) released its latest high, medium and low series population projections for the ACT. Subsequently, the ACT Government </w:t>
      </w:r>
      <w:r w:rsidR="002B440F">
        <w:t xml:space="preserve">published </w:t>
      </w:r>
      <w:r>
        <w:t xml:space="preserve">its population projection for the ACT over the 50 years to 2062, based on the ABS medium series. This projects an ACT population of about 682,000 by the end of the forecast period. The scale of difference the ABS high series and the medium series, which increases substantially in the outer years, is illustrated in </w:t>
      </w:r>
      <w:r w:rsidR="00C04337">
        <w:fldChar w:fldCharType="begin"/>
      </w:r>
      <w:r>
        <w:instrText xml:space="preserve"> REF _Ref448413071 \h </w:instrText>
      </w:r>
      <w:r w:rsidR="00C04337">
        <w:fldChar w:fldCharType="separate"/>
      </w:r>
      <w:r w:rsidR="00027D28" w:rsidRPr="00E33D9E">
        <w:t xml:space="preserve">Figure </w:t>
      </w:r>
      <w:r w:rsidR="00027D28">
        <w:rPr>
          <w:noProof/>
        </w:rPr>
        <w:t>4</w:t>
      </w:r>
      <w:r w:rsidR="00027D28" w:rsidRPr="00E33D9E">
        <w:t>.</w:t>
      </w:r>
      <w:r w:rsidR="00027D28">
        <w:rPr>
          <w:noProof/>
        </w:rPr>
        <w:t>6</w:t>
      </w:r>
      <w:r w:rsidR="00C04337">
        <w:fldChar w:fldCharType="end"/>
      </w:r>
      <w:bookmarkStart w:id="134" w:name="_Toc321301527"/>
      <w:r>
        <w:t>.</w:t>
      </w:r>
    </w:p>
    <w:p w:rsidR="00CA327C" w:rsidRDefault="00CA327C" w:rsidP="00CA327C">
      <w:pPr>
        <w:pStyle w:val="FigureName0"/>
        <w:rPr>
          <w:lang w:val="en-AU"/>
        </w:rPr>
      </w:pPr>
      <w:bookmarkStart w:id="135" w:name="_Ref448413071"/>
      <w:bookmarkStart w:id="136" w:name="_Toc328729300"/>
      <w:bookmarkStart w:id="137" w:name="_Toc453920912"/>
      <w:r w:rsidRPr="00E33D9E">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4</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6</w:t>
      </w:r>
      <w:r w:rsidR="00C04337" w:rsidRPr="00E33D9E">
        <w:fldChar w:fldCharType="end"/>
      </w:r>
      <w:bookmarkEnd w:id="135"/>
      <w:r>
        <w:tab/>
      </w:r>
      <w:r>
        <w:rPr>
          <w:lang w:val="en-AU"/>
        </w:rPr>
        <w:t>ACT observed and projected population—high versus medium growth</w:t>
      </w:r>
      <w:bookmarkEnd w:id="134"/>
      <w:bookmarkEnd w:id="136"/>
      <w:bookmarkEnd w:id="137"/>
    </w:p>
    <w:p w:rsidR="00CA327C" w:rsidRPr="0008753B" w:rsidRDefault="00CA327C" w:rsidP="00CA327C">
      <w:pPr>
        <w:keepNext/>
        <w:rPr>
          <w:lang w:val="en-AU"/>
        </w:rPr>
      </w:pPr>
      <w:r>
        <w:rPr>
          <w:noProof/>
          <w:lang w:val="en-AU" w:eastAsia="en-AU"/>
        </w:rPr>
        <w:drawing>
          <wp:inline distT="0" distB="0" distL="0" distR="0">
            <wp:extent cx="4939004" cy="2133600"/>
            <wp:effectExtent l="0" t="0" r="1460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A327C" w:rsidRDefault="00CA327C" w:rsidP="00CA327C">
      <w:pPr>
        <w:pStyle w:val="TableNotesLast0"/>
        <w:keepNext/>
      </w:pPr>
      <w:r w:rsidRPr="00B62906">
        <w:rPr>
          <w:lang w:val="en-AU"/>
        </w:rPr>
        <w:t>Source:</w:t>
      </w:r>
      <w:r>
        <w:rPr>
          <w:lang w:val="en-AU"/>
        </w:rPr>
        <w:tab/>
      </w:r>
      <w:r w:rsidR="00C04337">
        <w:rPr>
          <w:lang w:val="en-AU"/>
        </w:rPr>
        <w:fldChar w:fldCharType="begin"/>
      </w:r>
      <w:r>
        <w:rPr>
          <w:lang w:val="en-AU"/>
        </w:rPr>
        <w:instrText xml:space="preserve"> ADDIN EN.CITE &lt;EndNote&gt;&lt;Cite&gt;&lt;Author&gt;ACT Government&lt;/Author&gt;&lt;Year&gt;2014&lt;/Year&gt;&lt;RecNum&gt;569&lt;/RecNum&gt;&lt;DisplayText&gt;ACT Government (2014a)&lt;/DisplayText&gt;&lt;record&gt;&lt;rec-number&gt;569&lt;/rec-number&gt;&lt;foreign-keys&gt;&lt;key app="EN" db-id="5xwt9zxa6r5fesevwr5xzp97r95ev9wx9zpw" timestamp="1441769375"&gt;569&lt;/key&gt;&lt;/foreign-keys&gt;&lt;ref-type name="Online Database"&gt;45&lt;/ref-type&gt;&lt;contributors&gt;&lt;authors&gt;&lt;author&gt;ACT Government,&lt;/author&gt;&lt;/authors&gt;&lt;/contributors&gt;&lt;titles&gt;&lt;title&gt;ACT Population Projections 2013&lt;/title&gt;&lt;/titles&gt;&lt;volume&gt;Table 2&lt;/volume&gt;&lt;dates&gt;&lt;year&gt;2014&lt;/year&gt;&lt;pub-dates&gt;&lt;date&gt;9 September 2015&lt;/date&gt;&lt;/pub-dates&gt;&lt;/dates&gt;&lt;pub-location&gt;Canberra&lt;/pub-location&gt;&lt;publisher&gt;ACT Treasury&lt;/publisher&gt;&lt;urls&gt;&lt;related-urls&gt;&lt;url&gt;http://apps.treasury.act.gov.au/demography&lt;/url&gt;&lt;/related-urls&gt;&lt;/urls&gt;&lt;/record&gt;&lt;/Cite&gt;&lt;/EndNote&gt;</w:instrText>
      </w:r>
      <w:r w:rsidR="00C04337">
        <w:rPr>
          <w:lang w:val="en-AU"/>
        </w:rPr>
        <w:fldChar w:fldCharType="separate"/>
      </w:r>
      <w:hyperlink w:anchor="_ENREF_5" w:tooltip="ACT Government, 2014 #569" w:history="1">
        <w:r w:rsidR="000F2FEB">
          <w:rPr>
            <w:noProof/>
            <w:lang w:val="en-AU"/>
          </w:rPr>
          <w:t>ACT Government (2014a</w:t>
        </w:r>
      </w:hyperlink>
      <w:r>
        <w:rPr>
          <w:noProof/>
          <w:lang w:val="en-AU"/>
        </w:rPr>
        <w:t>)</w:t>
      </w:r>
      <w:r w:rsidR="00C04337">
        <w:rPr>
          <w:lang w:val="en-AU"/>
        </w:rPr>
        <w:fldChar w:fldCharType="end"/>
      </w:r>
      <w:r>
        <w:rPr>
          <w:lang w:val="en-AU"/>
        </w:rPr>
        <w:t xml:space="preserve">; </w:t>
      </w:r>
      <w:r w:rsidR="00C04337">
        <w:rPr>
          <w:lang w:val="en-AU"/>
        </w:rPr>
        <w:fldChar w:fldCharType="begin"/>
      </w:r>
      <w:r>
        <w:rPr>
          <w:lang w:val="en-AU"/>
        </w:rPr>
        <w:instrText xml:space="preserve"> ADDIN EN.CITE &lt;EndNote&gt;&lt;Cite&gt;&lt;Author&gt;ABS&lt;/Author&gt;&lt;Year&gt;2013&lt;/Year&gt;&lt;RecNum&gt;715&lt;/RecNum&gt;&lt;DisplayText&gt;ABS (2013)&lt;/DisplayText&gt;&lt;record&gt;&lt;rec-number&gt;715&lt;/rec-number&gt;&lt;foreign-keys&gt;&lt;key app="EN" db-id="5xwt9zxa6r5fesevwr5xzp97r95ev9wx9zpw" timestamp="1460613534"&gt;715&lt;/key&gt;&lt;/foreign-keys&gt;&lt;ref-type name="Online Database"&gt;45&lt;/ref-type&gt;&lt;contributors&gt;&lt;authors&gt;&lt;author&gt;ABS,&lt;/author&gt;&lt;/authors&gt;&lt;/contributors&gt;&lt;titles&gt;&lt;title&gt;3222.0 - Population Projections, Australia, 2012&lt;/title&gt;&lt;/titles&gt;&lt;dates&gt;&lt;year&gt;2013&lt;/year&gt;&lt;pub-dates&gt;&lt;date&gt;26 November 2013&lt;/date&gt;&lt;/pub-dates&gt;&lt;/dates&gt;&lt;pub-location&gt;Canberra&lt;/pub-location&gt;&lt;publisher&gt;Australian Bureau of Statistics&lt;/publisher&gt;&lt;urls&gt;&lt;related-urls&gt;&lt;url&gt;http://www.abs.gov.au/AUSSTATS/abs@.nsf/DetailsPage/3222.02012%20(base)%20to%202101?OpenDocument&lt;/url&gt;&lt;/related-urls&gt;&lt;/urls&gt;&lt;/record&gt;&lt;/Cite&gt;&lt;/EndNote&gt;</w:instrText>
      </w:r>
      <w:r w:rsidR="00C04337">
        <w:rPr>
          <w:lang w:val="en-AU"/>
        </w:rPr>
        <w:fldChar w:fldCharType="separate"/>
      </w:r>
      <w:hyperlink w:anchor="_ENREF_1" w:tooltip="ABS, 2013 #715" w:history="1">
        <w:r w:rsidR="000F2FEB">
          <w:rPr>
            <w:noProof/>
            <w:lang w:val="en-AU"/>
          </w:rPr>
          <w:t>ABS (2013</w:t>
        </w:r>
      </w:hyperlink>
      <w:r>
        <w:rPr>
          <w:noProof/>
          <w:lang w:val="en-AU"/>
        </w:rPr>
        <w:t>)</w:t>
      </w:r>
      <w:r w:rsidR="00C04337">
        <w:rPr>
          <w:lang w:val="en-AU"/>
        </w:rPr>
        <w:fldChar w:fldCharType="end"/>
      </w:r>
      <w:r>
        <w:rPr>
          <w:lang w:val="en-AU"/>
        </w:rPr>
        <w:t>.</w:t>
      </w:r>
    </w:p>
    <w:p w:rsidR="00CA327C" w:rsidRDefault="00C04337" w:rsidP="00CA327C">
      <w:r>
        <w:fldChar w:fldCharType="begin"/>
      </w:r>
      <w:r w:rsidR="00CA327C">
        <w:instrText xml:space="preserve"> REF _Ref448474102 \h </w:instrText>
      </w:r>
      <w:r>
        <w:fldChar w:fldCharType="separate"/>
      </w:r>
      <w:r w:rsidR="00027D28" w:rsidRPr="00E33D9E">
        <w:t xml:space="preserve">Figure </w:t>
      </w:r>
      <w:r w:rsidR="00027D28">
        <w:rPr>
          <w:noProof/>
        </w:rPr>
        <w:t>4</w:t>
      </w:r>
      <w:r w:rsidR="00027D28" w:rsidRPr="00E33D9E">
        <w:t>.</w:t>
      </w:r>
      <w:r w:rsidR="00027D28">
        <w:rPr>
          <w:noProof/>
        </w:rPr>
        <w:t>7</w:t>
      </w:r>
      <w:r>
        <w:fldChar w:fldCharType="end"/>
      </w:r>
      <w:r w:rsidR="00CA327C">
        <w:t xml:space="preserve"> shows the ten-year observed, medium and high series projected population growth rates. This shows that the high series growth rates are well above the rates observed over the previous two decades. On this basis, and consistent with the ACT Treasury’s approach, for the purposes of this paper the Commission’s preference is to use the ABS medium growth series for projecting future water demand</w:t>
      </w:r>
      <w:r w:rsidR="0006522C">
        <w:t xml:space="preserve"> for the optimal investment scenario</w:t>
      </w:r>
      <w:r w:rsidR="00CA327C">
        <w:t>.</w:t>
      </w:r>
    </w:p>
    <w:p w:rsidR="00CA327C" w:rsidRDefault="00CA327C" w:rsidP="00CA327C">
      <w:pPr>
        <w:pStyle w:val="FigureName0"/>
        <w:rPr>
          <w:lang w:val="en-AU"/>
        </w:rPr>
      </w:pPr>
      <w:bookmarkStart w:id="138" w:name="_Ref448474102"/>
      <w:bookmarkStart w:id="139" w:name="_Toc321301528"/>
      <w:bookmarkStart w:id="140" w:name="_Toc328729301"/>
      <w:bookmarkStart w:id="141" w:name="_Toc453920913"/>
      <w:r w:rsidRPr="00E33D9E">
        <w:lastRenderedPageBreak/>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4</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7</w:t>
      </w:r>
      <w:r w:rsidR="00C04337" w:rsidRPr="00E33D9E">
        <w:fldChar w:fldCharType="end"/>
      </w:r>
      <w:bookmarkEnd w:id="138"/>
      <w:r>
        <w:tab/>
      </w:r>
      <w:r>
        <w:rPr>
          <w:lang w:val="en-AU"/>
        </w:rPr>
        <w:t>ACT historical and projected population ten-year average growth rates</w:t>
      </w:r>
      <w:bookmarkEnd w:id="139"/>
      <w:bookmarkEnd w:id="140"/>
      <w:bookmarkEnd w:id="141"/>
    </w:p>
    <w:p w:rsidR="00CA327C" w:rsidRPr="00C63BD3" w:rsidRDefault="00CA327C" w:rsidP="00CA327C">
      <w:pPr>
        <w:rPr>
          <w:b/>
          <w:lang w:val="en-AU"/>
        </w:rPr>
      </w:pPr>
      <w:r>
        <w:rPr>
          <w:noProof/>
          <w:lang w:val="en-AU" w:eastAsia="en-AU"/>
        </w:rPr>
        <w:drawing>
          <wp:inline distT="0" distB="0" distL="0" distR="0">
            <wp:extent cx="4896485" cy="2361565"/>
            <wp:effectExtent l="0" t="0" r="18415" b="6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A327C" w:rsidRDefault="00CA327C" w:rsidP="00CA327C">
      <w:pPr>
        <w:pStyle w:val="FigureNotes"/>
      </w:pPr>
      <w:r w:rsidRPr="00B62906">
        <w:t>Source:</w:t>
      </w:r>
      <w:r>
        <w:tab/>
      </w:r>
      <w:r w:rsidR="00C04337">
        <w:fldChar w:fldCharType="begin"/>
      </w:r>
      <w:r>
        <w:instrText xml:space="preserve"> ADDIN EN.CITE &lt;EndNote&gt;&lt;Cite&gt;&lt;Author&gt;ACT Government&lt;/Author&gt;&lt;Year&gt;2014&lt;/Year&gt;&lt;RecNum&gt;569&lt;/RecNum&gt;&lt;DisplayText&gt;ACT Government (2014a)&lt;/DisplayText&gt;&lt;record&gt;&lt;rec-number&gt;569&lt;/rec-number&gt;&lt;foreign-keys&gt;&lt;key app="EN" db-id="5xwt9zxa6r5fesevwr5xzp97r95ev9wx9zpw" timestamp="1441769375"&gt;569&lt;/key&gt;&lt;/foreign-keys&gt;&lt;ref-type name="Online Database"&gt;45&lt;/ref-type&gt;&lt;contributors&gt;&lt;authors&gt;&lt;author&gt;ACT Government,&lt;/author&gt;&lt;/authors&gt;&lt;/contributors&gt;&lt;titles&gt;&lt;title&gt;ACT Population Projections 2013&lt;/title&gt;&lt;/titles&gt;&lt;volume&gt;Table 2&lt;/volume&gt;&lt;dates&gt;&lt;year&gt;2014&lt;/year&gt;&lt;pub-dates&gt;&lt;date&gt;9 September 2015&lt;/date&gt;&lt;/pub-dates&gt;&lt;/dates&gt;&lt;pub-location&gt;Canberra&lt;/pub-location&gt;&lt;publisher&gt;ACT Treasury&lt;/publisher&gt;&lt;urls&gt;&lt;related-urls&gt;&lt;url&gt;http://apps.treasury.act.gov.au/demography&lt;/url&gt;&lt;/related-urls&gt;&lt;/urls&gt;&lt;/record&gt;&lt;/Cite&gt;&lt;/EndNote&gt;</w:instrText>
      </w:r>
      <w:r w:rsidR="00C04337">
        <w:fldChar w:fldCharType="separate"/>
      </w:r>
      <w:hyperlink w:anchor="_ENREF_5" w:tooltip="ACT Government, 2014 #569" w:history="1">
        <w:r w:rsidR="000F2FEB">
          <w:rPr>
            <w:noProof/>
          </w:rPr>
          <w:t>ACT Government (2014a</w:t>
        </w:r>
      </w:hyperlink>
      <w:r>
        <w:rPr>
          <w:noProof/>
        </w:rPr>
        <w:t>)</w:t>
      </w:r>
      <w:r w:rsidR="00C04337">
        <w:fldChar w:fldCharType="end"/>
      </w:r>
      <w:r>
        <w:t>.</w:t>
      </w:r>
    </w:p>
    <w:p w:rsidR="00CA327C" w:rsidRDefault="00ED0F18" w:rsidP="00CA327C">
      <w:r>
        <w:t xml:space="preserve">For the purposes of forecasting the Queanbeyan population, </w:t>
      </w:r>
      <w:r w:rsidR="00CA327C">
        <w:t>the Commission has utilised New South Wales Government population projections for Queanbeyan to 2031, and</w:t>
      </w:r>
      <w:r>
        <w:t>,</w:t>
      </w:r>
      <w:r w:rsidR="00CA327C">
        <w:t xml:space="preserve"> </w:t>
      </w:r>
      <w:r>
        <w:t xml:space="preserve">consistent with the ACT approach, </w:t>
      </w:r>
      <w:r w:rsidR="00CA327C">
        <w:t>applied the ACT medium series average growth rates to 2062.</w:t>
      </w:r>
      <w:r>
        <w:rPr>
          <w:rStyle w:val="FootnoteReference"/>
        </w:rPr>
        <w:footnoteReference w:id="126"/>
      </w:r>
      <w:r w:rsidR="00CA327C">
        <w:t xml:space="preserve"> </w:t>
      </w:r>
    </w:p>
    <w:p w:rsidR="00CA327C" w:rsidRDefault="00CA327C" w:rsidP="00CA327C">
      <w:r>
        <w:t xml:space="preserve">A summary of the Commission’s medium </w:t>
      </w:r>
      <w:proofErr w:type="gramStart"/>
      <w:r w:rsidR="000A3C5E">
        <w:t xml:space="preserve">series </w:t>
      </w:r>
      <w:r>
        <w:t>population projection assumptions</w:t>
      </w:r>
      <w:proofErr w:type="gramEnd"/>
      <w:r>
        <w:t xml:space="preserve"> for the ACT and Queanbeyan is shown in </w:t>
      </w:r>
      <w:r w:rsidR="00C04337">
        <w:fldChar w:fldCharType="begin"/>
      </w:r>
      <w:r>
        <w:instrText xml:space="preserve"> REF _Ref448478016 \h </w:instrText>
      </w:r>
      <w:r w:rsidR="00C04337">
        <w:fldChar w:fldCharType="separate"/>
      </w:r>
      <w:r w:rsidR="00027D28" w:rsidRPr="003C3AEA">
        <w:t>Table</w:t>
      </w:r>
      <w:r w:rsidR="00027D28">
        <w:t xml:space="preserve"> </w:t>
      </w:r>
      <w:r w:rsidR="00027D28">
        <w:rPr>
          <w:noProof/>
        </w:rPr>
        <w:t>4</w:t>
      </w:r>
      <w:r w:rsidR="00027D28">
        <w:t>.</w:t>
      </w:r>
      <w:r w:rsidR="00027D28">
        <w:rPr>
          <w:noProof/>
        </w:rPr>
        <w:t>3</w:t>
      </w:r>
      <w:r w:rsidR="00C04337">
        <w:fldChar w:fldCharType="end"/>
      </w:r>
      <w:r>
        <w:t>.</w:t>
      </w:r>
    </w:p>
    <w:p w:rsidR="00CA327C" w:rsidRDefault="00CA327C" w:rsidP="00CA327C">
      <w:pPr>
        <w:pStyle w:val="TableName0"/>
      </w:pPr>
      <w:bookmarkStart w:id="142" w:name="_Ref448478016"/>
      <w:bookmarkStart w:id="143" w:name="_Toc453920896"/>
      <w:r w:rsidRPr="003C3AEA">
        <w:t>Table</w:t>
      </w:r>
      <w:r>
        <w:t xml:space="preserve"> </w:t>
      </w:r>
      <w:r w:rsidR="00C04337">
        <w:fldChar w:fldCharType="begin"/>
      </w:r>
      <w:r>
        <w:instrText xml:space="preserve"> STYLEREF 1 \s </w:instrText>
      </w:r>
      <w:r w:rsidR="00C04337">
        <w:fldChar w:fldCharType="separate"/>
      </w:r>
      <w:r w:rsidR="00027D28">
        <w:rPr>
          <w:noProof/>
        </w:rPr>
        <w:t>4</w:t>
      </w:r>
      <w:r w:rsidR="00C04337">
        <w:fldChar w:fldCharType="end"/>
      </w:r>
      <w:r>
        <w:t>.</w:t>
      </w:r>
      <w:r w:rsidR="00C04337">
        <w:fldChar w:fldCharType="begin"/>
      </w:r>
      <w:r>
        <w:instrText xml:space="preserve"> SEQ Table \* ARABIC \s 1 </w:instrText>
      </w:r>
      <w:r w:rsidR="00C04337">
        <w:fldChar w:fldCharType="separate"/>
      </w:r>
      <w:r w:rsidR="00027D28">
        <w:rPr>
          <w:noProof/>
        </w:rPr>
        <w:t>3</w:t>
      </w:r>
      <w:r w:rsidR="00C04337">
        <w:fldChar w:fldCharType="end"/>
      </w:r>
      <w:bookmarkEnd w:id="142"/>
      <w:r>
        <w:tab/>
      </w:r>
      <w:r w:rsidRPr="001D70BF">
        <w:t xml:space="preserve">Commission </w:t>
      </w:r>
      <w:r>
        <w:t>medium</w:t>
      </w:r>
      <w:r w:rsidR="000A3C5E">
        <w:t xml:space="preserve"> series </w:t>
      </w:r>
      <w:r w:rsidRPr="001D70BF">
        <w:t>population projection assumptions</w:t>
      </w:r>
      <w:bookmarkEnd w:id="143"/>
    </w:p>
    <w:tbl>
      <w:tblPr>
        <w:tblW w:w="3472" w:type="pct"/>
        <w:tblBorders>
          <w:top w:val="single" w:sz="12" w:space="0" w:color="333399"/>
          <w:bottom w:val="single" w:sz="12" w:space="0" w:color="333399"/>
        </w:tblBorders>
        <w:tblCellMar>
          <w:left w:w="115" w:type="dxa"/>
          <w:right w:w="115" w:type="dxa"/>
        </w:tblCellMar>
        <w:tblLook w:val="0000"/>
      </w:tblPr>
      <w:tblGrid>
        <w:gridCol w:w="634"/>
        <w:gridCol w:w="1165"/>
        <w:gridCol w:w="1614"/>
        <w:gridCol w:w="2101"/>
      </w:tblGrid>
      <w:tr w:rsidR="00CA327C" w:rsidRPr="00144F8C" w:rsidTr="003217ED">
        <w:trPr>
          <w:cantSplit/>
        </w:trPr>
        <w:tc>
          <w:tcPr>
            <w:tcW w:w="575"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CA327C" w:rsidRPr="00FF597B" w:rsidRDefault="00CA327C" w:rsidP="003217ED">
            <w:pPr>
              <w:pStyle w:val="TableHeading"/>
            </w:pPr>
            <w:r w:rsidRPr="00FF597B">
              <w:t>Year</w:t>
            </w:r>
          </w:p>
        </w:tc>
        <w:tc>
          <w:tcPr>
            <w:tcW w:w="1056"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CA327C" w:rsidRPr="00FF597B" w:rsidRDefault="00CA327C" w:rsidP="003217ED">
            <w:pPr>
              <w:pStyle w:val="TableHeading"/>
              <w:jc w:val="right"/>
            </w:pPr>
            <w:r w:rsidRPr="00FF597B">
              <w:t>ACT</w:t>
            </w:r>
          </w:p>
        </w:tc>
        <w:tc>
          <w:tcPr>
            <w:tcW w:w="1464"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CA327C" w:rsidRPr="00FF597B" w:rsidRDefault="00CA327C" w:rsidP="003217ED">
            <w:pPr>
              <w:pStyle w:val="TableHeading"/>
              <w:jc w:val="right"/>
            </w:pPr>
            <w:r w:rsidRPr="00FF597B">
              <w:t>Queanbeyan</w:t>
            </w:r>
          </w:p>
        </w:tc>
        <w:tc>
          <w:tcPr>
            <w:tcW w:w="1905"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CA327C" w:rsidRPr="00FF597B" w:rsidRDefault="00CA327C" w:rsidP="003217ED">
            <w:pPr>
              <w:pStyle w:val="TableHeading"/>
              <w:jc w:val="right"/>
            </w:pPr>
            <w:r w:rsidRPr="00FF597B">
              <w:t>Total population serviced</w:t>
            </w:r>
          </w:p>
        </w:tc>
      </w:tr>
      <w:tr w:rsidR="00CA327C" w:rsidRPr="00144F8C" w:rsidTr="003217ED">
        <w:trPr>
          <w:cantSplit/>
        </w:trPr>
        <w:tc>
          <w:tcPr>
            <w:tcW w:w="575" w:type="pct"/>
            <w:tcBorders>
              <w:top w:val="nil"/>
              <w:left w:val="nil"/>
              <w:bottom w:val="nil"/>
              <w:right w:val="nil"/>
            </w:tcBorders>
          </w:tcPr>
          <w:p w:rsidR="00CA327C" w:rsidRPr="00025809" w:rsidRDefault="00CA327C" w:rsidP="003217ED">
            <w:pPr>
              <w:pStyle w:val="TableTextLeft"/>
              <w:keepNext/>
              <w:rPr>
                <w:b/>
              </w:rPr>
            </w:pPr>
            <w:r w:rsidRPr="00025809">
              <w:rPr>
                <w:b/>
              </w:rPr>
              <w:t>2016</w:t>
            </w:r>
          </w:p>
        </w:tc>
        <w:tc>
          <w:tcPr>
            <w:tcW w:w="1056" w:type="pct"/>
            <w:tcBorders>
              <w:top w:val="nil"/>
              <w:left w:val="nil"/>
              <w:bottom w:val="nil"/>
              <w:right w:val="nil"/>
            </w:tcBorders>
          </w:tcPr>
          <w:p w:rsidR="00CA327C" w:rsidRPr="002625DD" w:rsidRDefault="00CA327C" w:rsidP="003217ED">
            <w:pPr>
              <w:pStyle w:val="TableTextRight"/>
            </w:pPr>
            <w:r w:rsidRPr="002625DD">
              <w:t xml:space="preserve"> 399,899 </w:t>
            </w:r>
          </w:p>
        </w:tc>
        <w:tc>
          <w:tcPr>
            <w:tcW w:w="1464" w:type="pct"/>
            <w:tcBorders>
              <w:top w:val="nil"/>
              <w:left w:val="nil"/>
              <w:bottom w:val="nil"/>
              <w:right w:val="nil"/>
            </w:tcBorders>
          </w:tcPr>
          <w:p w:rsidR="00CA327C" w:rsidRPr="002625DD" w:rsidRDefault="00CA327C" w:rsidP="003217ED">
            <w:pPr>
              <w:pStyle w:val="TableTextRight"/>
            </w:pPr>
            <w:r w:rsidRPr="002625DD">
              <w:t xml:space="preserve"> 44,500 </w:t>
            </w:r>
          </w:p>
        </w:tc>
        <w:tc>
          <w:tcPr>
            <w:tcW w:w="1905" w:type="pct"/>
            <w:tcBorders>
              <w:top w:val="nil"/>
              <w:left w:val="nil"/>
              <w:bottom w:val="nil"/>
              <w:right w:val="nil"/>
            </w:tcBorders>
          </w:tcPr>
          <w:p w:rsidR="00CA327C" w:rsidRPr="002625DD" w:rsidRDefault="00CA327C" w:rsidP="003217ED">
            <w:pPr>
              <w:pStyle w:val="TableHeadingRight"/>
            </w:pPr>
            <w:r w:rsidRPr="002625DD">
              <w:t xml:space="preserve"> 444,399 </w:t>
            </w:r>
          </w:p>
        </w:tc>
      </w:tr>
      <w:tr w:rsidR="00CA327C" w:rsidRPr="00144F8C" w:rsidTr="003217ED">
        <w:trPr>
          <w:cantSplit/>
          <w:trHeight w:val="318"/>
        </w:trPr>
        <w:tc>
          <w:tcPr>
            <w:tcW w:w="575" w:type="pct"/>
            <w:tcBorders>
              <w:top w:val="nil"/>
              <w:left w:val="nil"/>
              <w:bottom w:val="nil"/>
              <w:right w:val="nil"/>
            </w:tcBorders>
          </w:tcPr>
          <w:p w:rsidR="00CA327C" w:rsidRPr="00025809" w:rsidRDefault="00CA327C" w:rsidP="003217ED">
            <w:pPr>
              <w:pStyle w:val="TableTextLeft"/>
              <w:keepNext/>
              <w:rPr>
                <w:b/>
              </w:rPr>
            </w:pPr>
            <w:r w:rsidRPr="00025809">
              <w:rPr>
                <w:b/>
              </w:rPr>
              <w:t>2022</w:t>
            </w:r>
          </w:p>
        </w:tc>
        <w:tc>
          <w:tcPr>
            <w:tcW w:w="1056" w:type="pct"/>
            <w:tcBorders>
              <w:top w:val="nil"/>
              <w:left w:val="nil"/>
              <w:bottom w:val="nil"/>
              <w:right w:val="nil"/>
            </w:tcBorders>
          </w:tcPr>
          <w:p w:rsidR="00CA327C" w:rsidRPr="002625DD" w:rsidRDefault="00CA327C" w:rsidP="003217ED">
            <w:pPr>
              <w:pStyle w:val="TableTextRight"/>
            </w:pPr>
            <w:r w:rsidRPr="002625DD">
              <w:t xml:space="preserve"> 437,032 </w:t>
            </w:r>
          </w:p>
        </w:tc>
        <w:tc>
          <w:tcPr>
            <w:tcW w:w="1464" w:type="pct"/>
            <w:tcBorders>
              <w:top w:val="nil"/>
              <w:left w:val="nil"/>
              <w:bottom w:val="nil"/>
              <w:right w:val="nil"/>
            </w:tcBorders>
          </w:tcPr>
          <w:p w:rsidR="00CA327C" w:rsidRPr="002625DD" w:rsidRDefault="00CA327C" w:rsidP="003217ED">
            <w:pPr>
              <w:pStyle w:val="TableTextRight"/>
            </w:pPr>
            <w:r w:rsidRPr="002625DD">
              <w:t xml:space="preserve"> 50,040 </w:t>
            </w:r>
          </w:p>
        </w:tc>
        <w:tc>
          <w:tcPr>
            <w:tcW w:w="1905" w:type="pct"/>
            <w:tcBorders>
              <w:top w:val="nil"/>
              <w:left w:val="nil"/>
              <w:bottom w:val="nil"/>
              <w:right w:val="nil"/>
            </w:tcBorders>
          </w:tcPr>
          <w:p w:rsidR="00CA327C" w:rsidRPr="002625DD" w:rsidRDefault="00CA327C" w:rsidP="003217ED">
            <w:pPr>
              <w:pStyle w:val="TableHeadingRight"/>
            </w:pPr>
            <w:r w:rsidRPr="002625DD">
              <w:t xml:space="preserve"> 487,072 </w:t>
            </w:r>
          </w:p>
        </w:tc>
      </w:tr>
      <w:tr w:rsidR="00CA327C" w:rsidRPr="00144F8C" w:rsidTr="003217ED">
        <w:trPr>
          <w:cantSplit/>
          <w:trHeight w:val="318"/>
        </w:trPr>
        <w:tc>
          <w:tcPr>
            <w:tcW w:w="575" w:type="pct"/>
            <w:tcBorders>
              <w:top w:val="nil"/>
              <w:left w:val="nil"/>
              <w:bottom w:val="nil"/>
              <w:right w:val="nil"/>
            </w:tcBorders>
          </w:tcPr>
          <w:p w:rsidR="00CA327C" w:rsidRPr="00025809" w:rsidRDefault="00CA327C" w:rsidP="003217ED">
            <w:pPr>
              <w:pStyle w:val="TableTextLeft"/>
              <w:keepNext/>
              <w:rPr>
                <w:b/>
              </w:rPr>
            </w:pPr>
            <w:r w:rsidRPr="00025809">
              <w:rPr>
                <w:b/>
              </w:rPr>
              <w:t>2032</w:t>
            </w:r>
          </w:p>
        </w:tc>
        <w:tc>
          <w:tcPr>
            <w:tcW w:w="1056" w:type="pct"/>
            <w:tcBorders>
              <w:top w:val="nil"/>
              <w:left w:val="nil"/>
              <w:bottom w:val="nil"/>
              <w:right w:val="nil"/>
            </w:tcBorders>
          </w:tcPr>
          <w:p w:rsidR="00CA327C" w:rsidRPr="002625DD" w:rsidRDefault="00CA327C" w:rsidP="003217ED">
            <w:pPr>
              <w:pStyle w:val="TableTextRight"/>
            </w:pPr>
            <w:r w:rsidRPr="002625DD">
              <w:t xml:space="preserve"> 499,463 </w:t>
            </w:r>
          </w:p>
        </w:tc>
        <w:tc>
          <w:tcPr>
            <w:tcW w:w="1464" w:type="pct"/>
            <w:tcBorders>
              <w:top w:val="nil"/>
              <w:left w:val="nil"/>
              <w:bottom w:val="nil"/>
              <w:right w:val="nil"/>
            </w:tcBorders>
          </w:tcPr>
          <w:p w:rsidR="00CA327C" w:rsidRPr="002625DD" w:rsidRDefault="00CA327C" w:rsidP="003217ED">
            <w:pPr>
              <w:pStyle w:val="TableTextRight"/>
            </w:pPr>
            <w:r w:rsidRPr="002625DD">
              <w:t xml:space="preserve"> 59,292 </w:t>
            </w:r>
          </w:p>
        </w:tc>
        <w:tc>
          <w:tcPr>
            <w:tcW w:w="1905" w:type="pct"/>
            <w:tcBorders>
              <w:top w:val="nil"/>
              <w:left w:val="nil"/>
              <w:bottom w:val="nil"/>
              <w:right w:val="nil"/>
            </w:tcBorders>
          </w:tcPr>
          <w:p w:rsidR="00CA327C" w:rsidRPr="002625DD" w:rsidRDefault="00CA327C" w:rsidP="003217ED">
            <w:pPr>
              <w:pStyle w:val="TableHeadingRight"/>
            </w:pPr>
            <w:r w:rsidRPr="002625DD">
              <w:t xml:space="preserve"> 558,755 </w:t>
            </w:r>
          </w:p>
        </w:tc>
      </w:tr>
      <w:tr w:rsidR="00CA327C" w:rsidRPr="00144F8C" w:rsidTr="003217ED">
        <w:trPr>
          <w:cantSplit/>
          <w:trHeight w:val="200"/>
        </w:trPr>
        <w:tc>
          <w:tcPr>
            <w:tcW w:w="575" w:type="pct"/>
            <w:tcBorders>
              <w:top w:val="nil"/>
              <w:left w:val="nil"/>
              <w:bottom w:val="nil"/>
              <w:right w:val="nil"/>
            </w:tcBorders>
          </w:tcPr>
          <w:p w:rsidR="00CA327C" w:rsidRPr="00025809" w:rsidRDefault="00CA327C" w:rsidP="003217ED">
            <w:pPr>
              <w:pStyle w:val="TableTextLeft"/>
              <w:keepNext/>
              <w:rPr>
                <w:b/>
              </w:rPr>
            </w:pPr>
            <w:r w:rsidRPr="00025809">
              <w:rPr>
                <w:b/>
              </w:rPr>
              <w:t>2042</w:t>
            </w:r>
          </w:p>
        </w:tc>
        <w:tc>
          <w:tcPr>
            <w:tcW w:w="1056" w:type="pct"/>
            <w:tcBorders>
              <w:top w:val="nil"/>
              <w:left w:val="nil"/>
              <w:bottom w:val="nil"/>
              <w:right w:val="nil"/>
            </w:tcBorders>
          </w:tcPr>
          <w:p w:rsidR="00CA327C" w:rsidRPr="002625DD" w:rsidRDefault="00CA327C" w:rsidP="003217ED">
            <w:pPr>
              <w:pStyle w:val="TableTextRight"/>
            </w:pPr>
            <w:r w:rsidRPr="002625DD">
              <w:t xml:space="preserve"> 559,569 </w:t>
            </w:r>
          </w:p>
        </w:tc>
        <w:tc>
          <w:tcPr>
            <w:tcW w:w="1464" w:type="pct"/>
            <w:tcBorders>
              <w:top w:val="nil"/>
              <w:left w:val="nil"/>
              <w:bottom w:val="nil"/>
              <w:right w:val="nil"/>
            </w:tcBorders>
          </w:tcPr>
          <w:p w:rsidR="00CA327C" w:rsidRPr="002625DD" w:rsidRDefault="00CA327C" w:rsidP="003217ED">
            <w:pPr>
              <w:pStyle w:val="TableTextRight"/>
            </w:pPr>
            <w:r w:rsidRPr="002625DD">
              <w:t xml:space="preserve"> 67,042 </w:t>
            </w:r>
          </w:p>
        </w:tc>
        <w:tc>
          <w:tcPr>
            <w:tcW w:w="1905" w:type="pct"/>
            <w:tcBorders>
              <w:top w:val="nil"/>
              <w:left w:val="nil"/>
              <w:bottom w:val="nil"/>
              <w:right w:val="nil"/>
            </w:tcBorders>
          </w:tcPr>
          <w:p w:rsidR="00CA327C" w:rsidRPr="002625DD" w:rsidRDefault="00CA327C" w:rsidP="003217ED">
            <w:pPr>
              <w:pStyle w:val="TableHeadingRight"/>
            </w:pPr>
            <w:r w:rsidRPr="002625DD">
              <w:t xml:space="preserve"> 626,611 </w:t>
            </w:r>
          </w:p>
        </w:tc>
      </w:tr>
      <w:tr w:rsidR="00CA327C" w:rsidRPr="00144F8C" w:rsidTr="003217ED">
        <w:trPr>
          <w:cantSplit/>
          <w:trHeight w:val="200"/>
        </w:trPr>
        <w:tc>
          <w:tcPr>
            <w:tcW w:w="575" w:type="pct"/>
            <w:tcBorders>
              <w:top w:val="nil"/>
              <w:left w:val="nil"/>
              <w:bottom w:val="nil"/>
              <w:right w:val="nil"/>
            </w:tcBorders>
          </w:tcPr>
          <w:p w:rsidR="00CA327C" w:rsidRPr="00025809" w:rsidRDefault="00CA327C" w:rsidP="003217ED">
            <w:pPr>
              <w:pStyle w:val="TableTextLeft"/>
              <w:keepNext/>
              <w:rPr>
                <w:b/>
              </w:rPr>
            </w:pPr>
            <w:r w:rsidRPr="00025809">
              <w:rPr>
                <w:b/>
              </w:rPr>
              <w:t>2052</w:t>
            </w:r>
          </w:p>
        </w:tc>
        <w:tc>
          <w:tcPr>
            <w:tcW w:w="1056" w:type="pct"/>
            <w:tcBorders>
              <w:top w:val="nil"/>
              <w:left w:val="nil"/>
              <w:bottom w:val="nil"/>
              <w:right w:val="nil"/>
            </w:tcBorders>
          </w:tcPr>
          <w:p w:rsidR="00CA327C" w:rsidRPr="002625DD" w:rsidRDefault="00CA327C" w:rsidP="003217ED">
            <w:pPr>
              <w:pStyle w:val="TableTextRight"/>
            </w:pPr>
            <w:r w:rsidRPr="002625DD">
              <w:t xml:space="preserve"> 621,492 </w:t>
            </w:r>
          </w:p>
        </w:tc>
        <w:tc>
          <w:tcPr>
            <w:tcW w:w="1464" w:type="pct"/>
            <w:tcBorders>
              <w:top w:val="nil"/>
              <w:left w:val="nil"/>
              <w:bottom w:val="nil"/>
              <w:right w:val="nil"/>
            </w:tcBorders>
          </w:tcPr>
          <w:p w:rsidR="00CA327C" w:rsidRPr="002625DD" w:rsidRDefault="00CA327C" w:rsidP="003217ED">
            <w:pPr>
              <w:pStyle w:val="TableTextRight"/>
            </w:pPr>
            <w:r w:rsidRPr="002625DD">
              <w:t xml:space="preserve"> 73,907 </w:t>
            </w:r>
          </w:p>
        </w:tc>
        <w:tc>
          <w:tcPr>
            <w:tcW w:w="1905" w:type="pct"/>
            <w:tcBorders>
              <w:top w:val="nil"/>
              <w:left w:val="nil"/>
              <w:bottom w:val="nil"/>
              <w:right w:val="nil"/>
            </w:tcBorders>
          </w:tcPr>
          <w:p w:rsidR="00CA327C" w:rsidRPr="002625DD" w:rsidRDefault="00CA327C" w:rsidP="003217ED">
            <w:pPr>
              <w:pStyle w:val="TableHeadingRight"/>
            </w:pPr>
            <w:r w:rsidRPr="002625DD">
              <w:t xml:space="preserve"> 695,399 </w:t>
            </w:r>
          </w:p>
        </w:tc>
      </w:tr>
      <w:tr w:rsidR="00CA327C" w:rsidRPr="00144F8C" w:rsidTr="003217ED">
        <w:trPr>
          <w:cantSplit/>
        </w:trPr>
        <w:tc>
          <w:tcPr>
            <w:tcW w:w="575" w:type="pct"/>
            <w:tcBorders>
              <w:top w:val="nil"/>
              <w:left w:val="nil"/>
              <w:bottom w:val="single" w:sz="12" w:space="0" w:color="1F497D" w:themeColor="text2"/>
              <w:right w:val="nil"/>
            </w:tcBorders>
          </w:tcPr>
          <w:p w:rsidR="00CA327C" w:rsidRPr="00025809" w:rsidRDefault="00CA327C" w:rsidP="003217ED">
            <w:pPr>
              <w:pStyle w:val="TableTextLeft"/>
              <w:keepNext/>
              <w:rPr>
                <w:b/>
              </w:rPr>
            </w:pPr>
            <w:r w:rsidRPr="00025809">
              <w:rPr>
                <w:b/>
              </w:rPr>
              <w:t>2062</w:t>
            </w:r>
          </w:p>
        </w:tc>
        <w:tc>
          <w:tcPr>
            <w:tcW w:w="1056" w:type="pct"/>
            <w:tcBorders>
              <w:top w:val="nil"/>
              <w:left w:val="nil"/>
              <w:bottom w:val="single" w:sz="12" w:space="0" w:color="1F497D" w:themeColor="text2"/>
              <w:right w:val="nil"/>
            </w:tcBorders>
          </w:tcPr>
          <w:p w:rsidR="00CA327C" w:rsidRPr="002625DD" w:rsidRDefault="00CA327C" w:rsidP="003217ED">
            <w:pPr>
              <w:pStyle w:val="TableTextRight"/>
            </w:pPr>
            <w:r w:rsidRPr="002625DD">
              <w:t xml:space="preserve"> 681,187 </w:t>
            </w:r>
          </w:p>
        </w:tc>
        <w:tc>
          <w:tcPr>
            <w:tcW w:w="1464" w:type="pct"/>
            <w:tcBorders>
              <w:top w:val="nil"/>
              <w:left w:val="nil"/>
              <w:bottom w:val="single" w:sz="12" w:space="0" w:color="1F497D" w:themeColor="text2"/>
              <w:right w:val="nil"/>
            </w:tcBorders>
          </w:tcPr>
          <w:p w:rsidR="00CA327C" w:rsidRPr="002625DD" w:rsidRDefault="00CA327C" w:rsidP="003217ED">
            <w:pPr>
              <w:pStyle w:val="TableTextRight"/>
            </w:pPr>
            <w:r w:rsidRPr="002625DD">
              <w:t xml:space="preserve"> 80,844 </w:t>
            </w:r>
          </w:p>
        </w:tc>
        <w:tc>
          <w:tcPr>
            <w:tcW w:w="1905" w:type="pct"/>
            <w:tcBorders>
              <w:top w:val="nil"/>
              <w:left w:val="nil"/>
              <w:bottom w:val="single" w:sz="12" w:space="0" w:color="1F497D" w:themeColor="text2"/>
              <w:right w:val="nil"/>
            </w:tcBorders>
          </w:tcPr>
          <w:p w:rsidR="00CA327C" w:rsidRDefault="00CA327C" w:rsidP="003217ED">
            <w:pPr>
              <w:pStyle w:val="TableHeadingRight"/>
            </w:pPr>
            <w:r w:rsidRPr="002625DD">
              <w:t xml:space="preserve"> 762,031 </w:t>
            </w:r>
          </w:p>
        </w:tc>
      </w:tr>
    </w:tbl>
    <w:p w:rsidR="00CA327C" w:rsidRDefault="00CA327C" w:rsidP="00CA327C">
      <w:pPr>
        <w:pStyle w:val="TableNotesLast0"/>
      </w:pPr>
      <w:r>
        <w:t>Source:</w:t>
      </w:r>
      <w:r>
        <w:tab/>
      </w:r>
      <w:r w:rsidR="00C04337">
        <w:fldChar w:fldCharType="begin"/>
      </w:r>
      <w:r>
        <w:instrText xml:space="preserve"> ADDIN EN.CITE &lt;EndNote&gt;&lt;Cite&gt;&lt;Author&gt;ACT Government&lt;/Author&gt;&lt;Year&gt;2014&lt;/Year&gt;&lt;RecNum&gt;569&lt;/RecNum&gt;&lt;DisplayText&gt;ACT Government (2014a)&lt;/DisplayText&gt;&lt;record&gt;&lt;rec-number&gt;569&lt;/rec-number&gt;&lt;foreign-keys&gt;&lt;key app="EN" db-id="5xwt9zxa6r5fesevwr5xzp97r95ev9wx9zpw" timestamp="1441769375"&gt;569&lt;/key&gt;&lt;/foreign-keys&gt;&lt;ref-type name="Online Database"&gt;45&lt;/ref-type&gt;&lt;contributors&gt;&lt;authors&gt;&lt;author&gt;ACT Government,&lt;/author&gt;&lt;/authors&gt;&lt;/contributors&gt;&lt;titles&gt;&lt;title&gt;ACT Population Projections 2013&lt;/title&gt;&lt;/titles&gt;&lt;volume&gt;Table 2&lt;/volume&gt;&lt;dates&gt;&lt;year&gt;2014&lt;/year&gt;&lt;pub-dates&gt;&lt;date&gt;9 September 2015&lt;/date&gt;&lt;/pub-dates&gt;&lt;/dates&gt;&lt;pub-location&gt;Canberra&lt;/pub-location&gt;&lt;publisher&gt;ACT Treasury&lt;/publisher&gt;&lt;urls&gt;&lt;related-urls&gt;&lt;url&gt;http://apps.treasury.act.gov.au/demography&lt;/url&gt;&lt;/related-urls&gt;&lt;/urls&gt;&lt;/record&gt;&lt;/Cite&gt;&lt;/EndNote&gt;</w:instrText>
      </w:r>
      <w:r w:rsidR="00C04337">
        <w:fldChar w:fldCharType="separate"/>
      </w:r>
      <w:hyperlink w:anchor="_ENREF_5" w:tooltip="ACT Government, 2014 #569" w:history="1">
        <w:r w:rsidR="000F2FEB">
          <w:rPr>
            <w:noProof/>
          </w:rPr>
          <w:t>ACT Government (2014a</w:t>
        </w:r>
      </w:hyperlink>
      <w:r>
        <w:rPr>
          <w:noProof/>
        </w:rPr>
        <w:t>)</w:t>
      </w:r>
      <w:r w:rsidR="00C04337">
        <w:fldChar w:fldCharType="end"/>
      </w:r>
      <w:r>
        <w:t xml:space="preserve">, </w:t>
      </w:r>
      <w:r w:rsidR="00C04337">
        <w:fldChar w:fldCharType="begin"/>
      </w:r>
      <w:r w:rsidR="00C342D1">
        <w:instrText xml:space="preserve"> ADDIN EN.CITE &lt;EndNote&gt;&lt;Cite&gt;&lt;Author&gt;NSW Government&lt;/Author&gt;&lt;Year&gt;2014&lt;/Year&gt;&lt;RecNum&gt;716&lt;/RecNum&gt;&lt;DisplayText&gt;NSW Government (2014)&lt;/DisplayText&gt;&lt;record&gt;&lt;rec-number&gt;716&lt;/rec-number&gt;&lt;foreign-keys&gt;&lt;key app="EN" db-id="5xwt9zxa6r5fesevwr5xzp97r95ev9wx9zpw" timestamp="1460949184"&gt;716&lt;/key&gt;&lt;/foreign-keys&gt;&lt;ref-type name="AAA ICRC Water References"&gt;40&lt;/ref-type&gt;&lt;contributors&gt;&lt;authors&gt;&lt;author&gt;NSW Government,&lt;/author&gt;&lt;/authors&gt;&lt;/contributors&gt;&lt;titles&gt;&lt;title&gt;2014 NSW Hosuehold and Dwelling Projection Data&lt;/title&gt;&lt;/titles&gt;&lt;dates&gt;&lt;year&gt;2014&lt;/year&gt;&lt;/dates&gt;&lt;pub-location&gt;Sydney&lt;/pub-location&gt;&lt;publisher&gt;Planng &amp;amp; Environment Department&lt;/publisher&gt;&lt;urls&gt;&lt;/urls&gt;&lt;/record&gt;&lt;/Cite&gt;&lt;/EndNote&gt;</w:instrText>
      </w:r>
      <w:r w:rsidR="00C04337">
        <w:fldChar w:fldCharType="separate"/>
      </w:r>
      <w:hyperlink w:anchor="_ENREF_61" w:tooltip="NSW Government, 2014 #716" w:history="1">
        <w:r w:rsidR="000F2FEB">
          <w:rPr>
            <w:noProof/>
          </w:rPr>
          <w:t>NSW Government (2014</w:t>
        </w:r>
      </w:hyperlink>
      <w:r w:rsidR="00C342D1">
        <w:rPr>
          <w:noProof/>
        </w:rPr>
        <w:t>)</w:t>
      </w:r>
      <w:r w:rsidR="00C04337">
        <w:fldChar w:fldCharType="end"/>
      </w:r>
      <w:r>
        <w:t xml:space="preserve"> and Commission’s calculations.</w:t>
      </w:r>
    </w:p>
    <w:p w:rsidR="00A505D9" w:rsidRDefault="00A505D9" w:rsidP="0006522C">
      <w:r>
        <w:t xml:space="preserve">For sensitivity purposes, the Commission has also modelled </w:t>
      </w:r>
      <w:r w:rsidR="00D26096">
        <w:t xml:space="preserve">a </w:t>
      </w:r>
      <w:r>
        <w:t xml:space="preserve">scenario </w:t>
      </w:r>
      <w:r w:rsidR="00D26096">
        <w:t xml:space="preserve">with </w:t>
      </w:r>
      <w:r>
        <w:t>high population growth.</w:t>
      </w:r>
    </w:p>
    <w:p w:rsidR="007F1CF6" w:rsidRDefault="007F1CF6" w:rsidP="007F1CF6">
      <w:pPr>
        <w:pStyle w:val="Heading5"/>
      </w:pPr>
      <w:r>
        <w:lastRenderedPageBreak/>
        <w:t>Demand by scenario</w:t>
      </w:r>
      <w:r w:rsidR="00B96206">
        <w:t xml:space="preserve"> </w:t>
      </w:r>
      <w:r w:rsidR="00B96206">
        <w:sym w:font="Symbol" w:char="F02D"/>
      </w:r>
      <w:r w:rsidR="00B96206">
        <w:t xml:space="preserve"> per capita </w:t>
      </w:r>
      <w:r w:rsidR="00BE0520">
        <w:t>contribution</w:t>
      </w:r>
    </w:p>
    <w:p w:rsidR="00E71B98" w:rsidRDefault="0006522C" w:rsidP="0006522C">
      <w:r>
        <w:t>The baseline</w:t>
      </w:r>
      <w:r w:rsidR="00E71B98">
        <w:t xml:space="preserve"> scenario</w:t>
      </w:r>
      <w:r>
        <w:t xml:space="preserve"> assumes no demand growth.</w:t>
      </w:r>
      <w:r w:rsidR="0090542B">
        <w:t xml:space="preserve"> That is, aggregate demand remains at current levels, fluctuating only in response to the stochastic weather and climate patterns over the modelling period.</w:t>
      </w:r>
      <w:r w:rsidR="00327D65">
        <w:rPr>
          <w:rStyle w:val="FootnoteReference"/>
        </w:rPr>
        <w:footnoteReference w:id="127"/>
      </w:r>
      <w:r w:rsidR="0090542B">
        <w:t xml:space="preserve"> </w:t>
      </w:r>
    </w:p>
    <w:p w:rsidR="00E71B98" w:rsidRDefault="00B87D60" w:rsidP="0006522C">
      <w:r>
        <w:t xml:space="preserve">The minor demand growth option, Scenario </w:t>
      </w:r>
      <w:r w:rsidR="00A55246">
        <w:t>1</w:t>
      </w:r>
      <w:r>
        <w:t xml:space="preserve">, assumes that only </w:t>
      </w:r>
      <w:r w:rsidR="0006522C">
        <w:t>50 per cent of any incremental population</w:t>
      </w:r>
      <w:r>
        <w:t xml:space="preserve"> at the medium series growth rate </w:t>
      </w:r>
      <w:r w:rsidR="0006522C">
        <w:t xml:space="preserve">contributes to </w:t>
      </w:r>
      <w:r w:rsidR="00E71B98">
        <w:t xml:space="preserve">aggregate </w:t>
      </w:r>
      <w:r w:rsidR="0006522C">
        <w:t>demand growth</w:t>
      </w:r>
      <w:r w:rsidR="008C41B7">
        <w:t>.</w:t>
      </w:r>
      <w:r w:rsidR="001A4137">
        <w:t xml:space="preserve"> For the purposes of estimating the long-run marginal cost of water in this paper, Scenario 1 is treated as the optimal, or most likely, investment scenario. </w:t>
      </w:r>
    </w:p>
    <w:p w:rsidR="00582AA7" w:rsidRPr="00F81B4B" w:rsidRDefault="0006522C" w:rsidP="00CA327C">
      <w:r>
        <w:t>In Scenario</w:t>
      </w:r>
      <w:r w:rsidR="00B87D60">
        <w:t>s</w:t>
      </w:r>
      <w:r>
        <w:t xml:space="preserve"> </w:t>
      </w:r>
      <w:r w:rsidR="00A55246">
        <w:t>2</w:t>
      </w:r>
      <w:r>
        <w:t xml:space="preserve"> and </w:t>
      </w:r>
      <w:r w:rsidR="00A55246">
        <w:t>3</w:t>
      </w:r>
      <w:r>
        <w:t xml:space="preserve">, demand increases with population at the </w:t>
      </w:r>
      <w:r w:rsidR="00B87D60">
        <w:t xml:space="preserve">medium and high series rate, respectively, </w:t>
      </w:r>
      <w:r>
        <w:t xml:space="preserve">with </w:t>
      </w:r>
      <w:r w:rsidR="00511622">
        <w:t xml:space="preserve">a more conservative assumption that </w:t>
      </w:r>
      <w:r w:rsidR="00A55246">
        <w:t xml:space="preserve">100 per cent </w:t>
      </w:r>
      <w:r w:rsidR="00CA5215">
        <w:t xml:space="preserve">of </w:t>
      </w:r>
      <w:r w:rsidR="00A55246">
        <w:t>any incremental population contributes to aggregate demand growth</w:t>
      </w:r>
      <w:r>
        <w:t>.</w:t>
      </w:r>
      <w:r w:rsidR="00582AA7">
        <w:t xml:space="preserve"> Scenario 2 represents the demand perturbation scenario required in order to apply the MIC measurement method. Scenario 3 is</w:t>
      </w:r>
      <w:r w:rsidR="007B3020">
        <w:t xml:space="preserve"> considered </w:t>
      </w:r>
      <w:r w:rsidR="00582AA7">
        <w:t>as an upper bound for demand growth.</w:t>
      </w:r>
    </w:p>
    <w:p w:rsidR="009A0293" w:rsidRDefault="009A0293" w:rsidP="00DC783B">
      <w:pPr>
        <w:pStyle w:val="Heading4"/>
      </w:pPr>
      <w:bookmarkStart w:id="144" w:name="_Toc324431388"/>
      <w:r w:rsidRPr="007E0060">
        <w:t>Climate variability and climate change</w:t>
      </w:r>
      <w:bookmarkEnd w:id="144"/>
    </w:p>
    <w:p w:rsidR="00AB0726" w:rsidRDefault="00074439" w:rsidP="00AB0726">
      <w:r>
        <w:t xml:space="preserve">Prior to </w:t>
      </w:r>
      <w:r w:rsidR="000044F9">
        <w:t>2014</w:t>
      </w:r>
      <w:r>
        <w:t xml:space="preserve">, Icon Water </w:t>
      </w:r>
      <w:r w:rsidR="00AB0726">
        <w:t xml:space="preserve">modelled </w:t>
      </w:r>
      <w:r>
        <w:t>climate change on the basis of the dry case 2030 ACT climate projections made by the Commonwealth Scientific and Industrial Research Organisation in 2003.</w:t>
      </w:r>
      <w:r w:rsidR="001A7C26">
        <w:t xml:space="preserve"> </w:t>
      </w:r>
      <w:r w:rsidR="000044F9">
        <w:t xml:space="preserve">In 2014 Icon Water updated its climate change approach </w:t>
      </w:r>
      <w:r w:rsidR="001F5D1C">
        <w:t xml:space="preserve">to account for </w:t>
      </w:r>
      <w:r w:rsidR="003E40D6">
        <w:t xml:space="preserve">the </w:t>
      </w:r>
      <w:r w:rsidR="001F5D1C">
        <w:t>recent climate change modelling</w:t>
      </w:r>
      <w:r w:rsidR="003E40D6">
        <w:t xml:space="preserve"> by the South Eastern Australian Climate Initiative (SEACI)</w:t>
      </w:r>
      <w:r w:rsidR="001F5D1C">
        <w:t xml:space="preserve"> and </w:t>
      </w:r>
      <w:r w:rsidR="003E40D6">
        <w:t xml:space="preserve">more </w:t>
      </w:r>
      <w:r w:rsidR="001F5D1C">
        <w:t>recent climate observations</w:t>
      </w:r>
      <w:r w:rsidR="00BA7F0D">
        <w:t xml:space="preserve"> to take into account in particular the observed cooler month rainfall reductions.</w:t>
      </w:r>
      <w:r w:rsidR="00A62703">
        <w:rPr>
          <w:rStyle w:val="FootnoteReference"/>
        </w:rPr>
        <w:footnoteReference w:id="128"/>
      </w:r>
      <w:r w:rsidR="00AB0726">
        <w:t xml:space="preserve"> </w:t>
      </w:r>
      <w:r w:rsidR="00BA7F0D">
        <w:t>The new approach incorporates</w:t>
      </w:r>
      <w:r w:rsidR="00AB0726">
        <w:t xml:space="preserve"> the following </w:t>
      </w:r>
      <w:r w:rsidR="00BA7F0D">
        <w:t xml:space="preserve">climate </w:t>
      </w:r>
      <w:r w:rsidR="00AB0726">
        <w:t>scenarios:</w:t>
      </w:r>
      <w:r w:rsidR="008218E6">
        <w:rPr>
          <w:rStyle w:val="FootnoteReference"/>
        </w:rPr>
        <w:footnoteReference w:id="129"/>
      </w:r>
      <w:r w:rsidR="00AB0726">
        <w:t xml:space="preserve"> </w:t>
      </w:r>
    </w:p>
    <w:p w:rsidR="00AB0726" w:rsidRDefault="00AB0726" w:rsidP="00AB0726">
      <w:pPr>
        <w:pStyle w:val="Bullet"/>
      </w:pPr>
      <w:r>
        <w:t>d</w:t>
      </w:r>
      <w:r w:rsidRPr="00AB0726">
        <w:t>ry climate change</w:t>
      </w:r>
      <w:r>
        <w:t>—</w:t>
      </w:r>
      <w:r w:rsidRPr="00AB0726">
        <w:t>stochastic data produced using outputs from the second driest of the 15 global climate models included in the SEACI project</w:t>
      </w:r>
      <w:r>
        <w:t>;</w:t>
      </w:r>
      <w:r w:rsidRPr="00AB0726">
        <w:t xml:space="preserve"> </w:t>
      </w:r>
    </w:p>
    <w:p w:rsidR="00AB0726" w:rsidRDefault="00AB0726" w:rsidP="0016495B">
      <w:pPr>
        <w:pStyle w:val="Bullet"/>
      </w:pPr>
      <w:r>
        <w:t>m</w:t>
      </w:r>
      <w:r w:rsidRPr="00AB0726">
        <w:t>edium climate change</w:t>
      </w:r>
      <w:r>
        <w:t>—</w:t>
      </w:r>
      <w:r w:rsidRPr="00AB0726">
        <w:t>stochastic data produced using outputs from the median global climate model included in the SEACI</w:t>
      </w:r>
      <w:r>
        <w:t xml:space="preserve"> project;</w:t>
      </w:r>
    </w:p>
    <w:p w:rsidR="00AB0726" w:rsidRDefault="00AB0726" w:rsidP="0016495B">
      <w:pPr>
        <w:pStyle w:val="Bullet"/>
      </w:pPr>
      <w:r>
        <w:t>w</w:t>
      </w:r>
      <w:r w:rsidRPr="00AB0726">
        <w:t>et climate change</w:t>
      </w:r>
      <w:r>
        <w:t>—</w:t>
      </w:r>
      <w:r w:rsidRPr="00AB0726">
        <w:t>stochastic data produced using outputs from the second wettest of the 15 global climate models included in the SEACI project</w:t>
      </w:r>
      <w:r>
        <w:t>;</w:t>
      </w:r>
    </w:p>
    <w:p w:rsidR="00AB0726" w:rsidRDefault="00AB0726" w:rsidP="00AB0726">
      <w:pPr>
        <w:pStyle w:val="Bullet"/>
      </w:pPr>
      <w:r>
        <w:t>l</w:t>
      </w:r>
      <w:r w:rsidRPr="00AB0726">
        <w:t xml:space="preserve">ast 20 </w:t>
      </w:r>
      <w:r w:rsidR="008C6864">
        <w:t>y</w:t>
      </w:r>
      <w:r w:rsidRPr="00AB0726">
        <w:t>ears, stochastic data produced so that the seasonal means of rainfall in each catchment and evaporation are adjusted to match the means observed in the past 20 years from June 1993 to May 2013</w:t>
      </w:r>
      <w:r>
        <w:t>; and</w:t>
      </w:r>
    </w:p>
    <w:p w:rsidR="00AB0726" w:rsidRPr="00AB0726" w:rsidRDefault="00AB0726" w:rsidP="00AB0726">
      <w:pPr>
        <w:pStyle w:val="BulletLast"/>
      </w:pPr>
      <w:r>
        <w:t>r</w:t>
      </w:r>
      <w:r w:rsidRPr="00AB0726">
        <w:t>epeat of the Millennium Drought, where performance is tested using observed historical inflows from 1997-2009</w:t>
      </w:r>
      <w:r>
        <w:t>.</w:t>
      </w:r>
    </w:p>
    <w:p w:rsidR="009A0293" w:rsidRDefault="00A62703" w:rsidP="009A0293">
      <w:r>
        <w:lastRenderedPageBreak/>
        <w:t>In addition</w:t>
      </w:r>
      <w:r w:rsidR="006E4CAF">
        <w:t>, Icon Water has updated its stochastic data generation approach</w:t>
      </w:r>
      <w:r>
        <w:t xml:space="preserve"> </w:t>
      </w:r>
      <w:r w:rsidR="006E4CAF">
        <w:t>to produce 50,000 years of stochastic data rather than the previous 10,000</w:t>
      </w:r>
      <w:r w:rsidR="00A72806">
        <w:t xml:space="preserve"> years</w:t>
      </w:r>
      <w:r w:rsidR="006E4CAF">
        <w:t xml:space="preserve">. </w:t>
      </w:r>
      <w:r w:rsidR="009A0293">
        <w:t xml:space="preserve">The </w:t>
      </w:r>
      <w:r w:rsidR="006E4CAF">
        <w:t xml:space="preserve">new </w:t>
      </w:r>
      <w:r w:rsidR="009A0293">
        <w:t>climate change assumptions are applied in the model by adjusting the generated rainfall and evaporation path.</w:t>
      </w:r>
    </w:p>
    <w:p w:rsidR="002D112A" w:rsidRDefault="00915AF7" w:rsidP="009A0293">
      <w:r>
        <w:t>All scenarios in this paper that include climate change have been modelled using the dry climate change scenario</w:t>
      </w:r>
      <w:r w:rsidR="002D112A">
        <w:t xml:space="preserve">. </w:t>
      </w:r>
    </w:p>
    <w:p w:rsidR="009A0293" w:rsidRPr="002C62FC" w:rsidRDefault="009A0293" w:rsidP="00DC783B">
      <w:pPr>
        <w:pStyle w:val="Heading4"/>
      </w:pPr>
      <w:bookmarkStart w:id="145" w:name="_Ref323216454"/>
      <w:bookmarkStart w:id="146" w:name="_Toc324431389"/>
      <w:r w:rsidRPr="007E0060">
        <w:t>Environmental flows</w:t>
      </w:r>
      <w:bookmarkEnd w:id="145"/>
      <w:bookmarkEnd w:id="146"/>
    </w:p>
    <w:p w:rsidR="009A0293" w:rsidRDefault="009A0293" w:rsidP="009A0293">
      <w:r>
        <w:t xml:space="preserve">Environmental flows are the </w:t>
      </w:r>
      <w:r w:rsidRPr="001129A4">
        <w:rPr>
          <w:iCs/>
          <w:lang w:val="en-AU"/>
        </w:rPr>
        <w:t>flows of water in ACT streams and rivers that are necessary to maintain aquatic</w:t>
      </w:r>
      <w:r>
        <w:rPr>
          <w:iCs/>
          <w:lang w:val="en-AU"/>
        </w:rPr>
        <w:t xml:space="preserve"> </w:t>
      </w:r>
      <w:r w:rsidRPr="001129A4">
        <w:rPr>
          <w:iCs/>
          <w:lang w:val="en-AU"/>
        </w:rPr>
        <w:t>ecosystems.</w:t>
      </w:r>
      <w:r>
        <w:rPr>
          <w:iCs/>
          <w:lang w:val="en-AU"/>
        </w:rPr>
        <w:t xml:space="preserve"> </w:t>
      </w:r>
      <w:r>
        <w:t xml:space="preserve">The ACT </w:t>
      </w:r>
      <w:r w:rsidRPr="001129A4">
        <w:rPr>
          <w:i/>
        </w:rPr>
        <w:t>Water Resources Act 2007</w:t>
      </w:r>
      <w:r>
        <w:t xml:space="preserve"> </w:t>
      </w:r>
      <w:r w:rsidR="00EB31F0">
        <w:t xml:space="preserve">(Water Resources Act) </w:t>
      </w:r>
      <w:r>
        <w:t>gives first priority to environmental flows, and specific flow requirements are set out in the 20</w:t>
      </w:r>
      <w:r w:rsidR="007670DC">
        <w:t>13</w:t>
      </w:r>
      <w:r>
        <w:t xml:space="preserve"> Environmental Flow Guidelines.</w:t>
      </w:r>
      <w:r>
        <w:rPr>
          <w:rStyle w:val="FootnoteReference"/>
        </w:rPr>
        <w:footnoteReference w:id="130"/>
      </w:r>
      <w:r>
        <w:t xml:space="preserve"> The environmental flows are made </w:t>
      </w:r>
      <w:r w:rsidRPr="004D172E">
        <w:rPr>
          <w:lang w:val="en-AU"/>
        </w:rPr>
        <w:t xml:space="preserve">either by releases or spills </w:t>
      </w:r>
      <w:r w:rsidRPr="00496657">
        <w:t>from ACT dams, or by putting restrictions on the volume of water that can be abstracted from a catchment.</w:t>
      </w:r>
      <w:r>
        <w:t xml:space="preserve"> </w:t>
      </w:r>
      <w:r w:rsidR="00EB31F0">
        <w:t xml:space="preserve">Icon Water’s </w:t>
      </w:r>
      <w:r>
        <w:t xml:space="preserve">licence to take water under the </w:t>
      </w:r>
      <w:r w:rsidR="00EB31F0">
        <w:t xml:space="preserve">Water Resources </w:t>
      </w:r>
      <w:r>
        <w:t xml:space="preserve">Act requires </w:t>
      </w:r>
      <w:r w:rsidR="00EB31F0">
        <w:t xml:space="preserve">Icon Water </w:t>
      </w:r>
      <w:r>
        <w:t>to ensure that environmental flows are given first priority in accordance with the guidelines.</w:t>
      </w:r>
      <w:r w:rsidR="00EB31F0">
        <w:t xml:space="preserve"> The </w:t>
      </w:r>
      <w:r>
        <w:t>requirements in relation to dam releases and water abstraction limitations are applied as constraints in REALM.</w:t>
      </w:r>
    </w:p>
    <w:p w:rsidR="00525ABF" w:rsidRDefault="00525ABF" w:rsidP="009A0293">
      <w:r>
        <w:t xml:space="preserve">Environmental flows are applied in the same fashion to all scenarios modelled in this paper. </w:t>
      </w:r>
    </w:p>
    <w:p w:rsidR="009A0293" w:rsidRDefault="009A0293" w:rsidP="00DC783B">
      <w:pPr>
        <w:pStyle w:val="Heading4"/>
      </w:pPr>
      <w:bookmarkStart w:id="147" w:name="_Ref324168560"/>
      <w:bookmarkStart w:id="148" w:name="_Toc324431390"/>
      <w:r w:rsidRPr="007E0060">
        <w:t>Bushfire impact</w:t>
      </w:r>
      <w:bookmarkEnd w:id="147"/>
      <w:bookmarkEnd w:id="148"/>
    </w:p>
    <w:p w:rsidR="009A0293" w:rsidRDefault="00FA25AF" w:rsidP="009A0293">
      <w:r>
        <w:t xml:space="preserve">Icon Water </w:t>
      </w:r>
      <w:r w:rsidR="009A0293">
        <w:t>assumes that the</w:t>
      </w:r>
      <w:r w:rsidR="009A0293" w:rsidRPr="002C0298">
        <w:t xml:space="preserve"> </w:t>
      </w:r>
      <w:r w:rsidR="009A0293">
        <w:t xml:space="preserve">impact of the 2003 Canberra bushfires is reducing streamflow in ACT catchments due to increased evapotranspiration as vegetation recovers. Based on reports from environmental consultants, </w:t>
      </w:r>
      <w:r>
        <w:t xml:space="preserve">Icon Water </w:t>
      </w:r>
      <w:r w:rsidR="009A0293">
        <w:t>assumes a maximum streamflow reduction of 15</w:t>
      </w:r>
      <w:r>
        <w:t xml:space="preserve"> per cent</w:t>
      </w:r>
      <w:r w:rsidR="009A0293">
        <w:t xml:space="preserve"> about 17 years after the fires, with reduced inflows continuing for more than 50 years.</w:t>
      </w:r>
    </w:p>
    <w:p w:rsidR="009A0293" w:rsidRDefault="00EC49E6" w:rsidP="009A0293">
      <w:r>
        <w:t xml:space="preserve">Icon Water </w:t>
      </w:r>
      <w:r w:rsidR="009A0293">
        <w:t>applies the bushfire assumptions by using a bushfire impacts model to reduce the inflow levels on the paths generated by the rainfall run-off models. The potential for future bushfires to reduce streamflows over the future is also factored i</w:t>
      </w:r>
      <w:r w:rsidR="00525ABF">
        <w:t>nto the bushfire impacts model.</w:t>
      </w:r>
    </w:p>
    <w:p w:rsidR="00525ABF" w:rsidRDefault="00525ABF" w:rsidP="009A0293">
      <w:r>
        <w:t>Icon Water’s bushfire assumptions are applied in the same fashion to all scenarios modelled in this paper.</w:t>
      </w:r>
    </w:p>
    <w:p w:rsidR="009A0293" w:rsidRDefault="009A0293" w:rsidP="00DC783B">
      <w:pPr>
        <w:pStyle w:val="Heading4"/>
      </w:pPr>
      <w:bookmarkStart w:id="149" w:name="_Toc324431392"/>
      <w:r>
        <w:t>Water conservation and restriction measures</w:t>
      </w:r>
      <w:bookmarkEnd w:id="149"/>
    </w:p>
    <w:p w:rsidR="009A0293" w:rsidRDefault="009A0293" w:rsidP="009A0293">
      <w:r>
        <w:t xml:space="preserve">The ACT has recourse to two administrative schemes, administered by </w:t>
      </w:r>
      <w:r w:rsidR="007756E0">
        <w:t xml:space="preserve">Icon Water </w:t>
      </w:r>
      <w:r>
        <w:t>to reduce water use by ACT and Queanbeyan residents, and therefore extend supply</w:t>
      </w:r>
      <w:r w:rsidR="00A748F9">
        <w:t xml:space="preserve">. </w:t>
      </w:r>
      <w:r w:rsidR="00A748F9">
        <w:lastRenderedPageBreak/>
        <w:t>P</w:t>
      </w:r>
      <w:r>
        <w:t>ermanent water conservation measures (PWCM) and a temporary water restrictions scheme</w:t>
      </w:r>
      <w:r w:rsidR="00A748F9">
        <w:t xml:space="preserve">, both approved under the </w:t>
      </w:r>
      <w:r w:rsidR="00A748F9" w:rsidRPr="00A748F9">
        <w:rPr>
          <w:i/>
        </w:rPr>
        <w:t>Water Utilities Act 2000</w:t>
      </w:r>
      <w:r>
        <w:t>.</w:t>
      </w:r>
      <w:r w:rsidRPr="00182E2A">
        <w:rPr>
          <w:rStyle w:val="FootnoteReference"/>
        </w:rPr>
        <w:footnoteReference w:id="131"/>
      </w:r>
    </w:p>
    <w:p w:rsidR="00445465" w:rsidRDefault="009A0293" w:rsidP="00FB3538">
      <w:r>
        <w:t>In practice, PWCM and temporary water restrictions can be considered as one extended suite of administrative demand-reduction measures</w:t>
      </w:r>
      <w:r w:rsidR="00C6111A">
        <w:t xml:space="preserve"> with f</w:t>
      </w:r>
      <w:r w:rsidR="0008683B">
        <w:t>ive</w:t>
      </w:r>
      <w:r w:rsidR="00C6111A">
        <w:t xml:space="preserve"> levels</w:t>
      </w:r>
      <w:r>
        <w:t xml:space="preserve">. PWCM always apply, with Stages </w:t>
      </w:r>
      <w:r w:rsidR="0008683B">
        <w:t>1</w:t>
      </w:r>
      <w:r>
        <w:t xml:space="preserve"> through 4 temporary water restrictions progressively imposing more stringent water reduction measures over and above the PWCM requirements.</w:t>
      </w:r>
      <w:r w:rsidR="004C5D58">
        <w:t xml:space="preserve"> </w:t>
      </w:r>
      <w:r w:rsidR="00C6111A">
        <w:t xml:space="preserve">Icon Water </w:t>
      </w:r>
      <w:r>
        <w:t>has responsibility for the decision to implement temporary water restrictions</w:t>
      </w:r>
      <w:r w:rsidR="00C6111A">
        <w:t xml:space="preserve"> and takes </w:t>
      </w:r>
      <w:r>
        <w:t>a number of factors into account in making the decision to introduce and lift the various restriction stages. These include dam storage levels, climate outlook and community considerations.</w:t>
      </w:r>
      <w:r w:rsidR="00445465">
        <w:t xml:space="preserve"> </w:t>
      </w:r>
    </w:p>
    <w:p w:rsidR="009A0293" w:rsidRDefault="009A0293" w:rsidP="009A0293">
      <w:r>
        <w:t xml:space="preserve">For modelling purposes, REALM has dam storage level triggers that introduce and remove restrictions which vary seasonally and increase with time as demand increases. </w:t>
      </w:r>
      <w:r w:rsidR="00445465">
        <w:t>R</w:t>
      </w:r>
      <w:r w:rsidR="00445465" w:rsidRPr="00445465">
        <w:t>estrictions are initially applied when storage drops below about 100 GL</w:t>
      </w:r>
      <w:r w:rsidR="00445465">
        <w:t xml:space="preserve"> (about </w:t>
      </w:r>
      <w:r w:rsidR="00445465" w:rsidRPr="00445465">
        <w:t>36</w:t>
      </w:r>
      <w:r w:rsidR="00445465">
        <w:t xml:space="preserve"> per cent</w:t>
      </w:r>
      <w:r w:rsidR="00445465" w:rsidRPr="00445465">
        <w:t xml:space="preserve"> of current storage </w:t>
      </w:r>
      <w:r w:rsidR="00445465">
        <w:t>capacity)</w:t>
      </w:r>
      <w:r w:rsidR="00445465" w:rsidRPr="00445465">
        <w:t>.</w:t>
      </w:r>
      <w:r w:rsidR="00445465">
        <w:t xml:space="preserve"> </w:t>
      </w:r>
      <w:r>
        <w:t>To minimise continual restriction level changes, the removal trigger levels for each stage are 10</w:t>
      </w:r>
      <w:r w:rsidR="00445465">
        <w:t xml:space="preserve"> </w:t>
      </w:r>
      <w:r>
        <w:t>to 20</w:t>
      </w:r>
      <w:r w:rsidR="00445465">
        <w:t xml:space="preserve"> per cent</w:t>
      </w:r>
      <w:r>
        <w:t xml:space="preserve"> higher than the introduction trigger.</w:t>
      </w:r>
    </w:p>
    <w:p w:rsidR="00FB3538" w:rsidRPr="00FB3538" w:rsidRDefault="00FB3538" w:rsidP="00FB3538">
      <w:r w:rsidRPr="00FB3538">
        <w:t xml:space="preserve">Operating rules for sourcing water are optimised to balance the trade-off between water security and operating cost. This is achieved by minimising </w:t>
      </w:r>
      <w:r>
        <w:t xml:space="preserve">a </w:t>
      </w:r>
      <w:r w:rsidRPr="00FB3538">
        <w:t>total cost function</w:t>
      </w:r>
      <w:r>
        <w:t xml:space="preserve"> comprising the cost of </w:t>
      </w:r>
      <w:r w:rsidRPr="00FB3538">
        <w:t xml:space="preserve">restrictions </w:t>
      </w:r>
      <w:r>
        <w:t xml:space="preserve">and </w:t>
      </w:r>
      <w:r w:rsidRPr="00FB3538">
        <w:t>operating cost.</w:t>
      </w:r>
    </w:p>
    <w:p w:rsidR="00DC783B" w:rsidRPr="0000240B" w:rsidRDefault="005C16CC" w:rsidP="00DC783B">
      <w:r>
        <w:t>Icon Water’s restrictions modelling assumptions are applied in the same fashion to all scenarios modelled in this paper.</w:t>
      </w:r>
    </w:p>
    <w:p w:rsidR="00BB7EF6" w:rsidRDefault="00DC783B" w:rsidP="00DC783B">
      <w:pPr>
        <w:pStyle w:val="Heading2"/>
      </w:pPr>
      <w:bookmarkStart w:id="150" w:name="_Toc453920874"/>
      <w:r>
        <w:t>M</w:t>
      </w:r>
      <w:r w:rsidR="00BB7EF6">
        <w:t>odel</w:t>
      </w:r>
      <w:r>
        <w:t>ling</w:t>
      </w:r>
      <w:r w:rsidR="00BB7EF6">
        <w:t xml:space="preserve"> results</w:t>
      </w:r>
      <w:bookmarkEnd w:id="150"/>
    </w:p>
    <w:p w:rsidR="00994598" w:rsidRDefault="00994598" w:rsidP="00994598">
      <w:r>
        <w:t xml:space="preserve">The probability of temporary water restrictions under </w:t>
      </w:r>
      <w:r w:rsidR="005C7ACF">
        <w:t xml:space="preserve">all </w:t>
      </w:r>
      <w:r>
        <w:t>the scenarios</w:t>
      </w:r>
      <w:r w:rsidR="005C7ACF">
        <w:t xml:space="preserve">, except the baseline, </w:t>
      </w:r>
      <w:proofErr w:type="gramStart"/>
      <w:r>
        <w:t>is illustrated</w:t>
      </w:r>
      <w:proofErr w:type="gramEnd"/>
      <w:r>
        <w:t xml:space="preserve"> in </w:t>
      </w:r>
      <w:r w:rsidR="00C04337">
        <w:fldChar w:fldCharType="begin"/>
      </w:r>
      <w:r>
        <w:instrText xml:space="preserve"> REF _Ref448750813 \h </w:instrText>
      </w:r>
      <w:r w:rsidR="00C04337">
        <w:fldChar w:fldCharType="separate"/>
      </w:r>
      <w:r w:rsidR="00027D28" w:rsidRPr="00E33D9E">
        <w:t xml:space="preserve">Figure </w:t>
      </w:r>
      <w:r w:rsidR="00027D28">
        <w:rPr>
          <w:noProof/>
        </w:rPr>
        <w:t>4</w:t>
      </w:r>
      <w:r w:rsidR="00027D28" w:rsidRPr="00E33D9E">
        <w:t>.</w:t>
      </w:r>
      <w:r w:rsidR="00027D28">
        <w:rPr>
          <w:noProof/>
        </w:rPr>
        <w:t>8</w:t>
      </w:r>
      <w:r w:rsidR="00C04337">
        <w:fldChar w:fldCharType="end"/>
      </w:r>
      <w:r>
        <w:t>.</w:t>
      </w:r>
      <w:r w:rsidR="00B17B6F">
        <w:t xml:space="preserve"> The timing of the next water supply augmentation (or demand reduction intervention) can be </w:t>
      </w:r>
      <w:r w:rsidR="00280FEB">
        <w:t>gauged from the point, if any, at which the probability rises above the 5 per cent water security target.</w:t>
      </w:r>
    </w:p>
    <w:p w:rsidR="00842936" w:rsidRDefault="00842936" w:rsidP="00842936">
      <w:pPr>
        <w:pStyle w:val="FigureName0"/>
        <w:rPr>
          <w:lang w:val="en-AU"/>
        </w:rPr>
      </w:pPr>
      <w:bookmarkStart w:id="151" w:name="_Ref448750813"/>
      <w:bookmarkStart w:id="152" w:name="_Toc453920914"/>
      <w:r w:rsidRPr="00E33D9E">
        <w:lastRenderedPageBreak/>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4</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8</w:t>
      </w:r>
      <w:r w:rsidR="00C04337" w:rsidRPr="00E33D9E">
        <w:fldChar w:fldCharType="end"/>
      </w:r>
      <w:bookmarkEnd w:id="151"/>
      <w:r>
        <w:tab/>
        <w:t xml:space="preserve">Probability of </w:t>
      </w:r>
      <w:r w:rsidR="003F75DF">
        <w:t xml:space="preserve">water </w:t>
      </w:r>
      <w:r>
        <w:t>restrictions, all scenarios</w:t>
      </w:r>
      <w:bookmarkEnd w:id="152"/>
    </w:p>
    <w:p w:rsidR="00842936" w:rsidRPr="00C63BD3" w:rsidRDefault="00B14711" w:rsidP="00842936">
      <w:pPr>
        <w:rPr>
          <w:b/>
          <w:lang w:val="en-AU"/>
        </w:rPr>
      </w:pPr>
      <w:r>
        <w:rPr>
          <w:noProof/>
          <w:lang w:val="en-AU" w:eastAsia="en-AU"/>
        </w:rPr>
        <w:drawing>
          <wp:inline distT="0" distB="0" distL="0" distR="0">
            <wp:extent cx="4896485" cy="3199765"/>
            <wp:effectExtent l="0" t="0" r="18415"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B7EF6" w:rsidRDefault="00C04337" w:rsidP="00BB7EF6">
      <w:fldSimple w:instr=" REF _Ref448754328 \h  \* MERGEFORMAT ">
        <w:r w:rsidR="00027D28" w:rsidRPr="003C3AEA">
          <w:t>Table</w:t>
        </w:r>
        <w:r w:rsidR="00027D28">
          <w:t xml:space="preserve"> </w:t>
        </w:r>
        <w:r w:rsidR="00027D28">
          <w:rPr>
            <w:noProof/>
          </w:rPr>
          <w:t>4.4</w:t>
        </w:r>
      </w:fldSimple>
      <w:r w:rsidR="009D6EE8" w:rsidRPr="009D6EE8">
        <w:t xml:space="preserve"> shows the </w:t>
      </w:r>
      <w:r w:rsidR="00B14947">
        <w:t xml:space="preserve">approximate </w:t>
      </w:r>
      <w:r w:rsidR="009D6EE8">
        <w:t xml:space="preserve">timing of when the next supply augmentation is </w:t>
      </w:r>
      <w:r w:rsidR="002A7F9E">
        <w:t xml:space="preserve">likely to be </w:t>
      </w:r>
      <w:r w:rsidR="009D6EE8">
        <w:t xml:space="preserve">required for </w:t>
      </w:r>
      <w:r w:rsidR="00095611">
        <w:t>each of the scenarios</w:t>
      </w:r>
      <w:r w:rsidR="00B14947">
        <w:t>, with and without climate change</w:t>
      </w:r>
      <w:r w:rsidR="00095611">
        <w:t>.</w:t>
      </w:r>
      <w:r w:rsidR="006753D7">
        <w:t xml:space="preserve"> Under the likely climate assumption, the timing ranges from as early as 2035 for the </w:t>
      </w:r>
      <w:r w:rsidR="00C614C8">
        <w:t xml:space="preserve">upper bound </w:t>
      </w:r>
      <w:r w:rsidR="006753D7">
        <w:t>high demand growth scenario</w:t>
      </w:r>
      <w:r w:rsidR="00C614C8">
        <w:t>,</w:t>
      </w:r>
      <w:r w:rsidR="006753D7">
        <w:t xml:space="preserve"> to as late as 2060 for the minor demand growth scenario.</w:t>
      </w:r>
      <w:r w:rsidR="00D158D7">
        <w:t xml:space="preserve">  </w:t>
      </w:r>
    </w:p>
    <w:p w:rsidR="003A63CD" w:rsidRDefault="006F7EC1" w:rsidP="00B14947">
      <w:pPr>
        <w:pStyle w:val="TableName0"/>
        <w:keepNext w:val="0"/>
      </w:pPr>
      <w:bookmarkStart w:id="153" w:name="_Ref448754328"/>
      <w:bookmarkStart w:id="154" w:name="_Toc453920897"/>
      <w:r w:rsidRPr="003C3AEA">
        <w:t>Table</w:t>
      </w:r>
      <w:r>
        <w:t xml:space="preserve"> </w:t>
      </w:r>
      <w:r w:rsidR="00C04337">
        <w:fldChar w:fldCharType="begin"/>
      </w:r>
      <w:r>
        <w:instrText xml:space="preserve"> STYLEREF 1 \s </w:instrText>
      </w:r>
      <w:r w:rsidR="00C04337">
        <w:fldChar w:fldCharType="separate"/>
      </w:r>
      <w:r w:rsidR="00027D28">
        <w:rPr>
          <w:noProof/>
        </w:rPr>
        <w:t>4</w:t>
      </w:r>
      <w:r w:rsidR="00C04337">
        <w:fldChar w:fldCharType="end"/>
      </w:r>
      <w:r>
        <w:t>.</w:t>
      </w:r>
      <w:r w:rsidR="00C04337">
        <w:fldChar w:fldCharType="begin"/>
      </w:r>
      <w:r>
        <w:instrText xml:space="preserve"> SEQ Table \* ARABIC \s 1 </w:instrText>
      </w:r>
      <w:r w:rsidR="00C04337">
        <w:fldChar w:fldCharType="separate"/>
      </w:r>
      <w:r w:rsidR="00027D28">
        <w:rPr>
          <w:noProof/>
        </w:rPr>
        <w:t>4</w:t>
      </w:r>
      <w:r w:rsidR="00C04337">
        <w:fldChar w:fldCharType="end"/>
      </w:r>
      <w:bookmarkEnd w:id="153"/>
      <w:r>
        <w:tab/>
      </w:r>
      <w:r w:rsidR="00380E71">
        <w:t>Indicative a</w:t>
      </w:r>
      <w:r>
        <w:t>ugmentation timing</w:t>
      </w:r>
      <w:r w:rsidR="00F7506F">
        <w:t>, by scenario</w:t>
      </w:r>
      <w:bookmarkEnd w:id="154"/>
    </w:p>
    <w:tbl>
      <w:tblPr>
        <w:tblW w:w="3636" w:type="pct"/>
        <w:tblBorders>
          <w:top w:val="single" w:sz="12" w:space="0" w:color="333399"/>
          <w:bottom w:val="single" w:sz="12" w:space="0" w:color="333399"/>
        </w:tblBorders>
        <w:tblCellMar>
          <w:left w:w="115" w:type="dxa"/>
          <w:right w:w="115" w:type="dxa"/>
        </w:tblCellMar>
        <w:tblLook w:val="0000"/>
      </w:tblPr>
      <w:tblGrid>
        <w:gridCol w:w="854"/>
        <w:gridCol w:w="1879"/>
        <w:gridCol w:w="1448"/>
        <w:gridCol w:w="1594"/>
      </w:tblGrid>
      <w:tr w:rsidR="00885381" w:rsidRPr="00144F8C" w:rsidTr="002A60DD">
        <w:trPr>
          <w:cantSplit/>
        </w:trPr>
        <w:tc>
          <w:tcPr>
            <w:tcW w:w="550"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885381" w:rsidRPr="00FF597B" w:rsidRDefault="00025809" w:rsidP="00B14947">
            <w:pPr>
              <w:pStyle w:val="TableHeading"/>
              <w:keepNext w:val="0"/>
            </w:pPr>
            <w:r>
              <w:t>Scenario</w:t>
            </w:r>
          </w:p>
        </w:tc>
        <w:tc>
          <w:tcPr>
            <w:tcW w:w="1690"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885381" w:rsidRPr="00FF597B" w:rsidRDefault="00025809" w:rsidP="00025809">
            <w:pPr>
              <w:pStyle w:val="TableHeadingLeft"/>
            </w:pPr>
            <w:r>
              <w:t>Description</w:t>
            </w:r>
          </w:p>
        </w:tc>
        <w:tc>
          <w:tcPr>
            <w:tcW w:w="1317"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885381" w:rsidRPr="00FF597B" w:rsidRDefault="002A60DD" w:rsidP="00B14947">
            <w:pPr>
              <w:pStyle w:val="TableHeadingRight"/>
            </w:pPr>
            <w:r>
              <w:t>Likely climate</w:t>
            </w:r>
          </w:p>
        </w:tc>
        <w:tc>
          <w:tcPr>
            <w:tcW w:w="1443" w:type="pct"/>
            <w:tcBorders>
              <w:top w:val="single" w:sz="12" w:space="0" w:color="1F497D" w:themeColor="text2"/>
              <w:left w:val="nil"/>
              <w:bottom w:val="single" w:sz="8" w:space="0" w:color="1F497D" w:themeColor="text2"/>
              <w:right w:val="nil"/>
            </w:tcBorders>
            <w:shd w:val="clear" w:color="auto" w:fill="DBE5F1" w:themeFill="accent1" w:themeFillTint="33"/>
          </w:tcPr>
          <w:p w:rsidR="00885381" w:rsidRDefault="002A60DD" w:rsidP="00B14947">
            <w:pPr>
              <w:pStyle w:val="TableHeadingRight"/>
            </w:pPr>
            <w:r>
              <w:t>No climate change</w:t>
            </w:r>
          </w:p>
        </w:tc>
      </w:tr>
      <w:tr w:rsidR="001F40E3" w:rsidRPr="00144F8C" w:rsidTr="002A60DD">
        <w:trPr>
          <w:cantSplit/>
          <w:trHeight w:val="318"/>
        </w:trPr>
        <w:tc>
          <w:tcPr>
            <w:tcW w:w="550" w:type="pct"/>
            <w:tcBorders>
              <w:top w:val="nil"/>
              <w:left w:val="nil"/>
              <w:bottom w:val="nil"/>
              <w:right w:val="nil"/>
            </w:tcBorders>
          </w:tcPr>
          <w:p w:rsidR="001F40E3" w:rsidRPr="00025809" w:rsidRDefault="0024309E" w:rsidP="00B14947">
            <w:pPr>
              <w:pStyle w:val="TableTextLeft"/>
              <w:rPr>
                <w:b/>
              </w:rPr>
            </w:pPr>
            <w:r w:rsidRPr="00025809">
              <w:rPr>
                <w:b/>
              </w:rPr>
              <w:t>Baseline</w:t>
            </w:r>
          </w:p>
        </w:tc>
        <w:tc>
          <w:tcPr>
            <w:tcW w:w="1690" w:type="pct"/>
            <w:tcBorders>
              <w:top w:val="nil"/>
              <w:left w:val="nil"/>
              <w:bottom w:val="nil"/>
              <w:right w:val="nil"/>
            </w:tcBorders>
          </w:tcPr>
          <w:p w:rsidR="001F40E3" w:rsidRPr="00DA26D6" w:rsidRDefault="0024309E" w:rsidP="00B14947">
            <w:pPr>
              <w:pStyle w:val="TableText0"/>
              <w:keepNext w:val="0"/>
              <w:rPr>
                <w:b/>
              </w:rPr>
            </w:pPr>
            <w:r w:rsidRPr="00DA26D6">
              <w:rPr>
                <w:b/>
              </w:rPr>
              <w:t>No demand growth</w:t>
            </w:r>
          </w:p>
        </w:tc>
        <w:tc>
          <w:tcPr>
            <w:tcW w:w="1317" w:type="pct"/>
            <w:tcBorders>
              <w:top w:val="nil"/>
              <w:left w:val="nil"/>
              <w:bottom w:val="nil"/>
              <w:right w:val="nil"/>
            </w:tcBorders>
          </w:tcPr>
          <w:p w:rsidR="001F40E3" w:rsidRPr="00DA26D6" w:rsidRDefault="001F40E3" w:rsidP="001F40E3">
            <w:pPr>
              <w:pStyle w:val="TableTextRight"/>
              <w:rPr>
                <w:b/>
              </w:rPr>
            </w:pPr>
            <w:r w:rsidRPr="00DA26D6">
              <w:rPr>
                <w:b/>
              </w:rPr>
              <w:t>Post 2062</w:t>
            </w:r>
          </w:p>
        </w:tc>
        <w:tc>
          <w:tcPr>
            <w:tcW w:w="1443" w:type="pct"/>
            <w:tcBorders>
              <w:top w:val="nil"/>
              <w:left w:val="nil"/>
              <w:bottom w:val="nil"/>
              <w:right w:val="nil"/>
            </w:tcBorders>
          </w:tcPr>
          <w:p w:rsidR="001F40E3" w:rsidRPr="00DA26D6" w:rsidRDefault="001F40E3" w:rsidP="001F40E3">
            <w:pPr>
              <w:pStyle w:val="TableTextRight"/>
              <w:rPr>
                <w:b/>
              </w:rPr>
            </w:pPr>
            <w:r w:rsidRPr="00DA26D6">
              <w:rPr>
                <w:b/>
              </w:rPr>
              <w:t>Post 2062</w:t>
            </w:r>
          </w:p>
        </w:tc>
      </w:tr>
      <w:tr w:rsidR="00885381" w:rsidRPr="00144F8C" w:rsidTr="002A60DD">
        <w:trPr>
          <w:cantSplit/>
          <w:trHeight w:val="318"/>
        </w:trPr>
        <w:tc>
          <w:tcPr>
            <w:tcW w:w="550" w:type="pct"/>
            <w:tcBorders>
              <w:top w:val="nil"/>
              <w:left w:val="nil"/>
              <w:bottom w:val="nil"/>
              <w:right w:val="nil"/>
            </w:tcBorders>
          </w:tcPr>
          <w:p w:rsidR="00885381" w:rsidRPr="00025809" w:rsidRDefault="00D51C89" w:rsidP="00B14947">
            <w:pPr>
              <w:pStyle w:val="TableTextLeft"/>
              <w:rPr>
                <w:b/>
              </w:rPr>
            </w:pPr>
            <w:r w:rsidRPr="00025809">
              <w:rPr>
                <w:b/>
              </w:rPr>
              <w:t>1</w:t>
            </w:r>
          </w:p>
        </w:tc>
        <w:tc>
          <w:tcPr>
            <w:tcW w:w="1690" w:type="pct"/>
            <w:tcBorders>
              <w:top w:val="nil"/>
              <w:left w:val="nil"/>
              <w:bottom w:val="nil"/>
              <w:right w:val="nil"/>
            </w:tcBorders>
          </w:tcPr>
          <w:p w:rsidR="00885381" w:rsidRPr="00FF597B" w:rsidRDefault="00885381" w:rsidP="00B14947">
            <w:pPr>
              <w:pStyle w:val="TableText0"/>
              <w:keepNext w:val="0"/>
            </w:pPr>
            <w:r>
              <w:t>Minor demand growth</w:t>
            </w:r>
          </w:p>
        </w:tc>
        <w:tc>
          <w:tcPr>
            <w:tcW w:w="1317" w:type="pct"/>
            <w:tcBorders>
              <w:top w:val="nil"/>
              <w:left w:val="nil"/>
              <w:bottom w:val="nil"/>
              <w:right w:val="nil"/>
            </w:tcBorders>
          </w:tcPr>
          <w:p w:rsidR="00885381" w:rsidRPr="00B84CA2" w:rsidRDefault="007A57EA" w:rsidP="00B14947">
            <w:pPr>
              <w:pStyle w:val="TableTextRight"/>
              <w:rPr>
                <w:b/>
              </w:rPr>
            </w:pPr>
            <w:r w:rsidRPr="00B84CA2">
              <w:rPr>
                <w:b/>
              </w:rPr>
              <w:t>2060</w:t>
            </w:r>
          </w:p>
        </w:tc>
        <w:tc>
          <w:tcPr>
            <w:tcW w:w="1443" w:type="pct"/>
            <w:tcBorders>
              <w:top w:val="nil"/>
              <w:left w:val="nil"/>
              <w:bottom w:val="nil"/>
              <w:right w:val="nil"/>
            </w:tcBorders>
          </w:tcPr>
          <w:p w:rsidR="00885381" w:rsidRPr="002625DD" w:rsidRDefault="007A57EA" w:rsidP="00B14947">
            <w:pPr>
              <w:pStyle w:val="TableTextRight"/>
            </w:pPr>
            <w:r>
              <w:t>Post 2062</w:t>
            </w:r>
          </w:p>
        </w:tc>
      </w:tr>
      <w:tr w:rsidR="00885381" w:rsidRPr="00144F8C" w:rsidTr="002A60DD">
        <w:trPr>
          <w:cantSplit/>
          <w:trHeight w:val="200"/>
        </w:trPr>
        <w:tc>
          <w:tcPr>
            <w:tcW w:w="550" w:type="pct"/>
            <w:tcBorders>
              <w:top w:val="nil"/>
              <w:left w:val="nil"/>
              <w:bottom w:val="nil"/>
              <w:right w:val="nil"/>
            </w:tcBorders>
          </w:tcPr>
          <w:p w:rsidR="00885381" w:rsidRPr="00025809" w:rsidRDefault="00D51C89" w:rsidP="00B14947">
            <w:pPr>
              <w:pStyle w:val="TableTextLeft"/>
              <w:rPr>
                <w:b/>
              </w:rPr>
            </w:pPr>
            <w:r w:rsidRPr="00025809">
              <w:rPr>
                <w:b/>
              </w:rPr>
              <w:t>2</w:t>
            </w:r>
          </w:p>
        </w:tc>
        <w:tc>
          <w:tcPr>
            <w:tcW w:w="1690" w:type="pct"/>
            <w:tcBorders>
              <w:top w:val="nil"/>
              <w:left w:val="nil"/>
              <w:bottom w:val="nil"/>
              <w:right w:val="nil"/>
            </w:tcBorders>
          </w:tcPr>
          <w:p w:rsidR="00885381" w:rsidRPr="00FF597B" w:rsidRDefault="00885381" w:rsidP="00B14947">
            <w:pPr>
              <w:pStyle w:val="TableText0"/>
              <w:keepNext w:val="0"/>
            </w:pPr>
            <w:r>
              <w:t>Medium demand growth</w:t>
            </w:r>
          </w:p>
        </w:tc>
        <w:tc>
          <w:tcPr>
            <w:tcW w:w="1317" w:type="pct"/>
            <w:tcBorders>
              <w:top w:val="nil"/>
              <w:left w:val="nil"/>
              <w:bottom w:val="nil"/>
              <w:right w:val="nil"/>
            </w:tcBorders>
          </w:tcPr>
          <w:p w:rsidR="00885381" w:rsidRPr="00B84CA2" w:rsidRDefault="007A57EA" w:rsidP="00B14947">
            <w:pPr>
              <w:pStyle w:val="TableTextRight"/>
              <w:rPr>
                <w:b/>
              </w:rPr>
            </w:pPr>
            <w:r w:rsidRPr="00B84CA2">
              <w:rPr>
                <w:b/>
              </w:rPr>
              <w:t>2043</w:t>
            </w:r>
          </w:p>
        </w:tc>
        <w:tc>
          <w:tcPr>
            <w:tcW w:w="1443" w:type="pct"/>
            <w:tcBorders>
              <w:top w:val="nil"/>
              <w:left w:val="nil"/>
              <w:bottom w:val="nil"/>
              <w:right w:val="nil"/>
            </w:tcBorders>
          </w:tcPr>
          <w:p w:rsidR="00885381" w:rsidRPr="002625DD" w:rsidRDefault="007A57EA" w:rsidP="00B14947">
            <w:pPr>
              <w:pStyle w:val="TableTextRight"/>
            </w:pPr>
            <w:r>
              <w:t>Post 2062</w:t>
            </w:r>
          </w:p>
        </w:tc>
      </w:tr>
      <w:tr w:rsidR="00885381" w:rsidRPr="00144F8C" w:rsidTr="002A60DD">
        <w:trPr>
          <w:cantSplit/>
        </w:trPr>
        <w:tc>
          <w:tcPr>
            <w:tcW w:w="550" w:type="pct"/>
            <w:tcBorders>
              <w:top w:val="nil"/>
              <w:left w:val="nil"/>
              <w:bottom w:val="single" w:sz="12" w:space="0" w:color="1F497D" w:themeColor="text2"/>
              <w:right w:val="nil"/>
            </w:tcBorders>
          </w:tcPr>
          <w:p w:rsidR="00885381" w:rsidRPr="00025809" w:rsidRDefault="00D51C89" w:rsidP="00B14947">
            <w:pPr>
              <w:pStyle w:val="TableTextLeft"/>
              <w:rPr>
                <w:b/>
              </w:rPr>
            </w:pPr>
            <w:r w:rsidRPr="00025809">
              <w:rPr>
                <w:b/>
              </w:rPr>
              <w:t>3</w:t>
            </w:r>
          </w:p>
        </w:tc>
        <w:tc>
          <w:tcPr>
            <w:tcW w:w="1690" w:type="pct"/>
            <w:tcBorders>
              <w:top w:val="nil"/>
              <w:left w:val="nil"/>
              <w:bottom w:val="single" w:sz="12" w:space="0" w:color="1F497D" w:themeColor="text2"/>
              <w:right w:val="nil"/>
            </w:tcBorders>
          </w:tcPr>
          <w:p w:rsidR="00885381" w:rsidRPr="00FF597B" w:rsidRDefault="00885381" w:rsidP="00B14947">
            <w:pPr>
              <w:pStyle w:val="TableText0"/>
              <w:keepNext w:val="0"/>
            </w:pPr>
            <w:r>
              <w:t>High demand growth</w:t>
            </w:r>
          </w:p>
        </w:tc>
        <w:tc>
          <w:tcPr>
            <w:tcW w:w="1317" w:type="pct"/>
            <w:tcBorders>
              <w:top w:val="nil"/>
              <w:left w:val="nil"/>
              <w:bottom w:val="single" w:sz="12" w:space="0" w:color="1F497D" w:themeColor="text2"/>
              <w:right w:val="nil"/>
            </w:tcBorders>
          </w:tcPr>
          <w:p w:rsidR="00885381" w:rsidRPr="00B84CA2" w:rsidRDefault="00885381" w:rsidP="00B14947">
            <w:pPr>
              <w:pStyle w:val="TableTextRight"/>
              <w:rPr>
                <w:b/>
              </w:rPr>
            </w:pPr>
            <w:r w:rsidRPr="00B84CA2">
              <w:rPr>
                <w:b/>
              </w:rPr>
              <w:t>2035</w:t>
            </w:r>
          </w:p>
        </w:tc>
        <w:tc>
          <w:tcPr>
            <w:tcW w:w="1443" w:type="pct"/>
            <w:tcBorders>
              <w:top w:val="nil"/>
              <w:left w:val="nil"/>
              <w:bottom w:val="single" w:sz="12" w:space="0" w:color="1F497D" w:themeColor="text2"/>
              <w:right w:val="nil"/>
            </w:tcBorders>
          </w:tcPr>
          <w:p w:rsidR="00885381" w:rsidRDefault="00885381" w:rsidP="00B14947">
            <w:pPr>
              <w:pStyle w:val="TableTextRight"/>
            </w:pPr>
            <w:r>
              <w:t>2047</w:t>
            </w:r>
          </w:p>
        </w:tc>
      </w:tr>
    </w:tbl>
    <w:p w:rsidR="00C74BD1" w:rsidRDefault="00C74BD1" w:rsidP="00AF4086"/>
    <w:p w:rsidR="00AF4086" w:rsidRPr="00AF4086" w:rsidRDefault="00C74BD1" w:rsidP="00AF4086">
      <w:r>
        <w:t xml:space="preserve">For sensitivity purposes, all scenarios were </w:t>
      </w:r>
      <w:r w:rsidR="005F3053">
        <w:t xml:space="preserve">also </w:t>
      </w:r>
      <w:r>
        <w:t>modelled with the assumption that there will be no climate change effects on supply and demand</w:t>
      </w:r>
      <w:r w:rsidR="005F3053">
        <w:t>.</w:t>
      </w:r>
      <w:r>
        <w:t xml:space="preserve"> Not surprisingly this </w:t>
      </w:r>
      <w:r w:rsidR="00AF4086">
        <w:t>significantly delays augmentation timing</w:t>
      </w:r>
      <w:r>
        <w:t>, with Scenario 3 being delayed by 12 years from 2035 to 2047.</w:t>
      </w:r>
      <w:r w:rsidR="00A50049">
        <w:t xml:space="preserve"> It is also clear that increasing demand growth significantly accelerates the estimated augmentation timing. </w:t>
      </w:r>
    </w:p>
    <w:p w:rsidR="006008F1" w:rsidRDefault="006008F1" w:rsidP="00DC783B">
      <w:pPr>
        <w:pStyle w:val="Heading2"/>
      </w:pPr>
      <w:bookmarkStart w:id="155" w:name="_Toc453920875"/>
      <w:r>
        <w:lastRenderedPageBreak/>
        <w:t>Long-run marginal cost</w:t>
      </w:r>
      <w:r w:rsidR="00D51576">
        <w:t xml:space="preserve"> estimate</w:t>
      </w:r>
      <w:bookmarkEnd w:id="155"/>
    </w:p>
    <w:p w:rsidR="001551B7" w:rsidRDefault="001551B7" w:rsidP="00DC783B">
      <w:pPr>
        <w:pStyle w:val="Heading3"/>
      </w:pPr>
      <w:r>
        <w:t>Introduction</w:t>
      </w:r>
    </w:p>
    <w:p w:rsidR="00762C63" w:rsidRDefault="00762C63" w:rsidP="00762C63">
      <w:pPr>
        <w:keepNext/>
      </w:pPr>
      <w:r>
        <w:t xml:space="preserve">This section provides estimates of the long-run marginal cost of water in the ACT using the four methods discussed in section </w:t>
      </w:r>
      <w:r w:rsidR="00C04337">
        <w:fldChar w:fldCharType="begin"/>
      </w:r>
      <w:r>
        <w:instrText xml:space="preserve"> REF _Ref448819565 \r \h </w:instrText>
      </w:r>
      <w:r w:rsidR="00C04337">
        <w:fldChar w:fldCharType="separate"/>
      </w:r>
      <w:r w:rsidR="00027D28">
        <w:t>3.3.2</w:t>
      </w:r>
      <w:r w:rsidR="00C04337">
        <w:fldChar w:fldCharType="end"/>
      </w:r>
      <w:r>
        <w:t>.</w:t>
      </w:r>
    </w:p>
    <w:p w:rsidR="000846AB" w:rsidRDefault="007E6F34" w:rsidP="00A83C9B">
      <w:r>
        <w:t>For the purposes of</w:t>
      </w:r>
      <w:r w:rsidR="00762C63">
        <w:t xml:space="preserve"> the MIC and AIC methods</w:t>
      </w:r>
      <w:r>
        <w:t>, a planning horizon or forecast period of 47 years has been applied for water</w:t>
      </w:r>
      <w:r w:rsidR="00565787">
        <w:t xml:space="preserve"> </w:t>
      </w:r>
      <w:r>
        <w:t>services, to match that of Icon Water’s modelling timescale. The planning horizon therefore runs from 2016 to 2062.</w:t>
      </w:r>
    </w:p>
    <w:p w:rsidR="00A3127D" w:rsidRDefault="00A26C09" w:rsidP="00A83C9B">
      <w:r>
        <w:t>T</w:t>
      </w:r>
      <w:r w:rsidR="009C3642">
        <w:t>he next capacity augmentation is assumed to be the Tennent Dam</w:t>
      </w:r>
      <w:r w:rsidR="007D4818">
        <w:t xml:space="preserve"> on the Gudgenby River.</w:t>
      </w:r>
      <w:r>
        <w:rPr>
          <w:rStyle w:val="FootnoteReference"/>
        </w:rPr>
        <w:footnoteReference w:id="132"/>
      </w:r>
      <w:r w:rsidR="009C3642">
        <w:t xml:space="preserve"> </w:t>
      </w:r>
      <w:r w:rsidR="00A3127D">
        <w:t>Icon Water considered this option in its water security review in 2007</w:t>
      </w:r>
      <w:r w:rsidR="00491C0A">
        <w:t>, recommending that it be retained as a future water supply option</w:t>
      </w:r>
      <w:r w:rsidR="00A3127D">
        <w:t>.</w:t>
      </w:r>
      <w:r w:rsidR="00491C0A">
        <w:rPr>
          <w:rStyle w:val="FootnoteReference"/>
        </w:rPr>
        <w:footnoteReference w:id="133"/>
      </w:r>
      <w:r w:rsidR="00A3127D">
        <w:t xml:space="preserve"> For the purposes of this paper, the following assumptions have been made in respect of the Tennent Dam:</w:t>
      </w:r>
      <w:r w:rsidR="007516D8">
        <w:rPr>
          <w:rStyle w:val="FootnoteReference"/>
        </w:rPr>
        <w:footnoteReference w:id="134"/>
      </w:r>
    </w:p>
    <w:p w:rsidR="00914D0A" w:rsidRDefault="00164261" w:rsidP="00914D0A">
      <w:pPr>
        <w:pStyle w:val="Bullet"/>
      </w:pPr>
      <w:r>
        <w:t xml:space="preserve">Estimated </w:t>
      </w:r>
      <w:r w:rsidR="002C023B">
        <w:t xml:space="preserve">capital </w:t>
      </w:r>
      <w:r>
        <w:t>c</w:t>
      </w:r>
      <w:r w:rsidR="00183327">
        <w:t>ost</w:t>
      </w:r>
      <w:r w:rsidR="00914D0A">
        <w:t xml:space="preserve"> </w:t>
      </w:r>
      <w:r w:rsidR="002C023B">
        <w:t xml:space="preserve">of </w:t>
      </w:r>
      <w:r w:rsidR="00914D0A">
        <w:t xml:space="preserve">about </w:t>
      </w:r>
      <w:r w:rsidR="00183327">
        <w:t>$</w:t>
      </w:r>
      <w:r w:rsidR="00914D0A">
        <w:t>7</w:t>
      </w:r>
      <w:r w:rsidR="00374AC9">
        <w:t>16</w:t>
      </w:r>
      <w:r w:rsidR="00914D0A">
        <w:t xml:space="preserve"> million in </w:t>
      </w:r>
      <w:r w:rsidR="002C023B">
        <w:t xml:space="preserve">current </w:t>
      </w:r>
      <w:r w:rsidR="00914D0A">
        <w:t>prices (adjusted for inflation from $606 million in 200</w:t>
      </w:r>
      <w:r w:rsidR="00374AC9">
        <w:t>9</w:t>
      </w:r>
      <w:r w:rsidR="00914D0A">
        <w:t xml:space="preserve"> dollars), which includes </w:t>
      </w:r>
      <w:r w:rsidR="00914D0A" w:rsidRPr="00914D0A">
        <w:t>the dam and associated assets such as a delivery pipeline, pump stations and water treatment plant</w:t>
      </w:r>
      <w:r w:rsidR="00914D0A">
        <w:t>.</w:t>
      </w:r>
      <w:r w:rsidR="009950D8">
        <w:rPr>
          <w:rStyle w:val="FootnoteReference"/>
        </w:rPr>
        <w:footnoteReference w:id="135"/>
      </w:r>
    </w:p>
    <w:p w:rsidR="007516D8" w:rsidRDefault="007516D8" w:rsidP="00914D0A">
      <w:pPr>
        <w:pStyle w:val="Bullet"/>
      </w:pPr>
      <w:r>
        <w:t>Capacity</w:t>
      </w:r>
      <w:r w:rsidR="002C023B">
        <w:t xml:space="preserve"> of </w:t>
      </w:r>
      <w:r>
        <w:t>159 GL.</w:t>
      </w:r>
    </w:p>
    <w:p w:rsidR="003C6F6F" w:rsidRDefault="00FB3787" w:rsidP="002C023B">
      <w:pPr>
        <w:pStyle w:val="Bullet"/>
      </w:pPr>
      <w:r>
        <w:t>Constr</w:t>
      </w:r>
      <w:r w:rsidR="00241446">
        <w:t>u</w:t>
      </w:r>
      <w:r>
        <w:t>ction t</w:t>
      </w:r>
      <w:r w:rsidR="008556FC">
        <w:t xml:space="preserve">imeline </w:t>
      </w:r>
      <w:r w:rsidR="002C023B">
        <w:t xml:space="preserve">of </w:t>
      </w:r>
      <w:r w:rsidR="008556FC">
        <w:t xml:space="preserve">seven years to </w:t>
      </w:r>
      <w:r>
        <w:t xml:space="preserve">build </w:t>
      </w:r>
      <w:r w:rsidR="008556FC">
        <w:t>and fill the dam</w:t>
      </w:r>
      <w:r>
        <w:t xml:space="preserve"> and construct the associated assets</w:t>
      </w:r>
      <w:r w:rsidR="008556FC">
        <w:t>.</w:t>
      </w:r>
    </w:p>
    <w:p w:rsidR="002C023B" w:rsidRDefault="002C023B" w:rsidP="007B2A0D">
      <w:pPr>
        <w:pStyle w:val="BulletLast"/>
      </w:pPr>
      <w:r>
        <w:t>Operating cost the same as that of the Googong Dam.</w:t>
      </w:r>
    </w:p>
    <w:p w:rsidR="00F31D0F" w:rsidRDefault="00F31D0F" w:rsidP="000E3CF9">
      <w:r>
        <w:t>The Icon Water modelling process produces</w:t>
      </w:r>
      <w:r w:rsidR="002279BD">
        <w:t xml:space="preserve">, for each year of the forward period, unrestricted demand volumes, restricted demand (as a result of water temporary water restrictions) volumes, differentiated by </w:t>
      </w:r>
      <w:r>
        <w:t>supply source</w:t>
      </w:r>
      <w:r w:rsidR="002279BD">
        <w:t xml:space="preserve">, which </w:t>
      </w:r>
      <w:r>
        <w:t xml:space="preserve">enables calculation of the operating costs. The model is not however designed to allocate demand to sources after a supply augmentation. </w:t>
      </w:r>
      <w:r w:rsidR="00195F19">
        <w:t>I</w:t>
      </w:r>
      <w:r w:rsidR="00D52424">
        <w:t xml:space="preserve">n order to calculate post-augmentation operating costs, </w:t>
      </w:r>
      <w:r w:rsidR="00195F19">
        <w:t>two things are assumed</w:t>
      </w:r>
      <w:r w:rsidR="00195F19" w:rsidRPr="00195F19">
        <w:t xml:space="preserve"> </w:t>
      </w:r>
      <w:r w:rsidR="00195F19">
        <w:t xml:space="preserve">post the Tennent Dam coming on stream. First, demand is assumed to revert to the unrestricted demand in the relevant year. Second, </w:t>
      </w:r>
      <w:r w:rsidR="00B730BF">
        <w:t>it is assumed that</w:t>
      </w:r>
      <w:r w:rsidR="00510238">
        <w:t xml:space="preserve"> the proportion of supply from the more expensive Murrumbidgee and Tantangara sources will reduce </w:t>
      </w:r>
      <w:r w:rsidR="00510238" w:rsidRPr="00510238">
        <w:t>back to the</w:t>
      </w:r>
      <w:r w:rsidR="00195F19">
        <w:t>ir</w:t>
      </w:r>
      <w:r w:rsidR="00510238" w:rsidRPr="00510238">
        <w:t xml:space="preserve"> 2016 proportions and then scale up as in the </w:t>
      </w:r>
      <w:r w:rsidR="00510238">
        <w:t>original</w:t>
      </w:r>
      <w:r w:rsidR="00195F19">
        <w:t xml:space="preserve"> </w:t>
      </w:r>
      <w:r w:rsidR="00510238">
        <w:t xml:space="preserve">modelling </w:t>
      </w:r>
      <w:r w:rsidR="00510238" w:rsidRPr="00510238">
        <w:t>projection</w:t>
      </w:r>
      <w:r w:rsidR="00510238">
        <w:t>.</w:t>
      </w:r>
    </w:p>
    <w:p w:rsidR="000E3CF9" w:rsidRPr="000E3CF9" w:rsidRDefault="000E3CF9" w:rsidP="000E3CF9">
      <w:r>
        <w:lastRenderedPageBreak/>
        <w:t xml:space="preserve">As noted in section </w:t>
      </w:r>
      <w:r w:rsidR="00C04337">
        <w:fldChar w:fldCharType="begin"/>
      </w:r>
      <w:r>
        <w:instrText xml:space="preserve"> REF _Ref449424431 \r \h </w:instrText>
      </w:r>
      <w:r w:rsidR="00C04337">
        <w:fldChar w:fldCharType="separate"/>
      </w:r>
      <w:r w:rsidR="00027D28">
        <w:t>3.3.3</w:t>
      </w:r>
      <w:r w:rsidR="00C04337">
        <w:fldChar w:fldCharType="end"/>
      </w:r>
      <w:r>
        <w:t>, the Commission’s general preference is to take price effects on demand</w:t>
      </w:r>
      <w:r w:rsidR="00D36926">
        <w:t xml:space="preserve"> into account, using an estimate of the price elasticity of demand,</w:t>
      </w:r>
      <w:r>
        <w:t xml:space="preserve"> when estimating long-run marginal cost. </w:t>
      </w:r>
      <w:r w:rsidR="003C53CD">
        <w:t xml:space="preserve">From a practical perspective however, </w:t>
      </w:r>
      <w:r w:rsidR="00D36926">
        <w:t xml:space="preserve">the price of water </w:t>
      </w:r>
      <w:r w:rsidR="003C53CD">
        <w:t>ideally need</w:t>
      </w:r>
      <w:r w:rsidR="00D36926">
        <w:t>s</w:t>
      </w:r>
      <w:r w:rsidR="003C53CD">
        <w:t xml:space="preserve"> to be incorporated into the water supply and demand modelling process</w:t>
      </w:r>
      <w:r w:rsidR="00EB0AE8">
        <w:t xml:space="preserve"> as an additional </w:t>
      </w:r>
      <w:r w:rsidR="00D36926">
        <w:t xml:space="preserve">endogenous </w:t>
      </w:r>
      <w:r w:rsidR="00EB0AE8">
        <w:t>variable</w:t>
      </w:r>
      <w:r w:rsidR="003C53CD">
        <w:t>, which is not currently the case.</w:t>
      </w:r>
      <w:r w:rsidR="00D36926">
        <w:t xml:space="preserve"> </w:t>
      </w:r>
      <w:r w:rsidR="00EB0AE8">
        <w:t>As such,</w:t>
      </w:r>
      <w:r w:rsidR="00D36926">
        <w:t xml:space="preserve"> in this paper, the Commission has not taken the impact of the water price on demand into account. Nonetheless, given the Commission’s recent inelastic </w:t>
      </w:r>
      <w:r w:rsidR="00E43C94">
        <w:t xml:space="preserve">ACT </w:t>
      </w:r>
      <w:r w:rsidR="00D36926">
        <w:t xml:space="preserve">demand estimate of -0.14 over the 1999 to 2015 period, and the even less elastic estimate over the post-structural break period from 2006 to 2015 of -0.04, this is unlikely to have a material </w:t>
      </w:r>
      <w:r w:rsidR="0017537A">
        <w:t>effect on the long-run marginal cost results.</w:t>
      </w:r>
    </w:p>
    <w:p w:rsidR="00FF1C83" w:rsidRDefault="00FF1C83" w:rsidP="00DC783B">
      <w:pPr>
        <w:pStyle w:val="Heading3"/>
      </w:pPr>
      <w:r>
        <w:t>‘Textbook’ marginal cost</w:t>
      </w:r>
    </w:p>
    <w:p w:rsidR="00FF1C83" w:rsidRDefault="00173957" w:rsidP="00FF1C83">
      <w:r>
        <w:t xml:space="preserve">The TMC estimate for this paper </w:t>
      </w:r>
      <w:proofErr w:type="gramStart"/>
      <w:r>
        <w:t>is based</w:t>
      </w:r>
      <w:proofErr w:type="gramEnd"/>
      <w:r>
        <w:t xml:space="preserve"> on applying equation (2) as described in section </w:t>
      </w:r>
      <w:r w:rsidR="00C04337">
        <w:fldChar w:fldCharType="begin"/>
      </w:r>
      <w:r>
        <w:instrText xml:space="preserve"> REF _Ref448755915 \r \h </w:instrText>
      </w:r>
      <w:r w:rsidR="00C04337">
        <w:fldChar w:fldCharType="separate"/>
      </w:r>
      <w:r w:rsidR="00027D28">
        <w:t>3.3.2</w:t>
      </w:r>
      <w:r w:rsidR="00C04337">
        <w:fldChar w:fldCharType="end"/>
      </w:r>
      <w:r>
        <w:t xml:space="preserve">. </w:t>
      </w:r>
      <w:r w:rsidR="002F45FD">
        <w:t>Recall that</w:t>
      </w:r>
      <w:r w:rsidR="00970ABC">
        <w:t>,</w:t>
      </w:r>
      <w:r w:rsidR="002F45FD">
        <w:t xml:space="preserve"> </w:t>
      </w:r>
      <w:r w:rsidR="00970ABC">
        <w:t xml:space="preserve">for years in which </w:t>
      </w:r>
      <w:r w:rsidR="002F45FD" w:rsidRPr="003E1362">
        <w:t>no capital expenditures</w:t>
      </w:r>
      <w:r w:rsidR="002F45FD">
        <w:t xml:space="preserve"> </w:t>
      </w:r>
      <w:r w:rsidR="002F45FD" w:rsidRPr="003E1362">
        <w:t>take</w:t>
      </w:r>
      <w:r w:rsidR="002F45FD">
        <w:t xml:space="preserve"> p</w:t>
      </w:r>
      <w:r w:rsidR="002F45FD" w:rsidRPr="003E1362">
        <w:t>lace,</w:t>
      </w:r>
      <w:r w:rsidR="002F45FD">
        <w:t xml:space="preserve"> </w:t>
      </w:r>
      <w:r>
        <w:t xml:space="preserve">TMC </w:t>
      </w:r>
      <w:r w:rsidR="002F45FD" w:rsidRPr="003E1362">
        <w:t>equals</w:t>
      </w:r>
      <w:r w:rsidR="002F45FD">
        <w:t xml:space="preserve"> short-run marginal cost</w:t>
      </w:r>
      <w:r w:rsidR="002F45FD" w:rsidRPr="003E1362">
        <w:t>.</w:t>
      </w:r>
      <w:r w:rsidR="002F45FD">
        <w:t xml:space="preserve"> Th</w:t>
      </w:r>
      <w:r w:rsidR="00970ABC">
        <w:t xml:space="preserve">is situation </w:t>
      </w:r>
      <w:r w:rsidR="002F45FD">
        <w:t xml:space="preserve">applies in the current circumstances with </w:t>
      </w:r>
      <w:r w:rsidR="008A2279">
        <w:t xml:space="preserve">no </w:t>
      </w:r>
      <w:r w:rsidR="002F45FD">
        <w:t>requirement for immediate capital expenditure on supply augmentation.</w:t>
      </w:r>
      <w:r w:rsidR="008A2279">
        <w:t xml:space="preserve"> </w:t>
      </w:r>
      <w:r w:rsidR="002F45FD">
        <w:t xml:space="preserve">As such, </w:t>
      </w:r>
      <w:r w:rsidR="00563A05">
        <w:t xml:space="preserve">the </w:t>
      </w:r>
      <w:r w:rsidR="002F45FD">
        <w:t xml:space="preserve">TMC </w:t>
      </w:r>
      <w:r w:rsidR="00563A05">
        <w:t xml:space="preserve">estimate </w:t>
      </w:r>
      <w:r w:rsidR="00970ABC">
        <w:t xml:space="preserve">for this paper </w:t>
      </w:r>
      <w:r w:rsidR="002F45FD">
        <w:t xml:space="preserve">is the short-run marginal cost, estimated at </w:t>
      </w:r>
      <w:r w:rsidR="002F45FD" w:rsidRPr="00C64048">
        <w:t>$0.</w:t>
      </w:r>
      <w:r w:rsidR="00C64048" w:rsidRPr="00C64048">
        <w:t>72</w:t>
      </w:r>
      <w:r w:rsidR="00211D7F">
        <w:t> </w:t>
      </w:r>
      <w:r w:rsidR="00D65449">
        <w:t>per</w:t>
      </w:r>
      <w:r w:rsidR="00362EA9">
        <w:t> </w:t>
      </w:r>
      <w:r w:rsidR="00D65449">
        <w:t xml:space="preserve">kL </w:t>
      </w:r>
      <w:r w:rsidR="00F67EA8">
        <w:t xml:space="preserve">of water delivered to ACT customers as calculated in </w:t>
      </w:r>
      <w:r w:rsidR="00D65449">
        <w:t xml:space="preserve">section </w:t>
      </w:r>
      <w:r w:rsidR="00C04337">
        <w:fldChar w:fldCharType="begin"/>
      </w:r>
      <w:r w:rsidR="00D65449">
        <w:instrText xml:space="preserve"> REF _Ref448819516 \r \h </w:instrText>
      </w:r>
      <w:r w:rsidR="00C04337">
        <w:fldChar w:fldCharType="separate"/>
      </w:r>
      <w:r w:rsidR="00027D28">
        <w:t>4.1</w:t>
      </w:r>
      <w:r w:rsidR="00C04337">
        <w:fldChar w:fldCharType="end"/>
      </w:r>
      <w:r w:rsidR="00D65449">
        <w:t>.</w:t>
      </w:r>
    </w:p>
    <w:p w:rsidR="00356C81" w:rsidRDefault="00356C81" w:rsidP="00356C81">
      <w:pPr>
        <w:pStyle w:val="Heading3"/>
      </w:pPr>
      <w:r>
        <w:t>Average incremental cost</w:t>
      </w:r>
    </w:p>
    <w:p w:rsidR="00356C81" w:rsidRDefault="00356C81" w:rsidP="00356C81">
      <w:r>
        <w:t xml:space="preserve">For the purposes of this paper, the AIC approach </w:t>
      </w:r>
      <w:r w:rsidR="00FC7565">
        <w:t xml:space="preserve">involves a </w:t>
      </w:r>
      <w:r>
        <w:t>compar</w:t>
      </w:r>
      <w:r w:rsidR="00FC7565">
        <w:t>ison</w:t>
      </w:r>
      <w:r>
        <w:t xml:space="preserve"> </w:t>
      </w:r>
      <w:r w:rsidR="00FC7565">
        <w:t xml:space="preserve">of </w:t>
      </w:r>
      <w:r>
        <w:t xml:space="preserve">the incremental costs and water volumes supplied </w:t>
      </w:r>
      <w:r w:rsidR="00FC7565">
        <w:t xml:space="preserve">between </w:t>
      </w:r>
      <w:r>
        <w:t xml:space="preserve">the baseline supply and demand situation </w:t>
      </w:r>
      <w:r w:rsidR="00FC7565">
        <w:t xml:space="preserve">and </w:t>
      </w:r>
      <w:r>
        <w:t xml:space="preserve">the most likely future scenario when a supply augmentation is required, </w:t>
      </w:r>
      <w:r w:rsidR="00FC7565">
        <w:t xml:space="preserve">the optimal </w:t>
      </w:r>
      <w:r>
        <w:t>Scenario 1.</w:t>
      </w:r>
      <w:r w:rsidR="00563435">
        <w:t xml:space="preserve"> </w:t>
      </w:r>
      <w:r>
        <w:t xml:space="preserve">Under Scenario 1, the probability of being in restrictions rises above 5 per cent from about </w:t>
      </w:r>
      <w:r w:rsidRPr="008A3982">
        <w:t>20</w:t>
      </w:r>
      <w:r w:rsidR="008A3982" w:rsidRPr="008A3982">
        <w:t>60</w:t>
      </w:r>
      <w:r w:rsidRPr="008A3982">
        <w:t xml:space="preserve">, with construction assumed to start on the Tennent Dam from </w:t>
      </w:r>
      <w:r w:rsidR="008A3982">
        <w:t>2054</w:t>
      </w:r>
      <w:r w:rsidRPr="008A3982">
        <w:t>.</w:t>
      </w:r>
      <w:r w:rsidR="00582681">
        <w:t xml:space="preserve"> </w:t>
      </w:r>
      <w:r>
        <w:t>Applying equation (</w:t>
      </w:r>
      <w:r w:rsidR="00782128">
        <w:t>6</w:t>
      </w:r>
      <w:r>
        <w:t xml:space="preserve">) the AIC is estimated </w:t>
      </w:r>
      <w:r w:rsidRPr="0030370F">
        <w:t>at $1.</w:t>
      </w:r>
      <w:r w:rsidR="003C3F7C">
        <w:t>61</w:t>
      </w:r>
      <w:r>
        <w:t xml:space="preserve"> per kL of water delivered to ACT customers.</w:t>
      </w:r>
    </w:p>
    <w:p w:rsidR="006A6188" w:rsidRDefault="006A6188" w:rsidP="00DC783B">
      <w:pPr>
        <w:pStyle w:val="Heading3"/>
      </w:pPr>
      <w:r>
        <w:t>Marginal incremental cost</w:t>
      </w:r>
    </w:p>
    <w:p w:rsidR="006A6188" w:rsidRDefault="007E4DAB" w:rsidP="007E4DAB">
      <w:r>
        <w:t xml:space="preserve">For the purposes of this paper, </w:t>
      </w:r>
      <w:r w:rsidR="0009441A">
        <w:t xml:space="preserve">MIC is calculated </w:t>
      </w:r>
      <w:r w:rsidR="00356C81">
        <w:t>by</w:t>
      </w:r>
      <w:r w:rsidR="0009441A">
        <w:t xml:space="preserve"> </w:t>
      </w:r>
      <w:r>
        <w:t>compar</w:t>
      </w:r>
      <w:r w:rsidR="00356C81">
        <w:t>ing</w:t>
      </w:r>
      <w:r>
        <w:t xml:space="preserve"> the incremental costs and water volumes supplied moving from the </w:t>
      </w:r>
      <w:r w:rsidR="0009441A">
        <w:t xml:space="preserve">optimal </w:t>
      </w:r>
      <w:r w:rsidR="00045718">
        <w:t>S</w:t>
      </w:r>
      <w:r w:rsidR="0009441A">
        <w:t xml:space="preserve">cenario </w:t>
      </w:r>
      <w:r w:rsidR="00045718">
        <w:t xml:space="preserve">1 </w:t>
      </w:r>
      <w:r w:rsidR="0009441A">
        <w:t xml:space="preserve">with </w:t>
      </w:r>
      <w:r w:rsidR="00554F5C">
        <w:t xml:space="preserve">minor demand growth </w:t>
      </w:r>
      <w:r w:rsidR="0009441A">
        <w:t xml:space="preserve">to </w:t>
      </w:r>
      <w:r w:rsidR="00960F13">
        <w:t xml:space="preserve">Scenario </w:t>
      </w:r>
      <w:r w:rsidR="0009441A">
        <w:t>2</w:t>
      </w:r>
      <w:r w:rsidR="00960F13">
        <w:t>,</w:t>
      </w:r>
      <w:r w:rsidR="0009441A">
        <w:t xml:space="preserve"> </w:t>
      </w:r>
      <w:r w:rsidR="00554F5C">
        <w:t xml:space="preserve">which assumes medium </w:t>
      </w:r>
      <w:r w:rsidR="0009441A">
        <w:t>demand growth</w:t>
      </w:r>
      <w:r>
        <w:t>.</w:t>
      </w:r>
      <w:r w:rsidR="00356C81">
        <w:t xml:space="preserve"> Under </w:t>
      </w:r>
      <w:r w:rsidR="00A66E32">
        <w:t xml:space="preserve">Scenario </w:t>
      </w:r>
      <w:r w:rsidR="00554F5C">
        <w:t>2</w:t>
      </w:r>
      <w:r w:rsidR="00356C81">
        <w:t>,</w:t>
      </w:r>
      <w:r w:rsidR="00A66E32">
        <w:t xml:space="preserve"> augmentation is required </w:t>
      </w:r>
      <w:r w:rsidR="00356C81">
        <w:t xml:space="preserve">from </w:t>
      </w:r>
      <w:r w:rsidR="00F31AC0">
        <w:t>2043,</w:t>
      </w:r>
      <w:r w:rsidR="00A66E32">
        <w:t xml:space="preserve"> </w:t>
      </w:r>
      <w:r w:rsidR="00F31AC0">
        <w:t xml:space="preserve">17 </w:t>
      </w:r>
      <w:r w:rsidR="00A66E32">
        <w:t>years earl</w:t>
      </w:r>
      <w:r w:rsidR="00554F5C">
        <w:t>ier</w:t>
      </w:r>
      <w:r w:rsidR="00A66E32">
        <w:t xml:space="preserve"> </w:t>
      </w:r>
      <w:r w:rsidR="00356C81">
        <w:t xml:space="preserve">than </w:t>
      </w:r>
      <w:r w:rsidR="00F31AC0">
        <w:t xml:space="preserve">under </w:t>
      </w:r>
      <w:r w:rsidR="00356C81">
        <w:t>Scenario 1.</w:t>
      </w:r>
      <w:r w:rsidR="00582681">
        <w:t xml:space="preserve"> </w:t>
      </w:r>
      <w:r w:rsidR="00A66E32">
        <w:t>Applying equation (</w:t>
      </w:r>
      <w:r w:rsidR="00782128">
        <w:t>4</w:t>
      </w:r>
      <w:r w:rsidR="00A66E32">
        <w:t xml:space="preserve">), </w:t>
      </w:r>
      <w:r>
        <w:t xml:space="preserve">the </w:t>
      </w:r>
      <w:r w:rsidR="00A66E32">
        <w:t>M</w:t>
      </w:r>
      <w:r>
        <w:t xml:space="preserve">IC is estimated </w:t>
      </w:r>
      <w:r w:rsidRPr="001B6430">
        <w:t>at $</w:t>
      </w:r>
      <w:r w:rsidR="0070284F">
        <w:t>1.</w:t>
      </w:r>
      <w:r w:rsidR="00BE529C">
        <w:t>7</w:t>
      </w:r>
      <w:r w:rsidR="009B1327">
        <w:t>4</w:t>
      </w:r>
      <w:r>
        <w:t xml:space="preserve"> per kL of water delivered to ACT customers.</w:t>
      </w:r>
    </w:p>
    <w:p w:rsidR="0085524E" w:rsidRDefault="0085524E" w:rsidP="00DC783B">
      <w:pPr>
        <w:pStyle w:val="Heading3"/>
      </w:pPr>
      <w:r>
        <w:t>Sensitivity analysis</w:t>
      </w:r>
    </w:p>
    <w:p w:rsidR="001B7CCE" w:rsidRDefault="0085524E" w:rsidP="00A83C9B">
      <w:r>
        <w:t xml:space="preserve">The Commission assessed the sensitivity of the </w:t>
      </w:r>
      <w:r w:rsidR="0001776B">
        <w:t xml:space="preserve">AIC and MIC </w:t>
      </w:r>
      <w:r>
        <w:t>estimates to the discount rate.</w:t>
      </w:r>
      <w:r w:rsidR="00495696">
        <w:t xml:space="preserve"> As shown in </w:t>
      </w:r>
      <w:r w:rsidR="00C04337">
        <w:fldChar w:fldCharType="begin"/>
      </w:r>
      <w:r w:rsidR="00495696">
        <w:instrText xml:space="preserve"> REF _Ref450302708 \h </w:instrText>
      </w:r>
      <w:r w:rsidR="00C04337">
        <w:fldChar w:fldCharType="separate"/>
      </w:r>
      <w:r w:rsidR="00027D28" w:rsidRPr="003C3AEA">
        <w:t>Table</w:t>
      </w:r>
      <w:r w:rsidR="00027D28">
        <w:t xml:space="preserve"> </w:t>
      </w:r>
      <w:r w:rsidR="00027D28">
        <w:rPr>
          <w:noProof/>
        </w:rPr>
        <w:t>4</w:t>
      </w:r>
      <w:r w:rsidR="00027D28">
        <w:t>.</w:t>
      </w:r>
      <w:r w:rsidR="00027D28">
        <w:rPr>
          <w:noProof/>
        </w:rPr>
        <w:t>5</w:t>
      </w:r>
      <w:r w:rsidR="00C04337">
        <w:fldChar w:fldCharType="end"/>
      </w:r>
      <w:r w:rsidR="00495696">
        <w:t xml:space="preserve">, </w:t>
      </w:r>
      <w:r w:rsidR="0001776B">
        <w:t xml:space="preserve">both </w:t>
      </w:r>
      <w:r w:rsidR="00356CA5">
        <w:t xml:space="preserve">are </w:t>
      </w:r>
      <w:r w:rsidR="00495696">
        <w:t>sensitive to the level of the discount rate</w:t>
      </w:r>
      <w:r w:rsidR="002D4C70">
        <w:t xml:space="preserve">. </w:t>
      </w:r>
      <w:r w:rsidR="0001776B">
        <w:t>R</w:t>
      </w:r>
      <w:r w:rsidR="002D4C70">
        <w:t xml:space="preserve">educing </w:t>
      </w:r>
      <w:r w:rsidR="00434B2C">
        <w:t>the discount rate increases the AIC estimate while decreasing the MIC estimate (and vice-versa).</w:t>
      </w:r>
    </w:p>
    <w:p w:rsidR="001B7CCE" w:rsidRDefault="001B7CCE" w:rsidP="001B7CCE">
      <w:pPr>
        <w:pStyle w:val="TableName0"/>
      </w:pPr>
      <w:bookmarkStart w:id="156" w:name="_Ref450302708"/>
      <w:bookmarkStart w:id="157" w:name="_Toc453920898"/>
      <w:r w:rsidRPr="003C3AEA">
        <w:lastRenderedPageBreak/>
        <w:t>Table</w:t>
      </w:r>
      <w:r>
        <w:t xml:space="preserve"> </w:t>
      </w:r>
      <w:r w:rsidR="00C04337">
        <w:fldChar w:fldCharType="begin"/>
      </w:r>
      <w:r>
        <w:instrText xml:space="preserve"> STYLEREF 1 \s </w:instrText>
      </w:r>
      <w:r w:rsidR="00C04337">
        <w:fldChar w:fldCharType="separate"/>
      </w:r>
      <w:r w:rsidR="00027D28">
        <w:rPr>
          <w:noProof/>
        </w:rPr>
        <w:t>4</w:t>
      </w:r>
      <w:r w:rsidR="00C04337">
        <w:fldChar w:fldCharType="end"/>
      </w:r>
      <w:r>
        <w:t>.</w:t>
      </w:r>
      <w:r w:rsidR="00C04337">
        <w:fldChar w:fldCharType="begin"/>
      </w:r>
      <w:r>
        <w:instrText xml:space="preserve"> SEQ Table \* ARABIC \s 1 </w:instrText>
      </w:r>
      <w:r w:rsidR="00C04337">
        <w:fldChar w:fldCharType="separate"/>
      </w:r>
      <w:r w:rsidR="00027D28">
        <w:rPr>
          <w:noProof/>
        </w:rPr>
        <w:t>5</w:t>
      </w:r>
      <w:r w:rsidR="00C04337">
        <w:fldChar w:fldCharType="end"/>
      </w:r>
      <w:bookmarkEnd w:id="156"/>
      <w:r>
        <w:tab/>
      </w:r>
      <w:r w:rsidR="00B47B75">
        <w:t>Long-run marginal cost s</w:t>
      </w:r>
      <w:r>
        <w:t>ensitivity to discount rates</w:t>
      </w:r>
      <w:bookmarkEnd w:id="157"/>
    </w:p>
    <w:tbl>
      <w:tblPr>
        <w:tblW w:w="2963" w:type="pct"/>
        <w:tblBorders>
          <w:top w:val="single" w:sz="12" w:space="0" w:color="333399"/>
          <w:bottom w:val="single" w:sz="12" w:space="0" w:color="333399"/>
        </w:tblBorders>
        <w:tblCellMar>
          <w:left w:w="115" w:type="dxa"/>
          <w:right w:w="115" w:type="dxa"/>
        </w:tblCellMar>
        <w:tblLook w:val="0000"/>
      </w:tblPr>
      <w:tblGrid>
        <w:gridCol w:w="1329"/>
        <w:gridCol w:w="1040"/>
        <w:gridCol w:w="1232"/>
        <w:gridCol w:w="1105"/>
      </w:tblGrid>
      <w:tr w:rsidR="00C65180" w:rsidRPr="00144F8C" w:rsidTr="00E178BA">
        <w:trPr>
          <w:cantSplit/>
        </w:trPr>
        <w:tc>
          <w:tcPr>
            <w:tcW w:w="1412"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C65180" w:rsidRPr="00FF597B" w:rsidRDefault="00E178BA" w:rsidP="00E178BA">
            <w:pPr>
              <w:pStyle w:val="TableHeading"/>
              <w:jc w:val="right"/>
            </w:pPr>
            <w:r>
              <w:t>Nominal rates</w:t>
            </w:r>
          </w:p>
        </w:tc>
        <w:tc>
          <w:tcPr>
            <w:tcW w:w="1105"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C65180" w:rsidRDefault="00C65180" w:rsidP="00C65180">
            <w:pPr>
              <w:pStyle w:val="TableHeadingRight"/>
              <w:keepNext/>
            </w:pPr>
            <w:r>
              <w:t>$/kL</w:t>
            </w:r>
          </w:p>
          <w:p w:rsidR="00C65180" w:rsidRPr="00FF597B" w:rsidRDefault="00C65180" w:rsidP="00C65180">
            <w:pPr>
              <w:pStyle w:val="TableHeadingRight"/>
              <w:keepNext/>
            </w:pPr>
            <w:r>
              <w:t>5 per cent</w:t>
            </w:r>
          </w:p>
        </w:tc>
        <w:tc>
          <w:tcPr>
            <w:tcW w:w="1309"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C65180" w:rsidRDefault="00C65180" w:rsidP="00C65180">
            <w:pPr>
              <w:pStyle w:val="TableHeadingLeft"/>
              <w:keepNext/>
              <w:jc w:val="right"/>
            </w:pPr>
            <w:r>
              <w:t>$/kL</w:t>
            </w:r>
          </w:p>
          <w:p w:rsidR="00C65180" w:rsidRPr="00FF597B" w:rsidRDefault="00C65180" w:rsidP="00C65180">
            <w:pPr>
              <w:pStyle w:val="TableHeadingLeft"/>
              <w:keepNext/>
              <w:jc w:val="right"/>
            </w:pPr>
            <w:r>
              <w:t>7.20 per cent</w:t>
            </w:r>
          </w:p>
        </w:tc>
        <w:tc>
          <w:tcPr>
            <w:tcW w:w="1174" w:type="pct"/>
            <w:tcBorders>
              <w:top w:val="single" w:sz="12" w:space="0" w:color="1F497D" w:themeColor="text2"/>
              <w:left w:val="nil"/>
              <w:bottom w:val="single" w:sz="8" w:space="0" w:color="1F497D" w:themeColor="text2"/>
              <w:right w:val="nil"/>
            </w:tcBorders>
            <w:shd w:val="clear" w:color="auto" w:fill="DBE5F1" w:themeFill="accent1" w:themeFillTint="33"/>
          </w:tcPr>
          <w:p w:rsidR="00C65180" w:rsidRDefault="00C65180" w:rsidP="00C65180">
            <w:pPr>
              <w:pStyle w:val="TableHeadingRight"/>
              <w:keepNext/>
            </w:pPr>
            <w:r>
              <w:t>$kL</w:t>
            </w:r>
          </w:p>
          <w:p w:rsidR="00C65180" w:rsidRDefault="00C65180" w:rsidP="00C65180">
            <w:pPr>
              <w:pStyle w:val="TableHeadingRight"/>
              <w:keepNext/>
            </w:pPr>
            <w:r>
              <w:t>10 per cent</w:t>
            </w:r>
          </w:p>
        </w:tc>
      </w:tr>
      <w:tr w:rsidR="00C65180" w:rsidRPr="00144F8C" w:rsidTr="00E178BA">
        <w:trPr>
          <w:cantSplit/>
          <w:trHeight w:val="318"/>
        </w:trPr>
        <w:tc>
          <w:tcPr>
            <w:tcW w:w="1412" w:type="pct"/>
            <w:tcBorders>
              <w:top w:val="nil"/>
              <w:left w:val="nil"/>
              <w:bottom w:val="nil"/>
              <w:right w:val="nil"/>
            </w:tcBorders>
          </w:tcPr>
          <w:p w:rsidR="00C65180" w:rsidRPr="00025809" w:rsidRDefault="00C65180" w:rsidP="00C65180">
            <w:pPr>
              <w:pStyle w:val="TableTextLeft"/>
              <w:keepNext/>
              <w:rPr>
                <w:b/>
              </w:rPr>
            </w:pPr>
            <w:r>
              <w:rPr>
                <w:b/>
              </w:rPr>
              <w:t>AIC</w:t>
            </w:r>
          </w:p>
        </w:tc>
        <w:tc>
          <w:tcPr>
            <w:tcW w:w="1105" w:type="pct"/>
            <w:tcBorders>
              <w:top w:val="nil"/>
              <w:left w:val="nil"/>
              <w:bottom w:val="nil"/>
              <w:right w:val="nil"/>
            </w:tcBorders>
          </w:tcPr>
          <w:p w:rsidR="00C65180" w:rsidRPr="001B7CCE" w:rsidRDefault="00C65180" w:rsidP="00487380">
            <w:pPr>
              <w:pStyle w:val="TableTextRight"/>
              <w:keepNext/>
            </w:pPr>
            <w:r w:rsidRPr="001B7CCE">
              <w:t>1.</w:t>
            </w:r>
            <w:r w:rsidR="00487380">
              <w:t>91</w:t>
            </w:r>
          </w:p>
        </w:tc>
        <w:tc>
          <w:tcPr>
            <w:tcW w:w="1309" w:type="pct"/>
            <w:tcBorders>
              <w:top w:val="nil"/>
              <w:left w:val="nil"/>
              <w:bottom w:val="nil"/>
              <w:right w:val="nil"/>
            </w:tcBorders>
          </w:tcPr>
          <w:p w:rsidR="00C65180" w:rsidRPr="00C65180" w:rsidRDefault="00C65180" w:rsidP="00F243F3">
            <w:pPr>
              <w:pStyle w:val="TableTextRight"/>
              <w:rPr>
                <w:b/>
              </w:rPr>
            </w:pPr>
            <w:r w:rsidRPr="00C65180">
              <w:rPr>
                <w:b/>
              </w:rPr>
              <w:t>1.</w:t>
            </w:r>
            <w:r w:rsidR="00F243F3">
              <w:rPr>
                <w:b/>
              </w:rPr>
              <w:t>61</w:t>
            </w:r>
          </w:p>
        </w:tc>
        <w:tc>
          <w:tcPr>
            <w:tcW w:w="1174" w:type="pct"/>
            <w:tcBorders>
              <w:top w:val="nil"/>
              <w:left w:val="nil"/>
              <w:bottom w:val="nil"/>
              <w:right w:val="nil"/>
            </w:tcBorders>
          </w:tcPr>
          <w:p w:rsidR="00C65180" w:rsidRPr="001B7CCE" w:rsidRDefault="00C65180" w:rsidP="00674F42">
            <w:pPr>
              <w:pStyle w:val="TableTextRight"/>
              <w:keepNext/>
            </w:pPr>
            <w:r w:rsidRPr="001B7CCE">
              <w:t>1.</w:t>
            </w:r>
            <w:r w:rsidR="00674F42">
              <w:t>31</w:t>
            </w:r>
          </w:p>
        </w:tc>
      </w:tr>
      <w:tr w:rsidR="00C65180" w:rsidRPr="00144F8C" w:rsidTr="00E178BA">
        <w:trPr>
          <w:cantSplit/>
        </w:trPr>
        <w:tc>
          <w:tcPr>
            <w:tcW w:w="1412" w:type="pct"/>
            <w:tcBorders>
              <w:top w:val="nil"/>
              <w:left w:val="nil"/>
              <w:bottom w:val="single" w:sz="12" w:space="0" w:color="1F497D" w:themeColor="text2"/>
              <w:right w:val="nil"/>
            </w:tcBorders>
          </w:tcPr>
          <w:p w:rsidR="00C65180" w:rsidRPr="00025809" w:rsidRDefault="00C65180" w:rsidP="00C65180">
            <w:pPr>
              <w:pStyle w:val="TableTextLeft"/>
              <w:keepNext/>
              <w:rPr>
                <w:b/>
              </w:rPr>
            </w:pPr>
            <w:r>
              <w:rPr>
                <w:b/>
              </w:rPr>
              <w:t>MIC</w:t>
            </w:r>
          </w:p>
        </w:tc>
        <w:tc>
          <w:tcPr>
            <w:tcW w:w="1105" w:type="pct"/>
            <w:tcBorders>
              <w:top w:val="nil"/>
              <w:left w:val="nil"/>
              <w:bottom w:val="single" w:sz="12" w:space="0" w:color="1F497D" w:themeColor="text2"/>
              <w:right w:val="nil"/>
            </w:tcBorders>
          </w:tcPr>
          <w:p w:rsidR="00C65180" w:rsidRPr="001B7CCE" w:rsidRDefault="00C65180" w:rsidP="00FA3155">
            <w:pPr>
              <w:pStyle w:val="TableTextRight"/>
              <w:keepNext/>
            </w:pPr>
            <w:r w:rsidRPr="001B7CCE">
              <w:t>1.</w:t>
            </w:r>
            <w:r w:rsidR="00487380">
              <w:t>3</w:t>
            </w:r>
            <w:r w:rsidR="00FA3155">
              <w:t>9</w:t>
            </w:r>
          </w:p>
        </w:tc>
        <w:tc>
          <w:tcPr>
            <w:tcW w:w="1309" w:type="pct"/>
            <w:tcBorders>
              <w:top w:val="nil"/>
              <w:left w:val="nil"/>
              <w:bottom w:val="single" w:sz="12" w:space="0" w:color="1F497D" w:themeColor="text2"/>
              <w:right w:val="nil"/>
            </w:tcBorders>
          </w:tcPr>
          <w:p w:rsidR="00C65180" w:rsidRPr="00C65180" w:rsidRDefault="0070284F" w:rsidP="00F243F3">
            <w:pPr>
              <w:pStyle w:val="TableTextRight"/>
              <w:rPr>
                <w:b/>
              </w:rPr>
            </w:pPr>
            <w:r>
              <w:rPr>
                <w:b/>
              </w:rPr>
              <w:t>1.</w:t>
            </w:r>
            <w:r w:rsidR="00F243F3">
              <w:rPr>
                <w:b/>
              </w:rPr>
              <w:t>71</w:t>
            </w:r>
          </w:p>
        </w:tc>
        <w:tc>
          <w:tcPr>
            <w:tcW w:w="1174" w:type="pct"/>
            <w:tcBorders>
              <w:top w:val="nil"/>
              <w:left w:val="nil"/>
              <w:bottom w:val="single" w:sz="12" w:space="0" w:color="1F497D" w:themeColor="text2"/>
              <w:right w:val="nil"/>
            </w:tcBorders>
          </w:tcPr>
          <w:p w:rsidR="00C65180" w:rsidRPr="001B7CCE" w:rsidRDefault="00AD3908" w:rsidP="00FA3155">
            <w:pPr>
              <w:pStyle w:val="TableTextRight"/>
              <w:keepNext/>
            </w:pPr>
            <w:r>
              <w:t>1</w:t>
            </w:r>
            <w:r w:rsidR="00C65180">
              <w:t>.</w:t>
            </w:r>
            <w:r>
              <w:t>9</w:t>
            </w:r>
            <w:r w:rsidR="00FA3155">
              <w:t>5</w:t>
            </w:r>
          </w:p>
        </w:tc>
      </w:tr>
    </w:tbl>
    <w:p w:rsidR="001B7CCE" w:rsidRDefault="001B7CCE" w:rsidP="00582681">
      <w:pPr>
        <w:pStyle w:val="TableNotesLast0"/>
      </w:pPr>
    </w:p>
    <w:p w:rsidR="003B1052" w:rsidRPr="00A858EB" w:rsidRDefault="003B1052" w:rsidP="00A858EB">
      <w:r>
        <w:t xml:space="preserve">The AIC measure was tested for sensitivity to demand growth. </w:t>
      </w:r>
      <w:r w:rsidR="00EF10B1">
        <w:t xml:space="preserve">Assuming that Scenario 2, with medium demand growth, rather than the minor demand growth </w:t>
      </w:r>
      <w:r w:rsidR="00127D67">
        <w:t>S</w:t>
      </w:r>
      <w:r w:rsidR="00EF10B1">
        <w:t>cenario</w:t>
      </w:r>
      <w:r w:rsidR="00127D67">
        <w:t xml:space="preserve"> 1</w:t>
      </w:r>
      <w:r w:rsidR="00EF10B1">
        <w:t xml:space="preserve"> is the optimal investment scenario</w:t>
      </w:r>
      <w:r w:rsidR="00C54DF5">
        <w:t>,</w:t>
      </w:r>
      <w:r w:rsidR="00EF10B1">
        <w:t xml:space="preserve"> returns an AIC estimate of $1.</w:t>
      </w:r>
      <w:r w:rsidR="00B405D5">
        <w:t>6</w:t>
      </w:r>
      <w:r w:rsidR="00EA5692">
        <w:t>7</w:t>
      </w:r>
      <w:r w:rsidR="00EF10B1">
        <w:t xml:space="preserve"> per kL of water delivered. This is </w:t>
      </w:r>
      <w:r w:rsidR="00EA5692">
        <w:t xml:space="preserve">four </w:t>
      </w:r>
      <w:r w:rsidR="00EF10B1">
        <w:t>per cent higher than the $1.</w:t>
      </w:r>
      <w:r w:rsidR="00B405D5">
        <w:t>61</w:t>
      </w:r>
      <w:r w:rsidR="00EF10B1">
        <w:t xml:space="preserve"> per kL</w:t>
      </w:r>
      <w:r w:rsidR="00127D67">
        <w:t xml:space="preserve"> estimate for Scenario 1.</w:t>
      </w:r>
      <w:r w:rsidR="00582681">
        <w:t xml:space="preserve"> </w:t>
      </w:r>
      <w:r w:rsidR="00A858EB" w:rsidRPr="00A858EB">
        <w:t>The MI</w:t>
      </w:r>
      <w:r w:rsidR="00A858EB">
        <w:t>C measure was tested for sensitivity to the increment assumed for the</w:t>
      </w:r>
      <w:r w:rsidR="00396726">
        <w:t xml:space="preserve"> demand </w:t>
      </w:r>
      <w:r w:rsidR="00A858EB">
        <w:t xml:space="preserve">perturbation. </w:t>
      </w:r>
      <w:r w:rsidR="001C02B1">
        <w:t>Using the difference between Scenario 1 and 3 generates an estimate of $1.</w:t>
      </w:r>
      <w:r w:rsidR="00B405D5">
        <w:t>5</w:t>
      </w:r>
      <w:r w:rsidR="00E67602">
        <w:t>7</w:t>
      </w:r>
      <w:r w:rsidR="001C02B1">
        <w:t xml:space="preserve"> per kL delivered, </w:t>
      </w:r>
      <w:r w:rsidR="00E67602">
        <w:t>nine</w:t>
      </w:r>
      <w:r w:rsidR="00E0714D">
        <w:t xml:space="preserve"> per cent smaller </w:t>
      </w:r>
      <w:r w:rsidR="00155D0B">
        <w:t xml:space="preserve">than </w:t>
      </w:r>
      <w:r w:rsidR="001C02B1">
        <w:t>the $</w:t>
      </w:r>
      <w:r w:rsidR="00155D0B">
        <w:t>1</w:t>
      </w:r>
      <w:r w:rsidR="001C02B1">
        <w:t>.</w:t>
      </w:r>
      <w:r w:rsidR="00B405D5">
        <w:t>7</w:t>
      </w:r>
      <w:r w:rsidR="009B1327">
        <w:t>4</w:t>
      </w:r>
      <w:r w:rsidR="001C02B1">
        <w:t xml:space="preserve"> per kL for the comparison between Scenario 1 and 2.</w:t>
      </w:r>
    </w:p>
    <w:p w:rsidR="004E4C0C" w:rsidRDefault="00BB4622" w:rsidP="002B6726">
      <w:pPr>
        <w:pStyle w:val="Heading2"/>
      </w:pPr>
      <w:bookmarkStart w:id="158" w:name="_Toc453920876"/>
      <w:r>
        <w:t>Summary</w:t>
      </w:r>
      <w:bookmarkEnd w:id="158"/>
    </w:p>
    <w:p w:rsidR="00010458" w:rsidRDefault="002D07E4" w:rsidP="00010458">
      <w:r>
        <w:t xml:space="preserve">A summary of the short- and long-run marginal cost estimates for water in the ACT </w:t>
      </w:r>
      <w:proofErr w:type="gramStart"/>
      <w:r>
        <w:t xml:space="preserve">is </w:t>
      </w:r>
      <w:r w:rsidR="005C2DE9">
        <w:t>shown</w:t>
      </w:r>
      <w:proofErr w:type="gramEnd"/>
      <w:r w:rsidR="005C2DE9">
        <w:t xml:space="preserve"> </w:t>
      </w:r>
      <w:r>
        <w:t>in</w:t>
      </w:r>
      <w:r w:rsidR="005C2DE9">
        <w:t xml:space="preserve"> </w:t>
      </w:r>
      <w:r w:rsidR="00C04337">
        <w:fldChar w:fldCharType="begin"/>
      </w:r>
      <w:r w:rsidR="005C2DE9">
        <w:instrText xml:space="preserve"> REF _Ref448912231 \h </w:instrText>
      </w:r>
      <w:r w:rsidR="00C04337">
        <w:fldChar w:fldCharType="separate"/>
      </w:r>
      <w:r w:rsidR="00027D28" w:rsidRPr="00E33D9E">
        <w:t xml:space="preserve">Figure </w:t>
      </w:r>
      <w:r w:rsidR="00027D28">
        <w:rPr>
          <w:noProof/>
        </w:rPr>
        <w:t>4</w:t>
      </w:r>
      <w:r w:rsidR="00027D28" w:rsidRPr="00E33D9E">
        <w:t>.</w:t>
      </w:r>
      <w:r w:rsidR="00027D28">
        <w:rPr>
          <w:noProof/>
        </w:rPr>
        <w:t>9</w:t>
      </w:r>
      <w:r w:rsidR="00C04337">
        <w:fldChar w:fldCharType="end"/>
      </w:r>
      <w:r>
        <w:t>.</w:t>
      </w:r>
      <w:r w:rsidR="006155B8">
        <w:t xml:space="preserve"> For the long-run methods, estimates range from a low of $0.</w:t>
      </w:r>
      <w:r w:rsidR="008074C0">
        <w:t>72</w:t>
      </w:r>
      <w:r w:rsidR="006155B8">
        <w:t xml:space="preserve"> per kL for TMC, </w:t>
      </w:r>
      <w:r w:rsidR="000B0064">
        <w:t xml:space="preserve">the same as the short-run marginal cost estimate, </w:t>
      </w:r>
      <w:r w:rsidR="006155B8">
        <w:t xml:space="preserve">to a high of </w:t>
      </w:r>
      <w:r w:rsidR="0096613F">
        <w:t>$</w:t>
      </w:r>
      <w:r w:rsidR="003A38E5">
        <w:t>1.</w:t>
      </w:r>
      <w:r w:rsidR="00472E66">
        <w:t>7</w:t>
      </w:r>
      <w:r w:rsidR="000A6E89">
        <w:t>4</w:t>
      </w:r>
      <w:r w:rsidR="0096613F">
        <w:t xml:space="preserve"> </w:t>
      </w:r>
      <w:r w:rsidR="005C2DE9">
        <w:t>usin</w:t>
      </w:r>
      <w:r w:rsidR="003C4862">
        <w:t>g</w:t>
      </w:r>
      <w:r w:rsidR="005C2DE9">
        <w:t xml:space="preserve"> </w:t>
      </w:r>
      <w:r w:rsidR="0096613F">
        <w:t xml:space="preserve">the </w:t>
      </w:r>
      <w:r w:rsidR="00472E66">
        <w:t>M</w:t>
      </w:r>
      <w:r w:rsidR="0096613F">
        <w:t xml:space="preserve">IC </w:t>
      </w:r>
      <w:r w:rsidR="00BA6FDE">
        <w:t>method</w:t>
      </w:r>
      <w:r w:rsidR="0096613F">
        <w:t>.</w:t>
      </w:r>
      <w:r w:rsidR="00121EE2">
        <w:t xml:space="preserve"> The two most common long-run </w:t>
      </w:r>
      <w:r w:rsidR="00D2102A">
        <w:t xml:space="preserve">measurement </w:t>
      </w:r>
      <w:r w:rsidR="00121EE2">
        <w:t>methods, AIC and MIC, return estimates of similar magnitude.</w:t>
      </w:r>
    </w:p>
    <w:p w:rsidR="00010458" w:rsidRDefault="00010458" w:rsidP="00010458">
      <w:pPr>
        <w:pStyle w:val="FigureName0"/>
        <w:rPr>
          <w:lang w:val="en-AU"/>
        </w:rPr>
      </w:pPr>
      <w:bookmarkStart w:id="159" w:name="_Ref448912231"/>
      <w:bookmarkStart w:id="160" w:name="_Toc453920915"/>
      <w:r w:rsidRPr="00E33D9E">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4</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9</w:t>
      </w:r>
      <w:r w:rsidR="00C04337" w:rsidRPr="00E33D9E">
        <w:fldChar w:fldCharType="end"/>
      </w:r>
      <w:bookmarkEnd w:id="159"/>
      <w:r>
        <w:tab/>
        <w:t>Marginal cost estimate for water, summary</w:t>
      </w:r>
      <w:bookmarkEnd w:id="160"/>
    </w:p>
    <w:p w:rsidR="00010458" w:rsidRPr="00C63BD3" w:rsidRDefault="00F51103" w:rsidP="00010458">
      <w:pPr>
        <w:rPr>
          <w:b/>
          <w:lang w:val="en-AU"/>
        </w:rPr>
      </w:pPr>
      <w:r>
        <w:rPr>
          <w:noProof/>
          <w:lang w:val="en-AU" w:eastAsia="en-AU"/>
        </w:rPr>
        <w:drawing>
          <wp:inline distT="0" distB="0" distL="0" distR="0">
            <wp:extent cx="4724400" cy="2443655"/>
            <wp:effectExtent l="0" t="0" r="0"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15BF6" w:rsidRDefault="00AF67F0" w:rsidP="00582681">
      <w:r>
        <w:t xml:space="preserve">Recall that Icon Water’s current </w:t>
      </w:r>
      <w:r w:rsidR="00BF1918">
        <w:t xml:space="preserve">two tier </w:t>
      </w:r>
      <w:r>
        <w:t xml:space="preserve">volumetric prices </w:t>
      </w:r>
      <w:r w:rsidR="00F36D96">
        <w:t xml:space="preserve">for water </w:t>
      </w:r>
      <w:r>
        <w:t>are $2.60</w:t>
      </w:r>
      <w:r w:rsidR="00F26D3C">
        <w:t> </w:t>
      </w:r>
      <w:r>
        <w:t>per</w:t>
      </w:r>
      <w:r w:rsidR="00F36D96">
        <w:t> </w:t>
      </w:r>
      <w:r>
        <w:t xml:space="preserve">kL for the first </w:t>
      </w:r>
      <w:r w:rsidR="00BF1918">
        <w:t>0.548 kL per day and $5.22 per kL thereafter</w:t>
      </w:r>
      <w:r w:rsidR="009C0728">
        <w:t>. W</w:t>
      </w:r>
      <w:r w:rsidR="00941BF5">
        <w:t xml:space="preserve">hat is clear </w:t>
      </w:r>
      <w:r w:rsidR="006155B8">
        <w:t>is that</w:t>
      </w:r>
      <w:r w:rsidR="00BF1918">
        <w:t xml:space="preserve">, irrespective of which measure is used, all </w:t>
      </w:r>
      <w:r w:rsidR="00CA4FD3">
        <w:t xml:space="preserve">the </w:t>
      </w:r>
      <w:r w:rsidR="00BF1918">
        <w:t>marginal cost estimates are well below even the first tier price.</w:t>
      </w:r>
      <w:r w:rsidR="00DA2E13">
        <w:t xml:space="preserve"> This conclusion holds in the face of all the sensitivity tests run on the various measures. </w:t>
      </w:r>
    </w:p>
    <w:p w:rsidR="00A51405" w:rsidRPr="00B3506E" w:rsidRDefault="00A51405" w:rsidP="00A51405">
      <w:pPr>
        <w:pStyle w:val="References"/>
        <w:sectPr w:rsidR="00A51405" w:rsidRPr="00B3506E" w:rsidSect="00E12A27">
          <w:headerReference w:type="even" r:id="rId62"/>
          <w:headerReference w:type="default" r:id="rId63"/>
          <w:endnotePr>
            <w:numFmt w:val="decimal"/>
          </w:endnotePr>
          <w:type w:val="continuous"/>
          <w:pgSz w:w="11907" w:h="16840" w:code="9"/>
          <w:pgMar w:top="2268" w:right="2098" w:bottom="1701" w:left="2098" w:header="578" w:footer="578" w:gutter="0"/>
          <w:cols w:space="720"/>
          <w:docGrid w:linePitch="299"/>
        </w:sectPr>
      </w:pPr>
      <w:bookmarkStart w:id="161" w:name="Chap4"/>
      <w:bookmarkStart w:id="162" w:name="_Toc260327931"/>
      <w:bookmarkEnd w:id="161"/>
    </w:p>
    <w:p w:rsidR="00A51405" w:rsidRDefault="00A51405" w:rsidP="00A51405">
      <w:pPr>
        <w:pStyle w:val="Heading1"/>
        <w:sectPr w:rsidR="00A51405" w:rsidSect="00FD0141">
          <w:headerReference w:type="even" r:id="rId64"/>
          <w:headerReference w:type="default" r:id="rId65"/>
          <w:endnotePr>
            <w:numFmt w:val="decimal"/>
          </w:endnotePr>
          <w:type w:val="oddPage"/>
          <w:pgSz w:w="11907" w:h="16840" w:code="9"/>
          <w:pgMar w:top="2268" w:right="2098" w:bottom="1701" w:left="2098" w:header="578" w:footer="578" w:gutter="0"/>
          <w:cols w:space="720"/>
          <w:noEndnote/>
          <w:docGrid w:linePitch="299"/>
        </w:sectPr>
      </w:pPr>
      <w:bookmarkStart w:id="163" w:name="_Ref448321607"/>
      <w:bookmarkStart w:id="164" w:name="_Ref448321716"/>
      <w:bookmarkStart w:id="165" w:name="_Toc453920877"/>
      <w:r>
        <w:lastRenderedPageBreak/>
        <w:t>Marginal cost of sewerage services in the ACT</w:t>
      </w:r>
      <w:bookmarkEnd w:id="163"/>
      <w:bookmarkEnd w:id="164"/>
      <w:bookmarkEnd w:id="165"/>
    </w:p>
    <w:p w:rsidR="00201419" w:rsidRDefault="00201419" w:rsidP="002B6726">
      <w:pPr>
        <w:pStyle w:val="Heading2"/>
      </w:pPr>
      <w:bookmarkStart w:id="166" w:name="_Toc453920878"/>
      <w:r>
        <w:lastRenderedPageBreak/>
        <w:t>The sewerage network</w:t>
      </w:r>
      <w:bookmarkEnd w:id="166"/>
    </w:p>
    <w:p w:rsidR="0020199F" w:rsidRDefault="0020199F" w:rsidP="0020199F">
      <w:r>
        <w:t xml:space="preserve">Icon Water’s sewerage system consists of a network of approximately 3,100 km of underground pipes which collect sewage from ACT residential and commercial customers and transport it to the Lower Molonglo Water Quality Control Centre (LMWQCC) and the Fyshwick Sewage Treatment Plant </w:t>
      </w:r>
      <w:r w:rsidR="00DB355B">
        <w:t>for treatment</w:t>
      </w:r>
      <w:r>
        <w:t>.</w:t>
      </w:r>
      <w:r w:rsidR="00633AE2">
        <w:rPr>
          <w:rStyle w:val="FootnoteReference"/>
        </w:rPr>
        <w:footnoteReference w:id="136"/>
      </w:r>
      <w:r>
        <w:t xml:space="preserve"> The bulk of the treated </w:t>
      </w:r>
      <w:r w:rsidR="006B090E">
        <w:t xml:space="preserve">sewage </w:t>
      </w:r>
      <w:r>
        <w:t>is then released into the Murrumbidgee River.</w:t>
      </w:r>
      <w:r w:rsidR="00ED50EF">
        <w:t xml:space="preserve"> </w:t>
      </w:r>
      <w:r w:rsidR="00C04337">
        <w:fldChar w:fldCharType="begin"/>
      </w:r>
      <w:r w:rsidR="003F2575">
        <w:instrText xml:space="preserve"> REF _Ref449098630 \h </w:instrText>
      </w:r>
      <w:r w:rsidR="00C04337">
        <w:fldChar w:fldCharType="separate"/>
      </w:r>
      <w:r w:rsidR="00027D28" w:rsidRPr="00E33D9E">
        <w:t xml:space="preserve">Figure </w:t>
      </w:r>
      <w:r w:rsidR="00027D28">
        <w:rPr>
          <w:noProof/>
        </w:rPr>
        <w:t>5</w:t>
      </w:r>
      <w:r w:rsidR="00027D28" w:rsidRPr="00E33D9E">
        <w:t>.</w:t>
      </w:r>
      <w:r w:rsidR="00027D28">
        <w:rPr>
          <w:noProof/>
        </w:rPr>
        <w:t>1</w:t>
      </w:r>
      <w:r w:rsidR="00C04337">
        <w:fldChar w:fldCharType="end"/>
      </w:r>
      <w:r w:rsidR="003F2575">
        <w:t xml:space="preserve"> shows the total volume of sewage </w:t>
      </w:r>
      <w:r w:rsidR="00ED50EF">
        <w:t xml:space="preserve">collected </w:t>
      </w:r>
      <w:r w:rsidR="003F2575">
        <w:t>from ACT customers</w:t>
      </w:r>
      <w:r w:rsidR="00A43241">
        <w:t xml:space="preserve"> over the last </w:t>
      </w:r>
      <w:r w:rsidR="0074686D">
        <w:t>decade</w:t>
      </w:r>
      <w:r w:rsidR="003F2575">
        <w:t>.</w:t>
      </w:r>
      <w:r w:rsidR="008B1C63">
        <w:t xml:space="preserve"> </w:t>
      </w:r>
      <w:r>
        <w:t>In its most recent review of future options, Icon Water notes that the sewerage system ‘was planned for a future ultimate population of a million people’.</w:t>
      </w:r>
      <w:r>
        <w:rPr>
          <w:rStyle w:val="FootnoteReference"/>
        </w:rPr>
        <w:footnoteReference w:id="137"/>
      </w:r>
    </w:p>
    <w:p w:rsidR="003A3535" w:rsidRDefault="003A3535" w:rsidP="003A3535">
      <w:pPr>
        <w:pStyle w:val="FigureName0"/>
        <w:rPr>
          <w:lang w:val="en-AU"/>
        </w:rPr>
      </w:pPr>
      <w:bookmarkStart w:id="167" w:name="_Ref449098630"/>
      <w:bookmarkStart w:id="168" w:name="_Toc453920916"/>
      <w:r w:rsidRPr="00E33D9E">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5</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1</w:t>
      </w:r>
      <w:r w:rsidR="00C04337" w:rsidRPr="00E33D9E">
        <w:fldChar w:fldCharType="end"/>
      </w:r>
      <w:bookmarkEnd w:id="167"/>
      <w:r>
        <w:tab/>
        <w:t xml:space="preserve">Icon Water </w:t>
      </w:r>
      <w:r w:rsidR="00A90093">
        <w:t xml:space="preserve">total </w:t>
      </w:r>
      <w:r>
        <w:t>sewage</w:t>
      </w:r>
      <w:r w:rsidR="00A90093">
        <w:t xml:space="preserve"> collected</w:t>
      </w:r>
      <w:r w:rsidR="005C0519">
        <w:t>, 200</w:t>
      </w:r>
      <w:r w:rsidR="00A90093">
        <w:t>6</w:t>
      </w:r>
      <w:r w:rsidR="005C0519">
        <w:t xml:space="preserve"> to 2015</w:t>
      </w:r>
      <w:bookmarkEnd w:id="168"/>
      <w:r>
        <w:t xml:space="preserve"> </w:t>
      </w:r>
    </w:p>
    <w:p w:rsidR="003A3535" w:rsidRPr="00C63BD3" w:rsidRDefault="00A90093" w:rsidP="003A3535">
      <w:pPr>
        <w:rPr>
          <w:b/>
          <w:lang w:val="en-AU"/>
        </w:rPr>
      </w:pPr>
      <w:r>
        <w:rPr>
          <w:noProof/>
          <w:lang w:val="en-AU" w:eastAsia="en-AU"/>
        </w:rPr>
        <w:drawing>
          <wp:inline distT="0" distB="0" distL="0" distR="0">
            <wp:extent cx="4759424" cy="2419469"/>
            <wp:effectExtent l="0" t="0" r="317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36FE1" w:rsidRPr="00636FE1" w:rsidRDefault="00636FE1" w:rsidP="00636FE1">
      <w:pPr>
        <w:pStyle w:val="TableNotesLast0"/>
      </w:pPr>
      <w:r>
        <w:t>Source:</w:t>
      </w:r>
      <w:r>
        <w:tab/>
        <w:t>Icon Water</w:t>
      </w:r>
    </w:p>
    <w:p w:rsidR="00BD4286" w:rsidRDefault="007406CA" w:rsidP="002B6726">
      <w:pPr>
        <w:pStyle w:val="Heading2"/>
      </w:pPr>
      <w:bookmarkStart w:id="169" w:name="_Toc453920879"/>
      <w:r>
        <w:t>Short-</w:t>
      </w:r>
      <w:r w:rsidR="001331B0">
        <w:t xml:space="preserve"> or long-</w:t>
      </w:r>
      <w:r>
        <w:t>run</w:t>
      </w:r>
      <w:r w:rsidR="001331B0">
        <w:t>?</w:t>
      </w:r>
      <w:bookmarkEnd w:id="169"/>
    </w:p>
    <w:p w:rsidR="00105273" w:rsidRDefault="00105273" w:rsidP="00A51405">
      <w:r>
        <w:t xml:space="preserve">The Commission has </w:t>
      </w:r>
      <w:r w:rsidR="00463B0D">
        <w:t>chosen</w:t>
      </w:r>
      <w:r>
        <w:t xml:space="preserve"> to focus on estimating the short-</w:t>
      </w:r>
      <w:r w:rsidR="00701F7A">
        <w:t xml:space="preserve"> rather than long-run</w:t>
      </w:r>
      <w:r>
        <w:t xml:space="preserve"> marginal cost of sewerage services in this chapter, for two reasons.</w:t>
      </w:r>
    </w:p>
    <w:p w:rsidR="00105273" w:rsidRDefault="00105273" w:rsidP="00A51405">
      <w:r>
        <w:lastRenderedPageBreak/>
        <w:t>The first is, as noted in the previous chapter in relation to water, the Commission’s general view is that</w:t>
      </w:r>
      <w:r w:rsidR="00EE0F0C">
        <w:t>, in principle,</w:t>
      </w:r>
      <w:r>
        <w:t xml:space="preserve"> </w:t>
      </w:r>
      <w:r w:rsidR="00B43A38">
        <w:t xml:space="preserve">the objective of </w:t>
      </w:r>
      <w:r>
        <w:t>economic efficiency is best served by setting prices with reference to short- rather than long-run marginal cost.</w:t>
      </w:r>
    </w:p>
    <w:p w:rsidR="007406CA" w:rsidRDefault="002D4499" w:rsidP="00A51405">
      <w:r>
        <w:t xml:space="preserve">As </w:t>
      </w:r>
      <w:r w:rsidR="0054233F">
        <w:t xml:space="preserve">discussed in Chapter </w:t>
      </w:r>
      <w:r w:rsidR="00C04337">
        <w:fldChar w:fldCharType="begin"/>
      </w:r>
      <w:r w:rsidR="0054233F">
        <w:instrText xml:space="preserve"> REF _Ref448923205 \r \h </w:instrText>
      </w:r>
      <w:r w:rsidR="00C04337">
        <w:fldChar w:fldCharType="separate"/>
      </w:r>
      <w:r w:rsidR="00027D28">
        <w:t>3</w:t>
      </w:r>
      <w:r w:rsidR="00C04337">
        <w:fldChar w:fldCharType="end"/>
      </w:r>
      <w:r w:rsidR="0054233F">
        <w:t xml:space="preserve">, </w:t>
      </w:r>
      <w:r>
        <w:t xml:space="preserve">we are primarily </w:t>
      </w:r>
      <w:r w:rsidR="0054233F">
        <w:t>concerned with marginal cost with respect to changes in the quantity or volume of services provided through</w:t>
      </w:r>
      <w:r>
        <w:t xml:space="preserve"> the central sewerage network, that is the central treatment plants and trunk sewer pipes, </w:t>
      </w:r>
      <w:r w:rsidR="0054233F">
        <w:t xml:space="preserve">as opposed to the suburb-level collection network. </w:t>
      </w:r>
      <w:r w:rsidR="00105273">
        <w:t>The second</w:t>
      </w:r>
      <w:r w:rsidR="00B770A9">
        <w:t xml:space="preserve"> reason</w:t>
      </w:r>
      <w:r w:rsidR="0054233F">
        <w:t xml:space="preserve"> for the focus on short-run marginal cost</w:t>
      </w:r>
      <w:r w:rsidR="00B770A9">
        <w:t xml:space="preserve"> </w:t>
      </w:r>
      <w:r w:rsidR="00105273">
        <w:t>is that</w:t>
      </w:r>
      <w:r w:rsidR="00B770A9">
        <w:t xml:space="preserve"> the capacity of Icon Water’s </w:t>
      </w:r>
      <w:r w:rsidR="00B43A38">
        <w:t xml:space="preserve">central </w:t>
      </w:r>
      <w:r w:rsidR="00B770A9">
        <w:t>sewerage network</w:t>
      </w:r>
      <w:r w:rsidR="00B43A38">
        <w:t xml:space="preserve"> </w:t>
      </w:r>
      <w:r w:rsidR="00B770A9">
        <w:t>is sized to deal with rainfall events.</w:t>
      </w:r>
      <w:r w:rsidR="00B43A38">
        <w:t xml:space="preserve"> As such</w:t>
      </w:r>
      <w:r w:rsidR="00854A6B">
        <w:t xml:space="preserve"> there is currently no immediate need to augment capacity for reasons of expanding demand.</w:t>
      </w:r>
    </w:p>
    <w:p w:rsidR="00BD4286" w:rsidRDefault="002B6726" w:rsidP="002B6726">
      <w:pPr>
        <w:pStyle w:val="Heading2"/>
      </w:pPr>
      <w:bookmarkStart w:id="170" w:name="_Toc453920880"/>
      <w:r>
        <w:t>Short</w:t>
      </w:r>
      <w:r w:rsidR="00BD4286">
        <w:t>-run marginal cost</w:t>
      </w:r>
      <w:r>
        <w:t xml:space="preserve"> estimate</w:t>
      </w:r>
      <w:bookmarkEnd w:id="170"/>
    </w:p>
    <w:p w:rsidR="005940CF" w:rsidRDefault="005940CF" w:rsidP="005940CF">
      <w:r>
        <w:t>For the purposes of this paper, the short-run marginal cost of sewerage services in the ACT is taken to comprise the following:</w:t>
      </w:r>
    </w:p>
    <w:p w:rsidR="005940CF" w:rsidRDefault="001B7E38" w:rsidP="005940CF">
      <w:pPr>
        <w:pStyle w:val="Bullet"/>
      </w:pPr>
      <w:r>
        <w:t xml:space="preserve">treatment </w:t>
      </w:r>
      <w:r w:rsidR="005940CF">
        <w:t xml:space="preserve">cost </w:t>
      </w:r>
      <w:r w:rsidR="005940CF">
        <w:sym w:font="Symbol" w:char="F02D"/>
      </w:r>
      <w:r w:rsidR="005940CF">
        <w:t xml:space="preserve"> the </w:t>
      </w:r>
      <w:r w:rsidR="005A197D">
        <w:t>cost of chemicals, electricity, fuel and freight to treat an additional kilolitre of sewage at the L</w:t>
      </w:r>
      <w:r w:rsidR="0056491C">
        <w:t>M</w:t>
      </w:r>
      <w:r w:rsidR="005A197D">
        <w:t>WQCC</w:t>
      </w:r>
      <w:r w:rsidR="005940CF">
        <w:t>; and</w:t>
      </w:r>
    </w:p>
    <w:p w:rsidR="005940CF" w:rsidRDefault="005A197D" w:rsidP="005940CF">
      <w:pPr>
        <w:pStyle w:val="BulletLast"/>
      </w:pPr>
      <w:r>
        <w:t xml:space="preserve">pumping </w:t>
      </w:r>
      <w:r w:rsidR="005940CF">
        <w:sym w:font="Symbol" w:char="F02D"/>
      </w:r>
      <w:r w:rsidR="005940CF">
        <w:t xml:space="preserve"> the </w:t>
      </w:r>
      <w:r>
        <w:t>electricity costs to pump an additional kilolitre of sewage through the sewerage network to the treatment plant</w:t>
      </w:r>
      <w:r w:rsidR="005940CF">
        <w:t>.</w:t>
      </w:r>
      <w:r w:rsidR="005940CF">
        <w:rPr>
          <w:rStyle w:val="FootnoteReference"/>
        </w:rPr>
        <w:footnoteReference w:id="138"/>
      </w:r>
      <w:r w:rsidR="005940CF">
        <w:t xml:space="preserve"> </w:t>
      </w:r>
    </w:p>
    <w:p w:rsidR="001F208D" w:rsidRDefault="00110AEF" w:rsidP="005940CF">
      <w:r>
        <w:t xml:space="preserve">Icon Water estimates the marginal treatment cost at $0.25 per kL, and the marginal pumping cost at $0.005 per kL, for a total short-run marginal cost of </w:t>
      </w:r>
      <w:r w:rsidR="00004B81">
        <w:t xml:space="preserve">about </w:t>
      </w:r>
      <w:r>
        <w:t>0.2</w:t>
      </w:r>
      <w:r w:rsidR="00990424">
        <w:t>6</w:t>
      </w:r>
      <w:r w:rsidR="002806E6">
        <w:t xml:space="preserve"> per kL.</w:t>
      </w:r>
    </w:p>
    <w:p w:rsidR="001F208D" w:rsidRDefault="001F208D" w:rsidP="001F208D">
      <w:r>
        <w:t>It is important to note at this juncture that</w:t>
      </w:r>
      <w:r w:rsidRPr="000040CD">
        <w:t xml:space="preserve"> lower volumes </w:t>
      </w:r>
      <w:r>
        <w:t>of discharge entering the sewerage network</w:t>
      </w:r>
      <w:r w:rsidR="007B4363">
        <w:t>, which could eventuate following the introduction of a volumetric charge,</w:t>
      </w:r>
      <w:r>
        <w:t xml:space="preserve"> </w:t>
      </w:r>
      <w:r w:rsidRPr="000040CD">
        <w:t>do not necessarily translate into reduced costs for</w:t>
      </w:r>
      <w:r>
        <w:t xml:space="preserve"> Icon Water</w:t>
      </w:r>
      <w:r w:rsidRPr="000040CD">
        <w:t>.</w:t>
      </w:r>
      <w:r>
        <w:t xml:space="preserve"> For example, low sewage volumes during a drought can result in difficulties moving sewage through the network. A classic example of this was played out in the Zimbabwean city of Bulawayo in 2012, which involved a simultaneous ‘big flush’ by all community residents to move congealed sewage through the system.</w:t>
      </w:r>
      <w:r>
        <w:rPr>
          <w:rStyle w:val="FootnoteReference"/>
        </w:rPr>
        <w:footnoteReference w:id="139"/>
      </w:r>
    </w:p>
    <w:p w:rsidR="00A51405" w:rsidRDefault="00A51405" w:rsidP="00A51405"/>
    <w:p w:rsidR="00A51405" w:rsidRPr="001A5979" w:rsidRDefault="00A51405" w:rsidP="00A51405"/>
    <w:p w:rsidR="00A51405" w:rsidRPr="00B3506E" w:rsidRDefault="00A51405" w:rsidP="00A51405">
      <w:pPr>
        <w:pStyle w:val="References"/>
        <w:sectPr w:rsidR="00A51405" w:rsidRPr="00B3506E" w:rsidSect="00E12A27">
          <w:headerReference w:type="even" r:id="rId67"/>
          <w:headerReference w:type="default" r:id="rId68"/>
          <w:endnotePr>
            <w:numFmt w:val="decimal"/>
          </w:endnotePr>
          <w:type w:val="continuous"/>
          <w:pgSz w:w="11907" w:h="16840" w:code="9"/>
          <w:pgMar w:top="2268" w:right="2098" w:bottom="1701" w:left="2098" w:header="578" w:footer="578" w:gutter="0"/>
          <w:cols w:space="720"/>
          <w:docGrid w:linePitch="299"/>
        </w:sectPr>
      </w:pPr>
    </w:p>
    <w:p w:rsidR="00A51405" w:rsidRDefault="00A51405" w:rsidP="00A51405">
      <w:pPr>
        <w:pStyle w:val="Heading1"/>
        <w:sectPr w:rsidR="00A51405" w:rsidSect="00FD0141">
          <w:headerReference w:type="even" r:id="rId69"/>
          <w:headerReference w:type="default" r:id="rId70"/>
          <w:endnotePr>
            <w:numFmt w:val="decimal"/>
          </w:endnotePr>
          <w:type w:val="oddPage"/>
          <w:pgSz w:w="11907" w:h="16840" w:code="9"/>
          <w:pgMar w:top="2268" w:right="2098" w:bottom="1701" w:left="2098" w:header="578" w:footer="578" w:gutter="0"/>
          <w:cols w:space="720"/>
          <w:noEndnote/>
          <w:docGrid w:linePitch="299"/>
        </w:sectPr>
      </w:pPr>
      <w:bookmarkStart w:id="171" w:name="_Ref444005090"/>
      <w:bookmarkStart w:id="172" w:name="_Ref444005099"/>
      <w:bookmarkStart w:id="173" w:name="_Ref449078808"/>
      <w:bookmarkStart w:id="174" w:name="_Toc453920881"/>
      <w:r>
        <w:lastRenderedPageBreak/>
        <w:t>Conc</w:t>
      </w:r>
      <w:bookmarkEnd w:id="171"/>
      <w:bookmarkEnd w:id="172"/>
      <w:r>
        <w:t>luding remarks on marginal cost pricing</w:t>
      </w:r>
      <w:r w:rsidR="00AD78E9">
        <w:t xml:space="preserve"> in the ACT</w:t>
      </w:r>
      <w:bookmarkEnd w:id="173"/>
      <w:bookmarkEnd w:id="174"/>
    </w:p>
    <w:p w:rsidR="002B6726" w:rsidRDefault="00B950A2" w:rsidP="002B6726">
      <w:pPr>
        <w:pStyle w:val="Heading2"/>
      </w:pPr>
      <w:bookmarkStart w:id="175" w:name="_Toc453920882"/>
      <w:r>
        <w:lastRenderedPageBreak/>
        <w:t>Introduction</w:t>
      </w:r>
      <w:bookmarkEnd w:id="175"/>
    </w:p>
    <w:p w:rsidR="00706D8D" w:rsidRDefault="002B6726" w:rsidP="002B6726">
      <w:r>
        <w:t>While fuller consideration will await the tariff review draft report, some preliminary observations are made below</w:t>
      </w:r>
      <w:r w:rsidR="0074380E">
        <w:t xml:space="preserve"> on the Commission’s views on </w:t>
      </w:r>
      <w:r w:rsidR="00265998">
        <w:t xml:space="preserve">setting prices for regulated </w:t>
      </w:r>
      <w:r w:rsidR="0074380E">
        <w:t>water and sewerage services in the ACT</w:t>
      </w:r>
      <w:r w:rsidR="00265998">
        <w:t xml:space="preserve"> with reference to marginal cost</w:t>
      </w:r>
      <w:r>
        <w:t>.</w:t>
      </w:r>
      <w:r w:rsidR="00706D8D">
        <w:t xml:space="preserve"> </w:t>
      </w:r>
    </w:p>
    <w:p w:rsidR="00305F3E" w:rsidRDefault="00706D8D" w:rsidP="002B6726">
      <w:r>
        <w:t xml:space="preserve">As stated in the introduction, it is the first pricing principle for the tariff review, the one that follows directly from the overarching efficiency objective for the review and deals with the efficient allocation of water and sewerage services to Icon Water customers, that is </w:t>
      </w:r>
      <w:r w:rsidR="00E2544F">
        <w:t xml:space="preserve">the primary focus of </w:t>
      </w:r>
      <w:r>
        <w:t>this technical paper.</w:t>
      </w:r>
      <w:r w:rsidR="00305F3E">
        <w:t xml:space="preserve"> The pricing principles </w:t>
      </w:r>
      <w:r w:rsidR="00AB7D24">
        <w:t xml:space="preserve">concerning </w:t>
      </w:r>
      <w:r w:rsidR="00305F3E">
        <w:t>full cost recovery, price path stability and the transition to a new tariff structure, are also pertinent to the decision on whether to adopt a marginal cost pricing approach in the ACT, but are be</w:t>
      </w:r>
      <w:r w:rsidR="00AB7D24">
        <w:t>tter</w:t>
      </w:r>
      <w:r w:rsidR="00305F3E">
        <w:t xml:space="preserve"> considered </w:t>
      </w:r>
      <w:r w:rsidR="00AB7D24">
        <w:t xml:space="preserve">in the context of the tariff review </w:t>
      </w:r>
      <w:r w:rsidR="00305F3E">
        <w:t>draft report.</w:t>
      </w:r>
    </w:p>
    <w:p w:rsidR="00AB7D24" w:rsidRDefault="00AB7D24" w:rsidP="00AB7D24">
      <w:pPr>
        <w:pStyle w:val="Heading2"/>
      </w:pPr>
      <w:bookmarkStart w:id="176" w:name="_Toc453920883"/>
      <w:r>
        <w:t>Water</w:t>
      </w:r>
      <w:bookmarkEnd w:id="176"/>
    </w:p>
    <w:p w:rsidR="00C2025C" w:rsidRDefault="00C2025C" w:rsidP="00C2025C">
      <w:r>
        <w:t xml:space="preserve">The current pricing methodology is primarily based on recovering historical cost. The evidence in this paper indicates that the objective of economic efficiency in the provision of regulated water services in the ACT would be better served by moving toward a forward-looking marginal cost pricing approach. </w:t>
      </w:r>
    </w:p>
    <w:p w:rsidR="00C2025C" w:rsidRDefault="00C2025C" w:rsidP="00C2025C">
      <w:r>
        <w:t>The findings of the technical paper on water demand elasticity in the ACT provide evidence that ACT consumers are likely to respond to marginal price signals.</w:t>
      </w:r>
    </w:p>
    <w:p w:rsidR="00C2025C" w:rsidRDefault="00C2025C" w:rsidP="00C2025C">
      <w:r>
        <w:t>On the choice between short- and long-run marginal cost, in principle, short-run marginal cost pricing is the efficient basis for pricing. The sale of water to consumers is a short-term agreement that does not bind the consumer to take any more water at a later date and the utility is therefore faced with the short-run problem of selling water given its current capacity.</w:t>
      </w:r>
    </w:p>
    <w:p w:rsidR="00C2025C" w:rsidRDefault="00C2025C" w:rsidP="00C2025C">
      <w:r>
        <w:t>Nonetheless, in  practice, the Commission sees merit in a long-run measure, for two reasons. First, although the short-run approach is unlikely in the present supply and demand circumstances to lead to any great instability in prices over the near to medium term, this may not always be the case as the supply and demand conditions change over time. Second, as discussed further below, the gap between the current tariff structure and one based on marginal cost pricing is substantial, and likely to require a long transition period. In these circumstances, aiming to transition the volumetric price to a long-run marginal cost estimate is a more realistic goal.</w:t>
      </w:r>
    </w:p>
    <w:p w:rsidR="00C2025C" w:rsidRDefault="00C2025C" w:rsidP="00C2025C">
      <w:r>
        <w:t xml:space="preserve">From a measurement perspective, the Commission’s preference is to calculate long-run marginal cost using the MIC method as this approach is more explicitly concerned with </w:t>
      </w:r>
      <w:r>
        <w:lastRenderedPageBreak/>
        <w:t>decision-making at the margin. There is scope within the short-run element of the MIC method to add a resource value element in the future, in addition to the WAC, that rises as the next augmentation approaches as the value of water in the Icon Water’s dams increases.</w:t>
      </w:r>
    </w:p>
    <w:p w:rsidR="00C2025C" w:rsidRDefault="00C2025C" w:rsidP="00C2025C">
      <w:r>
        <w:t>The application of marginal cost pricing in a decreasing average cost industry such as we are facing here, requires the retention of the current multi-part tariff structure, that is a supply charge and one or more volumetric prices, for cost recovery reasons.</w:t>
      </w:r>
    </w:p>
    <w:p w:rsidR="00C2025C" w:rsidRDefault="00C2025C" w:rsidP="00C2025C">
      <w:r>
        <w:t>It is also evident that all the marginal cost estimates calculated for the purposes of this paper, short- and long-run, are well below even the first tier current water price of $2.60 per kL. On this basis, the answer to the first question posed earlier as one of the objectives of this technical paper is that Icon Water’s current water tariff structure does not appear to be providing suitable price signals to customers about the efficient use of the service infrastructure and water resource.</w:t>
      </w:r>
    </w:p>
    <w:p w:rsidR="00C2025C" w:rsidRDefault="00C2025C" w:rsidP="00C2025C">
      <w:r>
        <w:t>As to the second question about what a more efficient tariff structure would look like, the pursuit of economic efficiency would dictate a move towards one volumetric price, set with reference to marginal cost. The Commission recognises that moving from the current inclining block structure and price levels to a new, more efficient, single volumetric charge structure with the price set with reference to marginal cost will require a significant adjustment in the level of the supply charge.</w:t>
      </w:r>
    </w:p>
    <w:p w:rsidR="00C2025C" w:rsidRDefault="00C2025C" w:rsidP="00C2025C">
      <w:r>
        <w:t xml:space="preserve">For indicative purposes, </w:t>
      </w:r>
      <w:r w:rsidR="00C04337">
        <w:fldChar w:fldCharType="begin"/>
      </w:r>
      <w:r>
        <w:instrText xml:space="preserve"> REF _Ref453681456 \h </w:instrText>
      </w:r>
      <w:r w:rsidR="00C04337">
        <w:fldChar w:fldCharType="separate"/>
      </w:r>
      <w:r w:rsidR="00027D28" w:rsidRPr="00E33D9E">
        <w:t xml:space="preserve">Figure </w:t>
      </w:r>
      <w:r w:rsidR="00027D28">
        <w:rPr>
          <w:noProof/>
        </w:rPr>
        <w:t>6</w:t>
      </w:r>
      <w:r w:rsidR="00027D28" w:rsidRPr="00E33D9E">
        <w:t>.</w:t>
      </w:r>
      <w:r w:rsidR="00027D28">
        <w:rPr>
          <w:noProof/>
        </w:rPr>
        <w:t>1</w:t>
      </w:r>
      <w:r w:rsidR="00C04337">
        <w:fldChar w:fldCharType="end"/>
      </w:r>
      <w:r>
        <w:t xml:space="preserve"> shows the upper bound scenario</w:t>
      </w:r>
      <w:r>
        <w:sym w:font="Symbol" w:char="F02D"/>
      </w:r>
      <w:r>
        <w:t>the supply charge that would be required to recover the same revenue for Icon Water as 2015</w:t>
      </w:r>
      <w:r>
        <w:sym w:font="Symbol" w:char="F02D"/>
      </w:r>
      <w:r>
        <w:t>16 water prices for each marginal cost estimate, should a single volumetric charge be introduced, priced at marginal cost. The indicative annual charges are considerably higher than the current supply charge of about $101, ranging from $865 for the short-run marginal cost and TMC measures to $605 for the MIC estimate.</w:t>
      </w:r>
    </w:p>
    <w:p w:rsidR="00C2025C" w:rsidRDefault="00C2025C" w:rsidP="00C2025C">
      <w:pPr>
        <w:pStyle w:val="FigureName0"/>
        <w:rPr>
          <w:lang w:val="en-AU"/>
        </w:rPr>
      </w:pPr>
      <w:bookmarkStart w:id="177" w:name="_Ref453681456"/>
      <w:bookmarkStart w:id="178" w:name="_Toc453920917"/>
      <w:r w:rsidRPr="00E33D9E">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6</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1</w:t>
      </w:r>
      <w:r w:rsidR="00C04337" w:rsidRPr="00E33D9E">
        <w:fldChar w:fldCharType="end"/>
      </w:r>
      <w:bookmarkEnd w:id="177"/>
      <w:r>
        <w:tab/>
        <w:t>Indicative water supply charge, with single volumetric charge set at marginal cost</w:t>
      </w:r>
      <w:bookmarkEnd w:id="178"/>
    </w:p>
    <w:p w:rsidR="00C2025C" w:rsidRPr="00C63BD3" w:rsidRDefault="00C2025C" w:rsidP="00C2025C">
      <w:pPr>
        <w:rPr>
          <w:b/>
          <w:lang w:val="en-AU"/>
        </w:rPr>
      </w:pPr>
      <w:r>
        <w:rPr>
          <w:noProof/>
          <w:lang w:val="en-AU" w:eastAsia="en-AU"/>
        </w:rPr>
        <w:drawing>
          <wp:inline distT="0" distB="0" distL="0" distR="0">
            <wp:extent cx="4896485" cy="2704465"/>
            <wp:effectExtent l="0" t="0" r="18415" b="6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2025C" w:rsidRDefault="00C2025C" w:rsidP="00C2025C">
      <w:r>
        <w:lastRenderedPageBreak/>
        <w:t>There will be welfare losses for households and the ACT community if the price of water continues to not reflect the cost of providing that water to customers. A more efficient tariff structure will also reduce the possibility of uneconomic bypass of Icon Water’s primary water system, with welfare benefits for all ACT water customers and non-residential customers in particular.</w:t>
      </w:r>
    </w:p>
    <w:p w:rsidR="00C2025C" w:rsidRDefault="00C2025C" w:rsidP="00C2025C">
      <w:r>
        <w:t>A benefit for Icon Water from such a new pricing arrangement would be reduced volumetric revenue risk as the share of revenue recovered from fixed charges would rise from the current 10 per cent to between 60 and 80 per cent depending on which measure of marginal cost is applied.</w:t>
      </w:r>
    </w:p>
    <w:p w:rsidR="00C2025C" w:rsidRDefault="00C2025C" w:rsidP="00C2025C">
      <w:r>
        <w:t>On the other hand, moving from the current pricing situation to a more efficient arrangement with a higher supply charge and lower volumetric charge will have substantial distributional impacts on customers. In particular, low volume water users will face substantial negative impacts, which may require a long transition period, possibly over more than one regulatory period, as a mitigation measure. This issue will be discussed in detail in the Commission’s draft report for the tariff review, taking into consideration all the proposed pricing principles.</w:t>
      </w:r>
    </w:p>
    <w:p w:rsidR="00C2025C" w:rsidRPr="001A5979" w:rsidRDefault="00C2025C" w:rsidP="00C2025C">
      <w:r>
        <w:t>The Commission recognises that some members of the ACT community strongly support water conservation and the role played by the current inclining block tariff, particularly with the second tier priced at double the first, in reducing discretionary water use. The scarcity value of water in ACT dams should be recognised but is better addressed by adjusting the marginal cost estimate as appropriate. Given the current water supply and demand balance, with a low likelihood of temporary water restrictions in the near or indeed medium-term, the scarcity value of water is not likely to be high at present.</w:t>
      </w:r>
    </w:p>
    <w:p w:rsidR="00C2025C" w:rsidRDefault="00C2025C" w:rsidP="001B748D">
      <w:pPr>
        <w:pStyle w:val="Heading2"/>
      </w:pPr>
      <w:bookmarkStart w:id="179" w:name="_Toc453920884"/>
      <w:r>
        <w:t>Sewerage services</w:t>
      </w:r>
      <w:bookmarkEnd w:id="179"/>
    </w:p>
    <w:p w:rsidR="00C2025C" w:rsidRDefault="00C2025C" w:rsidP="00C2025C">
      <w:r>
        <w:t xml:space="preserve">The situation in relation to sewerage services is different to that for water in that there is no volumetric charge in the current tariff structure. This in itself implies that the current structure, based entirely on fixed charges, is incapable of providing suitable </w:t>
      </w:r>
      <w:r w:rsidR="005029AF">
        <w:t xml:space="preserve">price signals </w:t>
      </w:r>
      <w:r>
        <w:t>to customers about the efficient costs of sewerage services in the ACT.</w:t>
      </w:r>
    </w:p>
    <w:p w:rsidR="00C2025C" w:rsidRDefault="00C2025C" w:rsidP="00C2025C">
      <w:r>
        <w:t>In line with the Commission’s view on water pricing, a more efficient structure would entail a multi-part tariff which would include a volumetric sewerage charge set with reference to marginal cost.</w:t>
      </w:r>
    </w:p>
    <w:p w:rsidR="00C2025C" w:rsidRDefault="00C04337" w:rsidP="00C2025C">
      <w:r>
        <w:fldChar w:fldCharType="begin"/>
      </w:r>
      <w:r w:rsidR="00C2025C">
        <w:instrText xml:space="preserve"> REF _Ref453681487 \h </w:instrText>
      </w:r>
      <w:r>
        <w:fldChar w:fldCharType="separate"/>
      </w:r>
      <w:r w:rsidR="00027D28" w:rsidRPr="00E33D9E">
        <w:t xml:space="preserve">Figure </w:t>
      </w:r>
      <w:r w:rsidR="00027D28">
        <w:rPr>
          <w:noProof/>
        </w:rPr>
        <w:t>6</w:t>
      </w:r>
      <w:r w:rsidR="00027D28" w:rsidRPr="00E33D9E">
        <w:t>.</w:t>
      </w:r>
      <w:r w:rsidR="00027D28">
        <w:rPr>
          <w:noProof/>
        </w:rPr>
        <w:t>2</w:t>
      </w:r>
      <w:r>
        <w:fldChar w:fldCharType="end"/>
      </w:r>
      <w:r w:rsidR="00C2025C">
        <w:t xml:space="preserve"> shows the indicative supply and fixture charges that would be required to recover the same revenue for Icon Water as 2015</w:t>
      </w:r>
      <w:r w:rsidR="00C2025C">
        <w:sym w:font="Symbol" w:char="F02D"/>
      </w:r>
      <w:r w:rsidR="00C2025C">
        <w:t>16 prices should a volumetric sewage charge be introduced at the short-run marginal cost of $0.26 per kL. The indicative annual charges are about 6 per cent lower than the current charges.</w:t>
      </w:r>
    </w:p>
    <w:p w:rsidR="00C2025C" w:rsidRDefault="00C2025C" w:rsidP="00C2025C">
      <w:pPr>
        <w:pStyle w:val="FigureName0"/>
        <w:rPr>
          <w:lang w:val="en-AU"/>
        </w:rPr>
      </w:pPr>
      <w:bookmarkStart w:id="180" w:name="_Ref453681487"/>
      <w:bookmarkStart w:id="181" w:name="_Toc453920918"/>
      <w:r w:rsidRPr="00E33D9E">
        <w:lastRenderedPageBreak/>
        <w:t xml:space="preserve">Figure </w:t>
      </w:r>
      <w:r w:rsidR="00C04337" w:rsidRPr="00E33D9E">
        <w:fldChar w:fldCharType="begin"/>
      </w:r>
      <w:r w:rsidRPr="00E33D9E">
        <w:instrText xml:space="preserve"> STYLEREF 1 \s </w:instrText>
      </w:r>
      <w:r w:rsidR="00C04337" w:rsidRPr="00E33D9E">
        <w:fldChar w:fldCharType="separate"/>
      </w:r>
      <w:r w:rsidR="00027D28">
        <w:rPr>
          <w:noProof/>
        </w:rPr>
        <w:t>6</w:t>
      </w:r>
      <w:r w:rsidR="00C04337" w:rsidRPr="00E33D9E">
        <w:fldChar w:fldCharType="end"/>
      </w:r>
      <w:r w:rsidRPr="00E33D9E">
        <w:t>.</w:t>
      </w:r>
      <w:r w:rsidR="00C04337" w:rsidRPr="00E33D9E">
        <w:fldChar w:fldCharType="begin"/>
      </w:r>
      <w:r w:rsidRPr="00E33D9E">
        <w:instrText xml:space="preserve"> SEQ Figure \* ARABIC \s 1 </w:instrText>
      </w:r>
      <w:r w:rsidR="00C04337" w:rsidRPr="00E33D9E">
        <w:fldChar w:fldCharType="separate"/>
      </w:r>
      <w:r w:rsidR="00027D28">
        <w:rPr>
          <w:noProof/>
        </w:rPr>
        <w:t>2</w:t>
      </w:r>
      <w:r w:rsidR="00C04337" w:rsidRPr="00E33D9E">
        <w:fldChar w:fldCharType="end"/>
      </w:r>
      <w:bookmarkEnd w:id="180"/>
      <w:r>
        <w:tab/>
        <w:t>Indicative sewerage service supply and fixture charges, with volumetric charge set at short-run marginal cost</w:t>
      </w:r>
      <w:bookmarkEnd w:id="181"/>
    </w:p>
    <w:p w:rsidR="00C2025C" w:rsidRDefault="00C2025C" w:rsidP="00C2025C">
      <w:pPr>
        <w:rPr>
          <w:b/>
          <w:lang w:val="en-AU"/>
        </w:rPr>
      </w:pPr>
      <w:r>
        <w:rPr>
          <w:noProof/>
          <w:lang w:val="en-AU" w:eastAsia="en-AU"/>
        </w:rPr>
        <w:drawing>
          <wp:inline distT="0" distB="0" distL="0" distR="0">
            <wp:extent cx="4896485" cy="2704465"/>
            <wp:effectExtent l="0" t="0" r="18415" b="6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7479C" w:rsidRDefault="00C2025C" w:rsidP="00C2025C">
      <w:r>
        <w:rPr>
          <w:lang w:val="en-AU"/>
        </w:rPr>
        <w:t xml:space="preserve">The distributional impacts of such a change in tariff structure and price levels are likely to be less dramatic than would the case for water as described above. Once again, as for water, these </w:t>
      </w:r>
      <w:r>
        <w:t>matters will be discussed in more detail in the Commission’s draft report for the tariff review, taking into consideration all the proposed pricing principles.</w:t>
      </w:r>
    </w:p>
    <w:p w:rsidR="00541770" w:rsidRPr="00C63BD3" w:rsidRDefault="00541770" w:rsidP="002B6726">
      <w:pPr>
        <w:rPr>
          <w:b/>
          <w:lang w:val="en-AU"/>
        </w:rPr>
      </w:pPr>
    </w:p>
    <w:p w:rsidR="00C6744A" w:rsidRDefault="00C6744A" w:rsidP="00C6744A">
      <w:pPr>
        <w:sectPr w:rsidR="00C6744A" w:rsidSect="001452C0">
          <w:headerReference w:type="even" r:id="rId73"/>
          <w:headerReference w:type="default" r:id="rId74"/>
          <w:endnotePr>
            <w:numFmt w:val="decimal"/>
            <w:numRestart w:val="eachSect"/>
          </w:endnotePr>
          <w:type w:val="continuous"/>
          <w:pgSz w:w="11907" w:h="16840" w:code="9"/>
          <w:pgMar w:top="2245" w:right="2098" w:bottom="1701" w:left="2098" w:header="578" w:footer="578" w:gutter="0"/>
          <w:cols w:space="720"/>
          <w:noEndnote/>
          <w:docGrid w:linePitch="299"/>
        </w:sectPr>
      </w:pPr>
    </w:p>
    <w:p w:rsidR="00C6744A" w:rsidRDefault="009B2648" w:rsidP="009A0293">
      <w:pPr>
        <w:pStyle w:val="HeadingAppendix1"/>
        <w:numPr>
          <w:ilvl w:val="0"/>
          <w:numId w:val="31"/>
        </w:numPr>
      </w:pPr>
      <w:bookmarkStart w:id="182" w:name="_Ref452964976"/>
      <w:bookmarkStart w:id="183" w:name="_Toc453920885"/>
      <w:r>
        <w:lastRenderedPageBreak/>
        <w:t>The marginal cost controversy</w:t>
      </w:r>
      <w:bookmarkEnd w:id="182"/>
      <w:bookmarkEnd w:id="183"/>
    </w:p>
    <w:p w:rsidR="00C6744A" w:rsidRDefault="00C6744A" w:rsidP="00C6744A">
      <w:pPr>
        <w:sectPr w:rsidR="00C6744A" w:rsidSect="00FD0141">
          <w:headerReference w:type="even" r:id="rId75"/>
          <w:headerReference w:type="default" r:id="rId76"/>
          <w:endnotePr>
            <w:numFmt w:val="decimal"/>
          </w:endnotePr>
          <w:type w:val="oddPage"/>
          <w:pgSz w:w="11907" w:h="16840" w:code="9"/>
          <w:pgMar w:top="2268" w:right="2098" w:bottom="1701" w:left="2098" w:header="578" w:footer="578" w:gutter="0"/>
          <w:cols w:space="720"/>
          <w:docGrid w:linePitch="360"/>
        </w:sectPr>
      </w:pPr>
    </w:p>
    <w:p w:rsidR="009B2648" w:rsidRDefault="009B2648" w:rsidP="009B2648">
      <w:r>
        <w:lastRenderedPageBreak/>
        <w:t>While Alfred Marshall is credited with first suggesting that the allocation of resources might be improved by subsidizing decreasing cost industries, it is the later work of Harold Hotelling, an influential mathematician, statistician and economic theorist, that is commonly cited as the basis for the marginal cost pricing debate.</w:t>
      </w:r>
      <w:r>
        <w:rPr>
          <w:rStyle w:val="FootnoteReference"/>
        </w:rPr>
        <w:footnoteReference w:id="140"/>
      </w:r>
      <w:r>
        <w:t xml:space="preserve"> In 1938 Hotelling wrote a seminal article on general welfare and the relationship between taxation and the setting of railway and public utility charges.</w:t>
      </w:r>
      <w:r>
        <w:rPr>
          <w:rStyle w:val="FootnoteReference"/>
        </w:rPr>
        <w:footnoteReference w:id="141"/>
      </w:r>
    </w:p>
    <w:p w:rsidR="009B2648" w:rsidRDefault="009B2648" w:rsidP="009B2648">
      <w:r>
        <w:t>Hotelling, who chose to build on the work of the French engineer and economist Jules Dupuit (rather than Marshall and others), postulated that ‘the optimum of the general welfare corresponds to the sale of everything at marginal cost’ and that the difference between this amount and total cost be made up by taxation.</w:t>
      </w:r>
      <w:r>
        <w:rPr>
          <w:rStyle w:val="FootnoteReference"/>
        </w:rPr>
        <w:footnoteReference w:id="142"/>
      </w:r>
      <w:r>
        <w:t xml:space="preserve"> </w:t>
      </w:r>
      <w:r w:rsidRPr="00E61145">
        <w:t xml:space="preserve">Hotelling saw railway charges </w:t>
      </w:r>
      <w:r>
        <w:t xml:space="preserve">(and public utility charges) </w:t>
      </w:r>
      <w:r w:rsidRPr="00E61145">
        <w:t>as essentially the same as a tax</w:t>
      </w:r>
      <w:r>
        <w:t xml:space="preserve"> </w:t>
      </w:r>
      <w:r>
        <w:sym w:font="Symbol" w:char="F02D"/>
      </w:r>
      <w:r>
        <w:t xml:space="preserve"> and more specifically as an excise tax, hence the intersection between taxation and public utility pricing. Hotelling established his </w:t>
      </w:r>
      <w:r w:rsidRPr="00E61145">
        <w:t xml:space="preserve">fundamental theorem </w:t>
      </w:r>
      <w:r>
        <w:t>that:</w:t>
      </w:r>
    </w:p>
    <w:p w:rsidR="009B2648" w:rsidRPr="00E61145" w:rsidRDefault="009B2648" w:rsidP="009B2648">
      <w:pPr>
        <w:pStyle w:val="Quote"/>
      </w:pPr>
      <w:r w:rsidRPr="00E61145">
        <w:t>if a person must pay a certain sum of money in taxes, his satisfaction will be greater if the levy is made directly on him as a fixed amount than if it is made through a system of excise taxes which he can to some extent avoid by rearranging his production and consumption.</w:t>
      </w:r>
      <w:r>
        <w:rPr>
          <w:rStyle w:val="FootnoteReference"/>
        </w:rPr>
        <w:footnoteReference w:id="143"/>
      </w:r>
    </w:p>
    <w:p w:rsidR="009B2648" w:rsidRDefault="009B2648" w:rsidP="009B2648">
      <w:r>
        <w:t>In a subsequent article on the same topic, Hotelling commented on the implications of his hypothesis:</w:t>
      </w:r>
    </w:p>
    <w:p w:rsidR="009B2648" w:rsidRDefault="009B2648" w:rsidP="009B2648">
      <w:pPr>
        <w:pStyle w:val="Quote"/>
      </w:pPr>
      <w:r>
        <w:t>This proposition has revolutionary implications, for example in electric-power and railway economics, in showing that society would do well to cut rates drastically and replace the revenue thus lost by subsidies derived largely from income and inheritance taxes and the site value of land.</w:t>
      </w:r>
      <w:r>
        <w:rPr>
          <w:rStyle w:val="FootnoteReference"/>
        </w:rPr>
        <w:footnoteReference w:id="144"/>
      </w:r>
    </w:p>
    <w:p w:rsidR="009B2648" w:rsidRDefault="009B2648" w:rsidP="009B2648">
      <w:r>
        <w:t>Hotelling was strongly opposed to the alternative view that total costs be met by consumers stating:</w:t>
      </w:r>
    </w:p>
    <w:p w:rsidR="009B2648" w:rsidRDefault="009B2648" w:rsidP="009B2648">
      <w:pPr>
        <w:pStyle w:val="Quote"/>
      </w:pPr>
      <w:r>
        <w:t xml:space="preserve">Defenders of the current theory that the overhead costs of an industry must be met out of the sale of its products or services hold that this is necessary in order to find out whether the creation of the industry was a wise social policy. Nothing could be more absurd. Whether it was wise for the government to subsidize and its backers to construct the Union Pacific Railroad after the Civil War is an interesting historical </w:t>
      </w:r>
      <w:r>
        <w:lastRenderedPageBreak/>
        <w:t>question which would make a good subject for a dissertation, but it would be better, if necessary, to leave it unsolved than to ruin the country the Union Pacific was designed to serve by charging enormous freight rates and claiming that their sum constitutes a measure of the value to the country of the investment.</w:t>
      </w:r>
      <w:r>
        <w:rPr>
          <w:rStyle w:val="FootnoteReference"/>
        </w:rPr>
        <w:footnoteReference w:id="145"/>
      </w:r>
    </w:p>
    <w:p w:rsidR="009B2648" w:rsidRDefault="009B2648" w:rsidP="009B2648">
      <w:r>
        <w:t xml:space="preserve">Ronald Coase is perhaps the most well-known opponent of subsidising decreasing cost industries, especially after the publication of his seminal article on marginal cost pricing in 1946, the title of which adorns this </w:t>
      </w:r>
      <w:r w:rsidR="00CC3BCA">
        <w:t>appendix</w:t>
      </w:r>
      <w:r>
        <w:t>.</w:t>
      </w:r>
      <w:r>
        <w:rPr>
          <w:rStyle w:val="FootnoteReference"/>
        </w:rPr>
        <w:footnoteReference w:id="146"/>
      </w:r>
      <w:r>
        <w:t xml:space="preserve"> As noted by Nancy Ruggles a few years later:</w:t>
      </w:r>
    </w:p>
    <w:p w:rsidR="009B2648" w:rsidRDefault="009B2648" w:rsidP="009B2648">
      <w:pPr>
        <w:pStyle w:val="Quote"/>
      </w:pPr>
      <w:r w:rsidRPr="00703C9B">
        <w:rPr>
          <w:rStyle w:val="QuoteChar"/>
        </w:rPr>
        <w:t>Coase did not disagree with the thesis that that price should equal marginal cost, but argued that total cost would also have to be covered if there was not to be a</w:t>
      </w:r>
      <w:r>
        <w:rPr>
          <w:rStyle w:val="QuoteChar"/>
        </w:rPr>
        <w:t xml:space="preserve"> </w:t>
      </w:r>
      <w:r w:rsidRPr="00703C9B">
        <w:rPr>
          <w:rStyle w:val="QuoteChar"/>
        </w:rPr>
        <w:t>redistribution of income in favour of the consumers of products in which fixed costs form a high proportion of total costs.</w:t>
      </w:r>
      <w:r>
        <w:rPr>
          <w:rStyle w:val="FootnoteReference"/>
        </w:rPr>
        <w:footnoteReference w:id="147"/>
      </w:r>
    </w:p>
    <w:p w:rsidR="009B2648" w:rsidRDefault="009B2648" w:rsidP="009B2648">
      <w:r>
        <w:t>When faced with a divergence between average and marginal costs, rather than the alternatives of pricing according to marginal cost thereby incurring a loss, or pricing at average cost and avoiding any loss, Coase proposed the introduction of multi-part pricing, on the basis that:</w:t>
      </w:r>
    </w:p>
    <w:p w:rsidR="009B2648" w:rsidRDefault="009B2648" w:rsidP="009B2648">
      <w:pPr>
        <w:pStyle w:val="Quote"/>
      </w:pPr>
      <w:r>
        <w:t>A consumer does not only have to decide whether to consume additional units of a product; he has also to decide whether it is worth his while to consume the product at all rather than spend his money in some other direction.</w:t>
      </w:r>
      <w:r>
        <w:rPr>
          <w:rStyle w:val="FootnoteReference"/>
        </w:rPr>
        <w:footnoteReference w:id="148"/>
      </w:r>
    </w:p>
    <w:p w:rsidR="009B2648" w:rsidRDefault="009B2648" w:rsidP="009B2648">
      <w:r>
        <w:t>Coase’s view was that marginal cost pricing for additional units would provide for the former, while an additional charge, independent of consumption, set to ensure that total supply costs are recovered would deal with the latter.</w:t>
      </w:r>
    </w:p>
    <w:p w:rsidR="009B2648" w:rsidRDefault="009B2648" w:rsidP="009B2648">
      <w:r>
        <w:t>Another key figure, William Vickrey, then entered the fray in support of the Hotelling approach in his 1948 article that considered a number of objections to the Hotelling approach and dismissed all of them.</w:t>
      </w:r>
      <w:r>
        <w:rPr>
          <w:rStyle w:val="FootnoteReference"/>
        </w:rPr>
        <w:footnoteReference w:id="149"/>
      </w:r>
      <w:r>
        <w:t xml:space="preserve"> In particular, Vickrey concluded that:</w:t>
      </w:r>
    </w:p>
    <w:p w:rsidR="009B2648" w:rsidRPr="00F778BF" w:rsidRDefault="009B2648" w:rsidP="009B2648">
      <w:pPr>
        <w:pStyle w:val="Quote"/>
      </w:pPr>
      <w:r w:rsidRPr="00F778BF">
        <w:t>In nearly all cases involving decreasing</w:t>
      </w:r>
      <w:r>
        <w:t xml:space="preserve"> </w:t>
      </w:r>
      <w:r w:rsidRPr="00F778BF">
        <w:t>costs, even the best scheme of</w:t>
      </w:r>
      <w:r>
        <w:t xml:space="preserve"> </w:t>
      </w:r>
      <w:r w:rsidRPr="00F778BF">
        <w:t>multi-part pricing will be unable to cover</w:t>
      </w:r>
      <w:r>
        <w:t xml:space="preserve"> </w:t>
      </w:r>
      <w:r w:rsidRPr="00F778BF">
        <w:t>costs and, at the same time, achieve optimum</w:t>
      </w:r>
      <w:r>
        <w:t xml:space="preserve"> </w:t>
      </w:r>
      <w:r w:rsidRPr="00F778BF">
        <w:t>consumption</w:t>
      </w:r>
      <w:r>
        <w:t xml:space="preserve"> …</w:t>
      </w:r>
      <w:r>
        <w:rPr>
          <w:rStyle w:val="FootnoteReference"/>
        </w:rPr>
        <w:footnoteReference w:id="150"/>
      </w:r>
    </w:p>
    <w:p w:rsidR="009B2648" w:rsidRDefault="009B2648" w:rsidP="009B2648">
      <w:r>
        <w:t xml:space="preserve">In addition, on the matter of price stability, Vickrey argued that even ‘though marginal cost may fluctuate erratically, this indicates not that marginal cost should be discarded </w:t>
      </w:r>
      <w:r>
        <w:lastRenderedPageBreak/>
        <w:t>as a basis for prices but that, where the administrative costs would not be prohibitive, prices should likewise fluctuate fairly drastically.’</w:t>
      </w:r>
      <w:r>
        <w:rPr>
          <w:rStyle w:val="FootnoteReference"/>
        </w:rPr>
        <w:footnoteReference w:id="151"/>
      </w:r>
      <w:r>
        <w:t xml:space="preserve"> </w:t>
      </w:r>
    </w:p>
    <w:p w:rsidR="009B2648" w:rsidRDefault="009B2648" w:rsidP="009B2648">
      <w:r w:rsidRPr="005538CC">
        <w:t>Vickrey subsequently wrote an article in 1955 that appeared to soften his support for Hotelling’s approach.</w:t>
      </w:r>
      <w:r w:rsidRPr="005538CC">
        <w:rPr>
          <w:rStyle w:val="FootnoteReference"/>
        </w:rPr>
        <w:footnoteReference w:id="152"/>
      </w:r>
      <w:r w:rsidRPr="005538CC">
        <w:t xml:space="preserve"> </w:t>
      </w:r>
      <w:r>
        <w:t xml:space="preserve">Although </w:t>
      </w:r>
      <w:r w:rsidRPr="005538CC">
        <w:t xml:space="preserve">reaffirming his view that marginal cost must play a major role in the </w:t>
      </w:r>
      <w:r>
        <w:t xml:space="preserve">design </w:t>
      </w:r>
      <w:r w:rsidRPr="005538CC">
        <w:t>of any price</w:t>
      </w:r>
      <w:r>
        <w:t xml:space="preserve"> structure</w:t>
      </w:r>
      <w:r w:rsidRPr="005538CC">
        <w:t xml:space="preserve"> </w:t>
      </w:r>
      <w:r>
        <w:t xml:space="preserve">intended to promote </w:t>
      </w:r>
      <w:r w:rsidRPr="005538CC">
        <w:t>the efficient utili</w:t>
      </w:r>
      <w:r>
        <w:t>sa</w:t>
      </w:r>
      <w:r w:rsidRPr="005538CC">
        <w:t>tion of available resources and facilities</w:t>
      </w:r>
      <w:r>
        <w:t>, he added this caveat:</w:t>
      </w:r>
    </w:p>
    <w:p w:rsidR="009B2648" w:rsidRPr="005538CC" w:rsidRDefault="009B2648" w:rsidP="009B2648">
      <w:pPr>
        <w:pStyle w:val="Quote"/>
      </w:pPr>
      <w:r w:rsidRPr="005538CC">
        <w:t>As a preface to a discussion of the role of marginal cost pricing, it is perhaps well to state explicitly that in common with any other theoretical principle, the principle of marginal cost pricing is not in practice to be followed absolutely and at all events, but is a principle that is to be followed insofar as this is compatible with other desirable objectives, and from which deviations of greater or lesser magnitude are to be desired when conflicting objectives are considered</w:t>
      </w:r>
      <w:r>
        <w:t>.</w:t>
      </w:r>
      <w:r>
        <w:rPr>
          <w:rStyle w:val="FootnoteReference"/>
        </w:rPr>
        <w:footnoteReference w:id="153"/>
      </w:r>
    </w:p>
    <w:p w:rsidR="009B2648" w:rsidRDefault="009B2648" w:rsidP="009B2648">
      <w:r>
        <w:t>More tellingly, Vickrey then elaborated on what he considered the most striking of these considerations:</w:t>
      </w:r>
    </w:p>
    <w:p w:rsidR="009B2648" w:rsidRDefault="009B2648" w:rsidP="009B2648">
      <w:pPr>
        <w:pStyle w:val="Quote"/>
      </w:pPr>
      <w:r>
        <w:t xml:space="preserve">By far the most important of the considerations that conflict with the strict application of marginal cost pricing is the need for revenues. Many of the more extreme advocates of marginal cost pricing for decreasing-cost industries seem tacitly to assume that the government has some perfectly costless and neutral source of revenue that is capable of very substantial expansion without ill effects. Such a state might be approached, for example, if we had an income tax free of its multiple defects, evasion proof, with no marginal costs of administration or compliance, and including in its base not only money income but all forms of direct income in kind, including an imputed value for leisure. Needless to say, this is far from the case.  </w:t>
      </w:r>
    </w:p>
    <w:p w:rsidR="009B2648" w:rsidRDefault="009B2648" w:rsidP="009B2648">
      <w:r>
        <w:t>In a much later article on public utility pricing, Coase, who indicated that he had trouble restraining a cheer when reading Vickrey’s comments on the need for revenues, concludes that:</w:t>
      </w:r>
    </w:p>
    <w:p w:rsidR="009B2648" w:rsidRDefault="009B2648" w:rsidP="009B2648">
      <w:pPr>
        <w:pStyle w:val="Quote"/>
      </w:pPr>
      <w:r w:rsidRPr="00747E83">
        <w:t>What this seems to indicate is that there is no difference of any substance between the position of someone who, like Vickrey, claims to be a supporter of marginal cost pricing and someone who, like myself, regards himself as an opponent. The only substantial difference seems to be one concerning terminology, and that is hardly worth spending much time on.</w:t>
      </w:r>
      <w:r>
        <w:rPr>
          <w:rStyle w:val="FootnoteReference"/>
        </w:rPr>
        <w:footnoteReference w:id="154"/>
      </w:r>
    </w:p>
    <w:p w:rsidR="009B2648" w:rsidRDefault="009B2648" w:rsidP="009B2648">
      <w:r>
        <w:t>This exchange essentially saw the end of the ‘marginal cost controversy’ in relation to revenue shortfalls, with multi-part tariffs incorporating a consumption charge based on marginal cost now commonplace in public utility pricing.</w:t>
      </w:r>
    </w:p>
    <w:p w:rsidR="009B2648" w:rsidRDefault="009B2648" w:rsidP="009B2648">
      <w:r w:rsidRPr="004D3620">
        <w:t xml:space="preserve">Brown et al. (1992) </w:t>
      </w:r>
      <w:r>
        <w:t xml:space="preserve">and </w:t>
      </w:r>
      <w:r>
        <w:rPr>
          <w:noProof/>
        </w:rPr>
        <w:t>Vohra (1990)</w:t>
      </w:r>
      <w:r>
        <w:t xml:space="preserve"> both </w:t>
      </w:r>
      <w:r w:rsidRPr="004D3620">
        <w:t>con</w:t>
      </w:r>
      <w:r>
        <w:t>tend that equilibria under two-part marginal cost pricing are not Pareto optimal:</w:t>
      </w:r>
    </w:p>
    <w:p w:rsidR="009B2648" w:rsidRPr="004D3620" w:rsidRDefault="009B2648" w:rsidP="009B2648">
      <w:pPr>
        <w:pStyle w:val="Quote"/>
      </w:pPr>
      <w:r>
        <w:lastRenderedPageBreak/>
        <w:t>T</w:t>
      </w:r>
      <w:r w:rsidRPr="004D3620">
        <w:t>wo-part marginal cost pricing equilibria are not generally Pareto-efficient.</w:t>
      </w:r>
      <w:r>
        <w:t xml:space="preserve"> This is in contrast to the impression left by much of the partial equilibrium literature on two-part tariffs.</w:t>
      </w:r>
      <w:r>
        <w:rPr>
          <w:rStyle w:val="FootnoteReference"/>
        </w:rPr>
        <w:footnoteReference w:id="155"/>
      </w:r>
    </w:p>
    <w:p w:rsidR="009B2648" w:rsidRDefault="009B2648" w:rsidP="009B2648">
      <w:r>
        <w:t xml:space="preserve">The </w:t>
      </w:r>
      <w:r w:rsidR="00EB4B24">
        <w:t>multi</w:t>
      </w:r>
      <w:r>
        <w:t xml:space="preserve">-part tariff structure therefore provides a means to enable regulators to use marginal cost pricing to achieve an outcome that, while not Pareto-efficient, at least approaches second-best. As stated by </w:t>
      </w:r>
      <w:r>
        <w:rPr>
          <w:noProof/>
        </w:rPr>
        <w:t>Train (1991)</w:t>
      </w:r>
      <w:r>
        <w:t>:</w:t>
      </w:r>
    </w:p>
    <w:p w:rsidR="009B2648" w:rsidRDefault="009B2648" w:rsidP="009B2648">
      <w:pPr>
        <w:pStyle w:val="Quote"/>
      </w:pPr>
      <w:r>
        <w:t>Multipart tariffs have important welfare implications. Perhaps the most relevant is the fact that a regulator, by applying an appropriately designed multipart tariff, can induce a natural monopolist to operate closer to the first-best outcome than would be possible with only one price.</w:t>
      </w:r>
      <w:r>
        <w:rPr>
          <w:rStyle w:val="FootnoteReference"/>
        </w:rPr>
        <w:footnoteReference w:id="156"/>
      </w:r>
    </w:p>
    <w:p w:rsidR="009B2648" w:rsidRDefault="009B2648" w:rsidP="009B2648">
      <w:pPr>
        <w:rPr>
          <w:b/>
        </w:rPr>
      </w:pPr>
      <w:r>
        <w:t xml:space="preserve"> </w:t>
      </w:r>
    </w:p>
    <w:p w:rsidR="00502F44" w:rsidRPr="00502F44" w:rsidRDefault="00502F44" w:rsidP="00502F44"/>
    <w:p w:rsidR="00502F44" w:rsidRDefault="00502F44" w:rsidP="00C6744A"/>
    <w:p w:rsidR="009B2648" w:rsidRDefault="009B2648" w:rsidP="009B2648">
      <w:pPr>
        <w:sectPr w:rsidR="009B2648" w:rsidSect="001452C0">
          <w:headerReference w:type="even" r:id="rId77"/>
          <w:headerReference w:type="default" r:id="rId78"/>
          <w:endnotePr>
            <w:numFmt w:val="decimal"/>
            <w:numRestart w:val="eachSect"/>
          </w:endnotePr>
          <w:type w:val="continuous"/>
          <w:pgSz w:w="11907" w:h="16840" w:code="9"/>
          <w:pgMar w:top="2245" w:right="2098" w:bottom="1701" w:left="2098" w:header="578" w:footer="578" w:gutter="0"/>
          <w:cols w:space="720"/>
          <w:noEndnote/>
          <w:docGrid w:linePitch="299"/>
        </w:sectPr>
      </w:pPr>
    </w:p>
    <w:p w:rsidR="009B2648" w:rsidRDefault="009B2648" w:rsidP="009B2648">
      <w:pPr>
        <w:pStyle w:val="HeadingAppendix1"/>
        <w:numPr>
          <w:ilvl w:val="0"/>
          <w:numId w:val="31"/>
        </w:numPr>
      </w:pPr>
      <w:bookmarkStart w:id="184" w:name="_Ref452973532"/>
      <w:bookmarkStart w:id="185" w:name="_Toc453920886"/>
      <w:r>
        <w:lastRenderedPageBreak/>
        <w:t>Water supply and demand modelling process</w:t>
      </w:r>
      <w:bookmarkEnd w:id="184"/>
      <w:bookmarkEnd w:id="185"/>
    </w:p>
    <w:p w:rsidR="009B2648" w:rsidRDefault="009B2648" w:rsidP="009B2648">
      <w:pPr>
        <w:sectPr w:rsidR="009B2648" w:rsidSect="00FD0141">
          <w:headerReference w:type="even" r:id="rId79"/>
          <w:headerReference w:type="default" r:id="rId80"/>
          <w:endnotePr>
            <w:numFmt w:val="decimal"/>
          </w:endnotePr>
          <w:type w:val="oddPage"/>
          <w:pgSz w:w="11907" w:h="16840" w:code="9"/>
          <w:pgMar w:top="2268" w:right="2098" w:bottom="1701" w:left="2098" w:header="578" w:footer="578" w:gutter="0"/>
          <w:cols w:space="720"/>
          <w:docGrid w:linePitch="360"/>
        </w:sectPr>
      </w:pPr>
    </w:p>
    <w:p w:rsidR="009B2648" w:rsidRDefault="009B2648" w:rsidP="009B2648">
      <w:pPr>
        <w:pStyle w:val="HeadingAppendix2"/>
      </w:pPr>
      <w:bookmarkStart w:id="186" w:name="_Toc453920887"/>
      <w:r>
        <w:lastRenderedPageBreak/>
        <w:t>Introduction</w:t>
      </w:r>
      <w:bookmarkEnd w:id="186"/>
    </w:p>
    <w:p w:rsidR="009B2648" w:rsidRDefault="009B2648" w:rsidP="009B2648">
      <w:r>
        <w:t xml:space="preserve">Icon Water has developed a computer-based model of the ACT water resources system which it uses for its water resources planning. The model is designed for assessing medium- to long-term ACT water security requirements and can be used to predict at what stage additional supply augmentations (or increased demand reduction initiatives) are likely to be necessary and to compare alternative supply and demand options. </w:t>
      </w:r>
    </w:p>
    <w:p w:rsidR="009B2648" w:rsidRDefault="009B2648" w:rsidP="009B2648">
      <w:pPr>
        <w:pStyle w:val="HeadingAppendix2"/>
      </w:pPr>
      <w:bookmarkStart w:id="187" w:name="_Toc453920888"/>
      <w:r>
        <w:t>The model</w:t>
      </w:r>
      <w:bookmarkEnd w:id="187"/>
    </w:p>
    <w:p w:rsidR="009B2648" w:rsidRDefault="009B2648" w:rsidP="009B2648">
      <w:r>
        <w:t>In summary, the model consists of the following components: stochastic data generation  model,  water supply, water demand and water balance.</w:t>
      </w:r>
    </w:p>
    <w:p w:rsidR="009B2648" w:rsidRDefault="009B2648" w:rsidP="009B2648">
      <w:pPr>
        <w:pStyle w:val="HeadingAppendix3"/>
      </w:pPr>
      <w:r>
        <w:t>Stochastic data generation model</w:t>
      </w:r>
    </w:p>
    <w:p w:rsidR="009B2648" w:rsidRDefault="009B2648" w:rsidP="009B2648">
      <w:r>
        <w:t xml:space="preserve">The model of the ACT water resources system incorporates the natural variability in the climate by employing a stochastic data generation model. Looking forward, there is natural variation in climate as the community can expect that there will be dry years and wet years. It is this natural variation in future climate that is applied to future climate outcomes. </w:t>
      </w:r>
    </w:p>
    <w:p w:rsidR="009B2648" w:rsidRDefault="009B2648" w:rsidP="009B2648">
      <w:r>
        <w:t>The advantage of this form of modelling is that it allows the modeller to examine potential uncertain future outcomes in a systematic manner. The alternative would be to calculate the probability of potential outcomes directly under an assumed distribution of future climate. This cannot be done in this case due to the complexity of the modelling, especially the water balance model.</w:t>
      </w:r>
    </w:p>
    <w:p w:rsidR="009B2648" w:rsidRDefault="009B2648" w:rsidP="009B2648">
      <w:r>
        <w:t xml:space="preserve">Historical data provides the range and scope of the variability in the climate variables used in the modelling. Climate outcomes are updated to take into account the potential effect of climate change on rainfall and evaporation. </w:t>
      </w:r>
    </w:p>
    <w:p w:rsidR="009B2648" w:rsidRDefault="009B2648" w:rsidP="009B2648">
      <w:r>
        <w:t>The model generates 50,000 years of climate data (rainfall and evaporation) based on historical data. The 50,000 years of climate data are grouped into 1,000 sequences, each 50 years long. All of the models are populated and solved using all of the 50-year climate outcomes.</w:t>
      </w:r>
    </w:p>
    <w:p w:rsidR="009B2648" w:rsidRDefault="009B2648" w:rsidP="009B2648">
      <w:r>
        <w:t xml:space="preserve">The output of the models is 1,000 sequences, each 50 years long, of inflows, water demand and level of water restrictions. One output of particular interest is the </w:t>
      </w:r>
      <w:r>
        <w:lastRenderedPageBreak/>
        <w:t>proportion of the 1,000 sequences that result in water restrictions over each of the next 50 years.</w:t>
      </w:r>
    </w:p>
    <w:p w:rsidR="009B2648" w:rsidRDefault="009B2648" w:rsidP="009B2648">
      <w:pPr>
        <w:pStyle w:val="HeadingAppendix3"/>
      </w:pPr>
      <w:r>
        <w:t>Water supply</w:t>
      </w:r>
    </w:p>
    <w:p w:rsidR="009B2648" w:rsidRDefault="009B2648" w:rsidP="009B2648">
      <w:r>
        <w:t xml:space="preserve">Based on historical rainfall data for particular water catchments and historical evaporation data at Canberra Airport, the </w:t>
      </w:r>
      <w:r w:rsidRPr="0026391A">
        <w:t>stochastic data generation model</w:t>
      </w:r>
      <w:r>
        <w:rPr>
          <w:b/>
        </w:rPr>
        <w:t xml:space="preserve"> </w:t>
      </w:r>
      <w:proofErr w:type="gramStart"/>
      <w:r>
        <w:t>is used</w:t>
      </w:r>
      <w:proofErr w:type="gramEnd"/>
      <w:r>
        <w:rPr>
          <w:b/>
        </w:rPr>
        <w:t xml:space="preserve"> </w:t>
      </w:r>
      <w:r>
        <w:t>to generate a time series of stochastic rainfall and evaporation sequences.</w:t>
      </w:r>
      <w:r>
        <w:rPr>
          <w:rStyle w:val="FootnoteReference"/>
        </w:rPr>
        <w:footnoteReference w:id="157"/>
      </w:r>
      <w:r>
        <w:t xml:space="preserve"> The time series is then adjusted for climate change </w:t>
      </w:r>
      <w:proofErr w:type="gramStart"/>
      <w:r>
        <w:t>on the basis of</w:t>
      </w:r>
      <w:proofErr w:type="gramEnd"/>
      <w:r>
        <w:t xml:space="preserve"> the SEACI modelling discussed in Chapter </w:t>
      </w:r>
      <w:r w:rsidR="00C04337">
        <w:fldChar w:fldCharType="begin"/>
      </w:r>
      <w:r>
        <w:instrText xml:space="preserve"> REF _Ref448321586 \r \h </w:instrText>
      </w:r>
      <w:r w:rsidR="00C04337">
        <w:fldChar w:fldCharType="separate"/>
      </w:r>
      <w:r w:rsidR="00027D28">
        <w:t>4</w:t>
      </w:r>
      <w:r w:rsidR="00C04337">
        <w:fldChar w:fldCharType="end"/>
      </w:r>
      <w:r>
        <w:t>.</w:t>
      </w:r>
    </w:p>
    <w:p w:rsidR="009B2648" w:rsidRDefault="009B2648" w:rsidP="009B2648">
      <w:r>
        <w:t>Catchment-specific</w:t>
      </w:r>
      <w:r>
        <w:rPr>
          <w:b/>
        </w:rPr>
        <w:t xml:space="preserve"> </w:t>
      </w:r>
      <w:r w:rsidRPr="00485E54">
        <w:t>rainfall run-off models</w:t>
      </w:r>
      <w:r>
        <w:t xml:space="preserve"> then convert the time series rainfall and evaporation data</w:t>
      </w:r>
      <w:r>
        <w:rPr>
          <w:b/>
        </w:rPr>
        <w:t xml:space="preserve"> </w:t>
      </w:r>
      <w:r>
        <w:t>into projections of</w:t>
      </w:r>
      <w:r>
        <w:rPr>
          <w:b/>
        </w:rPr>
        <w:t xml:space="preserve"> </w:t>
      </w:r>
      <w:r>
        <w:t>water inflow volumes into the four ACT water storages.</w:t>
      </w:r>
    </w:p>
    <w:p w:rsidR="009B2648" w:rsidRDefault="009B2648" w:rsidP="009B2648">
      <w:r>
        <w:t xml:space="preserve">A </w:t>
      </w:r>
      <w:r w:rsidRPr="00485E54">
        <w:t>bushfire impacts model</w:t>
      </w:r>
      <w:r>
        <w:t xml:space="preserve"> then reduces the inflow data projections generated by the rainfall run-off models to account for lower water catchment yields as vegetation recovers following the 2003 Canberra bushfires.</w:t>
      </w:r>
    </w:p>
    <w:p w:rsidR="009B2648" w:rsidRDefault="009B2648" w:rsidP="009B2648">
      <w:pPr>
        <w:pStyle w:val="HeadingAppendix3"/>
      </w:pPr>
      <w:r>
        <w:t>Water demand</w:t>
      </w:r>
    </w:p>
    <w:p w:rsidR="009B2648" w:rsidRDefault="009B2648" w:rsidP="009B2648">
      <w:r>
        <w:t xml:space="preserve">Based on historic Canberra Airport rainfall and evaporation data, </w:t>
      </w:r>
      <w:r w:rsidRPr="00485E54">
        <w:t>a stochastic data generation model is used to generate a tim</w:t>
      </w:r>
      <w:r>
        <w:t>e series of stochastic rainfall and evaporation sequences adjusted for climate change.</w:t>
      </w:r>
    </w:p>
    <w:p w:rsidR="009B2648" w:rsidRDefault="009B2648" w:rsidP="009B2648">
      <w:r>
        <w:t xml:space="preserve">A </w:t>
      </w:r>
      <w:r w:rsidRPr="00485E54">
        <w:t>water demand model, calibrated to</w:t>
      </w:r>
      <w:r>
        <w:t xml:space="preserve"> current ACT demand patterns, converts the time series data into projections of future unrestricted ACT and Queanbeyan per capita water demand.</w:t>
      </w:r>
      <w:r>
        <w:rPr>
          <w:rStyle w:val="FootnoteReference"/>
        </w:rPr>
        <w:footnoteReference w:id="158"/>
      </w:r>
      <w:r>
        <w:t xml:space="preserve"> The per capita demand data is then multiplied by ACT and Queanbeyan population projections to calculate time series water demand volumes.</w:t>
      </w:r>
    </w:p>
    <w:p w:rsidR="009B2648" w:rsidRDefault="009B2648" w:rsidP="009B2648">
      <w:pPr>
        <w:pStyle w:val="HeadingAppendix3"/>
      </w:pPr>
      <w:r>
        <w:t>Water balance</w:t>
      </w:r>
    </w:p>
    <w:p w:rsidR="009B2648" w:rsidRDefault="009B2648" w:rsidP="009B2648">
      <w:r w:rsidRPr="00E841C3">
        <w:t>A water balance model</w:t>
      </w:r>
      <w:r>
        <w:t xml:space="preserve"> (REALM) of the ACT water supply system projects monthly dam storages on the basis of water inflows (using data from the bushfire and climate-adjusted rainfall run-off models), water releases (using unrestricted demand data from the demand model, reduced to account for temporary water restrictions if necessary), dam spills and evaporation.</w:t>
      </w:r>
      <w:r>
        <w:rPr>
          <w:rStyle w:val="FootnoteReference"/>
        </w:rPr>
        <w:footnoteReference w:id="159"/>
      </w:r>
      <w:r>
        <w:t xml:space="preserve"> Icon Water system operating rules (such as physical pipe constraints, water treatment plant capacities and </w:t>
      </w:r>
      <w:r w:rsidRPr="004959D7">
        <w:t>trigger levels for turning on Googong, Cotter, Murrumbidgee and Tantangara</w:t>
      </w:r>
      <w:r>
        <w:t>) and ACT Government environmental flow requirements are additional modelling input constraints.</w:t>
      </w:r>
    </w:p>
    <w:p w:rsidR="009B2648" w:rsidRDefault="009B2648" w:rsidP="009B2648">
      <w:r>
        <w:lastRenderedPageBreak/>
        <w:t>REALM calculates when, at what level (Stages 1 to 4) and for how long temporary water restrictions apply. This has the effect of reducing demand when dam storages fall to certain restriction trigger levels. It is these calculations that enable the ACT’s water security situation to be estimated in terms of the probability of being in water restrictions over a certain period of time.</w:t>
      </w:r>
    </w:p>
    <w:p w:rsidR="009B2648" w:rsidRDefault="009B2648" w:rsidP="009B2648"/>
    <w:p w:rsidR="009B2648" w:rsidRPr="00C63BD3" w:rsidRDefault="009B2648" w:rsidP="009B2648">
      <w:pPr>
        <w:rPr>
          <w:b/>
          <w:lang w:val="en-AU"/>
        </w:rPr>
      </w:pPr>
    </w:p>
    <w:p w:rsidR="00C6744A" w:rsidRDefault="00C6744A" w:rsidP="00C6744A">
      <w:pPr>
        <w:sectPr w:rsidR="00C6744A" w:rsidSect="00A704CD">
          <w:headerReference w:type="even" r:id="rId81"/>
          <w:headerReference w:type="default" r:id="rId82"/>
          <w:endnotePr>
            <w:numFmt w:val="decimal"/>
          </w:endnotePr>
          <w:type w:val="continuous"/>
          <w:pgSz w:w="11907" w:h="16840" w:code="9"/>
          <w:pgMar w:top="2268" w:right="2098" w:bottom="1701" w:left="2098" w:header="578" w:footer="578" w:gutter="0"/>
          <w:cols w:space="720"/>
          <w:docGrid w:linePitch="360"/>
        </w:sectPr>
      </w:pPr>
    </w:p>
    <w:p w:rsidR="008C4D2D" w:rsidRDefault="007A1FA7" w:rsidP="00C7285A">
      <w:pPr>
        <w:pStyle w:val="Heading1a"/>
      </w:pPr>
      <w:bookmarkStart w:id="188" w:name="Abbreviations_and_acronyms"/>
      <w:bookmarkStart w:id="189" w:name="_Toc453920889"/>
      <w:r w:rsidRPr="002E2FD3">
        <w:lastRenderedPageBreak/>
        <w:t>Abbreviations and acronyms</w:t>
      </w:r>
      <w:bookmarkEnd w:id="162"/>
      <w:bookmarkEnd w:id="188"/>
      <w:bookmarkEnd w:id="189"/>
    </w:p>
    <w:p w:rsidR="008C4D2D" w:rsidRDefault="008C4D2D" w:rsidP="007E230D">
      <w:pPr>
        <w:sectPr w:rsidR="008C4D2D" w:rsidSect="00FD0141">
          <w:headerReference w:type="even" r:id="rId83"/>
          <w:headerReference w:type="default" r:id="rId84"/>
          <w:endnotePr>
            <w:numFmt w:val="decimal"/>
          </w:endnotePr>
          <w:type w:val="oddPage"/>
          <w:pgSz w:w="11907" w:h="16840" w:code="9"/>
          <w:pgMar w:top="2268" w:right="2098" w:bottom="1701" w:left="2098" w:header="578" w:footer="578" w:gutter="0"/>
          <w:cols w:space="720"/>
          <w:docGrid w:linePitch="360"/>
        </w:sectPr>
      </w:pPr>
    </w:p>
    <w:tbl>
      <w:tblPr>
        <w:tblW w:w="7796" w:type="dxa"/>
        <w:shd w:val="clear" w:color="auto" w:fill="FFFFFF" w:themeFill="background1"/>
        <w:tblLayout w:type="fixed"/>
        <w:tblLook w:val="01E0"/>
      </w:tblPr>
      <w:tblGrid>
        <w:gridCol w:w="2268"/>
        <w:gridCol w:w="5528"/>
      </w:tblGrid>
      <w:tr w:rsidR="003831E0" w:rsidRPr="007976E2" w:rsidTr="00DE682F">
        <w:trPr>
          <w:trHeight w:val="284"/>
        </w:trPr>
        <w:tc>
          <w:tcPr>
            <w:tcW w:w="2268" w:type="dxa"/>
            <w:shd w:val="clear" w:color="auto" w:fill="FFFFFF" w:themeFill="background1"/>
          </w:tcPr>
          <w:p w:rsidR="003831E0" w:rsidRDefault="003831E0" w:rsidP="007E230D">
            <w:r>
              <w:lastRenderedPageBreak/>
              <w:t>ABS</w:t>
            </w:r>
          </w:p>
        </w:tc>
        <w:tc>
          <w:tcPr>
            <w:tcW w:w="5528" w:type="dxa"/>
            <w:shd w:val="clear" w:color="auto" w:fill="FFFFFF" w:themeFill="background1"/>
          </w:tcPr>
          <w:p w:rsidR="003831E0" w:rsidRDefault="003831E0" w:rsidP="003831E0">
            <w:r>
              <w:t xml:space="preserve">Australian Bureau of Statistics </w:t>
            </w:r>
          </w:p>
        </w:tc>
      </w:tr>
      <w:tr w:rsidR="00DC650D" w:rsidRPr="007976E2" w:rsidTr="00DE682F">
        <w:trPr>
          <w:trHeight w:val="284"/>
        </w:trPr>
        <w:tc>
          <w:tcPr>
            <w:tcW w:w="2268" w:type="dxa"/>
            <w:shd w:val="clear" w:color="auto" w:fill="FFFFFF" w:themeFill="background1"/>
          </w:tcPr>
          <w:p w:rsidR="00DC650D" w:rsidRDefault="00DC650D" w:rsidP="007E230D">
            <w:r>
              <w:t>ACT</w:t>
            </w:r>
          </w:p>
        </w:tc>
        <w:tc>
          <w:tcPr>
            <w:tcW w:w="5528" w:type="dxa"/>
            <w:shd w:val="clear" w:color="auto" w:fill="FFFFFF" w:themeFill="background1"/>
          </w:tcPr>
          <w:p w:rsidR="00DC650D" w:rsidRDefault="00DC650D" w:rsidP="007E230D">
            <w:r>
              <w:t>Australian Capital Territory</w:t>
            </w:r>
          </w:p>
        </w:tc>
      </w:tr>
      <w:tr w:rsidR="009F68FD" w:rsidRPr="007976E2" w:rsidTr="00DE682F">
        <w:trPr>
          <w:trHeight w:val="284"/>
        </w:trPr>
        <w:tc>
          <w:tcPr>
            <w:tcW w:w="2268" w:type="dxa"/>
            <w:shd w:val="clear" w:color="auto" w:fill="FFFFFF" w:themeFill="background1"/>
          </w:tcPr>
          <w:p w:rsidR="009F68FD" w:rsidRDefault="009F68FD" w:rsidP="007E230D">
            <w:r>
              <w:t>AIC</w:t>
            </w:r>
          </w:p>
        </w:tc>
        <w:tc>
          <w:tcPr>
            <w:tcW w:w="5528" w:type="dxa"/>
            <w:shd w:val="clear" w:color="auto" w:fill="FFFFFF" w:themeFill="background1"/>
          </w:tcPr>
          <w:p w:rsidR="009F68FD" w:rsidRDefault="000130ED" w:rsidP="007E230D">
            <w:r>
              <w:t>Average incremental cost</w:t>
            </w:r>
          </w:p>
        </w:tc>
      </w:tr>
      <w:tr w:rsidR="00765AAA" w:rsidRPr="007976E2" w:rsidTr="00DE682F">
        <w:trPr>
          <w:trHeight w:val="284"/>
        </w:trPr>
        <w:tc>
          <w:tcPr>
            <w:tcW w:w="2268" w:type="dxa"/>
            <w:shd w:val="clear" w:color="auto" w:fill="FFFFFF" w:themeFill="background1"/>
          </w:tcPr>
          <w:p w:rsidR="00765AAA" w:rsidRPr="005B6158" w:rsidRDefault="00765AAA" w:rsidP="00765AAA">
            <w:r w:rsidRPr="007976E2">
              <w:t>Commission</w:t>
            </w:r>
          </w:p>
        </w:tc>
        <w:tc>
          <w:tcPr>
            <w:tcW w:w="5528" w:type="dxa"/>
            <w:shd w:val="clear" w:color="auto" w:fill="FFFFFF" w:themeFill="background1"/>
          </w:tcPr>
          <w:p w:rsidR="00765AAA" w:rsidRPr="005B6158" w:rsidRDefault="00765AAA" w:rsidP="00765AAA">
            <w:r w:rsidRPr="007976E2">
              <w:t>Independent Competition and Regulatory Commission</w:t>
            </w:r>
          </w:p>
        </w:tc>
      </w:tr>
      <w:tr w:rsidR="00765AAA" w:rsidRPr="007976E2" w:rsidTr="00DE682F">
        <w:trPr>
          <w:trHeight w:val="284"/>
        </w:trPr>
        <w:tc>
          <w:tcPr>
            <w:tcW w:w="2268" w:type="dxa"/>
            <w:shd w:val="clear" w:color="auto" w:fill="FFFFFF" w:themeFill="background1"/>
          </w:tcPr>
          <w:p w:rsidR="00765AAA" w:rsidRPr="007976E2" w:rsidRDefault="00765AAA" w:rsidP="00765AAA">
            <w:r>
              <w:t>CWWA</w:t>
            </w:r>
          </w:p>
        </w:tc>
        <w:tc>
          <w:tcPr>
            <w:tcW w:w="5528" w:type="dxa"/>
            <w:shd w:val="clear" w:color="auto" w:fill="FFFFFF" w:themeFill="background1"/>
          </w:tcPr>
          <w:p w:rsidR="00765AAA" w:rsidRPr="007976E2" w:rsidRDefault="00765AAA" w:rsidP="008F3473">
            <w:r>
              <w:t>Canadian Water and Wastewater A</w:t>
            </w:r>
            <w:r w:rsidR="008F3473">
              <w:t>ssociation</w:t>
            </w:r>
          </w:p>
        </w:tc>
      </w:tr>
      <w:tr w:rsidR="00765AAA" w:rsidRPr="007976E2" w:rsidTr="00DE682F">
        <w:trPr>
          <w:trHeight w:val="284"/>
        </w:trPr>
        <w:tc>
          <w:tcPr>
            <w:tcW w:w="2268" w:type="dxa"/>
            <w:shd w:val="clear" w:color="auto" w:fill="FFFFFF" w:themeFill="background1"/>
          </w:tcPr>
          <w:p w:rsidR="00765AAA" w:rsidRDefault="00765AAA" w:rsidP="00765AAA">
            <w:r>
              <w:t>ERA</w:t>
            </w:r>
          </w:p>
        </w:tc>
        <w:tc>
          <w:tcPr>
            <w:tcW w:w="5528" w:type="dxa"/>
            <w:shd w:val="clear" w:color="auto" w:fill="FFFFFF" w:themeFill="background1"/>
          </w:tcPr>
          <w:p w:rsidR="00765AAA" w:rsidRDefault="00765AAA" w:rsidP="00765AAA">
            <w:r>
              <w:t xml:space="preserve">Economic Regulatory Authority (Western Australia) </w:t>
            </w:r>
          </w:p>
        </w:tc>
      </w:tr>
      <w:tr w:rsidR="00765AAA" w:rsidRPr="007976E2" w:rsidTr="00DE682F">
        <w:trPr>
          <w:trHeight w:val="284"/>
        </w:trPr>
        <w:tc>
          <w:tcPr>
            <w:tcW w:w="2268" w:type="dxa"/>
            <w:shd w:val="clear" w:color="auto" w:fill="FFFFFF" w:themeFill="background1"/>
          </w:tcPr>
          <w:p w:rsidR="00765AAA" w:rsidRDefault="00765AAA" w:rsidP="00765AAA">
            <w:r>
              <w:t>ESC</w:t>
            </w:r>
          </w:p>
        </w:tc>
        <w:tc>
          <w:tcPr>
            <w:tcW w:w="5528" w:type="dxa"/>
            <w:shd w:val="clear" w:color="auto" w:fill="FFFFFF" w:themeFill="background1"/>
          </w:tcPr>
          <w:p w:rsidR="00765AAA" w:rsidRDefault="00765AAA" w:rsidP="00765AAA">
            <w:r>
              <w:t>Essential Services Commission (Victoria)</w:t>
            </w:r>
          </w:p>
        </w:tc>
      </w:tr>
      <w:tr w:rsidR="00765AAA" w:rsidRPr="007976E2" w:rsidTr="00DE682F">
        <w:trPr>
          <w:trHeight w:val="284"/>
        </w:trPr>
        <w:tc>
          <w:tcPr>
            <w:tcW w:w="2268" w:type="dxa"/>
            <w:shd w:val="clear" w:color="auto" w:fill="FFFFFF" w:themeFill="background1"/>
          </w:tcPr>
          <w:p w:rsidR="00765AAA" w:rsidRPr="007976E2" w:rsidRDefault="00765AAA" w:rsidP="00765AAA">
            <w:r>
              <w:t>ESCOSA</w:t>
            </w:r>
          </w:p>
        </w:tc>
        <w:tc>
          <w:tcPr>
            <w:tcW w:w="5528" w:type="dxa"/>
            <w:shd w:val="clear" w:color="auto" w:fill="FFFFFF" w:themeFill="background1"/>
          </w:tcPr>
          <w:p w:rsidR="00765AAA" w:rsidRPr="007976E2" w:rsidRDefault="00765AAA" w:rsidP="00765AAA">
            <w:r>
              <w:t>Essential Services Commission of South Australia</w:t>
            </w:r>
          </w:p>
        </w:tc>
      </w:tr>
      <w:tr w:rsidR="00765AAA" w:rsidRPr="007976E2" w:rsidTr="00DE682F">
        <w:trPr>
          <w:trHeight w:val="284"/>
        </w:trPr>
        <w:tc>
          <w:tcPr>
            <w:tcW w:w="2268" w:type="dxa"/>
            <w:shd w:val="clear" w:color="auto" w:fill="FFFFFF" w:themeFill="background1"/>
          </w:tcPr>
          <w:p w:rsidR="00765AAA" w:rsidRPr="007976E2" w:rsidRDefault="00765AAA" w:rsidP="00765AAA">
            <w:r>
              <w:t>GL</w:t>
            </w:r>
          </w:p>
        </w:tc>
        <w:tc>
          <w:tcPr>
            <w:tcW w:w="5528" w:type="dxa"/>
            <w:shd w:val="clear" w:color="auto" w:fill="FFFFFF" w:themeFill="background1"/>
          </w:tcPr>
          <w:p w:rsidR="00765AAA" w:rsidRPr="007976E2" w:rsidRDefault="00765AAA" w:rsidP="00765AAA">
            <w:r>
              <w:t>gigalitre (one thousand megalitres)</w:t>
            </w:r>
          </w:p>
        </w:tc>
      </w:tr>
      <w:tr w:rsidR="00765AAA" w:rsidRPr="007976E2" w:rsidTr="00DE682F">
        <w:trPr>
          <w:trHeight w:val="284"/>
        </w:trPr>
        <w:tc>
          <w:tcPr>
            <w:tcW w:w="2268" w:type="dxa"/>
            <w:shd w:val="clear" w:color="auto" w:fill="FFFFFF" w:themeFill="background1"/>
          </w:tcPr>
          <w:p w:rsidR="00765AAA" w:rsidRPr="005B6158" w:rsidRDefault="00765AAA" w:rsidP="00765AAA">
            <w:r w:rsidRPr="007976E2">
              <w:t>ICRC</w:t>
            </w:r>
          </w:p>
        </w:tc>
        <w:tc>
          <w:tcPr>
            <w:tcW w:w="5528" w:type="dxa"/>
            <w:shd w:val="clear" w:color="auto" w:fill="FFFFFF" w:themeFill="background1"/>
          </w:tcPr>
          <w:p w:rsidR="00765AAA" w:rsidRPr="005B6158" w:rsidRDefault="00765AAA" w:rsidP="00765AAA">
            <w:r w:rsidRPr="007976E2">
              <w:t>Independent Competition and Regulatory Commission</w:t>
            </w:r>
          </w:p>
        </w:tc>
      </w:tr>
      <w:tr w:rsidR="00765AAA" w:rsidRPr="007976E2" w:rsidTr="00DE682F">
        <w:trPr>
          <w:trHeight w:val="284"/>
        </w:trPr>
        <w:tc>
          <w:tcPr>
            <w:tcW w:w="2268" w:type="dxa"/>
            <w:shd w:val="clear" w:color="auto" w:fill="FFFFFF" w:themeFill="background1"/>
          </w:tcPr>
          <w:p w:rsidR="00765AAA" w:rsidRPr="005B6158" w:rsidRDefault="00765AAA" w:rsidP="00765AAA">
            <w:r w:rsidRPr="007976E2">
              <w:t>ICRC Act</w:t>
            </w:r>
          </w:p>
        </w:tc>
        <w:tc>
          <w:tcPr>
            <w:tcW w:w="5528" w:type="dxa"/>
            <w:shd w:val="clear" w:color="auto" w:fill="FFFFFF" w:themeFill="background1"/>
          </w:tcPr>
          <w:p w:rsidR="00765AAA" w:rsidRPr="005B6158" w:rsidRDefault="00765AAA" w:rsidP="00765AAA">
            <w:r w:rsidRPr="00D56742">
              <w:rPr>
                <w:rStyle w:val="Italic"/>
              </w:rPr>
              <w:t>Independent Competition and Regulatory Commission Act</w:t>
            </w:r>
            <w:r w:rsidRPr="005B6158">
              <w:t xml:space="preserve"> </w:t>
            </w:r>
            <w:r w:rsidRPr="005B6158">
              <w:rPr>
                <w:rStyle w:val="Italic"/>
              </w:rPr>
              <w:t xml:space="preserve">1997 </w:t>
            </w:r>
            <w:r w:rsidRPr="005B6158">
              <w:t>(ACT)</w:t>
            </w:r>
          </w:p>
        </w:tc>
      </w:tr>
      <w:tr w:rsidR="00765AAA" w:rsidRPr="007976E2" w:rsidTr="00DE682F">
        <w:trPr>
          <w:trHeight w:val="284"/>
        </w:trPr>
        <w:tc>
          <w:tcPr>
            <w:tcW w:w="2268" w:type="dxa"/>
            <w:shd w:val="clear" w:color="auto" w:fill="FFFFFF" w:themeFill="background1"/>
          </w:tcPr>
          <w:p w:rsidR="00765AAA" w:rsidRDefault="00765AAA" w:rsidP="00765AAA">
            <w:r>
              <w:t>IPART</w:t>
            </w:r>
          </w:p>
        </w:tc>
        <w:tc>
          <w:tcPr>
            <w:tcW w:w="5528" w:type="dxa"/>
            <w:shd w:val="clear" w:color="auto" w:fill="FFFFFF" w:themeFill="background1"/>
          </w:tcPr>
          <w:p w:rsidR="00765AAA" w:rsidRDefault="00765AAA" w:rsidP="00765AAA">
            <w:r>
              <w:t>Independent Pricing and Regulatory Tribunal (New South Wales)</w:t>
            </w:r>
          </w:p>
        </w:tc>
      </w:tr>
      <w:tr w:rsidR="00765AAA" w:rsidRPr="007976E2" w:rsidTr="00DE682F">
        <w:trPr>
          <w:trHeight w:val="284"/>
        </w:trPr>
        <w:tc>
          <w:tcPr>
            <w:tcW w:w="2268" w:type="dxa"/>
            <w:shd w:val="clear" w:color="auto" w:fill="FFFFFF" w:themeFill="background1"/>
          </w:tcPr>
          <w:p w:rsidR="00765AAA" w:rsidRPr="005B6158" w:rsidRDefault="00765AAA" w:rsidP="00765AAA">
            <w:r>
              <w:t>kL</w:t>
            </w:r>
          </w:p>
        </w:tc>
        <w:tc>
          <w:tcPr>
            <w:tcW w:w="5528" w:type="dxa"/>
            <w:shd w:val="clear" w:color="auto" w:fill="FFFFFF" w:themeFill="background1"/>
          </w:tcPr>
          <w:p w:rsidR="00765AAA" w:rsidRPr="005B6158" w:rsidRDefault="00765AAA" w:rsidP="00765AAA">
            <w:r>
              <w:t>kilolitre (one thousand litres)</w:t>
            </w:r>
          </w:p>
        </w:tc>
      </w:tr>
      <w:tr w:rsidR="00980897" w:rsidRPr="007976E2" w:rsidTr="00DE682F">
        <w:trPr>
          <w:trHeight w:val="284"/>
        </w:trPr>
        <w:tc>
          <w:tcPr>
            <w:tcW w:w="2268" w:type="dxa"/>
            <w:shd w:val="clear" w:color="auto" w:fill="FFFFFF" w:themeFill="background1"/>
          </w:tcPr>
          <w:p w:rsidR="00980897" w:rsidRDefault="00980897" w:rsidP="00765AAA">
            <w:r>
              <w:t>LMWQCC</w:t>
            </w:r>
          </w:p>
        </w:tc>
        <w:tc>
          <w:tcPr>
            <w:tcW w:w="5528" w:type="dxa"/>
            <w:shd w:val="clear" w:color="auto" w:fill="FFFFFF" w:themeFill="background1"/>
          </w:tcPr>
          <w:p w:rsidR="00980897" w:rsidRDefault="00980897" w:rsidP="00980897">
            <w:r>
              <w:t>Lower Molonglo Water Quality Control Centre</w:t>
            </w:r>
          </w:p>
        </w:tc>
      </w:tr>
      <w:tr w:rsidR="00765AAA" w:rsidRPr="007976E2" w:rsidTr="00DE682F">
        <w:trPr>
          <w:trHeight w:val="284"/>
        </w:trPr>
        <w:tc>
          <w:tcPr>
            <w:tcW w:w="2268" w:type="dxa"/>
            <w:shd w:val="clear" w:color="auto" w:fill="FFFFFF" w:themeFill="background1"/>
          </w:tcPr>
          <w:p w:rsidR="00765AAA" w:rsidRDefault="00765AAA" w:rsidP="00765AAA">
            <w:r>
              <w:t>LRMC</w:t>
            </w:r>
          </w:p>
        </w:tc>
        <w:tc>
          <w:tcPr>
            <w:tcW w:w="5528" w:type="dxa"/>
            <w:shd w:val="clear" w:color="auto" w:fill="FFFFFF" w:themeFill="background1"/>
          </w:tcPr>
          <w:p w:rsidR="00765AAA" w:rsidRDefault="00765AAA" w:rsidP="00765AAA">
            <w:r>
              <w:t>long-run marginal cost</w:t>
            </w:r>
          </w:p>
        </w:tc>
      </w:tr>
      <w:tr w:rsidR="00765AAA" w:rsidRPr="007976E2" w:rsidTr="00DE682F">
        <w:trPr>
          <w:trHeight w:val="284"/>
        </w:trPr>
        <w:tc>
          <w:tcPr>
            <w:tcW w:w="2268" w:type="dxa"/>
            <w:shd w:val="clear" w:color="auto" w:fill="FFFFFF" w:themeFill="background1"/>
          </w:tcPr>
          <w:p w:rsidR="00765AAA" w:rsidRDefault="00765AAA" w:rsidP="00765AAA">
            <w:r>
              <w:t>MIC</w:t>
            </w:r>
          </w:p>
        </w:tc>
        <w:tc>
          <w:tcPr>
            <w:tcW w:w="5528" w:type="dxa"/>
            <w:shd w:val="clear" w:color="auto" w:fill="FFFFFF" w:themeFill="background1"/>
          </w:tcPr>
          <w:p w:rsidR="00765AAA" w:rsidRDefault="00765AAA" w:rsidP="00765AAA">
            <w:r>
              <w:t>marginal incremental cost</w:t>
            </w:r>
          </w:p>
        </w:tc>
      </w:tr>
      <w:tr w:rsidR="00765AAA" w:rsidRPr="007976E2" w:rsidTr="00DE682F">
        <w:trPr>
          <w:trHeight w:val="284"/>
        </w:trPr>
        <w:tc>
          <w:tcPr>
            <w:tcW w:w="2268" w:type="dxa"/>
            <w:shd w:val="clear" w:color="auto" w:fill="FFFFFF" w:themeFill="background1"/>
          </w:tcPr>
          <w:p w:rsidR="00765AAA" w:rsidRDefault="00765AAA" w:rsidP="00765AAA">
            <w:r>
              <w:t>ML</w:t>
            </w:r>
          </w:p>
        </w:tc>
        <w:tc>
          <w:tcPr>
            <w:tcW w:w="5528" w:type="dxa"/>
            <w:shd w:val="clear" w:color="auto" w:fill="FFFFFF" w:themeFill="background1"/>
          </w:tcPr>
          <w:p w:rsidR="00765AAA" w:rsidRDefault="00765AAA" w:rsidP="00765AAA">
            <w:r>
              <w:t>megalitre (one thousand kilolitres)</w:t>
            </w:r>
          </w:p>
        </w:tc>
      </w:tr>
      <w:tr w:rsidR="00765AAA" w:rsidRPr="007976E2" w:rsidTr="00DE682F">
        <w:trPr>
          <w:trHeight w:val="284"/>
        </w:trPr>
        <w:tc>
          <w:tcPr>
            <w:tcW w:w="2268" w:type="dxa"/>
            <w:shd w:val="clear" w:color="auto" w:fill="FFFFFF" w:themeFill="background1"/>
          </w:tcPr>
          <w:p w:rsidR="00765AAA" w:rsidRDefault="00765AAA" w:rsidP="00765AAA">
            <w:r>
              <w:t>NWI</w:t>
            </w:r>
          </w:p>
        </w:tc>
        <w:tc>
          <w:tcPr>
            <w:tcW w:w="5528" w:type="dxa"/>
            <w:shd w:val="clear" w:color="auto" w:fill="FFFFFF" w:themeFill="background1"/>
          </w:tcPr>
          <w:p w:rsidR="00765AAA" w:rsidRDefault="00765AAA" w:rsidP="00765AAA">
            <w:r>
              <w:t>National Water Initiative</w:t>
            </w:r>
          </w:p>
        </w:tc>
      </w:tr>
      <w:tr w:rsidR="00765AAA" w:rsidRPr="007976E2" w:rsidTr="00DE682F">
        <w:trPr>
          <w:trHeight w:val="284"/>
        </w:trPr>
        <w:tc>
          <w:tcPr>
            <w:tcW w:w="2268" w:type="dxa"/>
            <w:shd w:val="clear" w:color="auto" w:fill="FFFFFF" w:themeFill="background1"/>
          </w:tcPr>
          <w:p w:rsidR="00765AAA" w:rsidRDefault="00765AAA" w:rsidP="00765AAA">
            <w:r>
              <w:t>QCA</w:t>
            </w:r>
          </w:p>
        </w:tc>
        <w:tc>
          <w:tcPr>
            <w:tcW w:w="5528" w:type="dxa"/>
            <w:shd w:val="clear" w:color="auto" w:fill="FFFFFF" w:themeFill="background1"/>
          </w:tcPr>
          <w:p w:rsidR="00765AAA" w:rsidRDefault="00765AAA" w:rsidP="00765AAA">
            <w:r>
              <w:t>Queensland Competition Authority</w:t>
            </w:r>
          </w:p>
        </w:tc>
      </w:tr>
      <w:tr w:rsidR="00765AAA" w:rsidRPr="007976E2" w:rsidTr="00DE682F">
        <w:trPr>
          <w:trHeight w:val="284"/>
        </w:trPr>
        <w:tc>
          <w:tcPr>
            <w:tcW w:w="2268" w:type="dxa"/>
            <w:shd w:val="clear" w:color="auto" w:fill="FFFFFF" w:themeFill="background1"/>
          </w:tcPr>
          <w:p w:rsidR="00765AAA" w:rsidRDefault="00765AAA" w:rsidP="00765AAA">
            <w:r>
              <w:t>OFWAT</w:t>
            </w:r>
          </w:p>
        </w:tc>
        <w:tc>
          <w:tcPr>
            <w:tcW w:w="5528" w:type="dxa"/>
            <w:shd w:val="clear" w:color="auto" w:fill="FFFFFF" w:themeFill="background1"/>
          </w:tcPr>
          <w:p w:rsidR="00765AAA" w:rsidRDefault="00765AAA" w:rsidP="00765AAA">
            <w:r>
              <w:t>Water Services Regulatory Authority (United Kingdom)</w:t>
            </w:r>
          </w:p>
        </w:tc>
      </w:tr>
      <w:tr w:rsidR="00765AAA" w:rsidRPr="007976E2" w:rsidTr="00DE682F">
        <w:trPr>
          <w:trHeight w:val="284"/>
        </w:trPr>
        <w:tc>
          <w:tcPr>
            <w:tcW w:w="2268" w:type="dxa"/>
            <w:shd w:val="clear" w:color="auto" w:fill="FFFFFF" w:themeFill="background1"/>
          </w:tcPr>
          <w:p w:rsidR="00765AAA" w:rsidRDefault="00765AAA" w:rsidP="00765AAA">
            <w:r>
              <w:t>OTTER</w:t>
            </w:r>
          </w:p>
        </w:tc>
        <w:tc>
          <w:tcPr>
            <w:tcW w:w="5528" w:type="dxa"/>
            <w:shd w:val="clear" w:color="auto" w:fill="FFFFFF" w:themeFill="background1"/>
          </w:tcPr>
          <w:p w:rsidR="00765AAA" w:rsidRDefault="00765AAA" w:rsidP="00765AAA">
            <w:r>
              <w:t xml:space="preserve">Office of the Tasmanian Economic Regulator </w:t>
            </w:r>
          </w:p>
        </w:tc>
      </w:tr>
      <w:tr w:rsidR="00765AAA" w:rsidRPr="007976E2" w:rsidTr="00DE682F">
        <w:trPr>
          <w:trHeight w:val="284"/>
        </w:trPr>
        <w:tc>
          <w:tcPr>
            <w:tcW w:w="2268" w:type="dxa"/>
            <w:shd w:val="clear" w:color="auto" w:fill="FFFFFF" w:themeFill="background1"/>
          </w:tcPr>
          <w:p w:rsidR="00765AAA" w:rsidRDefault="00765AAA" w:rsidP="00765AAA">
            <w:r>
              <w:t>PWCM</w:t>
            </w:r>
          </w:p>
        </w:tc>
        <w:tc>
          <w:tcPr>
            <w:tcW w:w="5528" w:type="dxa"/>
            <w:shd w:val="clear" w:color="auto" w:fill="FFFFFF" w:themeFill="background1"/>
          </w:tcPr>
          <w:p w:rsidR="00765AAA" w:rsidRDefault="00765AAA" w:rsidP="00765AAA">
            <w:r>
              <w:t xml:space="preserve">Permanent water conservation measures </w:t>
            </w:r>
          </w:p>
        </w:tc>
      </w:tr>
      <w:tr w:rsidR="00765AAA" w:rsidRPr="007976E2" w:rsidTr="00DE682F">
        <w:trPr>
          <w:trHeight w:val="284"/>
        </w:trPr>
        <w:tc>
          <w:tcPr>
            <w:tcW w:w="2268" w:type="dxa"/>
            <w:shd w:val="clear" w:color="auto" w:fill="FFFFFF" w:themeFill="background1"/>
          </w:tcPr>
          <w:p w:rsidR="00765AAA" w:rsidRDefault="00765AAA" w:rsidP="00765AAA"/>
        </w:tc>
        <w:tc>
          <w:tcPr>
            <w:tcW w:w="5528" w:type="dxa"/>
            <w:shd w:val="clear" w:color="auto" w:fill="FFFFFF" w:themeFill="background1"/>
          </w:tcPr>
          <w:p w:rsidR="00765AAA" w:rsidRDefault="00765AAA" w:rsidP="00765AAA"/>
        </w:tc>
      </w:tr>
      <w:tr w:rsidR="00151510" w:rsidRPr="007976E2" w:rsidTr="00DE682F">
        <w:trPr>
          <w:trHeight w:val="284"/>
        </w:trPr>
        <w:tc>
          <w:tcPr>
            <w:tcW w:w="2268" w:type="dxa"/>
            <w:shd w:val="clear" w:color="auto" w:fill="FFFFFF" w:themeFill="background1"/>
          </w:tcPr>
          <w:p w:rsidR="00151510" w:rsidRDefault="00151510" w:rsidP="00765AAA">
            <w:r>
              <w:lastRenderedPageBreak/>
              <w:t>SEACI</w:t>
            </w:r>
          </w:p>
        </w:tc>
        <w:tc>
          <w:tcPr>
            <w:tcW w:w="5528" w:type="dxa"/>
            <w:shd w:val="clear" w:color="auto" w:fill="FFFFFF" w:themeFill="background1"/>
          </w:tcPr>
          <w:p w:rsidR="00151510" w:rsidRDefault="00151510" w:rsidP="00151510">
            <w:r>
              <w:t xml:space="preserve">South Eastern Australian Climate Initiative </w:t>
            </w:r>
          </w:p>
        </w:tc>
      </w:tr>
      <w:tr w:rsidR="00765AAA" w:rsidRPr="007976E2" w:rsidTr="00DE682F">
        <w:trPr>
          <w:trHeight w:val="284"/>
        </w:trPr>
        <w:tc>
          <w:tcPr>
            <w:tcW w:w="2268" w:type="dxa"/>
            <w:shd w:val="clear" w:color="auto" w:fill="FFFFFF" w:themeFill="background1"/>
          </w:tcPr>
          <w:p w:rsidR="00765AAA" w:rsidRDefault="00765AAA" w:rsidP="00765AAA">
            <w:r>
              <w:t>SRMC</w:t>
            </w:r>
          </w:p>
        </w:tc>
        <w:tc>
          <w:tcPr>
            <w:tcW w:w="5528" w:type="dxa"/>
            <w:shd w:val="clear" w:color="auto" w:fill="FFFFFF" w:themeFill="background1"/>
          </w:tcPr>
          <w:p w:rsidR="00765AAA" w:rsidRDefault="00765AAA" w:rsidP="00765AAA">
            <w:r>
              <w:t xml:space="preserve">short-run marginal cost </w:t>
            </w:r>
          </w:p>
        </w:tc>
      </w:tr>
      <w:tr w:rsidR="00765AAA" w:rsidRPr="007976E2" w:rsidTr="00DE682F">
        <w:trPr>
          <w:trHeight w:val="284"/>
        </w:trPr>
        <w:tc>
          <w:tcPr>
            <w:tcW w:w="2268" w:type="dxa"/>
            <w:shd w:val="clear" w:color="auto" w:fill="FFFFFF" w:themeFill="background1"/>
          </w:tcPr>
          <w:p w:rsidR="00765AAA" w:rsidRPr="002466F6" w:rsidRDefault="00765AAA" w:rsidP="00765AAA">
            <w:r>
              <w:t>TMC</w:t>
            </w:r>
          </w:p>
        </w:tc>
        <w:tc>
          <w:tcPr>
            <w:tcW w:w="5528" w:type="dxa"/>
            <w:shd w:val="clear" w:color="auto" w:fill="FFFFFF" w:themeFill="background1"/>
          </w:tcPr>
          <w:p w:rsidR="00765AAA" w:rsidRPr="002466F6" w:rsidRDefault="00765AAA" w:rsidP="00765AAA">
            <w:r>
              <w:t>‘Textbook’ marginal cost</w:t>
            </w:r>
          </w:p>
        </w:tc>
      </w:tr>
      <w:tr w:rsidR="00765AAA" w:rsidRPr="007976E2" w:rsidTr="00DE682F">
        <w:trPr>
          <w:trHeight w:val="284"/>
        </w:trPr>
        <w:tc>
          <w:tcPr>
            <w:tcW w:w="2268" w:type="dxa"/>
            <w:shd w:val="clear" w:color="auto" w:fill="FFFFFF" w:themeFill="background1"/>
          </w:tcPr>
          <w:p w:rsidR="00765AAA" w:rsidRPr="002466F6" w:rsidRDefault="00765AAA" w:rsidP="00765AAA">
            <w:r w:rsidRPr="002466F6">
              <w:t>WAC</w:t>
            </w:r>
          </w:p>
        </w:tc>
        <w:tc>
          <w:tcPr>
            <w:tcW w:w="5528" w:type="dxa"/>
            <w:shd w:val="clear" w:color="auto" w:fill="FFFFFF" w:themeFill="background1"/>
          </w:tcPr>
          <w:p w:rsidR="00765AAA" w:rsidRPr="002466F6" w:rsidRDefault="00765AAA" w:rsidP="00765AAA">
            <w:r w:rsidRPr="002466F6">
              <w:t xml:space="preserve">Water </w:t>
            </w:r>
            <w:r>
              <w:t>A</w:t>
            </w:r>
            <w:r w:rsidRPr="002466F6">
              <w:t xml:space="preserve">bstraction </w:t>
            </w:r>
            <w:r>
              <w:t>C</w:t>
            </w:r>
            <w:r w:rsidRPr="002466F6">
              <w:t>harge</w:t>
            </w:r>
          </w:p>
        </w:tc>
      </w:tr>
      <w:tr w:rsidR="00765AAA" w:rsidRPr="007976E2" w:rsidTr="00DE682F">
        <w:trPr>
          <w:trHeight w:val="284"/>
        </w:trPr>
        <w:tc>
          <w:tcPr>
            <w:tcW w:w="2268" w:type="dxa"/>
            <w:shd w:val="clear" w:color="auto" w:fill="FFFFFF" w:themeFill="background1"/>
          </w:tcPr>
          <w:p w:rsidR="00765AAA" w:rsidRPr="002466F6" w:rsidRDefault="00765AAA" w:rsidP="00765AAA">
            <w:r>
              <w:t>WACC</w:t>
            </w:r>
          </w:p>
        </w:tc>
        <w:tc>
          <w:tcPr>
            <w:tcW w:w="5528" w:type="dxa"/>
            <w:shd w:val="clear" w:color="auto" w:fill="FFFFFF" w:themeFill="background1"/>
          </w:tcPr>
          <w:p w:rsidR="00765AAA" w:rsidRPr="002466F6" w:rsidRDefault="00765AAA" w:rsidP="00765AAA">
            <w:r>
              <w:t>weighted average cost of capital</w:t>
            </w:r>
          </w:p>
        </w:tc>
      </w:tr>
    </w:tbl>
    <w:p w:rsidR="0074524D" w:rsidRDefault="0074524D" w:rsidP="008A1C91">
      <w:pPr>
        <w:pStyle w:val="References"/>
      </w:pPr>
    </w:p>
    <w:p w:rsidR="0074524D" w:rsidRDefault="0074524D" w:rsidP="008A1C91">
      <w:pPr>
        <w:pStyle w:val="References"/>
      </w:pPr>
    </w:p>
    <w:p w:rsidR="0074524D" w:rsidRDefault="0074524D" w:rsidP="008A1C91">
      <w:pPr>
        <w:pStyle w:val="References"/>
      </w:pPr>
    </w:p>
    <w:p w:rsidR="0074524D" w:rsidRDefault="0074524D" w:rsidP="008A1C91">
      <w:pPr>
        <w:pStyle w:val="References"/>
      </w:pPr>
    </w:p>
    <w:p w:rsidR="00E82CAF" w:rsidRDefault="00E82CAF" w:rsidP="008A1C91">
      <w:pPr>
        <w:pStyle w:val="References"/>
        <w:sectPr w:rsidR="00E82CAF" w:rsidSect="008C4D2D">
          <w:headerReference w:type="even" r:id="rId85"/>
          <w:headerReference w:type="default" r:id="rId86"/>
          <w:endnotePr>
            <w:numFmt w:val="decimal"/>
          </w:endnotePr>
          <w:type w:val="continuous"/>
          <w:pgSz w:w="11907" w:h="16840" w:code="9"/>
          <w:pgMar w:top="2268" w:right="2098" w:bottom="1701" w:left="2098" w:header="578" w:footer="578" w:gutter="0"/>
          <w:cols w:space="720"/>
          <w:docGrid w:linePitch="360"/>
        </w:sectPr>
      </w:pPr>
    </w:p>
    <w:p w:rsidR="008C4D2D" w:rsidRDefault="007A1FA7" w:rsidP="00C7285A">
      <w:pPr>
        <w:pStyle w:val="Heading1a"/>
        <w:sectPr w:rsidR="008C4D2D" w:rsidSect="00FD0141">
          <w:headerReference w:type="even" r:id="rId87"/>
          <w:headerReference w:type="default" r:id="rId88"/>
          <w:endnotePr>
            <w:numFmt w:val="decimal"/>
          </w:endnotePr>
          <w:type w:val="oddPage"/>
          <w:pgSz w:w="11907" w:h="16840" w:code="9"/>
          <w:pgMar w:top="2268" w:right="2098" w:bottom="1701" w:left="2098" w:header="578" w:footer="578" w:gutter="0"/>
          <w:cols w:space="720"/>
          <w:docGrid w:linePitch="360"/>
        </w:sectPr>
      </w:pPr>
      <w:bookmarkStart w:id="190" w:name="_Toc453920890"/>
      <w:r w:rsidRPr="002E2FD3">
        <w:lastRenderedPageBreak/>
        <w:t>References</w:t>
      </w:r>
      <w:bookmarkEnd w:id="190"/>
    </w:p>
    <w:p w:rsidR="000F2FEB" w:rsidRPr="000F2FEB" w:rsidRDefault="00C04337" w:rsidP="00924019">
      <w:pPr>
        <w:pStyle w:val="References"/>
      </w:pPr>
      <w:r w:rsidRPr="001D57A3">
        <w:lastRenderedPageBreak/>
        <w:fldChar w:fldCharType="begin"/>
      </w:r>
      <w:r w:rsidR="00D92B9C" w:rsidRPr="001D57A3">
        <w:instrText xml:space="preserve"> ADDIN EN.REFLIST </w:instrText>
      </w:r>
      <w:r w:rsidRPr="001D57A3">
        <w:fldChar w:fldCharType="separate"/>
      </w:r>
      <w:bookmarkStart w:id="191" w:name="_ENREF_1"/>
      <w:r w:rsidR="000F2FEB" w:rsidRPr="000F2FEB">
        <w:t>ABS 2013. "3222.0 - Population Projections, Australia, 2012." Canberra: Australian Bureau of Statistics.</w:t>
      </w:r>
      <w:bookmarkEnd w:id="191"/>
    </w:p>
    <w:p w:rsidR="000F2FEB" w:rsidRPr="000F2FEB" w:rsidRDefault="000F2FEB" w:rsidP="00924019">
      <w:pPr>
        <w:pStyle w:val="References"/>
      </w:pPr>
      <w:bookmarkStart w:id="192" w:name="_ENREF_2"/>
      <w:r w:rsidRPr="000F2FEB">
        <w:t>ACT Government 2010a. "Utilities (Water Restrictions Scheme) Approval 2010 (No 1)." Canberra: ACT Legislative Assembly.</w:t>
      </w:r>
      <w:bookmarkEnd w:id="192"/>
    </w:p>
    <w:p w:rsidR="000F2FEB" w:rsidRPr="000F2FEB" w:rsidRDefault="000F2FEB" w:rsidP="00924019">
      <w:pPr>
        <w:pStyle w:val="References"/>
      </w:pPr>
      <w:bookmarkStart w:id="193" w:name="_ENREF_3"/>
      <w:r w:rsidRPr="000F2FEB">
        <w:t xml:space="preserve">ACT Government 2010b. "Utilities Water Conservation Measures Approval 2010." </w:t>
      </w:r>
      <w:r w:rsidRPr="000F2FEB">
        <w:rPr>
          <w:i/>
        </w:rPr>
        <w:t>In:</w:t>
      </w:r>
      <w:r w:rsidRPr="000F2FEB">
        <w:t xml:space="preserve"> Government, A (ed.). Canberra: ACT Legislative Assembly.</w:t>
      </w:r>
      <w:bookmarkEnd w:id="193"/>
    </w:p>
    <w:p w:rsidR="000F2FEB" w:rsidRPr="000F2FEB" w:rsidRDefault="000F2FEB" w:rsidP="00924019">
      <w:pPr>
        <w:pStyle w:val="References"/>
      </w:pPr>
      <w:bookmarkStart w:id="194" w:name="_ENREF_4"/>
      <w:r w:rsidRPr="000F2FEB">
        <w:t>ACT Government 2013. "Water Resources Environmental Flow Guidelines</w:t>
      </w:r>
    </w:p>
    <w:p w:rsidR="000F2FEB" w:rsidRPr="000F2FEB" w:rsidRDefault="000F2FEB" w:rsidP="00924019">
      <w:pPr>
        <w:pStyle w:val="References"/>
      </w:pPr>
      <w:r w:rsidRPr="000F2FEB">
        <w:t xml:space="preserve">2013." </w:t>
      </w:r>
      <w:r w:rsidRPr="000F2FEB">
        <w:rPr>
          <w:i/>
        </w:rPr>
        <w:t>In:</w:t>
      </w:r>
      <w:r w:rsidRPr="000F2FEB">
        <w:t xml:space="preserve"> ACT, E (ed.). Canberra: ACT Government.</w:t>
      </w:r>
      <w:bookmarkEnd w:id="194"/>
    </w:p>
    <w:p w:rsidR="000F2FEB" w:rsidRPr="000F2FEB" w:rsidRDefault="000F2FEB" w:rsidP="00924019">
      <w:pPr>
        <w:pStyle w:val="References"/>
      </w:pPr>
      <w:bookmarkStart w:id="195" w:name="_ENREF_5"/>
      <w:r w:rsidRPr="000F2FEB">
        <w:t>ACT Government 2014a. "ACT Population Projections 2013." Canberra: ACT Treasury.</w:t>
      </w:r>
      <w:bookmarkEnd w:id="195"/>
    </w:p>
    <w:p w:rsidR="000F2FEB" w:rsidRPr="000F2FEB" w:rsidRDefault="000F2FEB" w:rsidP="00924019">
      <w:pPr>
        <w:pStyle w:val="References"/>
      </w:pPr>
      <w:bookmarkStart w:id="196" w:name="_ENREF_6"/>
      <w:r w:rsidRPr="000F2FEB">
        <w:t>ACT Government 2014b. "ACT Water Strategy 2014-44: Striking the Balance." Canberra: ACT Government.</w:t>
      </w:r>
      <w:bookmarkEnd w:id="196"/>
    </w:p>
    <w:p w:rsidR="000F2FEB" w:rsidRPr="000F2FEB" w:rsidRDefault="000F2FEB" w:rsidP="00924019">
      <w:pPr>
        <w:pStyle w:val="References"/>
      </w:pPr>
      <w:bookmarkStart w:id="197" w:name="_ENREF_7"/>
      <w:r w:rsidRPr="000F2FEB">
        <w:t xml:space="preserve">ACT Legislative Assembly 2016. "Independent Competition and Regulatory Commission Amendment Bill 2016." </w:t>
      </w:r>
      <w:r w:rsidRPr="000F2FEB">
        <w:rPr>
          <w:i/>
        </w:rPr>
        <w:t>In:</w:t>
      </w:r>
      <w:r w:rsidRPr="000F2FEB">
        <w:t xml:space="preserve"> Counsel, AP (ed.). Canberra ACT.</w:t>
      </w:r>
      <w:bookmarkEnd w:id="197"/>
    </w:p>
    <w:p w:rsidR="000F2FEB" w:rsidRPr="000F2FEB" w:rsidRDefault="000F2FEB" w:rsidP="00924019">
      <w:pPr>
        <w:pStyle w:val="References"/>
      </w:pPr>
      <w:bookmarkStart w:id="198" w:name="_ENREF_8"/>
      <w:r w:rsidRPr="000F2FEB">
        <w:t>ACTEW 2005. "Future Water Options: Tennent Option Report."</w:t>
      </w:r>
      <w:bookmarkEnd w:id="198"/>
    </w:p>
    <w:p w:rsidR="000F2FEB" w:rsidRPr="000F2FEB" w:rsidRDefault="000F2FEB" w:rsidP="00924019">
      <w:pPr>
        <w:pStyle w:val="References"/>
      </w:pPr>
      <w:bookmarkStart w:id="199" w:name="_ENREF_9"/>
      <w:r w:rsidRPr="000F2FEB">
        <w:t xml:space="preserve">ACTEW 2008. </w:t>
      </w:r>
      <w:r w:rsidRPr="000F2FEB">
        <w:rPr>
          <w:i/>
        </w:rPr>
        <w:t>Water security for the ACT and region: Recommendations to ACT Government</w:t>
      </w:r>
      <w:r w:rsidRPr="000F2FEB">
        <w:t>. Canberra ACT.</w:t>
      </w:r>
      <w:bookmarkEnd w:id="199"/>
    </w:p>
    <w:p w:rsidR="000F2FEB" w:rsidRPr="000F2FEB" w:rsidRDefault="000F2FEB" w:rsidP="00924019">
      <w:pPr>
        <w:pStyle w:val="References"/>
      </w:pPr>
      <w:bookmarkStart w:id="200" w:name="_ENREF_10"/>
      <w:r w:rsidRPr="000F2FEB">
        <w:t xml:space="preserve">ACTEW 2011a. </w:t>
      </w:r>
      <w:r w:rsidRPr="000F2FEB">
        <w:rPr>
          <w:i/>
        </w:rPr>
        <w:t>ACTEW water modelling presentation</w:t>
      </w:r>
      <w:r w:rsidRPr="000F2FEB">
        <w:t>. ACTEW, Canberra ACT.</w:t>
      </w:r>
      <w:bookmarkEnd w:id="200"/>
    </w:p>
    <w:p w:rsidR="000F2FEB" w:rsidRPr="000F2FEB" w:rsidRDefault="000F2FEB" w:rsidP="00924019">
      <w:pPr>
        <w:pStyle w:val="References"/>
      </w:pPr>
      <w:bookmarkStart w:id="201" w:name="_ENREF_11"/>
      <w:r w:rsidRPr="000F2FEB">
        <w:t xml:space="preserve">ACTEW 2011b. </w:t>
      </w:r>
      <w:r w:rsidRPr="000F2FEB">
        <w:rPr>
          <w:i/>
        </w:rPr>
        <w:t>Future Sewerage Options Review Summary 2010-2060</w:t>
      </w:r>
      <w:r w:rsidRPr="000F2FEB">
        <w:t xml:space="preserve">. </w:t>
      </w:r>
      <w:bookmarkEnd w:id="201"/>
    </w:p>
    <w:p w:rsidR="000F2FEB" w:rsidRPr="000F2FEB" w:rsidRDefault="000F2FEB" w:rsidP="00924019">
      <w:pPr>
        <w:pStyle w:val="References"/>
      </w:pPr>
      <w:bookmarkStart w:id="202" w:name="_ENREF_12"/>
      <w:r w:rsidRPr="000F2FEB">
        <w:t>ACTEW 2014a. "ACTEW Future Climate Update." Canberra: ACTEW Water.</w:t>
      </w:r>
      <w:bookmarkEnd w:id="202"/>
    </w:p>
    <w:p w:rsidR="000F2FEB" w:rsidRPr="000F2FEB" w:rsidRDefault="000F2FEB" w:rsidP="00924019">
      <w:pPr>
        <w:pStyle w:val="References"/>
      </w:pPr>
      <w:bookmarkStart w:id="203" w:name="_ENREF_13"/>
      <w:r w:rsidRPr="000F2FEB">
        <w:t>ACTEW 2014b. "Information return: demand forecasts: Submission to the Industry Panel review of the Price Direction for regulated water and sewerage services determined by the Independent Competition and Regulatory Commission in June 2013." Canberra: ACTEW Water.</w:t>
      </w:r>
      <w:bookmarkEnd w:id="203"/>
    </w:p>
    <w:p w:rsidR="000F2FEB" w:rsidRPr="000F2FEB" w:rsidRDefault="000F2FEB" w:rsidP="00924019">
      <w:pPr>
        <w:pStyle w:val="References"/>
      </w:pPr>
      <w:bookmarkStart w:id="204" w:name="_ENREF_14"/>
      <w:r w:rsidRPr="000F2FEB">
        <w:t xml:space="preserve">ActewAGL 2011. </w:t>
      </w:r>
      <w:r w:rsidRPr="000F2FEB">
        <w:rPr>
          <w:i/>
        </w:rPr>
        <w:t>Water Planning 2011: Review of Planning Variables for Water Supply and Demand Assessment - A review of the changes in water resources modelling assumptions</w:t>
      </w:r>
      <w:r w:rsidRPr="000F2FEB">
        <w:t>. ActewAGL Infrastructure Development and Asset Management Branch Water Division, Canberra.</w:t>
      </w:r>
      <w:bookmarkEnd w:id="204"/>
    </w:p>
    <w:p w:rsidR="000F2FEB" w:rsidRPr="000F2FEB" w:rsidRDefault="000F2FEB" w:rsidP="00924019">
      <w:pPr>
        <w:pStyle w:val="References"/>
      </w:pPr>
      <w:bookmarkStart w:id="205" w:name="_ENREF_15"/>
      <w:r w:rsidRPr="000F2FEB">
        <w:t>AEMC 2013. "Electricity price trend final report - Possible future retail electricity price movements: 1 July 2012 to 30 June 2015." Sydney: Australian Energy Market Commission.</w:t>
      </w:r>
      <w:bookmarkEnd w:id="205"/>
    </w:p>
    <w:p w:rsidR="000F2FEB" w:rsidRPr="000F2FEB" w:rsidRDefault="000F2FEB" w:rsidP="00924019">
      <w:pPr>
        <w:pStyle w:val="References"/>
      </w:pPr>
      <w:bookmarkStart w:id="206" w:name="_ENREF_16"/>
      <w:r w:rsidRPr="000F2FEB">
        <w:lastRenderedPageBreak/>
        <w:t xml:space="preserve">Andersson, R and Bohman, M 1985. "Short- and long-run marginal cost pricing: On their alleged equivalence." </w:t>
      </w:r>
      <w:r w:rsidRPr="000F2FEB">
        <w:rPr>
          <w:i/>
        </w:rPr>
        <w:t>Energy Economics</w:t>
      </w:r>
      <w:r w:rsidRPr="000F2FEB">
        <w:t>. 7, 279-288.</w:t>
      </w:r>
      <w:bookmarkEnd w:id="206"/>
    </w:p>
    <w:p w:rsidR="000F2FEB" w:rsidRPr="000F2FEB" w:rsidRDefault="000F2FEB" w:rsidP="00924019">
      <w:pPr>
        <w:pStyle w:val="References"/>
      </w:pPr>
      <w:bookmarkStart w:id="207" w:name="_ENREF_17"/>
      <w:r w:rsidRPr="000F2FEB">
        <w:t xml:space="preserve">Baumol, WJ and Bradford, DF 1970. "Optimal Departures From Marginal Cost Pricing." </w:t>
      </w:r>
      <w:r w:rsidRPr="000F2FEB">
        <w:rPr>
          <w:i/>
        </w:rPr>
        <w:t>The American Economic Review</w:t>
      </w:r>
      <w:r w:rsidRPr="000F2FEB">
        <w:t>. 60, 265-283.</w:t>
      </w:r>
      <w:bookmarkEnd w:id="207"/>
    </w:p>
    <w:p w:rsidR="000F2FEB" w:rsidRPr="000F2FEB" w:rsidRDefault="000F2FEB" w:rsidP="00924019">
      <w:pPr>
        <w:pStyle w:val="References"/>
      </w:pPr>
      <w:bookmarkStart w:id="208" w:name="_ENREF_18"/>
      <w:r w:rsidRPr="000F2FEB">
        <w:t xml:space="preserve">Boiteux, M 1960. "Peak-Load Pricing." </w:t>
      </w:r>
      <w:r w:rsidRPr="000F2FEB">
        <w:rPr>
          <w:i/>
        </w:rPr>
        <w:t>The Journal of Business</w:t>
      </w:r>
      <w:r w:rsidRPr="000F2FEB">
        <w:t>. 33, 157-179.</w:t>
      </w:r>
      <w:bookmarkEnd w:id="208"/>
    </w:p>
    <w:p w:rsidR="000F2FEB" w:rsidRPr="000F2FEB" w:rsidRDefault="000F2FEB" w:rsidP="00924019">
      <w:pPr>
        <w:pStyle w:val="References"/>
      </w:pPr>
      <w:bookmarkStart w:id="209" w:name="_ENREF_19"/>
      <w:r w:rsidRPr="000F2FEB">
        <w:t>Breusch, T and Ward, M 2012. "Attachment 12: Building a forecasting model of ACT water use." Canberra.</w:t>
      </w:r>
      <w:bookmarkEnd w:id="209"/>
    </w:p>
    <w:p w:rsidR="000F2FEB" w:rsidRPr="000F2FEB" w:rsidRDefault="000F2FEB" w:rsidP="00924019">
      <w:pPr>
        <w:pStyle w:val="References"/>
      </w:pPr>
      <w:bookmarkStart w:id="210" w:name="_ENREF_20"/>
      <w:r w:rsidRPr="000F2FEB">
        <w:t xml:space="preserve">Brown, DJ, Heller, WP and Starr, RM 1992. "Two-part marginal cost pricing equilibria: Existence and efficiency." </w:t>
      </w:r>
      <w:r w:rsidRPr="000F2FEB">
        <w:rPr>
          <w:i/>
        </w:rPr>
        <w:t>Journal of Economic Theory</w:t>
      </w:r>
      <w:r w:rsidRPr="000F2FEB">
        <w:t>. 57, 52-72.</w:t>
      </w:r>
      <w:bookmarkEnd w:id="210"/>
    </w:p>
    <w:p w:rsidR="000F2FEB" w:rsidRPr="000F2FEB" w:rsidRDefault="000F2FEB" w:rsidP="00924019">
      <w:pPr>
        <w:pStyle w:val="References"/>
      </w:pPr>
      <w:bookmarkStart w:id="211" w:name="_ENREF_21"/>
      <w:r w:rsidRPr="000F2FEB">
        <w:t xml:space="preserve">Carter, DW and Milon, JW 2005. "Price Knowledge in Household Demand for Utility Services." </w:t>
      </w:r>
      <w:r w:rsidRPr="000F2FEB">
        <w:rPr>
          <w:i/>
        </w:rPr>
        <w:t>Land Economics</w:t>
      </w:r>
      <w:r w:rsidRPr="000F2FEB">
        <w:t>. 81, 265-283.</w:t>
      </w:r>
      <w:bookmarkEnd w:id="211"/>
    </w:p>
    <w:p w:rsidR="000F2FEB" w:rsidRPr="000F2FEB" w:rsidRDefault="000F2FEB" w:rsidP="00924019">
      <w:pPr>
        <w:pStyle w:val="References"/>
      </w:pPr>
      <w:bookmarkStart w:id="212" w:name="_ENREF_22"/>
      <w:r w:rsidRPr="000F2FEB">
        <w:t xml:space="preserve">Coase, RH 1946. "Marginal Cost Controversy." </w:t>
      </w:r>
      <w:r w:rsidRPr="000F2FEB">
        <w:rPr>
          <w:i/>
        </w:rPr>
        <w:t>Economica</w:t>
      </w:r>
      <w:r w:rsidRPr="000F2FEB">
        <w:t>. 13, 169-182.</w:t>
      </w:r>
      <w:bookmarkEnd w:id="212"/>
    </w:p>
    <w:p w:rsidR="000F2FEB" w:rsidRPr="000F2FEB" w:rsidRDefault="000F2FEB" w:rsidP="00924019">
      <w:pPr>
        <w:pStyle w:val="References"/>
      </w:pPr>
      <w:bookmarkStart w:id="213" w:name="_ENREF_23"/>
      <w:r w:rsidRPr="000F2FEB">
        <w:t xml:space="preserve">Coase, RH 1970. "The theory of public utility pricing and its application." </w:t>
      </w:r>
      <w:r w:rsidRPr="000F2FEB">
        <w:rPr>
          <w:i/>
        </w:rPr>
        <w:t>The Bell Journal of Economics and Management Science</w:t>
      </w:r>
      <w:r w:rsidRPr="000F2FEB">
        <w:t>. 1, 113-128.</w:t>
      </w:r>
      <w:bookmarkEnd w:id="213"/>
    </w:p>
    <w:p w:rsidR="000F2FEB" w:rsidRPr="000F2FEB" w:rsidRDefault="000F2FEB" w:rsidP="00924019">
      <w:pPr>
        <w:pStyle w:val="References"/>
      </w:pPr>
      <w:bookmarkStart w:id="214" w:name="_ENREF_24"/>
      <w:r w:rsidRPr="000F2FEB">
        <w:t xml:space="preserve">Della Valle, AP 1988. "Short-run versus long-run marginal cost pricing." </w:t>
      </w:r>
      <w:r w:rsidRPr="000F2FEB">
        <w:rPr>
          <w:i/>
        </w:rPr>
        <w:t>Energy Economics</w:t>
      </w:r>
      <w:r w:rsidRPr="000F2FEB">
        <w:t>. 10, 283-286.</w:t>
      </w:r>
      <w:bookmarkEnd w:id="214"/>
    </w:p>
    <w:p w:rsidR="000F2FEB" w:rsidRPr="000F2FEB" w:rsidRDefault="000F2FEB" w:rsidP="00924019">
      <w:pPr>
        <w:pStyle w:val="References"/>
      </w:pPr>
      <w:bookmarkStart w:id="215" w:name="_ENREF_25"/>
      <w:r w:rsidRPr="000F2FEB">
        <w:t>ERA 2013. "Inquiry into the Efficient Costs and Tariffs of the Water Corporation, Aqwest and the Busselton Water Board: Revised Final Report." Perth: Economic Regulation Authority.</w:t>
      </w:r>
      <w:bookmarkEnd w:id="215"/>
    </w:p>
    <w:p w:rsidR="000F2FEB" w:rsidRPr="000F2FEB" w:rsidRDefault="000F2FEB" w:rsidP="00924019">
      <w:pPr>
        <w:pStyle w:val="References"/>
      </w:pPr>
      <w:bookmarkStart w:id="216" w:name="_ENREF_26"/>
      <w:r w:rsidRPr="000F2FEB">
        <w:t>ESC 2011. "2013 Water Price Review: Tariff issues paper." Melbourne: Essential Services Commission.</w:t>
      </w:r>
      <w:bookmarkEnd w:id="216"/>
    </w:p>
    <w:p w:rsidR="000F2FEB" w:rsidRPr="000F2FEB" w:rsidRDefault="000F2FEB" w:rsidP="00924019">
      <w:pPr>
        <w:pStyle w:val="References"/>
      </w:pPr>
      <w:bookmarkStart w:id="217" w:name="_ENREF_27"/>
      <w:r w:rsidRPr="000F2FEB">
        <w:t>ESC 2013a. "Price Review 2013: Greater Metropolitan Water Businesses: Draft decision - Volume 1." Melbourne: Essential Services Commission.</w:t>
      </w:r>
      <w:bookmarkEnd w:id="217"/>
    </w:p>
    <w:p w:rsidR="000F2FEB" w:rsidRPr="000F2FEB" w:rsidRDefault="000F2FEB" w:rsidP="00924019">
      <w:pPr>
        <w:pStyle w:val="References"/>
      </w:pPr>
      <w:bookmarkStart w:id="218" w:name="_ENREF_28"/>
      <w:r w:rsidRPr="000F2FEB">
        <w:t>ESC 2013b. "Price Review 2013: Greater Metropolitan Water Businesses: Final decision." Melbourne: Essential Services Commission.</w:t>
      </w:r>
      <w:bookmarkEnd w:id="218"/>
    </w:p>
    <w:p w:rsidR="000F2FEB" w:rsidRPr="000F2FEB" w:rsidRDefault="000F2FEB" w:rsidP="00924019">
      <w:pPr>
        <w:pStyle w:val="References"/>
      </w:pPr>
      <w:bookmarkStart w:id="219" w:name="_ENREF_29"/>
      <w:r w:rsidRPr="000F2FEB">
        <w:t>ESC 2015. "Melbourne Water 2016 Price Review: Guidance paper." Melbourne: Essential Services Commission.</w:t>
      </w:r>
      <w:bookmarkEnd w:id="219"/>
    </w:p>
    <w:p w:rsidR="000F2FEB" w:rsidRPr="000F2FEB" w:rsidRDefault="000F2FEB" w:rsidP="00924019">
      <w:pPr>
        <w:pStyle w:val="References"/>
      </w:pPr>
      <w:bookmarkStart w:id="220" w:name="_ENREF_30"/>
      <w:r w:rsidRPr="000F2FEB">
        <w:t>ESCOSA 2010. "Inquiry into the 2010-11 metropolitan and regional potable water and sewerage pricing process: Final report." Adelaide.</w:t>
      </w:r>
      <w:bookmarkEnd w:id="220"/>
    </w:p>
    <w:p w:rsidR="000F2FEB" w:rsidRPr="000F2FEB" w:rsidRDefault="000F2FEB" w:rsidP="00924019">
      <w:pPr>
        <w:pStyle w:val="References"/>
      </w:pPr>
      <w:bookmarkStart w:id="221" w:name="_ENREF_31"/>
      <w:r w:rsidRPr="000F2FEB">
        <w:t xml:space="preserve">Gittinger, JP 1982. </w:t>
      </w:r>
      <w:r w:rsidRPr="000F2FEB">
        <w:rPr>
          <w:i/>
        </w:rPr>
        <w:t>Economic Analysis of Agricultural Projects</w:t>
      </w:r>
      <w:r w:rsidRPr="000F2FEB">
        <w:t>, Johns Hopkins University Press.</w:t>
      </w:r>
      <w:bookmarkEnd w:id="221"/>
    </w:p>
    <w:p w:rsidR="000F2FEB" w:rsidRPr="000F2FEB" w:rsidRDefault="000F2FEB" w:rsidP="00924019">
      <w:pPr>
        <w:pStyle w:val="References"/>
      </w:pPr>
      <w:bookmarkStart w:id="222" w:name="_ENREF_32"/>
      <w:r w:rsidRPr="000F2FEB">
        <w:t xml:space="preserve">Gotora, G 2012. "Zimbabwe: Bulawayo urges residents to flush together to unblock sewers." </w:t>
      </w:r>
      <w:r w:rsidRPr="000F2FEB">
        <w:rPr>
          <w:i/>
        </w:rPr>
        <w:t>Associated Press</w:t>
      </w:r>
      <w:r w:rsidRPr="000F2FEB">
        <w:t>, 24 September 2012.</w:t>
      </w:r>
      <w:bookmarkEnd w:id="222"/>
    </w:p>
    <w:p w:rsidR="000F2FEB" w:rsidRPr="000F2FEB" w:rsidRDefault="000F2FEB" w:rsidP="00924019">
      <w:pPr>
        <w:pStyle w:val="References"/>
      </w:pPr>
      <w:bookmarkStart w:id="223" w:name="_ENREF_33"/>
      <w:r w:rsidRPr="000F2FEB">
        <w:lastRenderedPageBreak/>
        <w:t>Grafton, RQ and Ward, M 2010. "Dynamically Efficient Urban Water Policy." Canberra: Centre for Water Economics, Environment and Policy, The Australian National University.</w:t>
      </w:r>
      <w:bookmarkEnd w:id="223"/>
    </w:p>
    <w:p w:rsidR="000F2FEB" w:rsidRPr="000F2FEB" w:rsidRDefault="000F2FEB" w:rsidP="00924019">
      <w:pPr>
        <w:pStyle w:val="References"/>
      </w:pPr>
      <w:bookmarkStart w:id="224" w:name="_ENREF_34"/>
      <w:r w:rsidRPr="000F2FEB">
        <w:t>Halcrow 2010. "Enlarged Cotter Dam Water Security Project Investigation: Final Report." Canberra: Halcrow Pacific Pty Ltd.</w:t>
      </w:r>
      <w:bookmarkEnd w:id="224"/>
    </w:p>
    <w:p w:rsidR="000F2FEB" w:rsidRPr="000F2FEB" w:rsidRDefault="000F2FEB" w:rsidP="00924019">
      <w:pPr>
        <w:pStyle w:val="References"/>
      </w:pPr>
      <w:bookmarkStart w:id="225" w:name="_ENREF_35"/>
      <w:r w:rsidRPr="000F2FEB">
        <w:t xml:space="preserve">Hanke, SH and Wentworth, RW 1981. "On the Marginal Cost of Wastewater Services." </w:t>
      </w:r>
      <w:r w:rsidRPr="000F2FEB">
        <w:rPr>
          <w:i/>
        </w:rPr>
        <w:t>Land Economics</w:t>
      </w:r>
      <w:r w:rsidRPr="000F2FEB">
        <w:t>. 57, 558-567.</w:t>
      </w:r>
      <w:bookmarkEnd w:id="225"/>
    </w:p>
    <w:p w:rsidR="000F2FEB" w:rsidRPr="000F2FEB" w:rsidRDefault="000F2FEB" w:rsidP="00924019">
      <w:pPr>
        <w:pStyle w:val="References"/>
      </w:pPr>
      <w:bookmarkStart w:id="226" w:name="_ENREF_36"/>
      <w:r w:rsidRPr="000F2FEB">
        <w:t xml:space="preserve">Hirshleifer, J, DeHaven, JC and Milliman, JW 1960. </w:t>
      </w:r>
      <w:r w:rsidRPr="000F2FEB">
        <w:rPr>
          <w:i/>
        </w:rPr>
        <w:t>Water Supply: Economics, Technology and Policy</w:t>
      </w:r>
      <w:r w:rsidRPr="000F2FEB">
        <w:t>, University of Chicago Press.</w:t>
      </w:r>
      <w:bookmarkEnd w:id="226"/>
    </w:p>
    <w:p w:rsidR="000F2FEB" w:rsidRPr="000F2FEB" w:rsidRDefault="000F2FEB" w:rsidP="00924019">
      <w:pPr>
        <w:pStyle w:val="References"/>
      </w:pPr>
      <w:bookmarkStart w:id="227" w:name="_ENREF_37"/>
      <w:r w:rsidRPr="000F2FEB">
        <w:t xml:space="preserve">Hotelling, H 1938. "The General Welfare in Relation to Problems of Taxation and of Railway and Utility Rates." </w:t>
      </w:r>
      <w:r w:rsidRPr="000F2FEB">
        <w:rPr>
          <w:i/>
        </w:rPr>
        <w:t>Econometrica</w:t>
      </w:r>
      <w:r w:rsidRPr="000F2FEB">
        <w:t>. 6, 242-269.</w:t>
      </w:r>
      <w:bookmarkEnd w:id="227"/>
    </w:p>
    <w:p w:rsidR="000F2FEB" w:rsidRPr="000F2FEB" w:rsidRDefault="000F2FEB" w:rsidP="00924019">
      <w:pPr>
        <w:pStyle w:val="References"/>
      </w:pPr>
      <w:bookmarkStart w:id="228" w:name="_ENREF_38"/>
      <w:r w:rsidRPr="000F2FEB">
        <w:t xml:space="preserve">Hotelling, H 1939. "The Relation of Prices to Marginal Costs in an Optimum System." </w:t>
      </w:r>
      <w:r w:rsidRPr="000F2FEB">
        <w:rPr>
          <w:i/>
        </w:rPr>
        <w:t>Econometrica</w:t>
      </w:r>
      <w:r w:rsidRPr="000F2FEB">
        <w:t>. 7, 151-155.</w:t>
      </w:r>
      <w:bookmarkEnd w:id="228"/>
    </w:p>
    <w:p w:rsidR="000F2FEB" w:rsidRPr="000F2FEB" w:rsidRDefault="000F2FEB" w:rsidP="00924019">
      <w:pPr>
        <w:pStyle w:val="References"/>
      </w:pPr>
      <w:bookmarkStart w:id="229" w:name="_ENREF_39"/>
      <w:r w:rsidRPr="000F2FEB">
        <w:t>Icon Water 2016. "Marginal cost information return." Icon Water.</w:t>
      </w:r>
      <w:bookmarkEnd w:id="229"/>
    </w:p>
    <w:p w:rsidR="000F2FEB" w:rsidRPr="000F2FEB" w:rsidRDefault="000F2FEB" w:rsidP="00924019">
      <w:pPr>
        <w:pStyle w:val="References"/>
      </w:pPr>
      <w:bookmarkStart w:id="230" w:name="_ENREF_40"/>
      <w:r w:rsidRPr="000F2FEB">
        <w:t xml:space="preserve">ICRC 2010. </w:t>
      </w:r>
      <w:r w:rsidRPr="000F2FEB">
        <w:rPr>
          <w:i/>
        </w:rPr>
        <w:t>Final Report: Enlarged Cotter Dam Water Security Project</w:t>
      </w:r>
      <w:r w:rsidRPr="000F2FEB">
        <w:t>. Report 9 of 2010, Independent Competition and Regulatory Commission, Canberra.</w:t>
      </w:r>
      <w:bookmarkEnd w:id="230"/>
    </w:p>
    <w:p w:rsidR="000F2FEB" w:rsidRPr="000F2FEB" w:rsidRDefault="000F2FEB" w:rsidP="00924019">
      <w:pPr>
        <w:pStyle w:val="References"/>
      </w:pPr>
      <w:bookmarkStart w:id="231" w:name="_ENREF_41"/>
      <w:r w:rsidRPr="000F2FEB">
        <w:t>ICRC 2012. "Final report: Secondary water use in the ACT." Canberra ACT: Independent Competition and Regulatory Commission.</w:t>
      </w:r>
      <w:bookmarkEnd w:id="231"/>
    </w:p>
    <w:p w:rsidR="000F2FEB" w:rsidRPr="000F2FEB" w:rsidRDefault="000F2FEB" w:rsidP="00924019">
      <w:pPr>
        <w:pStyle w:val="References"/>
      </w:pPr>
      <w:bookmarkStart w:id="232" w:name="_ENREF_42"/>
      <w:r w:rsidRPr="000F2FEB">
        <w:t>ICRC 2013a. "Draft report: Regulated water and sewerage services." Canberra ACT: Independent Competition and Regulatory Commission.</w:t>
      </w:r>
      <w:bookmarkEnd w:id="232"/>
    </w:p>
    <w:p w:rsidR="000F2FEB" w:rsidRPr="000F2FEB" w:rsidRDefault="000F2FEB" w:rsidP="00924019">
      <w:pPr>
        <w:pStyle w:val="References"/>
      </w:pPr>
      <w:bookmarkStart w:id="233" w:name="_ENREF_43"/>
      <w:r w:rsidRPr="000F2FEB">
        <w:t>ICRC 2013b. "Final Report Regulated Water and Sewerage Services 1 July 2013 to 30 June 2019." Canberra: ICRC.</w:t>
      </w:r>
      <w:bookmarkEnd w:id="233"/>
    </w:p>
    <w:p w:rsidR="000F2FEB" w:rsidRPr="000F2FEB" w:rsidRDefault="000F2FEB" w:rsidP="00924019">
      <w:pPr>
        <w:pStyle w:val="References"/>
      </w:pPr>
      <w:bookmarkStart w:id="234" w:name="_ENREF_44"/>
      <w:r w:rsidRPr="000F2FEB">
        <w:t>ICRC 2015a. "Issues Paper: Tariff Review 2016 - Regulated Water and Sewerage Services." Canberra: ICRC.</w:t>
      </w:r>
      <w:bookmarkEnd w:id="234"/>
    </w:p>
    <w:p w:rsidR="000F2FEB" w:rsidRPr="000F2FEB" w:rsidRDefault="000F2FEB" w:rsidP="00924019">
      <w:pPr>
        <w:pStyle w:val="References"/>
      </w:pPr>
      <w:bookmarkStart w:id="235" w:name="_ENREF_45"/>
      <w:r w:rsidRPr="000F2FEB">
        <w:t>ICRC 2015b. "Water Demand Forecasting Final Technical Paper." Canberra: Independent Competition and Regulatory Commision.</w:t>
      </w:r>
      <w:bookmarkEnd w:id="235"/>
    </w:p>
    <w:p w:rsidR="000F2FEB" w:rsidRPr="000F2FEB" w:rsidRDefault="000F2FEB" w:rsidP="00924019">
      <w:pPr>
        <w:pStyle w:val="References"/>
      </w:pPr>
      <w:bookmarkStart w:id="236" w:name="_ENREF_46"/>
      <w:r w:rsidRPr="000F2FEB">
        <w:t>ICRC 2016. "Technical paper 1: Price elasticity of water demand in the ACT." Canberra: Independent Competition and Regulatory Commission.</w:t>
      </w:r>
      <w:bookmarkEnd w:id="236"/>
    </w:p>
    <w:p w:rsidR="000F2FEB" w:rsidRPr="000F2FEB" w:rsidRDefault="000F2FEB" w:rsidP="00924019">
      <w:pPr>
        <w:pStyle w:val="References"/>
      </w:pPr>
      <w:bookmarkStart w:id="237" w:name="_ENREF_47"/>
      <w:r w:rsidRPr="000F2FEB">
        <w:t>Industry Panel 2015. "Final Report: Review of the Independent Competition and Regulatory Commission's 2013 Price Direction for Regulated Water and Sewerage Services in the ACT." Canberra: Industry Panel.</w:t>
      </w:r>
      <w:bookmarkEnd w:id="237"/>
    </w:p>
    <w:p w:rsidR="000F2FEB" w:rsidRPr="000F2FEB" w:rsidRDefault="000F2FEB" w:rsidP="00924019">
      <w:pPr>
        <w:pStyle w:val="References"/>
      </w:pPr>
      <w:bookmarkStart w:id="238" w:name="_ENREF_48"/>
      <w:r w:rsidRPr="000F2FEB">
        <w:t>IPART 2012. "Review of prices for Sydney Water Corporation's water, sewerage, stormwater drainage and other services: from 1 July 2012 to 30 June 2016 - Water - Final Report." Sydney: Independent Pricing and Regulatory Tribunal.</w:t>
      </w:r>
      <w:bookmarkEnd w:id="238"/>
    </w:p>
    <w:p w:rsidR="000F2FEB" w:rsidRPr="000F2FEB" w:rsidRDefault="000F2FEB" w:rsidP="00924019">
      <w:pPr>
        <w:pStyle w:val="References"/>
      </w:pPr>
      <w:bookmarkStart w:id="239" w:name="_ENREF_49"/>
      <w:r w:rsidRPr="000F2FEB">
        <w:lastRenderedPageBreak/>
        <w:t>IPART 2013. "Hunter Water Corporation's water, sewerage, stormwater drainage and other services: Review of prices from 1 July 2013 to 30 June 2017 - Water Final Report." Sydney: Independent Pricing and Regulatory Tribunal.</w:t>
      </w:r>
      <w:bookmarkEnd w:id="239"/>
    </w:p>
    <w:p w:rsidR="000F2FEB" w:rsidRPr="000F2FEB" w:rsidRDefault="000F2FEB" w:rsidP="00924019">
      <w:pPr>
        <w:pStyle w:val="References"/>
      </w:pPr>
      <w:bookmarkStart w:id="240" w:name="_ENREF_50"/>
      <w:r w:rsidRPr="000F2FEB">
        <w:t xml:space="preserve">Ito, K 2014. "How Do Consumers Respond to Marginal or Average Price? Evidence from Nonlinear Electricity Pricing " </w:t>
      </w:r>
      <w:r w:rsidRPr="000F2FEB">
        <w:rPr>
          <w:i/>
        </w:rPr>
        <w:t>American Economic Review</w:t>
      </w:r>
      <w:r w:rsidRPr="000F2FEB">
        <w:t>. 104, 537-63.</w:t>
      </w:r>
      <w:bookmarkEnd w:id="240"/>
    </w:p>
    <w:p w:rsidR="000F2FEB" w:rsidRPr="000F2FEB" w:rsidRDefault="000F2FEB" w:rsidP="00924019">
      <w:pPr>
        <w:pStyle w:val="References"/>
      </w:pPr>
      <w:bookmarkStart w:id="241" w:name="_ENREF_51"/>
      <w:r w:rsidRPr="000F2FEB">
        <w:t>London Economics 1997. "Water Pricing: The importance of long run marginal costs." London: Office of Water Services.</w:t>
      </w:r>
      <w:bookmarkEnd w:id="241"/>
    </w:p>
    <w:p w:rsidR="000F2FEB" w:rsidRPr="000F2FEB" w:rsidRDefault="000F2FEB" w:rsidP="00924019">
      <w:pPr>
        <w:pStyle w:val="References"/>
      </w:pPr>
      <w:bookmarkStart w:id="242" w:name="_ENREF_52"/>
      <w:r w:rsidRPr="000F2FEB">
        <w:t xml:space="preserve">Mann, PC, Saunders, RJ and Warford, JJ 1980. "A Note on Capital Indivisibility and the Definition of Marginal Cost." </w:t>
      </w:r>
      <w:r w:rsidRPr="000F2FEB">
        <w:rPr>
          <w:i/>
        </w:rPr>
        <w:t>Water Resources Research</w:t>
      </w:r>
      <w:r w:rsidRPr="000F2FEB">
        <w:t>. 16, 602-604.</w:t>
      </w:r>
      <w:bookmarkEnd w:id="242"/>
    </w:p>
    <w:p w:rsidR="000F2FEB" w:rsidRPr="000F2FEB" w:rsidRDefault="000F2FEB" w:rsidP="00924019">
      <w:pPr>
        <w:pStyle w:val="References"/>
      </w:pPr>
      <w:bookmarkStart w:id="243" w:name="_ENREF_53"/>
      <w:r w:rsidRPr="000F2FEB">
        <w:t>Marsden Jacob Associates 2004. "Estimation of Long Run Marginal Cost (LRMC): A report prepared for the Queensland Competition Authority." Brisbane.</w:t>
      </w:r>
      <w:bookmarkEnd w:id="243"/>
    </w:p>
    <w:p w:rsidR="000F2FEB" w:rsidRPr="000F2FEB" w:rsidRDefault="000F2FEB" w:rsidP="00924019">
      <w:pPr>
        <w:pStyle w:val="References"/>
      </w:pPr>
      <w:bookmarkStart w:id="244" w:name="_ENREF_54"/>
      <w:r w:rsidRPr="000F2FEB">
        <w:t xml:space="preserve">Marshall, A 1920. </w:t>
      </w:r>
      <w:r w:rsidRPr="000F2FEB">
        <w:rPr>
          <w:i/>
        </w:rPr>
        <w:t xml:space="preserve">Principles of Economics, </w:t>
      </w:r>
      <w:r w:rsidRPr="000F2FEB">
        <w:t>London, Macmillan and Company.</w:t>
      </w:r>
      <w:bookmarkEnd w:id="244"/>
    </w:p>
    <w:p w:rsidR="000F2FEB" w:rsidRPr="000F2FEB" w:rsidRDefault="000F2FEB" w:rsidP="00924019">
      <w:pPr>
        <w:pStyle w:val="References"/>
      </w:pPr>
      <w:bookmarkStart w:id="245" w:name="_ENREF_55"/>
      <w:r w:rsidRPr="000F2FEB">
        <w:t xml:space="preserve">Mas-Colell, A, Whinston, MD and Green, JR 1995. </w:t>
      </w:r>
      <w:r w:rsidRPr="000F2FEB">
        <w:rPr>
          <w:i/>
        </w:rPr>
        <w:t xml:space="preserve">Microeconomic Theory, </w:t>
      </w:r>
      <w:r w:rsidRPr="000F2FEB">
        <w:t>New York, Oxford Economic Press.</w:t>
      </w:r>
      <w:bookmarkEnd w:id="245"/>
    </w:p>
    <w:p w:rsidR="000F2FEB" w:rsidRPr="000F2FEB" w:rsidRDefault="000F2FEB" w:rsidP="00924019">
      <w:pPr>
        <w:pStyle w:val="References"/>
      </w:pPr>
      <w:bookmarkStart w:id="246" w:name="_ENREF_56"/>
      <w:r w:rsidRPr="000F2FEB">
        <w:t>NERA 2011. "Estimating long-run marginal cost in the National Electricity Market: A paper for the AEMC." Sydney.</w:t>
      </w:r>
      <w:bookmarkEnd w:id="246"/>
    </w:p>
    <w:p w:rsidR="000F2FEB" w:rsidRPr="000F2FEB" w:rsidRDefault="000F2FEB" w:rsidP="00924019">
      <w:pPr>
        <w:pStyle w:val="References"/>
      </w:pPr>
      <w:bookmarkStart w:id="247" w:name="_ENREF_57"/>
      <w:r w:rsidRPr="000F2FEB">
        <w:t>NERA 2014a. "Economic Concepts for Pricing Electricity Network Services: A Report for the Australian Energy Market Commission." Melbourne: NERA Economic Consulting.</w:t>
      </w:r>
      <w:bookmarkEnd w:id="247"/>
    </w:p>
    <w:p w:rsidR="000F2FEB" w:rsidRPr="000F2FEB" w:rsidRDefault="000F2FEB" w:rsidP="00924019">
      <w:pPr>
        <w:pStyle w:val="References"/>
      </w:pPr>
      <w:bookmarkStart w:id="248" w:name="_ENREF_58"/>
      <w:r w:rsidRPr="000F2FEB">
        <w:t>NERA 2014b. "Incorporating Marginal Costs in Water Supply Tariffs: Prospects for Change." NERA.</w:t>
      </w:r>
      <w:bookmarkEnd w:id="248"/>
    </w:p>
    <w:p w:rsidR="000F2FEB" w:rsidRPr="000F2FEB" w:rsidRDefault="000F2FEB" w:rsidP="00924019">
      <w:pPr>
        <w:pStyle w:val="References"/>
      </w:pPr>
      <w:bookmarkStart w:id="249" w:name="_ENREF_59"/>
      <w:r w:rsidRPr="000F2FEB">
        <w:t xml:space="preserve">Nieswiadomy, ML 1992. "Estimating urban residential water demand: Effects of price structure, conservation, and education." </w:t>
      </w:r>
      <w:r w:rsidRPr="000F2FEB">
        <w:rPr>
          <w:i/>
        </w:rPr>
        <w:t>Water Resources Research</w:t>
      </w:r>
      <w:r w:rsidRPr="000F2FEB">
        <w:t>. 28, 609–615.</w:t>
      </w:r>
      <w:bookmarkEnd w:id="249"/>
    </w:p>
    <w:p w:rsidR="000F2FEB" w:rsidRPr="000F2FEB" w:rsidRDefault="000F2FEB" w:rsidP="00924019">
      <w:pPr>
        <w:pStyle w:val="References"/>
      </w:pPr>
      <w:bookmarkStart w:id="250" w:name="_ENREF_60"/>
      <w:r w:rsidRPr="000F2FEB">
        <w:t xml:space="preserve">Nieswiadomy, ML and Molina, DJ 1991. "A Note on Price Perception in Water Demand Models." </w:t>
      </w:r>
      <w:r w:rsidRPr="000F2FEB">
        <w:rPr>
          <w:i/>
        </w:rPr>
        <w:t>Land Economics</w:t>
      </w:r>
      <w:r w:rsidRPr="000F2FEB">
        <w:t>. 67, 352-359.</w:t>
      </w:r>
      <w:bookmarkEnd w:id="250"/>
    </w:p>
    <w:p w:rsidR="000F2FEB" w:rsidRPr="000F2FEB" w:rsidRDefault="000F2FEB" w:rsidP="00924019">
      <w:pPr>
        <w:pStyle w:val="References"/>
      </w:pPr>
      <w:bookmarkStart w:id="251" w:name="_ENREF_61"/>
      <w:r w:rsidRPr="000F2FEB">
        <w:t>NSW Government 2014. "2014 NSW Hosuehold and Dwelling Projection Data." Sydney: Planng &amp; Environment Department.</w:t>
      </w:r>
      <w:bookmarkEnd w:id="251"/>
    </w:p>
    <w:p w:rsidR="000F2FEB" w:rsidRPr="000F2FEB" w:rsidRDefault="000F2FEB" w:rsidP="00924019">
      <w:pPr>
        <w:pStyle w:val="References"/>
      </w:pPr>
      <w:bookmarkStart w:id="252" w:name="_ENREF_62"/>
      <w:r w:rsidRPr="000F2FEB">
        <w:t>OTTER 2015. "2015 Price Determination Investigation - Regulated water and sewerage services in Tasmania: Final report ". Hobart: Office of the Tasmanian Economic Regulator.</w:t>
      </w:r>
      <w:bookmarkEnd w:id="252"/>
    </w:p>
    <w:p w:rsidR="000F2FEB" w:rsidRPr="000F2FEB" w:rsidRDefault="000F2FEB" w:rsidP="00924019">
      <w:pPr>
        <w:pStyle w:val="References"/>
      </w:pPr>
      <w:bookmarkStart w:id="253" w:name="_ENREF_63"/>
      <w:r w:rsidRPr="000F2FEB">
        <w:t>QCA 2000. "Statement of Regulatory Pricing Principles for the Water Sector." Brisbane: Queensland Competition Authority.</w:t>
      </w:r>
      <w:bookmarkEnd w:id="253"/>
    </w:p>
    <w:p w:rsidR="000F2FEB" w:rsidRPr="000F2FEB" w:rsidRDefault="000F2FEB" w:rsidP="00924019">
      <w:pPr>
        <w:pStyle w:val="References"/>
      </w:pPr>
      <w:bookmarkStart w:id="254" w:name="_ENREF_64"/>
      <w:r w:rsidRPr="000F2FEB">
        <w:lastRenderedPageBreak/>
        <w:t xml:space="preserve">Ramsey, FP 1927. "A Contribution to the Theory of Taxation." </w:t>
      </w:r>
      <w:r w:rsidRPr="000F2FEB">
        <w:rPr>
          <w:i/>
        </w:rPr>
        <w:t>The Economic Journal</w:t>
      </w:r>
      <w:r w:rsidRPr="000F2FEB">
        <w:t>. 37, 47-61.</w:t>
      </w:r>
      <w:bookmarkEnd w:id="254"/>
    </w:p>
    <w:p w:rsidR="000F2FEB" w:rsidRPr="000F2FEB" w:rsidRDefault="000F2FEB" w:rsidP="00924019">
      <w:pPr>
        <w:pStyle w:val="References"/>
      </w:pPr>
      <w:bookmarkStart w:id="255" w:name="_ENREF_65"/>
      <w:r w:rsidRPr="000F2FEB">
        <w:t xml:space="preserve">Ruggles, N 1950. "Recent Developments in the Theory of Marginal Cost Pricing." </w:t>
      </w:r>
      <w:r w:rsidRPr="000F2FEB">
        <w:rPr>
          <w:i/>
        </w:rPr>
        <w:t>The Review of Economic Studies</w:t>
      </w:r>
      <w:r w:rsidRPr="000F2FEB">
        <w:t>. 17, 107-126.</w:t>
      </w:r>
      <w:bookmarkEnd w:id="255"/>
    </w:p>
    <w:p w:rsidR="000F2FEB" w:rsidRPr="000F2FEB" w:rsidRDefault="000F2FEB" w:rsidP="00924019">
      <w:pPr>
        <w:pStyle w:val="References"/>
      </w:pPr>
      <w:bookmarkStart w:id="256" w:name="_ENREF_66"/>
      <w:r w:rsidRPr="000F2FEB">
        <w:t>Saunders, RJ, Warford, JJ and Mann, PC 1977. "Alternative Concepts of Marginal Cost for Public Utility Pricing: Problems of Applicationin the Water Supply Sector." World Bank.</w:t>
      </w:r>
      <w:bookmarkEnd w:id="256"/>
    </w:p>
    <w:p w:rsidR="000F2FEB" w:rsidRPr="000F2FEB" w:rsidRDefault="000F2FEB" w:rsidP="00924019">
      <w:pPr>
        <w:pStyle w:val="References"/>
      </w:pPr>
      <w:bookmarkStart w:id="257" w:name="_ENREF_67"/>
      <w:r w:rsidRPr="000F2FEB">
        <w:t xml:space="preserve">Shin, J-S 1985. "Perception of price when price information is costly: evidence from residential electricity demand." </w:t>
      </w:r>
      <w:r w:rsidRPr="000F2FEB">
        <w:rPr>
          <w:i/>
        </w:rPr>
        <w:t>Review of Economics and Statistics</w:t>
      </w:r>
      <w:r w:rsidRPr="000F2FEB">
        <w:t>. 67, 591–598.</w:t>
      </w:r>
      <w:bookmarkEnd w:id="257"/>
    </w:p>
    <w:p w:rsidR="000F2FEB" w:rsidRPr="000F2FEB" w:rsidRDefault="000F2FEB" w:rsidP="00924019">
      <w:pPr>
        <w:pStyle w:val="References"/>
      </w:pPr>
      <w:bookmarkStart w:id="258" w:name="_ENREF_68"/>
      <w:r w:rsidRPr="000F2FEB">
        <w:t xml:space="preserve">Stigler, GJ 1966. </w:t>
      </w:r>
      <w:r w:rsidRPr="000F2FEB">
        <w:rPr>
          <w:i/>
        </w:rPr>
        <w:t xml:space="preserve">Theory of price, </w:t>
      </w:r>
      <w:r w:rsidRPr="000F2FEB">
        <w:t>New York, The Macmillan Company.</w:t>
      </w:r>
      <w:bookmarkEnd w:id="258"/>
    </w:p>
    <w:p w:rsidR="000F2FEB" w:rsidRPr="000F2FEB" w:rsidRDefault="000F2FEB" w:rsidP="00924019">
      <w:pPr>
        <w:pStyle w:val="References"/>
      </w:pPr>
      <w:bookmarkStart w:id="259" w:name="_ENREF_69"/>
      <w:r w:rsidRPr="000F2FEB">
        <w:t>The Brattle Group 2014. "Structure of Electricity Distribution Network Tariffs: Recovery of Residual Costs." Sydney: Australian Energy Market Commission.</w:t>
      </w:r>
      <w:bookmarkEnd w:id="259"/>
    </w:p>
    <w:p w:rsidR="000F2FEB" w:rsidRPr="000F2FEB" w:rsidRDefault="000F2FEB" w:rsidP="00924019">
      <w:pPr>
        <w:pStyle w:val="References"/>
      </w:pPr>
      <w:bookmarkStart w:id="260" w:name="_ENREF_70"/>
      <w:r w:rsidRPr="000F2FEB">
        <w:t xml:space="preserve">Train, KE 1991. </w:t>
      </w:r>
      <w:r w:rsidRPr="000F2FEB">
        <w:rPr>
          <w:i/>
        </w:rPr>
        <w:t xml:space="preserve">Optimal Regulation: The Economic Theory of Natural Monopoly, </w:t>
      </w:r>
      <w:r w:rsidRPr="000F2FEB">
        <w:t>London, MIT Press.</w:t>
      </w:r>
      <w:bookmarkEnd w:id="260"/>
    </w:p>
    <w:p w:rsidR="000F2FEB" w:rsidRPr="000F2FEB" w:rsidRDefault="000F2FEB" w:rsidP="00924019">
      <w:pPr>
        <w:pStyle w:val="References"/>
      </w:pPr>
      <w:bookmarkStart w:id="261" w:name="_ENREF_71"/>
      <w:r w:rsidRPr="000F2FEB">
        <w:t xml:space="preserve">Turvey, R 1964. "Marginal cost pricing in practice." </w:t>
      </w:r>
      <w:r w:rsidRPr="000F2FEB">
        <w:rPr>
          <w:i/>
        </w:rPr>
        <w:t>Economica</w:t>
      </w:r>
      <w:r w:rsidRPr="000F2FEB">
        <w:t>. 31, 426-432.</w:t>
      </w:r>
      <w:bookmarkEnd w:id="261"/>
    </w:p>
    <w:p w:rsidR="000F2FEB" w:rsidRPr="000F2FEB" w:rsidRDefault="000F2FEB" w:rsidP="00924019">
      <w:pPr>
        <w:pStyle w:val="References"/>
      </w:pPr>
      <w:bookmarkStart w:id="262" w:name="_ENREF_72"/>
      <w:r w:rsidRPr="000F2FEB">
        <w:t xml:space="preserve">Turvey, R 1976. "Analyzing the Marginal Cost of Water Supply." </w:t>
      </w:r>
      <w:r w:rsidRPr="000F2FEB">
        <w:rPr>
          <w:i/>
        </w:rPr>
        <w:t>Land Economics</w:t>
      </w:r>
      <w:r w:rsidRPr="000F2FEB">
        <w:t>. 52, 158-168.</w:t>
      </w:r>
      <w:bookmarkEnd w:id="262"/>
    </w:p>
    <w:p w:rsidR="000F2FEB" w:rsidRPr="000F2FEB" w:rsidRDefault="000F2FEB" w:rsidP="00924019">
      <w:pPr>
        <w:pStyle w:val="References"/>
      </w:pPr>
      <w:bookmarkStart w:id="263" w:name="_ENREF_73"/>
      <w:r w:rsidRPr="000F2FEB">
        <w:t xml:space="preserve">Vickrey, W 1948. "Some Objections to Marginal-Cost Pricing." </w:t>
      </w:r>
      <w:r w:rsidRPr="000F2FEB">
        <w:rPr>
          <w:i/>
        </w:rPr>
        <w:t>The Journal of Political Economy</w:t>
      </w:r>
      <w:r w:rsidRPr="000F2FEB">
        <w:t>. 56, 218-238.</w:t>
      </w:r>
      <w:bookmarkEnd w:id="263"/>
    </w:p>
    <w:p w:rsidR="000F2FEB" w:rsidRPr="000F2FEB" w:rsidRDefault="000F2FEB" w:rsidP="00924019">
      <w:pPr>
        <w:pStyle w:val="References"/>
      </w:pPr>
      <w:bookmarkStart w:id="264" w:name="_ENREF_74"/>
      <w:r w:rsidRPr="000F2FEB">
        <w:t xml:space="preserve">Vickrey, W 1955. "Some implications of marginal cost pricing for utilities." </w:t>
      </w:r>
      <w:r w:rsidRPr="000F2FEB">
        <w:rPr>
          <w:i/>
        </w:rPr>
        <w:t>The American Economic Review</w:t>
      </w:r>
      <w:r w:rsidRPr="000F2FEB">
        <w:t>. 45, 605-620.</w:t>
      </w:r>
      <w:bookmarkEnd w:id="264"/>
    </w:p>
    <w:p w:rsidR="000F2FEB" w:rsidRPr="000F2FEB" w:rsidRDefault="000F2FEB" w:rsidP="00924019">
      <w:pPr>
        <w:pStyle w:val="References"/>
      </w:pPr>
      <w:bookmarkStart w:id="265" w:name="_ENREF_75"/>
      <w:r w:rsidRPr="000F2FEB">
        <w:t xml:space="preserve">Vickrey, W 1971. "Responsive Pricing of Public Utility Services." </w:t>
      </w:r>
      <w:r w:rsidRPr="000F2FEB">
        <w:rPr>
          <w:i/>
        </w:rPr>
        <w:t>The Bell Journal of Economics and Management Science</w:t>
      </w:r>
      <w:r w:rsidRPr="000F2FEB">
        <w:t>. 2, 337-346.</w:t>
      </w:r>
      <w:bookmarkEnd w:id="265"/>
    </w:p>
    <w:p w:rsidR="000F2FEB" w:rsidRPr="000F2FEB" w:rsidRDefault="000F2FEB" w:rsidP="00924019">
      <w:pPr>
        <w:pStyle w:val="References"/>
      </w:pPr>
      <w:bookmarkStart w:id="266" w:name="_ENREF_76"/>
      <w:r w:rsidRPr="000F2FEB">
        <w:t xml:space="preserve">Vickrey, W 1985. "The Fallacy of Using Long-Run Cost for Peak-Load Pricing." </w:t>
      </w:r>
      <w:r w:rsidRPr="000F2FEB">
        <w:rPr>
          <w:i/>
        </w:rPr>
        <w:t>The Quarterly Journal of Economics</w:t>
      </w:r>
      <w:r w:rsidRPr="000F2FEB">
        <w:t>. 100, 1331-1334.</w:t>
      </w:r>
      <w:bookmarkEnd w:id="266"/>
    </w:p>
    <w:p w:rsidR="00826F86" w:rsidRDefault="00C04337" w:rsidP="00924019">
      <w:pPr>
        <w:pStyle w:val="References"/>
      </w:pPr>
      <w:r w:rsidRPr="001D57A3">
        <w:fldChar w:fldCharType="end"/>
      </w:r>
      <w:r>
        <w:fldChar w:fldCharType="begin"/>
      </w:r>
      <w:r w:rsidR="000307A1">
        <w:instrText xml:space="preserve"> ADDIN </w:instrText>
      </w:r>
      <w:r>
        <w:fldChar w:fldCharType="end"/>
      </w:r>
      <w:r>
        <w:fldChar w:fldCharType="begin"/>
      </w:r>
      <w:r w:rsidR="00FF584E">
        <w:instrText xml:space="preserve"> ADDIN </w:instrText>
      </w:r>
      <w:r>
        <w:fldChar w:fldCharType="end"/>
      </w:r>
    </w:p>
    <w:p w:rsidR="00736E08" w:rsidRDefault="00736E08" w:rsidP="003729B6">
      <w:pPr>
        <w:pStyle w:val="References"/>
      </w:pPr>
    </w:p>
    <w:sectPr w:rsidR="00736E08" w:rsidSect="00FD0141">
      <w:headerReference w:type="even" r:id="rId89"/>
      <w:headerReference w:type="default" r:id="rId90"/>
      <w:endnotePr>
        <w:numFmt w:val="decimal"/>
      </w:endnotePr>
      <w:type w:val="continuous"/>
      <w:pgSz w:w="11907" w:h="16840" w:code="9"/>
      <w:pgMar w:top="2268" w:right="2098" w:bottom="1701" w:left="2098" w:header="578" w:footer="57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1C9" w:rsidRDefault="00F231C9" w:rsidP="00474ECC">
      <w:pPr>
        <w:spacing w:after="0" w:line="240" w:lineRule="auto"/>
      </w:pPr>
      <w:r>
        <w:separator/>
      </w:r>
    </w:p>
    <w:p w:rsidR="00F231C9" w:rsidRDefault="00F231C9"/>
  </w:endnote>
  <w:endnote w:type="continuationSeparator" w:id="0">
    <w:p w:rsidR="00F231C9" w:rsidRDefault="00F231C9" w:rsidP="00474ECC">
      <w:pPr>
        <w:spacing w:after="0" w:line="240" w:lineRule="auto"/>
      </w:pPr>
      <w:r>
        <w:continuationSeparator/>
      </w:r>
    </w:p>
    <w:p w:rsidR="00F231C9" w:rsidRDefault="00F231C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889"/>
      <w:gridCol w:w="7038"/>
    </w:tblGrid>
    <w:tr w:rsidR="00F231C9" w:rsidTr="00DE64FD">
      <w:tc>
        <w:tcPr>
          <w:tcW w:w="918" w:type="dxa"/>
          <w:vAlign w:val="center"/>
        </w:tcPr>
        <w:p w:rsidR="00F231C9" w:rsidRDefault="00C04337" w:rsidP="00DE64FD">
          <w:pPr>
            <w:pStyle w:val="Footer"/>
            <w:jc w:val="center"/>
            <w:rPr>
              <w:b/>
              <w:color w:val="4F81BD" w:themeColor="accent1"/>
              <w:sz w:val="32"/>
              <w:szCs w:val="32"/>
            </w:rPr>
          </w:pPr>
          <w:r w:rsidRPr="00C04337">
            <w:fldChar w:fldCharType="begin"/>
          </w:r>
          <w:r w:rsidR="00F231C9">
            <w:instrText xml:space="preserve"> PAGE   \* MERGEFORMAT </w:instrText>
          </w:r>
          <w:r w:rsidRPr="00C04337">
            <w:fldChar w:fldCharType="separate"/>
          </w:r>
          <w:r w:rsidR="00F231C9" w:rsidRPr="00CB1337">
            <w:rPr>
              <w:b/>
              <w:noProof/>
              <w:color w:val="4F81BD" w:themeColor="accent1"/>
              <w:sz w:val="32"/>
              <w:szCs w:val="32"/>
            </w:rPr>
            <w:t>106</w:t>
          </w:r>
          <w:r>
            <w:rPr>
              <w:b/>
              <w:noProof/>
              <w:color w:val="4F81BD" w:themeColor="accent1"/>
              <w:sz w:val="32"/>
              <w:szCs w:val="32"/>
            </w:rPr>
            <w:fldChar w:fldCharType="end"/>
          </w:r>
        </w:p>
      </w:tc>
      <w:tc>
        <w:tcPr>
          <w:tcW w:w="7938" w:type="dxa"/>
          <w:vAlign w:val="center"/>
        </w:tcPr>
        <w:p w:rsidR="00F231C9" w:rsidRDefault="00C04337" w:rsidP="00DE64FD">
          <w:pPr>
            <w:pStyle w:val="Footer"/>
            <w:ind w:left="-1134"/>
            <w:jc w:val="right"/>
          </w:pPr>
          <w:r>
            <w:rPr>
              <w:noProof/>
              <w:lang w:val="en-AU" w:eastAsia="en-AU"/>
            </w:rPr>
            <w:pict>
              <v:shapetype id="_x0000_t202" coordsize="21600,21600" o:spt="202" path="m,l,21600r21600,l21600,xe">
                <v:stroke joinstyle="miter"/>
                <v:path gradientshapeok="t" o:connecttype="rect"/>
              </v:shapetype>
              <v:shape id="Text Box 97" o:spid="_x0000_s2136" type="#_x0000_t202" style="position:absolute;left:0;text-align:left;margin-left:-3.4pt;margin-top:3.15pt;width:202.2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HR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" stroked="f">
                <v:textbox>
                  <w:txbxContent>
                    <w:p w:rsidR="00F231C9" w:rsidRDefault="00C04337" w:rsidP="00723FE5">
                      <w:pPr>
                        <w:pStyle w:val="Footer"/>
                        <w:ind w:left="-1134"/>
                        <w:jc w:val="both"/>
                      </w:pPr>
                      <w:r>
                        <w:fldChar w:fldCharType="begin"/>
                      </w:r>
                      <w:r w:rsidR="00F231C9">
                        <w:instrText xml:space="preserve"> PAGE </w:instrText>
                      </w:r>
                      <w:r>
                        <w:fldChar w:fldCharType="separate"/>
                      </w:r>
                      <w:r w:rsidR="00F231C9">
                        <w:rPr>
                          <w:noProof/>
                        </w:rPr>
                        <w:t>106</w:t>
                      </w:r>
                      <w:r>
                        <w:rPr>
                          <w:noProof/>
                        </w:rPr>
                        <w:fldChar w:fldCharType="end"/>
                      </w:r>
                      <w:r w:rsidR="00F231C9">
                        <w:t xml:space="preserve"> —&lt;Insert   </w:t>
                      </w:r>
                      <w:sdt>
                        <w:sdtPr>
                          <w:alias w:val="Title"/>
                          <w:id w:val="227770461"/>
                          <w:dataBinding w:prefixMappings="xmlns:ns0='http://purl.org/dc/elements/1.1/' xmlns:ns1='http://schemas.openxmlformats.org/package/2006/metadata/core-properties' " w:xpath="/ns1:coreProperties[1]/ns0:title[1]" w:storeItemID="{6C3C8BC8-F283-45AE-878A-BAB7291924A1}"/>
                          <w:text/>
                        </w:sdtPr>
                        <w:sdtContent>
                          <w:r w:rsidR="00F231C9">
                            <w:rPr>
                              <w:lang w:val="en-AU"/>
                            </w:rPr>
                            <w:t>Regulated water and sewerage services</w:t>
                          </w:r>
                        </w:sdtContent>
                      </w:sdt>
                    </w:p>
                    <w:p w:rsidR="00F231C9" w:rsidRDefault="00F231C9" w:rsidP="00723FE5"/>
                  </w:txbxContent>
                </v:textbox>
              </v:shape>
            </w:pict>
          </w:r>
          <w:r w:rsidR="00F231C9" w:rsidRPr="00DE64FD">
            <w:rPr>
              <w:noProof/>
              <w:lang w:val="en-AU" w:eastAsia="en-AU"/>
            </w:rPr>
            <w:drawing>
              <wp:inline distT="0" distB="0" distL="0" distR="0">
                <wp:extent cx="1159470" cy="381693"/>
                <wp:effectExtent l="19050" t="0" r="2580" b="0"/>
                <wp:docPr id="22" name="Picture 7" descr="ICRC logo New 2011.jpg"/>
                <wp:cNvGraphicFramePr/>
                <a:graphic xmlns:a="http://schemas.openxmlformats.org/drawingml/2006/main">
                  <a:graphicData uri="http://schemas.openxmlformats.org/drawingml/2006/picture">
                    <pic:pic xmlns:pic="http://schemas.openxmlformats.org/drawingml/2006/picture">
                      <pic:nvPicPr>
                        <pic:cNvPr id="0" name="Picture 0" descr="ICRC logo New 2011.jpg"/>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1157656" cy="381096"/>
                        </a:xfrm>
                        <a:prstGeom prst="rect">
                          <a:avLst/>
                        </a:prstGeom>
                        <a:noFill/>
                        <a:ln w="9525">
                          <a:noFill/>
                          <a:miter lim="800000"/>
                          <a:headEnd/>
                          <a:tailEnd/>
                        </a:ln>
                      </pic:spPr>
                    </pic:pic>
                  </a:graphicData>
                </a:graphic>
              </wp:inline>
            </w:drawing>
          </w:r>
        </w:p>
      </w:tc>
    </w:tr>
  </w:tbl>
  <w:p w:rsidR="00F231C9" w:rsidRDefault="00F231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F6AF3">
    <w:pPr>
      <w:pStyle w:val="Footer"/>
    </w:pPr>
    <w:r>
      <w:t xml:space="preserve">ICRC </w:t>
    </w:r>
    <w:r>
      <w:tab/>
      <w:t xml:space="preserve">Draft Report — Enlarged Cotter Dam Water Security Project — </w:t>
    </w:r>
    <w:r w:rsidR="00C04337">
      <w:fldChar w:fldCharType="begin"/>
    </w:r>
    <w:r>
      <w:instrText xml:space="preserve"> PAGE </w:instrText>
    </w:r>
    <w:r w:rsidR="00C04337">
      <w:fldChar w:fldCharType="separate"/>
    </w:r>
    <w:r>
      <w:rPr>
        <w:noProof/>
      </w:rPr>
      <w:t>i</w:t>
    </w:r>
    <w:r w:rsidR="00C04337">
      <w:rPr>
        <w:noProof/>
      </w:rPr>
      <w:fldChar w:fldCharType="end"/>
    </w:r>
  </w:p>
  <w:p w:rsidR="00F231C9" w:rsidRDefault="00F231C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tyle1"/>
      <w:tblW w:w="7905" w:type="dxa"/>
      <w:tblBorders>
        <w:top w:val="none" w:sz="0" w:space="0" w:color="auto"/>
        <w:bottom w:val="none" w:sz="0" w:space="0" w:color="auto"/>
      </w:tblBorders>
      <w:tblLook w:val="04A0"/>
    </w:tblPr>
    <w:tblGrid>
      <w:gridCol w:w="2943"/>
      <w:gridCol w:w="4962"/>
    </w:tblGrid>
    <w:tr w:rsidR="00F231C9" w:rsidRPr="00280AFD" w:rsidTr="00FD5811">
      <w:trPr>
        <w:trHeight w:hRule="exact" w:val="655"/>
      </w:trPr>
      <w:tc>
        <w:tcPr>
          <w:tcW w:w="2943" w:type="dxa"/>
          <w:vAlign w:val="center"/>
        </w:tcPr>
        <w:p w:rsidR="00F231C9" w:rsidRPr="00280AFD" w:rsidRDefault="00C04337" w:rsidP="00B01B32">
          <w:pPr>
            <w:pStyle w:val="Footer"/>
            <w:tabs>
              <w:tab w:val="clear" w:pos="8732"/>
            </w:tabs>
          </w:pPr>
          <w:r w:rsidRPr="00C04337">
            <w:rPr>
              <w:noProof/>
              <w:color w:val="auto"/>
              <w:lang w:val="en-AU" w:eastAsia="en-AU"/>
            </w:rPr>
            <w:pict>
              <v:rect id="Rectangle 152" o:spid="_x0000_s2135" style="position:absolute;margin-left:-5.95pt;margin-top:-8.55pt;width:396.85pt;height:1.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" fillcolor="#ffa12d" stroked="f">
                <v:fill color2="#fff5e9" rotate="t" angle="90" focus="100%" type="gradient"/>
              </v:rect>
            </w:pict>
          </w:r>
          <w:r w:rsidRPr="00C04337">
            <w:rPr>
              <w:color w:val="000033"/>
            </w:rPr>
            <w:fldChar w:fldCharType="begin"/>
          </w:r>
          <w:r w:rsidR="00F231C9" w:rsidRPr="00280AFD">
            <w:rPr>
              <w:color w:val="000033"/>
            </w:rPr>
            <w:instrText xml:space="preserve"> PAGE   \* MERGEFORMAT </w:instrText>
          </w:r>
          <w:r w:rsidRPr="00C04337">
            <w:rPr>
              <w:color w:val="000033"/>
            </w:rPr>
            <w:fldChar w:fldCharType="separate"/>
          </w:r>
          <w:r w:rsidR="004612FF" w:rsidRPr="004612FF">
            <w:rPr>
              <w:b/>
              <w:noProof/>
              <w:color w:val="000033"/>
              <w:sz w:val="32"/>
              <w:szCs w:val="32"/>
            </w:rPr>
            <w:t>80</w:t>
          </w:r>
          <w:r w:rsidRPr="00280AFD">
            <w:rPr>
              <w:b/>
              <w:noProof/>
              <w:color w:val="000033"/>
              <w:sz w:val="32"/>
              <w:szCs w:val="32"/>
            </w:rPr>
            <w:fldChar w:fldCharType="end"/>
          </w:r>
        </w:p>
      </w:tc>
      <w:tc>
        <w:tcPr>
          <w:tcW w:w="4962" w:type="dxa"/>
          <w:vAlign w:val="center"/>
        </w:tcPr>
        <w:p w:rsidR="00F231C9" w:rsidRDefault="00F231C9" w:rsidP="00280AFD">
          <w:pPr>
            <w:pStyle w:val="Footer"/>
            <w:tabs>
              <w:tab w:val="clear" w:pos="8732"/>
            </w:tabs>
            <w:jc w:val="right"/>
          </w:pPr>
          <w:r>
            <w:t>Technical paper 2: Marginal cost pricing</w:t>
          </w:r>
        </w:p>
        <w:p w:rsidR="00F231C9" w:rsidRPr="00280AFD" w:rsidRDefault="00F231C9" w:rsidP="00E9444F">
          <w:pPr>
            <w:pStyle w:val="Footer"/>
            <w:tabs>
              <w:tab w:val="clear" w:pos="8732"/>
            </w:tabs>
            <w:jc w:val="right"/>
            <w:rPr>
              <w:color w:val="000033"/>
            </w:rPr>
          </w:pPr>
          <w:r>
            <w:t>Tariff Review 2016</w:t>
          </w:r>
        </w:p>
      </w:tc>
    </w:tr>
  </w:tbl>
  <w:p w:rsidR="00F231C9" w:rsidRPr="00D5242B" w:rsidRDefault="00F231C9" w:rsidP="00280AFD">
    <w:pPr>
      <w:pStyle w:val="Footer"/>
    </w:pPr>
    <w:r>
      <w:rPr>
        <w:noProof/>
        <w:lang w:val="en-AU" w:eastAsia="en-AU"/>
      </w:rPr>
      <w:drawing>
        <wp:anchor distT="0" distB="0" distL="114300" distR="114300" simplePos="0" relativeHeight="251661312" behindDoc="0" locked="1" layoutInCell="1" allowOverlap="1">
          <wp:simplePos x="0" y="0"/>
          <wp:positionH relativeFrom="column">
            <wp:posOffset>458470</wp:posOffset>
          </wp:positionH>
          <wp:positionV relativeFrom="paragraph">
            <wp:posOffset>-344170</wp:posOffset>
          </wp:positionV>
          <wp:extent cx="1123950" cy="266700"/>
          <wp:effectExtent l="19050" t="0" r="0" b="0"/>
          <wp:wrapNone/>
          <wp:docPr id="13"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tyle1"/>
      <w:tblW w:w="7905" w:type="dxa"/>
      <w:tblBorders>
        <w:top w:val="none" w:sz="0" w:space="0" w:color="auto"/>
        <w:bottom w:val="none" w:sz="0" w:space="0" w:color="auto"/>
      </w:tblBorders>
      <w:tblLook w:val="04A0"/>
    </w:tblPr>
    <w:tblGrid>
      <w:gridCol w:w="5070"/>
      <w:gridCol w:w="2835"/>
    </w:tblGrid>
    <w:tr w:rsidR="00F231C9" w:rsidRPr="00280AFD" w:rsidTr="00594C5C">
      <w:trPr>
        <w:trHeight w:hRule="exact" w:val="641"/>
      </w:trPr>
      <w:tc>
        <w:tcPr>
          <w:tcW w:w="5070" w:type="dxa"/>
          <w:vAlign w:val="center"/>
        </w:tcPr>
        <w:p w:rsidR="00F231C9" w:rsidRDefault="00C04337" w:rsidP="00280AFD">
          <w:pPr>
            <w:pStyle w:val="Footer"/>
            <w:tabs>
              <w:tab w:val="clear" w:pos="8732"/>
            </w:tabs>
          </w:pPr>
          <w:r w:rsidRPr="00C04337">
            <w:rPr>
              <w:noProof/>
              <w:color w:val="auto"/>
              <w:lang w:val="en-AU" w:eastAsia="en-AU"/>
            </w:rPr>
            <w:pict>
              <v:rect id="_x0000_s2134" style="position:absolute;margin-left:-6.3pt;margin-top:-6.45pt;width:396.85pt;height: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" fillcolor="#fff5e9" stroked="f">
                <v:fill color2="#ffa12d" rotate="t" angle="90" focus="100%" type="gradient"/>
              </v:rect>
            </w:pict>
          </w:r>
          <w:r w:rsidR="00F231C9">
            <w:t>Technical paper 2: Marginal cost pricing</w:t>
          </w:r>
        </w:p>
        <w:p w:rsidR="00F231C9" w:rsidRPr="00280AFD" w:rsidRDefault="00F231C9" w:rsidP="00E9444F">
          <w:pPr>
            <w:pStyle w:val="Footer"/>
            <w:tabs>
              <w:tab w:val="clear" w:pos="8732"/>
            </w:tabs>
          </w:pPr>
          <w:r>
            <w:t>Tariff Review 2016</w:t>
          </w:r>
        </w:p>
      </w:tc>
      <w:tc>
        <w:tcPr>
          <w:tcW w:w="2835" w:type="dxa"/>
          <w:vAlign w:val="center"/>
        </w:tcPr>
        <w:p w:rsidR="00F231C9" w:rsidRPr="001E3780" w:rsidRDefault="00C04337" w:rsidP="00280AFD">
          <w:pPr>
            <w:pStyle w:val="Footer"/>
            <w:tabs>
              <w:tab w:val="clear" w:pos="8732"/>
            </w:tabs>
            <w:jc w:val="right"/>
            <w:rPr>
              <w:color w:val="000033"/>
              <w:sz w:val="32"/>
              <w:szCs w:val="32"/>
            </w:rPr>
          </w:pPr>
          <w:r w:rsidRPr="00C04337">
            <w:rPr>
              <w:color w:val="000033"/>
              <w:sz w:val="32"/>
              <w:szCs w:val="32"/>
            </w:rPr>
            <w:fldChar w:fldCharType="begin"/>
          </w:r>
          <w:r w:rsidR="00F231C9" w:rsidRPr="001E3780">
            <w:rPr>
              <w:color w:val="000033"/>
              <w:sz w:val="32"/>
              <w:szCs w:val="32"/>
            </w:rPr>
            <w:instrText xml:space="preserve"> PAGE   \* MERGEFORMAT </w:instrText>
          </w:r>
          <w:r w:rsidRPr="00C04337">
            <w:rPr>
              <w:color w:val="000033"/>
              <w:sz w:val="32"/>
              <w:szCs w:val="32"/>
            </w:rPr>
            <w:fldChar w:fldCharType="separate"/>
          </w:r>
          <w:r w:rsidR="004612FF" w:rsidRPr="004612FF">
            <w:rPr>
              <w:rFonts w:eastAsia="Cambria"/>
              <w:b/>
              <w:bCs/>
              <w:noProof/>
              <w:color w:val="000033"/>
              <w:sz w:val="32"/>
              <w:szCs w:val="32"/>
              <w:lang w:val="en-US"/>
            </w:rPr>
            <w:t>i</w:t>
          </w:r>
          <w:r w:rsidRPr="001E3780">
            <w:rPr>
              <w:b/>
              <w:noProof/>
              <w:color w:val="000033"/>
              <w:sz w:val="32"/>
              <w:szCs w:val="32"/>
            </w:rPr>
            <w:fldChar w:fldCharType="end"/>
          </w:r>
        </w:p>
      </w:tc>
    </w:tr>
  </w:tbl>
  <w:p w:rsidR="00F231C9" w:rsidRPr="00E42160" w:rsidRDefault="00F231C9" w:rsidP="00280AFD">
    <w:pPr>
      <w:pStyle w:val="Footer"/>
    </w:pPr>
    <w:r>
      <w:rPr>
        <w:noProof/>
        <w:lang w:val="en-AU" w:eastAsia="en-AU"/>
      </w:rPr>
      <w:drawing>
        <wp:anchor distT="0" distB="0" distL="114300" distR="114300" simplePos="0" relativeHeight="251659264" behindDoc="0" locked="1" layoutInCell="1" allowOverlap="1">
          <wp:simplePos x="0" y="0"/>
          <wp:positionH relativeFrom="column">
            <wp:posOffset>3296920</wp:posOffset>
          </wp:positionH>
          <wp:positionV relativeFrom="paragraph">
            <wp:posOffset>-344170</wp:posOffset>
          </wp:positionV>
          <wp:extent cx="1123950" cy="266700"/>
          <wp:effectExtent l="19050" t="0" r="0" b="0"/>
          <wp:wrapNone/>
          <wp:docPr id="14"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tyle1"/>
      <w:tblW w:w="7905" w:type="dxa"/>
      <w:tblBorders>
        <w:top w:val="none" w:sz="0" w:space="0" w:color="auto"/>
        <w:bottom w:val="none" w:sz="0" w:space="0" w:color="auto"/>
      </w:tblBorders>
      <w:tblLook w:val="04A0"/>
    </w:tblPr>
    <w:tblGrid>
      <w:gridCol w:w="5070"/>
      <w:gridCol w:w="2835"/>
    </w:tblGrid>
    <w:tr w:rsidR="00F231C9" w:rsidRPr="00280AFD" w:rsidTr="00594C5C">
      <w:trPr>
        <w:trHeight w:hRule="exact" w:val="641"/>
      </w:trPr>
      <w:tc>
        <w:tcPr>
          <w:tcW w:w="5070" w:type="dxa"/>
          <w:vAlign w:val="center"/>
        </w:tcPr>
        <w:p w:rsidR="00F231C9" w:rsidRDefault="00C04337" w:rsidP="00280AFD">
          <w:pPr>
            <w:pStyle w:val="Footer"/>
            <w:tabs>
              <w:tab w:val="clear" w:pos="8732"/>
            </w:tabs>
          </w:pPr>
          <w:r>
            <w:rPr>
              <w:noProof/>
              <w:lang w:val="en-AU" w:eastAsia="en-AU"/>
            </w:rPr>
            <w:pict>
              <v:rect id="Rectangle 151" o:spid="_x0000_s2133" style="position:absolute;margin-left:-6.3pt;margin-top:-6.45pt;width:396.85pt;height:1.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" fillcolor="#fff5e9" stroked="f">
                <v:fill color2="#ffa12d" rotate="t" angle="90" focus="100%" type="gradient"/>
              </v:rect>
            </w:pict>
          </w:r>
          <w:r w:rsidR="00F231C9">
            <w:t>Technical paper 2: Marginal cost pricing</w:t>
          </w:r>
        </w:p>
        <w:p w:rsidR="00F231C9" w:rsidRPr="00280AFD" w:rsidRDefault="00F231C9" w:rsidP="005172A0">
          <w:pPr>
            <w:pStyle w:val="Footer"/>
            <w:tabs>
              <w:tab w:val="clear" w:pos="8732"/>
            </w:tabs>
          </w:pPr>
          <w:r>
            <w:t>Tariff Review 201</w:t>
          </w:r>
          <w:r w:rsidRPr="00D535AD">
            <w:t>6</w:t>
          </w:r>
        </w:p>
      </w:tc>
      <w:tc>
        <w:tcPr>
          <w:tcW w:w="2835" w:type="dxa"/>
          <w:vAlign w:val="center"/>
        </w:tcPr>
        <w:p w:rsidR="00F231C9" w:rsidRPr="001E3780" w:rsidRDefault="00C04337" w:rsidP="00280AFD">
          <w:pPr>
            <w:pStyle w:val="Footer"/>
            <w:tabs>
              <w:tab w:val="clear" w:pos="8732"/>
            </w:tabs>
            <w:jc w:val="right"/>
            <w:rPr>
              <w:color w:val="000033"/>
              <w:sz w:val="32"/>
              <w:szCs w:val="32"/>
            </w:rPr>
          </w:pPr>
          <w:r w:rsidRPr="00C04337">
            <w:rPr>
              <w:color w:val="000033"/>
              <w:sz w:val="32"/>
              <w:szCs w:val="32"/>
            </w:rPr>
            <w:fldChar w:fldCharType="begin"/>
          </w:r>
          <w:r w:rsidR="00F231C9" w:rsidRPr="001E3780">
            <w:rPr>
              <w:color w:val="000033"/>
              <w:sz w:val="32"/>
              <w:szCs w:val="32"/>
            </w:rPr>
            <w:instrText xml:space="preserve"> PAGE   \* MERGEFORMAT </w:instrText>
          </w:r>
          <w:r w:rsidRPr="00C04337">
            <w:rPr>
              <w:color w:val="000033"/>
              <w:sz w:val="32"/>
              <w:szCs w:val="32"/>
            </w:rPr>
            <w:fldChar w:fldCharType="separate"/>
          </w:r>
          <w:r w:rsidR="004612FF" w:rsidRPr="004612FF">
            <w:rPr>
              <w:rFonts w:eastAsia="Cambria"/>
              <w:b/>
              <w:bCs/>
              <w:noProof/>
              <w:color w:val="000033"/>
              <w:sz w:val="32"/>
              <w:szCs w:val="32"/>
              <w:lang w:val="en-US"/>
            </w:rPr>
            <w:t>81</w:t>
          </w:r>
          <w:r w:rsidRPr="001E3780">
            <w:rPr>
              <w:b/>
              <w:noProof/>
              <w:color w:val="000033"/>
              <w:sz w:val="32"/>
              <w:szCs w:val="32"/>
            </w:rPr>
            <w:fldChar w:fldCharType="end"/>
          </w:r>
        </w:p>
      </w:tc>
    </w:tr>
  </w:tbl>
  <w:p w:rsidR="00F231C9" w:rsidRPr="00E42160" w:rsidRDefault="00F231C9" w:rsidP="00280AFD">
    <w:pPr>
      <w:pStyle w:val="Footer"/>
    </w:pPr>
    <w:r>
      <w:rPr>
        <w:noProof/>
        <w:lang w:val="en-AU" w:eastAsia="en-AU"/>
      </w:rPr>
      <w:drawing>
        <wp:anchor distT="0" distB="0" distL="114300" distR="114300" simplePos="0" relativeHeight="251655168" behindDoc="0" locked="1" layoutInCell="1" allowOverlap="1">
          <wp:simplePos x="0" y="0"/>
          <wp:positionH relativeFrom="column">
            <wp:posOffset>3296920</wp:posOffset>
          </wp:positionH>
          <wp:positionV relativeFrom="paragraph">
            <wp:posOffset>-344170</wp:posOffset>
          </wp:positionV>
          <wp:extent cx="1123950" cy="266700"/>
          <wp:effectExtent l="19050" t="0" r="0" b="0"/>
          <wp:wrapNone/>
          <wp:docPr id="1"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1C9" w:rsidRDefault="00F231C9" w:rsidP="006522B3">
      <w:pPr>
        <w:spacing w:after="0" w:line="240" w:lineRule="auto"/>
      </w:pPr>
      <w:r>
        <w:separator/>
      </w:r>
    </w:p>
  </w:footnote>
  <w:footnote w:type="continuationSeparator" w:id="0">
    <w:p w:rsidR="00F231C9" w:rsidRDefault="00F231C9" w:rsidP="006522B3">
      <w:pPr>
        <w:spacing w:after="0" w:line="240" w:lineRule="auto"/>
      </w:pPr>
      <w:r>
        <w:continuationSeparator/>
      </w:r>
    </w:p>
  </w:footnote>
  <w:footnote w:type="continuationNotice" w:id="1">
    <w:p w:rsidR="00F231C9" w:rsidRDefault="00F231C9">
      <w:pPr>
        <w:spacing w:after="0" w:line="240" w:lineRule="auto"/>
      </w:pPr>
    </w:p>
  </w:footnote>
  <w:footnote w:id="2">
    <w:p w:rsidR="00F231C9" w:rsidRDefault="00F231C9" w:rsidP="00B9759B">
      <w:pPr>
        <w:pStyle w:val="FootnoteText"/>
      </w:pPr>
      <w:r>
        <w:rPr>
          <w:rStyle w:val="FootnoteReference"/>
        </w:rPr>
        <w:footnoteRef/>
      </w:r>
      <w:r>
        <w:t xml:space="preserve"> </w:t>
      </w:r>
      <w:r w:rsidR="00C04337">
        <w:fldChar w:fldCharType="begin"/>
      </w:r>
      <w:r>
        <w:instrText xml:space="preserve"> ADDIN EN.CITE &lt;EndNote&gt;&lt;Cite&gt;&lt;Author&gt;ICRC&lt;/Author&gt;&lt;Year&gt;2015&lt;/Year&gt;&lt;RecNum&gt;630&lt;/RecNum&gt;&lt;DisplayText&gt;ICRC, 2015a: &lt;/DisplayText&gt;&lt;record&gt;&lt;rec-number&gt;630&lt;/rec-number&gt;&lt;foreign-keys&gt;&lt;key app="EN" db-id="5xwt9zxa6r5fesevwr5xzp97r95ev9wx9zpw" timestamp="1445552628"&gt;630&lt;/key&gt;&lt;/foreign-keys&gt;&lt;ref-type name="AAA ICRC Water References"&gt;40&lt;/ref-type&gt;&lt;contributors&gt;&lt;authors&gt;&lt;author&gt;ICRC,&lt;/author&gt;&lt;/authors&gt;&lt;/contributors&gt;&lt;titles&gt;&lt;title&gt;Issues Paper: Tariff Review 2016 - Regulated Water and Sewerage Services&lt;/title&gt;&lt;/titles&gt;&lt;volume&gt;Report 7 of 2015&lt;/volume&gt;&lt;dates&gt;&lt;year&gt;2015&lt;/year&gt;&lt;pub-dates&gt;&lt;date&gt;November 2015&lt;/date&gt;&lt;/pub-dates&gt;&lt;/dates&gt;&lt;pub-location&gt;Canberra&lt;/pub-location&gt;&lt;publisher&gt;ICRC&lt;/publisher&gt;&lt;urls&gt;&lt;/urls&gt;&lt;/record&gt;&lt;/Cite&gt;&lt;/EndNote&gt;</w:instrText>
      </w:r>
      <w:r w:rsidR="00C04337">
        <w:fldChar w:fldCharType="separate"/>
      </w:r>
      <w:r>
        <w:rPr>
          <w:noProof/>
        </w:rPr>
        <w:t xml:space="preserve">ICRC, 2015a: </w:t>
      </w:r>
      <w:r w:rsidR="00C04337">
        <w:fldChar w:fldCharType="end"/>
      </w:r>
      <w:r>
        <w:t xml:space="preserve">1-90. Available for download from: </w:t>
      </w:r>
      <w:r w:rsidRPr="00570913">
        <w:t>http://www.icrc.act.gov.au/wp-content/uploads/2015/11/Report-7-of-2015-Issues-Paper-Tariff-Review-2016-November-2015.pdf</w:t>
      </w:r>
      <w:r>
        <w:t>.</w:t>
      </w:r>
    </w:p>
  </w:footnote>
  <w:footnote w:id="3">
    <w:p w:rsidR="00F231C9" w:rsidRDefault="00F231C9" w:rsidP="00B9759B">
      <w:pPr>
        <w:pStyle w:val="FootnoteText"/>
      </w:pPr>
      <w:r>
        <w:rPr>
          <w:rStyle w:val="FootnoteReference"/>
        </w:rPr>
        <w:footnoteRef/>
      </w:r>
      <w:r>
        <w:t xml:space="preserve"> </w:t>
      </w:r>
      <w:r w:rsidR="00C04337">
        <w:fldChar w:fldCharType="begin"/>
      </w:r>
      <w:r>
        <w:instrText xml:space="preserve"> ADDIN EN.CITE &lt;EndNote&gt;&lt;Cite&gt;&lt;Author&gt;ICRC&lt;/Author&gt;&lt;Year&gt;2016&lt;/Year&gt;&lt;RecNum&gt;697&lt;/RecNum&gt;&lt;DisplayText&gt;ICRC, 2016: &lt;/DisplayText&gt;&lt;record&gt;&lt;rec-number&gt;697&lt;/rec-number&gt;&lt;foreign-keys&gt;&lt;key app="EN" db-id="5xwt9zxa6r5fesevwr5xzp97r95ev9wx9zpw" timestamp="1458518329"&gt;697&lt;/key&gt;&lt;key app="ENWeb" db-id=""&gt;0&lt;/key&gt;&lt;/foreign-keys&gt;&lt;ref-type name="AAA ICRC Water References"&gt;40&lt;/ref-type&gt;&lt;contributors&gt;&lt;authors&gt;&lt;author&gt;ICRC,&lt;/author&gt;&lt;/authors&gt;&lt;/contributors&gt;&lt;titles&gt;&lt;title&gt;Technical paper 1: Price elasticity of water demand in the ACT&lt;/title&gt;&lt;/titles&gt;&lt;volume&gt;Report 1 of 2016&lt;/volume&gt;&lt;dates&gt;&lt;year&gt;2016&lt;/year&gt;&lt;pub-dates&gt;&lt;date&gt;February 2016&lt;/date&gt;&lt;/pub-dates&gt;&lt;/dates&gt;&lt;pub-location&gt;Canberra&lt;/pub-location&gt;&lt;publisher&gt;Independent Competition and Regulatory Commission&lt;/publisher&gt;&lt;urls&gt;&lt;/urls&gt;&lt;/record&gt;&lt;/Cite&gt;&lt;/EndNote&gt;</w:instrText>
      </w:r>
      <w:r w:rsidR="00C04337">
        <w:fldChar w:fldCharType="separate"/>
      </w:r>
      <w:r>
        <w:rPr>
          <w:noProof/>
        </w:rPr>
        <w:t xml:space="preserve">ICRC, 2016: </w:t>
      </w:r>
      <w:r w:rsidR="00C04337">
        <w:fldChar w:fldCharType="end"/>
      </w:r>
      <w:r>
        <w:t xml:space="preserve">1-31. Available for download from : </w:t>
      </w:r>
      <w:r w:rsidRPr="00570913">
        <w:t>http://www.icrc.act.gov.au/wp-content/uploads/2015/11/TariffRev_Elasticity_paperv8.pdf</w:t>
      </w:r>
      <w:r>
        <w:t>.</w:t>
      </w:r>
    </w:p>
  </w:footnote>
  <w:footnote w:id="4">
    <w:p w:rsidR="00F231C9" w:rsidRDefault="00F231C9">
      <w:pPr>
        <w:pStyle w:val="FootnoteText"/>
      </w:pPr>
      <w:r>
        <w:rPr>
          <w:rStyle w:val="FootnoteReference"/>
        </w:rPr>
        <w:footnoteRef/>
      </w:r>
      <w:r>
        <w:t xml:space="preserve"> Icon Water’s costs are predominantly fixed.</w:t>
      </w:r>
    </w:p>
  </w:footnote>
  <w:footnote w:id="5">
    <w:p w:rsidR="00F231C9" w:rsidRDefault="00F231C9" w:rsidP="00D66623">
      <w:pPr>
        <w:pStyle w:val="FootnoteText"/>
      </w:pPr>
      <w:r>
        <w:rPr>
          <w:rStyle w:val="FootnoteReference"/>
        </w:rPr>
        <w:footnoteRef/>
      </w:r>
      <w:r>
        <w:t xml:space="preserve"> </w:t>
      </w:r>
      <w:r w:rsidR="00C04337">
        <w:fldChar w:fldCharType="begin"/>
      </w:r>
      <w:r>
        <w:instrText xml:space="preserve"> ADDIN EN.CITE &lt;EndNote&gt;&lt;Cite&gt;&lt;Author&gt;Turvey&lt;/Author&gt;&lt;Year&gt;1976&lt;/Year&gt;&lt;RecNum&gt;519&lt;/RecNum&gt;&lt;DisplayText&gt;Turvey, 1976: &lt;/DisplayText&gt;&lt;record&gt;&lt;rec-number&gt;519&lt;/rec-number&gt;&lt;foreign-keys&gt;&lt;key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r>
        <w:rPr>
          <w:noProof/>
        </w:rPr>
        <w:t xml:space="preserve">Turvey, 1976: </w:t>
      </w:r>
      <w:r w:rsidR="00C04337">
        <w:fldChar w:fldCharType="end"/>
      </w:r>
      <w:r>
        <w:t>159.</w:t>
      </w:r>
    </w:p>
  </w:footnote>
  <w:footnote w:id="6">
    <w:p w:rsidR="00F231C9" w:rsidRDefault="00F231C9" w:rsidP="00AC19B5">
      <w:pPr>
        <w:pStyle w:val="FootnoteText"/>
      </w:pPr>
      <w:r>
        <w:rPr>
          <w:rStyle w:val="FootnoteReference"/>
        </w:rPr>
        <w:footnoteRef/>
      </w:r>
      <w:r>
        <w:t xml:space="preserve"> It is important to note that prices can be cost-reflective only if the costs reflected are prudent and efficient.</w:t>
      </w:r>
    </w:p>
  </w:footnote>
  <w:footnote w:id="7">
    <w:p w:rsidR="00F231C9" w:rsidRDefault="00F231C9" w:rsidP="00002CE1">
      <w:pPr>
        <w:pStyle w:val="FootnoteText"/>
      </w:pPr>
      <w:r>
        <w:rPr>
          <w:rStyle w:val="FootnoteReference"/>
        </w:rPr>
        <w:footnoteRef/>
      </w:r>
      <w:r>
        <w:t xml:space="preserve"> </w:t>
      </w:r>
      <w:r w:rsidR="00C04337">
        <w:fldChar w:fldCharType="begin"/>
      </w:r>
      <w:r>
        <w:instrText xml:space="preserve"> ADDIN EN.CITE &lt;EndNote&gt;&lt;Cite&gt;&lt;Author&gt;Della Valle&lt;/Author&gt;&lt;Year&gt;1988&lt;/Year&gt;&lt;RecNum&gt;536&lt;/RecNum&gt;&lt;DisplayText&gt;Della Valle, 1988: &lt;/DisplayText&gt;&lt;record&gt;&lt;rec-number&gt;536&lt;/rec-number&gt;&lt;foreign-keys&gt;&lt;key app="EN" db-id="5xwt9zxa6r5fesevwr5xzp97r95ev9wx9zpw" timestamp="1441337231"&gt;536&lt;/key&gt;&lt;/foreign-keys&gt;&lt;ref-type name="Journal Article"&gt;17&lt;/ref-type&gt;&lt;contributors&gt;&lt;authors&gt;&lt;author&gt;Della Valle, Anna P&lt;/author&gt;&lt;/authors&gt;&lt;/contributors&gt;&lt;titles&gt;&lt;title&gt;Short-run versus long-run marginal cost pricing&lt;/title&gt;&lt;secondary-title&gt;Energy Economics&lt;/secondary-title&gt;&lt;/titles&gt;&lt;periodical&gt;&lt;full-title&gt;Energy Economics&lt;/full-title&gt;&lt;/periodical&gt;&lt;pages&gt;283-286&lt;/pages&gt;&lt;volume&gt;10&lt;/volume&gt;&lt;number&gt;4&lt;/number&gt;&lt;dates&gt;&lt;year&gt;1988&lt;/year&gt;&lt;/dates&gt;&lt;urls&gt;&lt;/urls&gt;&lt;/record&gt;&lt;/Cite&gt;&lt;/EndNote&gt;</w:instrText>
      </w:r>
      <w:r w:rsidR="00C04337">
        <w:fldChar w:fldCharType="separate"/>
      </w:r>
      <w:r>
        <w:rPr>
          <w:noProof/>
        </w:rPr>
        <w:t xml:space="preserve">Della Valle, 1988: </w:t>
      </w:r>
      <w:r w:rsidR="00C04337">
        <w:fldChar w:fldCharType="end"/>
      </w:r>
      <w:r>
        <w:t>283.</w:t>
      </w:r>
    </w:p>
  </w:footnote>
  <w:footnote w:id="8">
    <w:p w:rsidR="00F231C9" w:rsidRDefault="00F231C9">
      <w:pPr>
        <w:pStyle w:val="FootnoteText"/>
      </w:pPr>
      <w:r>
        <w:rPr>
          <w:rStyle w:val="FootnoteReference"/>
        </w:rPr>
        <w:footnoteRef/>
      </w:r>
      <w:r>
        <w:t xml:space="preserve"> Note that the submission period has been extended by two weeks from the 1 July 2015 </w:t>
      </w:r>
      <w:r w:rsidR="00616E7F">
        <w:t xml:space="preserve">date </w:t>
      </w:r>
      <w:r>
        <w:t xml:space="preserve">advertised in previous tariff review papers to allow additional time for stakeholders to respond to this technical paper. </w:t>
      </w:r>
    </w:p>
  </w:footnote>
  <w:footnote w:id="9">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&lt;EndNote&gt;&lt;Cite&gt;&lt;Author&gt;ICRC&lt;/Author&gt;&lt;Year&gt;2015&lt;/Year&gt;&lt;RecNum&gt;630&lt;/RecNum&gt;&lt;DisplayText&gt;ICRC, 2015a: &lt;/DisplayText&gt;&lt;record&gt;&lt;rec-number&gt;630&lt;/rec-number&gt;&lt;foreign-keys&gt;&lt;key app="EN" db-id="5xwt9zxa6r5fesevwr5xzp97r95ev9wx9zpw" timestamp="1445552628"&gt;630&lt;/key&gt;&lt;/foreign-keys&gt;&lt;ref-type name="AAA ICRC Water References"&gt;40&lt;/ref-type&gt;&lt;contributors&gt;&lt;authors&gt;&lt;author&gt;ICRC,&lt;/author&gt;&lt;/authors&gt;&lt;/contributors&gt;&lt;titles&gt;&lt;title&gt;Issues Paper: Tariff Review 2016 - Regulated Water and Sewerage Services&lt;/title&gt;&lt;/titles&gt;&lt;volume&gt;Report 7 of 2015&lt;/volume&gt;&lt;dates&gt;&lt;year&gt;2015&lt;/year&gt;&lt;pub-dates&gt;&lt;date&gt;November 2015&lt;/date&gt;&lt;/pub-dates&gt;&lt;/dates&gt;&lt;pub-location&gt;Canberra&lt;/pub-location&gt;&lt;publisher&gt;ICRC&lt;/publisher&gt;&lt;urls&gt;&lt;/urls&gt;&lt;/record&gt;&lt;/Cite&gt;&lt;/EndNote&gt;</w:instrText>
      </w:r>
      <w:r w:rsidR="00C04337">
        <w:fldChar w:fldCharType="separate"/>
      </w:r>
      <w:r>
        <w:rPr>
          <w:noProof/>
        </w:rPr>
        <w:t xml:space="preserve">ICRC, 2015a: </w:t>
      </w:r>
      <w:r w:rsidR="00C04337">
        <w:fldChar w:fldCharType="end"/>
      </w:r>
      <w:r>
        <w:t xml:space="preserve">1-90. Available for download from: </w:t>
      </w:r>
      <w:r w:rsidRPr="00570913">
        <w:t>http://www.icrc.act.gov.au/wp-content/uploads/2015/11/Report-7-of-2015-Issues-Paper-Tariff-Review-2016-November-2015.pdf</w:t>
      </w:r>
      <w:r>
        <w:t>.</w:t>
      </w:r>
    </w:p>
  </w:footnote>
  <w:footnote w:id="10">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&lt;EndNote&gt;&lt;Cite&gt;&lt;Author&gt;ICRC&lt;/Author&gt;&lt;Year&gt;2016&lt;/Year&gt;&lt;RecNum&gt;697&lt;/RecNum&gt;&lt;DisplayText&gt;ICRC, 2016: &lt;/DisplayText&gt;&lt;record&gt;&lt;rec-number&gt;697&lt;/rec-number&gt;&lt;foreign-keys&gt;&lt;key app="EN" db-id="5xwt9zxa6r5fesevwr5xzp97r95ev9wx9zpw" timestamp="1458518329"&gt;697&lt;/key&gt;&lt;key app="ENWeb" db-id=""&gt;0&lt;/key&gt;&lt;/foreign-keys&gt;&lt;ref-type name="AAA ICRC Water References"&gt;40&lt;/ref-type&gt;&lt;contributors&gt;&lt;authors&gt;&lt;author&gt;ICRC,&lt;/author&gt;&lt;/authors&gt;&lt;/contributors&gt;&lt;titles&gt;&lt;title&gt;Technical paper 1: Price elasticity of water demand in the ACT&lt;/title&gt;&lt;/titles&gt;&lt;volume&gt;Report 1 of 2016&lt;/volume&gt;&lt;dates&gt;&lt;year&gt;2016&lt;/year&gt;&lt;pub-dates&gt;&lt;date&gt;February 2016&lt;/date&gt;&lt;/pub-dates&gt;&lt;/dates&gt;&lt;pub-location&gt;Canberra&lt;/pub-location&gt;&lt;publisher&gt;Independent Competition and Regulatory Commission&lt;/publisher&gt;&lt;urls&gt;&lt;/urls&gt;&lt;/record&gt;&lt;/Cite&gt;&lt;/EndNote&gt;</w:instrText>
      </w:r>
      <w:r w:rsidR="00C04337">
        <w:fldChar w:fldCharType="separate"/>
      </w:r>
      <w:r>
        <w:rPr>
          <w:noProof/>
        </w:rPr>
        <w:t xml:space="preserve">ICRC, 2016: </w:t>
      </w:r>
      <w:r w:rsidR="00C04337">
        <w:fldChar w:fldCharType="end"/>
      </w:r>
      <w:r>
        <w:t xml:space="preserve">1-31. Available for download from : </w:t>
      </w:r>
      <w:r w:rsidRPr="00570913">
        <w:t>http://www.icrc.act.gov.au/wp-content/uploads/2015/11/TariffRev_Elasticity_paperv8.pdf</w:t>
      </w:r>
      <w:r>
        <w:t>.</w:t>
      </w:r>
    </w:p>
  </w:footnote>
  <w:footnote w:id="11">
    <w:p w:rsidR="00F231C9" w:rsidRDefault="00F231C9" w:rsidP="00BD0EAB">
      <w:pPr>
        <w:pStyle w:val="FootnoteText"/>
      </w:pPr>
      <w:r>
        <w:rPr>
          <w:rStyle w:val="FootnoteReference"/>
        </w:rPr>
        <w:footnoteRef/>
      </w:r>
      <w:r>
        <w:t xml:space="preserve"> Since the publication of the issues paper the ACT Government has tabled a bill that will amend the </w:t>
      </w:r>
      <w:r w:rsidRPr="00BD0EAB">
        <w:rPr>
          <w:i/>
        </w:rPr>
        <w:t>Independent Competition and Regulatory Commission Act 1997</w:t>
      </w:r>
      <w:r>
        <w:t>. The amendments include a new objective that relates specifically to price directions: ‘The objective of the commission, when making a price direction in a regulated industry, is to promote the efficient investment in, and  efficient operation and use of regulated services for the long term interests of consumers in relation to the price, quality, safety, reliability and security of the service.’ (</w:t>
      </w:r>
      <w:r w:rsidR="00C04337">
        <w:fldChar w:fldCharType="begin"/>
      </w:r>
      <w:r>
        <w:instrText xml:space="preserve"> ADDIN EN.CITE &lt;EndNote&gt;&lt;Cite&gt;&lt;Author&gt;ACT Legislative Assembly&lt;/Author&gt;&lt;Year&gt;2016&lt;/Year&gt;&lt;RecNum&gt;724&lt;/RecNum&gt;&lt;DisplayText&gt;ACT Legislative Assembly, 2016: &lt;/DisplayText&gt;&lt;record&gt;&lt;rec-number&gt;724&lt;/rec-number&gt;&lt;foreign-keys&gt;&lt;key app="EN" db-id="5xwt9zxa6r5fesevwr5xzp97r95ev9wx9zpw" timestamp="1463366386"&gt;724&lt;/key&gt;&lt;/foreign-keys&gt;&lt;ref-type name="Legal Rule or Regulation"&gt;50&lt;/ref-type&gt;&lt;contributors&gt;&lt;authors&gt;&lt;author&gt;ACT Legislative Assembly,&lt;/author&gt;&lt;/authors&gt;&lt;secondary-authors&gt;&lt;author&gt;ACT Parliamentary Counsel&lt;/author&gt;&lt;/secondary-authors&gt;&lt;/contributors&gt;&lt;titles&gt;&lt;title&gt;Independent Competition and Regulatory Commission Amendment Bill 2016&lt;/title&gt;&lt;/titles&gt;&lt;dates&gt;&lt;year&gt;2016&lt;/year&gt;&lt;/dates&gt;&lt;pub-location&gt;Canberra ACT&lt;/pub-location&gt;&lt;urls&gt;&lt;/urls&gt;&lt;/record&gt;&lt;/Cite&gt;&lt;/EndNote&gt;</w:instrText>
      </w:r>
      <w:r w:rsidR="00C04337">
        <w:fldChar w:fldCharType="separate"/>
      </w:r>
      <w:r>
        <w:rPr>
          <w:noProof/>
        </w:rPr>
        <w:t xml:space="preserve">ACT Legislative Assembly, 2016: </w:t>
      </w:r>
      <w:r w:rsidR="00C04337">
        <w:fldChar w:fldCharType="end"/>
      </w:r>
      <w:r>
        <w:t>5).</w:t>
      </w:r>
    </w:p>
  </w:footnote>
  <w:footnote w:id="12">
    <w:p w:rsidR="00F231C9" w:rsidRDefault="00F231C9" w:rsidP="00635693">
      <w:pPr>
        <w:pStyle w:val="FootnoteText"/>
      </w:pPr>
      <w:r>
        <w:rPr>
          <w:rStyle w:val="FootnoteReference"/>
        </w:rPr>
        <w:footnoteRef/>
      </w:r>
      <w:r>
        <w:t xml:space="preserve"> This encompasses both the total amount of water and sewerage services consumed and the distribution of that consumption among customers. The objective is to secure an outcome in which social welfare could not be improved by consuming more of the services, nor by reallocating consumption between users, nor by some combination of the two.</w:t>
      </w:r>
    </w:p>
  </w:footnote>
  <w:footnote w:id="13">
    <w:p w:rsidR="00F231C9" w:rsidRDefault="00F231C9" w:rsidP="004E2F2C">
      <w:pPr>
        <w:pStyle w:val="FootnoteText"/>
      </w:pPr>
      <w:r>
        <w:rPr>
          <w:rStyle w:val="FootnoteReference"/>
        </w:rPr>
        <w:footnoteRef/>
      </w:r>
      <w:r>
        <w:t xml:space="preserve"> It is important to note that prices can be cost-reflective only if the costs reflected are prudent and efficient.</w:t>
      </w:r>
    </w:p>
  </w:footnote>
  <w:footnote w:id="14">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&lt;EndNote&gt;&lt;Cite&gt;&lt;Author&gt;Turvey&lt;/Author&gt;&lt;Year&gt;1976&lt;/Year&gt;&lt;RecNum&gt;519&lt;/RecNum&gt;&lt;DisplayText&gt;Turvey, 1976: &lt;/DisplayText&gt;&lt;record&gt;&lt;rec-number&gt;519&lt;/rec-number&gt;&lt;foreign-keys&gt;&lt;key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r>
        <w:rPr>
          <w:noProof/>
        </w:rPr>
        <w:t xml:space="preserve">Turvey, 1976: </w:t>
      </w:r>
      <w:r w:rsidR="00C04337">
        <w:fldChar w:fldCharType="end"/>
      </w:r>
      <w:r>
        <w:t>159.</w:t>
      </w:r>
    </w:p>
  </w:footnote>
  <w:footnote w:id="15">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&lt;EndNote&gt;&lt;Cite&gt;&lt;Author&gt;Grafton&lt;/Author&gt;&lt;Year&gt;2010&lt;/Year&gt;&lt;RecNum&gt;584&lt;/RecNum&gt;&lt;DisplayText&gt;Grafton and Ward, 2010: &lt;/DisplayText&gt;&lt;record&gt;&lt;rec-number&gt;584&lt;/rec-number&gt;&lt;foreign-keys&gt;&lt;key app="EN" db-id="5xwt9zxa6r5fesevwr5xzp97r95ev9wx9zpw" timestamp="1442464790"&gt;584&lt;/key&gt;&lt;/foreign-keys&gt;&lt;ref-type name="AAA ICRC Water References"&gt;40&lt;/ref-type&gt;&lt;contributors&gt;&lt;authors&gt;&lt;author&gt;Grafton, R Quentin&lt;/author&gt;&lt;author&gt;Ward, Michael&lt;/author&gt;&lt;/authors&gt;&lt;/contributors&gt;&lt;titles&gt;&lt;title&gt;Dynamically Efficient Urban Water Policy&lt;/title&gt;&lt;/titles&gt;&lt;volume&gt;Reserach Papers 10-13&lt;/volume&gt;&lt;dates&gt;&lt;year&gt;2010&lt;/year&gt;&lt;pub-dates&gt;&lt;date&gt;12 November 2010&lt;/date&gt;&lt;/pub-dates&gt;&lt;/dates&gt;&lt;pub-location&gt;Canberra&lt;/pub-location&gt;&lt;publisher&gt;Centre for Water Economics, Environment and Policy, The Australian National University&lt;/publisher&gt;&lt;urls&gt;&lt;/urls&gt;&lt;/record&gt;&lt;/Cite&gt;&lt;/EndNote&gt;</w:instrText>
      </w:r>
      <w:r w:rsidR="00C04337">
        <w:fldChar w:fldCharType="separate"/>
      </w:r>
      <w:r>
        <w:rPr>
          <w:noProof/>
        </w:rPr>
        <w:t xml:space="preserve">Grafton and Ward, 2010: </w:t>
      </w:r>
      <w:r w:rsidR="00C04337">
        <w:fldChar w:fldCharType="end"/>
      </w:r>
      <w:r>
        <w:t>4.</w:t>
      </w:r>
    </w:p>
  </w:footnote>
  <w:footnote w:id="16">
    <w:p w:rsidR="00F231C9" w:rsidRDefault="00F231C9" w:rsidP="00CB2B96">
      <w:pPr>
        <w:pStyle w:val="FootnoteText"/>
      </w:pPr>
      <w:r>
        <w:rPr>
          <w:rStyle w:val="FootnoteReference"/>
        </w:rPr>
        <w:footnoteRef/>
      </w:r>
      <w:r>
        <w:t xml:space="preserve"> Ronald Coase received the Nobel Prize in Economics in 1991. William Vickrey posthumously received the </w:t>
      </w:r>
      <w:r w:rsidRPr="005E519E">
        <w:t>Nobel Memorial Prize in Economic Sciences</w:t>
      </w:r>
      <w:r>
        <w:t xml:space="preserve"> in 1996.</w:t>
      </w:r>
    </w:p>
  </w:footnote>
  <w:footnote w:id="17">
    <w:p w:rsidR="00F231C9" w:rsidRDefault="00F231C9" w:rsidP="00811EBA">
      <w:pPr>
        <w:pStyle w:val="FootnoteText"/>
      </w:pPr>
      <w:r>
        <w:rPr>
          <w:rStyle w:val="FootnoteReference"/>
        </w:rPr>
        <w:footnoteRef/>
      </w:r>
      <w:r>
        <w:t xml:space="preserve"> </w:t>
      </w:r>
      <w:r w:rsidR="00C04337">
        <w:fldChar w:fldCharType="begin"/>
      </w:r>
      <w:r>
        <w:instrText xml:space="preserve"> ADDIN EN.CITE &lt;EndNote&gt;&lt;Cite&gt;&lt;Author&gt;Coase&lt;/Author&gt;&lt;Year&gt;1970&lt;/Year&gt;&lt;RecNum&gt;217&lt;/RecNum&gt;&lt;DisplayText&gt;Coase, 1970: &lt;/DisplayText&gt;&lt;record&gt;&lt;rec-number&gt;217&lt;/rec-number&gt;&lt;foreign-keys&gt;&lt;key app="EN" db-id="5xwt9zxa6r5fesevwr5xzp97r95ev9wx9zpw" timestamp="1375310961"&gt;217&lt;/key&gt;&lt;/foreign-keys&gt;&lt;ref-type name="Journal Article"&gt;17&lt;/ref-type&gt;&lt;contributors&gt;&lt;authors&gt;&lt;author&gt;Coase, Ronald H.&lt;/author&gt;&lt;/authors&gt;&lt;/contributors&gt;&lt;titles&gt;&lt;title&gt;The theory of public utility pricing and its application&lt;/title&gt;&lt;secondary-title&gt;The Bell Journal of Economics and Management Science&lt;/secondary-title&gt;&lt;/titles&gt;&lt;periodical&gt;&lt;full-title&gt;The Bell Journal of Economics and Management Science&lt;/full-title&gt;&lt;/periodical&gt;&lt;pages&gt;113-128&lt;/pages&gt;&lt;volume&gt;1&lt;/volume&gt;&lt;number&gt;No. 1&lt;/number&gt;&lt;dates&gt;&lt;year&gt;1970&lt;/year&gt;&lt;/dates&gt;&lt;urls&gt;&lt;/urls&gt;&lt;/record&gt;&lt;/Cite&gt;&lt;/EndNote&gt;</w:instrText>
      </w:r>
      <w:r w:rsidR="00C04337">
        <w:fldChar w:fldCharType="separate"/>
      </w:r>
      <w:r>
        <w:rPr>
          <w:noProof/>
        </w:rPr>
        <w:t xml:space="preserve">Coase, 1970: </w:t>
      </w:r>
      <w:r w:rsidR="00C04337">
        <w:fldChar w:fldCharType="end"/>
      </w:r>
      <w:r>
        <w:t>119.</w:t>
      </w:r>
    </w:p>
  </w:footnote>
  <w:footnote w:id="18">
    <w:p w:rsidR="00F231C9" w:rsidRDefault="00F231C9" w:rsidP="00811EBA">
      <w:pPr>
        <w:pStyle w:val="FootnoteText"/>
      </w:pPr>
      <w:r>
        <w:rPr>
          <w:rStyle w:val="FootnoteReference"/>
        </w:rPr>
        <w:footnoteRef/>
      </w:r>
      <w:r>
        <w:rPr>
          <w:noProof/>
        </w:rPr>
        <w:t xml:space="preserve"> </w:t>
      </w:r>
      <w:r w:rsidR="00C04337">
        <w:rPr>
          <w:noProof/>
        </w:rPr>
        <w:fldChar w:fldCharType="begin"/>
      </w:r>
      <w:r>
        <w:rPr>
          <w:noProof/>
        </w:rPr>
        <w:instrText xml:space="preserve"> ADDIN EN.CITE &lt;EndNote&gt;&lt;Cite&gt;&lt;Author&gt;Mas-Colell&lt;/Author&gt;&lt;Year&gt;1995&lt;/Year&gt;&lt;RecNum&gt;640&lt;/RecNum&gt;&lt;DisplayText&gt;Mas-Colell, Whinston and Green, 1995: &lt;/DisplayText&gt;&lt;record&gt;&lt;rec-number&gt;640&lt;/rec-number&gt;&lt;foreign-keys&gt;&lt;key app="EN" db-id="5xwt9zxa6r5fesevwr5xzp97r95ev9wx9zpw" timestamp="1445999092"&gt;640&lt;/key&gt;&lt;/foreign-keys&gt;&lt;ref-type name="Book"&gt;6&lt;/ref-type&gt;&lt;contributors&gt;&lt;authors&gt;&lt;author&gt;Mas-Colell, Andreu&lt;/author&gt;&lt;author&gt;Whinston, Michael D.&lt;/author&gt;&lt;author&gt;Green, Jerry R&lt;/author&gt;&lt;/authors&gt;&lt;/contributors&gt;&lt;titles&gt;&lt;title&gt;Microeconomic Theory&lt;/title&gt;&lt;/titles&gt;&lt;dates&gt;&lt;year&gt;1995&lt;/year&gt;&lt;/dates&gt;&lt;pub-location&gt;New York&lt;/pub-location&gt;&lt;publisher&gt;Oxford Economic Press&lt;/publisher&gt;&lt;urls&gt;&lt;/urls&gt;&lt;/record&gt;&lt;/Cite&gt;&lt;/EndNote&gt;</w:instrText>
      </w:r>
      <w:r w:rsidR="00C04337">
        <w:rPr>
          <w:noProof/>
        </w:rPr>
        <w:fldChar w:fldCharType="separate"/>
      </w:r>
      <w:r>
        <w:rPr>
          <w:noProof/>
        </w:rPr>
        <w:t xml:space="preserve">Mas-Colell, Whinston and Green, 1995: </w:t>
      </w:r>
      <w:r w:rsidR="00C04337">
        <w:rPr>
          <w:noProof/>
        </w:rPr>
        <w:fldChar w:fldCharType="end"/>
      </w:r>
      <w:r>
        <w:t>308.</w:t>
      </w:r>
    </w:p>
  </w:footnote>
  <w:footnote w:id="19">
    <w:p w:rsidR="00F231C9" w:rsidRDefault="00F231C9" w:rsidP="00811EBA">
      <w:pPr>
        <w:pStyle w:val="FootnoteText"/>
      </w:pPr>
      <w:r>
        <w:rPr>
          <w:rStyle w:val="FootnoteReference"/>
        </w:rPr>
        <w:footnoteRef/>
      </w:r>
      <w:r>
        <w:t xml:space="preserve"> For full treatment of Marshallian partial equilibrium analysis, see Mas-Colell, Whinston and Green, 1995: Part 3.</w:t>
      </w:r>
    </w:p>
  </w:footnote>
  <w:footnote w:id="20">
    <w:p w:rsidR="00F231C9" w:rsidRDefault="00F231C9" w:rsidP="00811EBA">
      <w:pPr>
        <w:pStyle w:val="FootnoteText"/>
      </w:pPr>
      <w:r>
        <w:rPr>
          <w:rStyle w:val="FootnoteReference"/>
        </w:rPr>
        <w:footnoteRef/>
      </w:r>
      <w:r>
        <w:t xml:space="preserve"> Note that consumers’ surplus is the aggregate of all individual consumers’ surplus in the particular market, and likewise for producers’ surplus.</w:t>
      </w:r>
    </w:p>
  </w:footnote>
  <w:footnote w:id="21">
    <w:p w:rsidR="00F231C9" w:rsidRDefault="00F231C9" w:rsidP="00811EBA">
      <w:pPr>
        <w:pStyle w:val="FootnoteText"/>
      </w:pPr>
      <w:r>
        <w:rPr>
          <w:rStyle w:val="FootnoteReference"/>
        </w:rPr>
        <w:footnoteRef/>
      </w:r>
      <w:r>
        <w:t xml:space="preserve"> George Stigler, in his 1966 textbook on the theory of price, provides an apt description of consumers’ surplus: ‘When a reflective man buys a crowbar to pry open a treasure chest, he may well remark to himself that if necessary he would have been prepared to pay tenfold the price. When a parched man drinks a free beer on a hot day, he is apt to consider it a bargain. Marshall gave the odd name of ‘consumer’s surplus’ to these fugitive sentiments.’ (</w:t>
      </w:r>
      <w:r w:rsidR="00C04337">
        <w:fldChar w:fldCharType="begin"/>
      </w:r>
      <w:r>
        <w:instrText xml:space="preserve"> ADDIN EN.CITE &lt;EndNote&gt;&lt;Cite&gt;&lt;Author&gt;Stigler&lt;/Author&gt;&lt;Year&gt;1966&lt;/Year&gt;&lt;RecNum&gt;641&lt;/RecNum&gt;&lt;DisplayText&gt;Stigler, 1966: &lt;/DisplayText&gt;&lt;record&gt;&lt;rec-number&gt;641&lt;/rec-number&gt;&lt;foreign-keys&gt;&lt;key app="EN" db-id="5xwt9zxa6r5fesevwr5xzp97r95ev9wx9zpw" timestamp="1445999301"&gt;641&lt;/key&gt;&lt;/foreign-keys&gt;&lt;ref-type name="Book"&gt;6&lt;/ref-type&gt;&lt;contributors&gt;&lt;authors&gt;&lt;author&gt;Stigler, George J.&lt;/author&gt;&lt;/authors&gt;&lt;/contributors&gt;&lt;titles&gt;&lt;title&gt;Theory of price&lt;/title&gt;&lt;/titles&gt;&lt;dates&gt;&lt;year&gt;1966&lt;/year&gt;&lt;/dates&gt;&lt;pub-location&gt;New York&lt;/pub-location&gt;&lt;publisher&gt;The Macmillan Company&lt;/publisher&gt;&lt;urls&gt;&lt;/urls&gt;&lt;/record&gt;&lt;/Cite&gt;&lt;/EndNote&gt;</w:instrText>
      </w:r>
      <w:r w:rsidR="00C04337">
        <w:fldChar w:fldCharType="separate"/>
      </w:r>
      <w:r>
        <w:rPr>
          <w:noProof/>
        </w:rPr>
        <w:t xml:space="preserve">Stigler, 1966: </w:t>
      </w:r>
      <w:r w:rsidR="00C04337">
        <w:fldChar w:fldCharType="end"/>
      </w:r>
      <w:r>
        <w:t>78).</w:t>
      </w:r>
    </w:p>
  </w:footnote>
  <w:footnote w:id="22">
    <w:p w:rsidR="00F231C9" w:rsidRDefault="00F231C9" w:rsidP="00811EBA">
      <w:pPr>
        <w:pStyle w:val="FootnoteText"/>
      </w:pPr>
      <w:r>
        <w:rPr>
          <w:rStyle w:val="FootnoteReference"/>
        </w:rPr>
        <w:footnoteRef/>
      </w:r>
      <w:r>
        <w:t xml:space="preserve"> Producers’ surplus can also be defined as the earnings of firms over and above their variable costs.</w:t>
      </w:r>
    </w:p>
  </w:footnote>
  <w:footnote w:id="23">
    <w:p w:rsidR="00F231C9" w:rsidRDefault="00F231C9" w:rsidP="00811EBA">
      <w:pPr>
        <w:pStyle w:val="FootnoteText"/>
      </w:pPr>
      <w:r>
        <w:rPr>
          <w:rStyle w:val="FootnoteReference"/>
        </w:rPr>
        <w:footnoteRef/>
      </w:r>
      <w:r>
        <w:t xml:space="preserve"> Remembering, of course, that this conclusion depends on the same assumptions as those underpinning the first fundamental theorem of welfare economics, as discussed above.</w:t>
      </w:r>
    </w:p>
  </w:footnote>
  <w:footnote w:id="24">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&lt;EndNote&gt;&lt;Cite&gt;&lt;Author&gt;ICRC&lt;/Author&gt;&lt;Year&gt;2016&lt;/Year&gt;&lt;RecNum&gt;697&lt;/RecNum&gt;&lt;DisplayText&gt;ICRC, 2016: &lt;/DisplayText&gt;&lt;record&gt;&lt;rec-number&gt;697&lt;/rec-number&gt;&lt;foreign-keys&gt;&lt;key app="EN" db-id="5xwt9zxa6r5fesevwr5xzp97r95ev9wx9zpw" timestamp="1458518329"&gt;697&lt;/key&gt;&lt;key app="ENWeb" db-id=""&gt;0&lt;/key&gt;&lt;/foreign-keys&gt;&lt;ref-type name="AAA ICRC Water References"&gt;40&lt;/ref-type&gt;&lt;contributors&gt;&lt;authors&gt;&lt;author&gt;ICRC,&lt;/author&gt;&lt;/authors&gt;&lt;/contributors&gt;&lt;titles&gt;&lt;title&gt;Technical paper 1: Price elasticity of water demand in the ACT&lt;/title&gt;&lt;/titles&gt;&lt;volume&gt;Report 1 of 2016&lt;/volume&gt;&lt;dates&gt;&lt;year&gt;2016&lt;/year&gt;&lt;pub-dates&gt;&lt;date&gt;February 2016&lt;/date&gt;&lt;/pub-dates&gt;&lt;/dates&gt;&lt;pub-location&gt;Canberra&lt;/pub-location&gt;&lt;publisher&gt;Independent Competition and Regulatory Commission&lt;/publisher&gt;&lt;urls&gt;&lt;/urls&gt;&lt;/record&gt;&lt;/Cite&gt;&lt;/EndNote&gt;</w:instrText>
      </w:r>
      <w:r w:rsidR="00C04337">
        <w:fldChar w:fldCharType="separate"/>
      </w:r>
      <w:r>
        <w:rPr>
          <w:noProof/>
        </w:rPr>
        <w:t xml:space="preserve">ICRC, 2016: </w:t>
      </w:r>
      <w:r w:rsidR="00C04337">
        <w:fldChar w:fldCharType="end"/>
      </w:r>
      <w:r>
        <w:t>1-54.</w:t>
      </w:r>
    </w:p>
  </w:footnote>
  <w:footnote w:id="25">
    <w:p w:rsidR="00F231C9" w:rsidRDefault="00F231C9" w:rsidP="00DB4538">
      <w:pPr>
        <w:pStyle w:val="FootnoteText"/>
      </w:pPr>
      <w:r>
        <w:rPr>
          <w:rStyle w:val="FootnoteReference"/>
        </w:rPr>
        <w:footnoteRef/>
      </w:r>
      <w:r>
        <w:t xml:space="preserve"> </w:t>
      </w:r>
      <w:r w:rsidR="00C04337">
        <w:fldChar w:fldCharType="begin"/>
      </w:r>
      <w:r>
        <w:instrText xml:space="preserve"> ADDIN EN.CITE &lt;EndNote&gt;&lt;Cite&gt;&lt;Author&gt;Carter&lt;/Author&gt;&lt;Year&gt;2005&lt;/Year&gt;&lt;RecNum&gt;513&lt;/RecNum&gt;&lt;DisplayText&gt;Carter and Milon, 2005: &lt;/DisplayText&gt;&lt;record&gt;&lt;rec-number&gt;513&lt;/rec-number&gt;&lt;foreign-keys&gt;&lt;key app="EN" db-id="5xwt9zxa6r5fesevwr5xzp97r95ev9wx9zpw" timestamp="1439945728"&gt;513&lt;/key&gt;&lt;/foreign-keys&gt;&lt;ref-type name="Journal Article"&gt;17&lt;/ref-type&gt;&lt;contributors&gt;&lt;authors&gt;&lt;author&gt;Carter, David W.&lt;/author&gt;&lt;author&gt;Milon, J. Walter&lt;/author&gt;&lt;/authors&gt;&lt;/contributors&gt;&lt;titles&gt;&lt;title&gt;Price Knowledge in Household Demand for Utility Services&lt;/title&gt;&lt;secondary-title&gt;Land Economics&lt;/secondary-title&gt;&lt;/titles&gt;&lt;periodical&gt;&lt;full-title&gt;Land Economics&lt;/full-title&gt;&lt;/periodical&gt;&lt;pages&gt;265-283&lt;/pages&gt;&lt;volume&gt;81&lt;/volume&gt;&lt;keywords&gt;&lt;keyword&gt;demand for utility services&lt;/keyword&gt;&lt;keyword&gt;average versus marginal cost&lt;/keyword&gt;&lt;keyword&gt;price information&lt;/keyword&gt;&lt;/keywords&gt;&lt;dates&gt;&lt;year&gt;2005&lt;/year&gt;&lt;/dates&gt;&lt;isbn&gt;0023-7639&lt;/isbn&gt;&lt;urls&gt;&lt;/urls&gt;&lt;electronic-resource-num&gt;10.3368/le.81.2.265&lt;/electronic-resource-num&gt;&lt;/record&gt;&lt;/Cite&gt;&lt;/EndNote&gt;</w:instrText>
      </w:r>
      <w:r w:rsidR="00C04337">
        <w:fldChar w:fldCharType="separate"/>
      </w:r>
      <w:r>
        <w:rPr>
          <w:noProof/>
        </w:rPr>
        <w:t xml:space="preserve">Carter and Milon, 2005: </w:t>
      </w:r>
      <w:r w:rsidR="00C04337">
        <w:fldChar w:fldCharType="end"/>
      </w:r>
      <w:r>
        <w:t>265.</w:t>
      </w:r>
    </w:p>
  </w:footnote>
  <w:footnote w:id="26">
    <w:p w:rsidR="00F231C9" w:rsidRDefault="00F231C9" w:rsidP="00DB4538">
      <w:pPr>
        <w:pStyle w:val="FootnoteText"/>
      </w:pPr>
      <w:r>
        <w:rPr>
          <w:rStyle w:val="FootnoteReference"/>
        </w:rPr>
        <w:footnoteRef/>
      </w:r>
      <w:r>
        <w:t xml:space="preserve"> </w:t>
      </w:r>
      <w:r w:rsidR="00C04337">
        <w:fldChar w:fldCharType="begin"/>
      </w:r>
      <w:r>
        <w:instrText xml:space="preserve"> ADDIN EN.CITE &lt;EndNote&gt;&lt;Cite&gt;&lt;Author&gt;Koichiro&lt;/Author&gt;&lt;Year&gt;2014&lt;/Year&gt;&lt;RecNum&gt;560&lt;/RecNum&gt;&lt;DisplayText&gt;Ito, 2014: &lt;/DisplayText&gt;&lt;record&gt;&lt;rec-number&gt;560&lt;/rec-number&gt;&lt;foreign-keys&gt;&lt;key app="EN" db-id="5xwt9zxa6r5fesevwr5xzp97r95ev9wx9zpw" timestamp="1441337596"&gt;560&lt;/key&gt;&lt;/foreign-keys&gt;&lt;ref-type name="Journal Article"&gt;17&lt;/ref-type&gt;&lt;contributors&gt;&lt;authors&gt;&lt;author&gt;Ito, Koichiro&lt;/author&gt;&lt;/authors&gt;&lt;/contributors&gt;&lt;titles&gt;&lt;title&gt;How Do Consumers Respond to Marginal or Average Price? Evidence from Nonlinear Electricity Pricing &lt;/title&gt;&lt;secondary-title&gt;American Economic Review&lt;/secondary-title&gt;&lt;/titles&gt;&lt;periodical&gt;&lt;full-title&gt;American Economic Review&lt;/full-title&gt;&lt;/periodical&gt;&lt;pages&gt;537-63&lt;/pages&gt;&lt;volume&gt;104&lt;/volume&gt;&lt;number&gt;2&lt;/number&gt;&lt;dates&gt;&lt;year&gt;2014&lt;/year&gt;&lt;/dates&gt;&lt;urls&gt;&lt;/urls&gt;&lt;/record&gt;&lt;/Cite&gt;&lt;/EndNote&gt;</w:instrText>
      </w:r>
      <w:r w:rsidR="00C04337">
        <w:fldChar w:fldCharType="separate"/>
      </w:r>
      <w:r>
        <w:rPr>
          <w:noProof/>
        </w:rPr>
        <w:t xml:space="preserve">Ito, 2014: </w:t>
      </w:r>
      <w:r w:rsidR="00C04337">
        <w:fldChar w:fldCharType="end"/>
      </w:r>
      <w:r>
        <w:t>538.</w:t>
      </w:r>
    </w:p>
  </w:footnote>
  <w:footnote w:id="27">
    <w:p w:rsidR="00F231C9" w:rsidRDefault="00F231C9" w:rsidP="00DB4538">
      <w:pPr>
        <w:pStyle w:val="FootnoteText"/>
      </w:pPr>
      <w:r>
        <w:rPr>
          <w:rStyle w:val="FootnoteReference"/>
        </w:rPr>
        <w:footnoteRef/>
      </w:r>
      <w:r>
        <w:t xml:space="preserve"> </w:t>
      </w:r>
      <w:r w:rsidR="00C04337">
        <w:fldChar w:fldCharType="begin"/>
      </w:r>
      <w:r>
        <w:instrText xml:space="preserve"> ADDIN EN.CITE &lt;EndNote&gt;&lt;Cite&gt;&lt;Author&gt;Koichiro&lt;/Author&gt;&lt;Year&gt;2014&lt;/Year&gt;&lt;RecNum&gt;560&lt;/RecNum&gt;&lt;DisplayText&gt;Ibid.: &lt;/DisplayText&gt;&lt;record&gt;&lt;rec-number&gt;560&lt;/rec-number&gt;&lt;foreign-keys&gt;&lt;key app="EN" db-id="5xwt9zxa6r5fesevwr5xzp97r95ev9wx9zpw" timestamp="1441337596"&gt;560&lt;/key&gt;&lt;/foreign-keys&gt;&lt;ref-type name="Journal Article"&gt;17&lt;/ref-type&gt;&lt;contributors&gt;&lt;authors&gt;&lt;author&gt;Ito, Koichiro&lt;/author&gt;&lt;/authors&gt;&lt;/contributors&gt;&lt;titles&gt;&lt;title&gt;How Do Consumers Respond to Marginal or Average Price? Evidence from Nonlinear Electricity Pricing &lt;/title&gt;&lt;secondary-title&gt;American Economic Review&lt;/secondary-title&gt;&lt;/titles&gt;&lt;periodical&gt;&lt;full-title&gt;American Economic Review&lt;/full-title&gt;&lt;/periodical&gt;&lt;pages&gt;537-63&lt;/pages&gt;&lt;volume&gt;104&lt;/volume&gt;&lt;number&gt;2&lt;/number&gt;&lt;dates&gt;&lt;year&gt;2014&lt;/year&gt;&lt;/dates&gt;&lt;urls&gt;&lt;/urls&gt;&lt;/record&gt;&lt;/Cite&gt;&lt;/EndNote&gt;</w:instrText>
      </w:r>
      <w:r w:rsidR="00C04337">
        <w:fldChar w:fldCharType="separate"/>
      </w:r>
      <w:r>
        <w:rPr>
          <w:noProof/>
        </w:rPr>
        <w:t xml:space="preserve">Ibid.: </w:t>
      </w:r>
      <w:r w:rsidR="00C04337">
        <w:fldChar w:fldCharType="end"/>
      </w:r>
      <w:r>
        <w:t>537.</w:t>
      </w:r>
    </w:p>
  </w:footnote>
  <w:footnote w:id="28">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&lt;EndNote&gt;&lt;Cite&gt;&lt;Author&gt;ICRC&lt;/Author&gt;&lt;Year&gt;2016&lt;/Year&gt;&lt;RecNum&gt;697&lt;/RecNum&gt;&lt;DisplayText&gt;ICRC, 2016: &lt;/DisplayText&gt;&lt;record&gt;&lt;rec-number&gt;697&lt;/rec-number&gt;&lt;foreign-keys&gt;&lt;key app="EN" db-id="5xwt9zxa6r5fesevwr5xzp97r95ev9wx9zpw" timestamp="1458518329"&gt;697&lt;/key&gt;&lt;key app="ENWeb" db-id=""&gt;0&lt;/key&gt;&lt;/foreign-keys&gt;&lt;ref-type name="AAA ICRC Water References"&gt;40&lt;/ref-type&gt;&lt;contributors&gt;&lt;authors&gt;&lt;author&gt;ICRC,&lt;/author&gt;&lt;/authors&gt;&lt;/contributors&gt;&lt;titles&gt;&lt;title&gt;Technical paper 1: Price elasticity of water demand in the ACT&lt;/title&gt;&lt;/titles&gt;&lt;volume&gt;Report 1 of 2016&lt;/volume&gt;&lt;dates&gt;&lt;year&gt;2016&lt;/year&gt;&lt;pub-dates&gt;&lt;date&gt;February 2016&lt;/date&gt;&lt;/pub-dates&gt;&lt;/dates&gt;&lt;pub-location&gt;Canberra&lt;/pub-location&gt;&lt;publisher&gt;Independent Competition and Regulatory Commission&lt;/publisher&gt;&lt;urls&gt;&lt;/urls&gt;&lt;/record&gt;&lt;/Cite&gt;&lt;/EndNote&gt;</w:instrText>
      </w:r>
      <w:r w:rsidR="00C04337">
        <w:fldChar w:fldCharType="separate"/>
      </w:r>
      <w:r>
        <w:rPr>
          <w:noProof/>
        </w:rPr>
        <w:t xml:space="preserve">ICRC, 2016: </w:t>
      </w:r>
      <w:r w:rsidR="00C04337">
        <w:fldChar w:fldCharType="end"/>
      </w:r>
      <w:r>
        <w:t>25-5.</w:t>
      </w:r>
    </w:p>
  </w:footnote>
  <w:footnote w:id="29">
    <w:p w:rsidR="00F231C9" w:rsidRDefault="00F231C9">
      <w:pPr>
        <w:pStyle w:val="FootnoteText"/>
      </w:pPr>
      <w:r>
        <w:rPr>
          <w:rStyle w:val="FootnoteReference"/>
        </w:rPr>
        <w:footnoteRef/>
      </w:r>
      <w:r>
        <w:t xml:space="preserve"> The preferred marginal price specification </w:t>
      </w:r>
      <w:r w:rsidRPr="005921AC">
        <w:t>is essentially the weighted average marginal price faced by the consumer over the billing period. This measure involves dividing water consumption charges over the billing period by the volume of water consumed.</w:t>
      </w:r>
    </w:p>
  </w:footnote>
  <w:footnote w:id="30">
    <w:p w:rsidR="00F231C9" w:rsidRDefault="00F231C9" w:rsidP="00F062F1">
      <w:pPr>
        <w:pStyle w:val="FootnoteText"/>
      </w:pPr>
      <w:r>
        <w:rPr>
          <w:rStyle w:val="FootnoteReference"/>
        </w:rPr>
        <w:footnoteRef/>
      </w:r>
      <w:r>
        <w:t xml:space="preserve"> </w:t>
      </w:r>
      <w:r w:rsidR="00C04337">
        <w:fldChar w:fldCharType="begin"/>
      </w:r>
      <w:r>
        <w:instrText xml:space="preserve"> ADDIN EN.CITE &lt;EndNote&gt;&lt;Cite&gt;&lt;Author&gt;Della Valle&lt;/Author&gt;&lt;Year&gt;1988&lt;/Year&gt;&lt;RecNum&gt;536&lt;/RecNum&gt;&lt;DisplayText&gt;Della Valle, 1988: &lt;/DisplayText&gt;&lt;record&gt;&lt;rec-number&gt;536&lt;/rec-number&gt;&lt;foreign-keys&gt;&lt;key app="EN" db-id="5xwt9zxa6r5fesevwr5xzp97r95ev9wx9zpw" timestamp="1441337231"&gt;536&lt;/key&gt;&lt;/foreign-keys&gt;&lt;ref-type name="Journal Article"&gt;17&lt;/ref-type&gt;&lt;contributors&gt;&lt;authors&gt;&lt;author&gt;Della Valle, Anna P&lt;/author&gt;&lt;/authors&gt;&lt;/contributors&gt;&lt;titles&gt;&lt;title&gt;Short-run versus long-run marginal cost pricing&lt;/title&gt;&lt;secondary-title&gt;Energy Economics&lt;/secondary-title&gt;&lt;/titles&gt;&lt;periodical&gt;&lt;full-title&gt;Energy Economics&lt;/full-title&gt;&lt;/periodical&gt;&lt;pages&gt;283-286&lt;/pages&gt;&lt;volume&gt;10&lt;/volume&gt;&lt;number&gt;4&lt;/number&gt;&lt;dates&gt;&lt;year&gt;1988&lt;/year&gt;&lt;/dates&gt;&lt;urls&gt;&lt;/urls&gt;&lt;/record&gt;&lt;/Cite&gt;&lt;/EndNote&gt;</w:instrText>
      </w:r>
      <w:r w:rsidR="00C04337">
        <w:fldChar w:fldCharType="separate"/>
      </w:r>
      <w:r>
        <w:rPr>
          <w:noProof/>
        </w:rPr>
        <w:t xml:space="preserve">Della Valle, 1988: </w:t>
      </w:r>
      <w:r w:rsidR="00C04337">
        <w:fldChar w:fldCharType="end"/>
      </w:r>
      <w:r>
        <w:t>283.</w:t>
      </w:r>
    </w:p>
  </w:footnote>
  <w:footnote w:id="31">
    <w:p w:rsidR="00F231C9" w:rsidRDefault="00F231C9" w:rsidP="00F062F1">
      <w:pPr>
        <w:pStyle w:val="FootnoteText"/>
      </w:pPr>
      <w:r>
        <w:rPr>
          <w:rStyle w:val="FootnoteReference"/>
        </w:rPr>
        <w:footnoteRef/>
      </w:r>
      <w:r>
        <w:t xml:space="preserve"> </w:t>
      </w:r>
      <w:r w:rsidR="00C04337">
        <w:fldChar w:fldCharType="begin"/>
      </w:r>
      <w:r>
        <w:instrText xml:space="preserve"> ADDIN EN.CITE &lt;EndNote&gt;&lt;Cite&gt;&lt;Author&gt;Della Valle&lt;/Author&gt;&lt;Year&gt;1988&lt;/Year&gt;&lt;RecNum&gt;536&lt;/RecNum&gt;&lt;DisplayText&gt;Ibid.: &lt;/DisplayText&gt;&lt;record&gt;&lt;rec-number&gt;536&lt;/rec-number&gt;&lt;foreign-keys&gt;&lt;key app="EN" db-id="5xwt9zxa6r5fesevwr5xzp97r95ev9wx9zpw" timestamp="1441337231"&gt;536&lt;/key&gt;&lt;/foreign-keys&gt;&lt;ref-type name="Journal Article"&gt;17&lt;/ref-type&gt;&lt;contributors&gt;&lt;authors&gt;&lt;author&gt;Della Valle, Anna P&lt;/author&gt;&lt;/authors&gt;&lt;/contributors&gt;&lt;titles&gt;&lt;title&gt;Short-run versus long-run marginal cost pricing&lt;/title&gt;&lt;secondary-title&gt;Energy Economics&lt;/secondary-title&gt;&lt;/titles&gt;&lt;periodical&gt;&lt;full-title&gt;Energy Economics&lt;/full-title&gt;&lt;/periodical&gt;&lt;pages&gt;283-286&lt;/pages&gt;&lt;volume&gt;10&lt;/volume&gt;&lt;number&gt;4&lt;/number&gt;&lt;dates&gt;&lt;year&gt;1988&lt;/year&gt;&lt;/dates&gt;&lt;urls&gt;&lt;/urls&gt;&lt;/record&gt;&lt;/Cite&gt;&lt;/EndNote&gt;</w:instrText>
      </w:r>
      <w:r w:rsidR="00C04337">
        <w:fldChar w:fldCharType="separate"/>
      </w:r>
      <w:r>
        <w:rPr>
          <w:noProof/>
        </w:rPr>
        <w:t xml:space="preserve">Ibid.: </w:t>
      </w:r>
      <w:r w:rsidR="00C04337">
        <w:fldChar w:fldCharType="end"/>
      </w:r>
      <w:r>
        <w:t>283.</w:t>
      </w:r>
    </w:p>
  </w:footnote>
  <w:footnote w:id="32">
    <w:p w:rsidR="00F231C9" w:rsidRDefault="00F231C9" w:rsidP="00D22B9B">
      <w:pPr>
        <w:pStyle w:val="FootnoteText"/>
      </w:pPr>
      <w:r>
        <w:rPr>
          <w:rStyle w:val="FootnoteReference"/>
        </w:rPr>
        <w:footnoteRef/>
      </w:r>
      <w:r>
        <w:t xml:space="preserve"> </w:t>
      </w:r>
      <w:r w:rsidR="00C04337">
        <w:fldChar w:fldCharType="begin"/>
      </w:r>
      <w:r>
        <w:instrText xml:space="preserve"> ADDIN EN.CITE &lt;EndNote&gt;&lt;Cite&gt;&lt;Author&gt;Vickrey&lt;/Author&gt;&lt;Year&gt;1985&lt;/Year&gt;&lt;RecNum&gt;704&lt;/RecNum&gt;&lt;DisplayText&gt;Vickrey, 1985: &lt;/DisplayText&gt;&lt;record&gt;&lt;rec-number&gt;704&lt;/rec-number&gt;&lt;foreign-keys&gt;&lt;key app="EN" db-id="5xwt9zxa6r5fesevwr5xzp97r95ev9wx9zpw" timestamp="1459227792"&gt;704&lt;/key&gt;&lt;key app="ENWeb" db-id=""&gt;0&lt;/key&gt;&lt;/foreign-keys&gt;&lt;ref-type name="Journal Article"&gt;17&lt;/ref-type&gt;&lt;contributors&gt;&lt;authors&gt;&lt;author&gt;Vickrey, William&lt;/author&gt;&lt;/authors&gt;&lt;/contributors&gt;&lt;titles&gt;&lt;title&gt;The Fallacy of Using Long-Run Cost for Peak-Load Pricing&lt;/title&gt;&lt;secondary-title&gt;The Quarterly Journal of Economics&lt;/secondary-title&gt;&lt;/titles&gt;&lt;periodical&gt;&lt;full-title&gt;The Quarterly Journal of Economics&lt;/full-title&gt;&lt;/periodical&gt;&lt;pages&gt;1331-1334&lt;/pages&gt;&lt;volume&gt;100&lt;/volume&gt;&lt;number&gt;4&lt;/number&gt;&lt;dates&gt;&lt;year&gt;1985&lt;/year&gt;&lt;/dates&gt;&lt;urls&gt;&lt;/urls&gt;&lt;/record&gt;&lt;/Cite&gt;&lt;/EndNote&gt;</w:instrText>
      </w:r>
      <w:r w:rsidR="00C04337">
        <w:fldChar w:fldCharType="separate"/>
      </w:r>
      <w:r>
        <w:rPr>
          <w:noProof/>
        </w:rPr>
        <w:t xml:space="preserve">Vickrey, 1985: </w:t>
      </w:r>
      <w:r w:rsidR="00C04337">
        <w:fldChar w:fldCharType="end"/>
      </w:r>
      <w:r>
        <w:t>1333.</w:t>
      </w:r>
    </w:p>
  </w:footnote>
  <w:footnote w:id="33">
    <w:p w:rsidR="00F231C9" w:rsidRDefault="00F231C9" w:rsidP="00D22B9B">
      <w:pPr>
        <w:pStyle w:val="FootnoteText"/>
      </w:pPr>
      <w:r>
        <w:rPr>
          <w:rStyle w:val="FootnoteReference"/>
        </w:rPr>
        <w:footnoteRef/>
      </w:r>
      <w:r>
        <w:t xml:space="preserve"> </w:t>
      </w:r>
      <w:r w:rsidR="00C04337">
        <w:fldChar w:fldCharType="begin"/>
      </w:r>
      <w:r>
        <w:instrText xml:space="preserve"> ADDIN EN.CITE &lt;EndNote&gt;&lt;Cite&gt;&lt;Author&gt;Boiteux&lt;/Author&gt;&lt;Year&gt;1960&lt;/Year&gt;&lt;RecNum&gt;692&lt;/RecNum&gt;&lt;DisplayText&gt;Boiteux, 1960: &lt;/DisplayText&gt;&lt;record&gt;&lt;rec-number&gt;692&lt;/rec-number&gt;&lt;foreign-keys&gt;&lt;key app="EN" db-id="5xwt9zxa6r5fesevwr5xzp97r95ev9wx9zpw" timestamp="1458081160"&gt;692&lt;/key&gt;&lt;key app="ENWeb" db-id=""&gt;0&lt;/key&gt;&lt;/foreign-keys&gt;&lt;ref-type name="Journal Article"&gt;17&lt;/ref-type&gt;&lt;contributors&gt;&lt;authors&gt;&lt;author&gt;Boiteux, M&lt;/author&gt;&lt;/authors&gt;&lt;/contributors&gt;&lt;titles&gt;&lt;title&gt;Peak-Load Pricing&lt;/title&gt;&lt;secondary-title&gt;The Journal of Business&lt;/secondary-title&gt;&lt;/titles&gt;&lt;periodical&gt;&lt;full-title&gt;The Journal of Business&lt;/full-title&gt;&lt;/periodical&gt;&lt;pages&gt;157-179&lt;/pages&gt;&lt;volume&gt;33&lt;/volume&gt;&lt;number&gt;2&lt;/number&gt;&lt;dates&gt;&lt;year&gt;1960&lt;/year&gt;&lt;/dates&gt;&lt;urls&gt;&lt;/urls&gt;&lt;/record&gt;&lt;/Cite&gt;&lt;/EndNote&gt;</w:instrText>
      </w:r>
      <w:r w:rsidR="00C04337">
        <w:fldChar w:fldCharType="separate"/>
      </w:r>
      <w:r>
        <w:rPr>
          <w:noProof/>
        </w:rPr>
        <w:t xml:space="preserve">Boiteux, 1960: </w:t>
      </w:r>
      <w:r w:rsidR="00C04337">
        <w:fldChar w:fldCharType="end"/>
      </w:r>
      <w:r>
        <w:t>165.</w:t>
      </w:r>
    </w:p>
  </w:footnote>
  <w:footnote w:id="34">
    <w:p w:rsidR="00F231C9" w:rsidRDefault="00F231C9" w:rsidP="00D22B9B">
      <w:pPr>
        <w:pStyle w:val="FootnoteText"/>
      </w:pPr>
      <w:r>
        <w:rPr>
          <w:rStyle w:val="FootnoteReference"/>
        </w:rPr>
        <w:footnoteRef/>
      </w:r>
      <w:r>
        <w:rPr>
          <w:noProof/>
        </w:rPr>
        <w:t xml:space="preserve"> </w:t>
      </w:r>
      <w:r w:rsidR="00C04337">
        <w:rPr>
          <w:noProof/>
        </w:rPr>
        <w:fldChar w:fldCharType="begin"/>
      </w:r>
      <w:r>
        <w:rPr>
          <w:noProof/>
        </w:rPr>
        <w:instrText xml:space="preserve"> ADDIN EN.CITE &lt;EndNote&gt;&lt;Cite&gt;&lt;Author&gt;Turvey&lt;/Author&gt;&lt;Year&gt;1964&lt;/Year&gt;&lt;RecNum&gt;212&lt;/RecNum&gt;&lt;DisplayText&gt;Turvey, 1964: &lt;/DisplayText&gt;&lt;record&gt;&lt;rec-number&gt;212&lt;/rec-number&gt;&lt;foreign-keys&gt;&lt;key app="EN" db-id="5xwt9zxa6r5fesevwr5xzp97r95ev9wx9zpw" timestamp="1375249250"&gt;212&lt;/key&gt;&lt;/foreign-keys&gt;&lt;ref-type name="Journal Article"&gt;17&lt;/ref-type&gt;&lt;contributors&gt;&lt;authors&gt;&lt;author&gt;Turvey, Ralph&lt;/author&gt;&lt;/authors&gt;&lt;/contributors&gt;&lt;titles&gt;&lt;title&gt;Marginal cost pricing in practice&lt;/title&gt;&lt;secondary-title&gt;Economica&lt;/secondary-title&gt;&lt;/titles&gt;&lt;periodical&gt;&lt;full-title&gt;Economica&lt;/full-title&gt;&lt;/periodical&gt;&lt;pages&gt;426-432&lt;/pages&gt;&lt;volume&gt;31&lt;/volume&gt;&lt;number&gt;No. 124&lt;/number&gt;&lt;dates&gt;&lt;year&gt;1964&lt;/year&gt;&lt;/dates&gt;&lt;urls&gt;&lt;/urls&gt;&lt;/record&gt;&lt;/Cite&gt;&lt;/EndNote&gt;</w:instrText>
      </w:r>
      <w:r w:rsidR="00C04337">
        <w:rPr>
          <w:noProof/>
        </w:rPr>
        <w:fldChar w:fldCharType="separate"/>
      </w:r>
      <w:r>
        <w:rPr>
          <w:noProof/>
        </w:rPr>
        <w:t xml:space="preserve">Turvey, 1964: </w:t>
      </w:r>
      <w:r w:rsidR="00C04337">
        <w:rPr>
          <w:noProof/>
        </w:rPr>
        <w:fldChar w:fldCharType="end"/>
      </w:r>
      <w:r>
        <w:t>427.</w:t>
      </w:r>
    </w:p>
  </w:footnote>
  <w:footnote w:id="35">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&lt;EndNote&gt;&lt;Cite&gt;&lt;Author&gt;Della Valle&lt;/Author&gt;&lt;Year&gt;1988&lt;/Year&gt;&lt;RecNum&gt;536&lt;/RecNum&gt;&lt;DisplayText&gt;Della Valle, 1988: &lt;/DisplayText&gt;&lt;record&gt;&lt;rec-number&gt;536&lt;/rec-number&gt;&lt;foreign-keys&gt;&lt;key app="EN" db-id="5xwt9zxa6r5fesevwr5xzp97r95ev9wx9zpw" timestamp="1441337231"&gt;536&lt;/key&gt;&lt;/foreign-keys&gt;&lt;ref-type name="Journal Article"&gt;17&lt;/ref-type&gt;&lt;contributors&gt;&lt;authors&gt;&lt;author&gt;Della Valle, Anna P&lt;/author&gt;&lt;/authors&gt;&lt;/contributors&gt;&lt;titles&gt;&lt;title&gt;Short-run versus long-run marginal cost pricing&lt;/title&gt;&lt;secondary-title&gt;Energy Economics&lt;/secondary-title&gt;&lt;/titles&gt;&lt;periodical&gt;&lt;full-title&gt;Energy Economics&lt;/full-title&gt;&lt;/periodical&gt;&lt;pages&gt;283-286&lt;/pages&gt;&lt;volume&gt;10&lt;/volume&gt;&lt;number&gt;4&lt;/number&gt;&lt;dates&gt;&lt;year&gt;1988&lt;/year&gt;&lt;/dates&gt;&lt;urls&gt;&lt;/urls&gt;&lt;/record&gt;&lt;/Cite&gt;&lt;/EndNote&gt;</w:instrText>
      </w:r>
      <w:r w:rsidR="00C04337">
        <w:fldChar w:fldCharType="separate"/>
      </w:r>
      <w:r>
        <w:rPr>
          <w:noProof/>
        </w:rPr>
        <w:t xml:space="preserve">Della Valle, 1988: </w:t>
      </w:r>
      <w:r w:rsidR="00C04337">
        <w:fldChar w:fldCharType="end"/>
      </w:r>
      <w:r>
        <w:t>283.</w:t>
      </w:r>
    </w:p>
  </w:footnote>
  <w:footnote w:id="36">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&lt;EndNote&gt;&lt;Cite&gt;&lt;Author&gt;Della Valle&lt;/Author&gt;&lt;Year&gt;1988&lt;/Year&gt;&lt;RecNum&gt;536&lt;/RecNum&gt;&lt;DisplayText&gt;Ibid.: &lt;/DisplayText&gt;&lt;record&gt;&lt;rec-number&gt;536&lt;/rec-number&gt;&lt;foreign-keys&gt;&lt;key app="EN" db-id="5xwt9zxa6r5fesevwr5xzp97r95ev9wx9zpw" timestamp="1441337231"&gt;536&lt;/key&gt;&lt;/foreign-keys&gt;&lt;ref-type name="Journal Article"&gt;17&lt;/ref-type&gt;&lt;contributors&gt;&lt;authors&gt;&lt;author&gt;Della Valle, Anna P&lt;/author&gt;&lt;/authors&gt;&lt;/contributors&gt;&lt;titles&gt;&lt;title&gt;Short-run versus long-run marginal cost pricing&lt;/title&gt;&lt;secondary-title&gt;Energy Economics&lt;/secondary-title&gt;&lt;/titles&gt;&lt;periodical&gt;&lt;full-title&gt;Energy Economics&lt;/full-title&gt;&lt;/periodical&gt;&lt;pages&gt;283-286&lt;/pages&gt;&lt;volume&gt;10&lt;/volume&gt;&lt;number&gt;4&lt;/number&gt;&lt;dates&gt;&lt;year&gt;1988&lt;/year&gt;&lt;/dates&gt;&lt;urls&gt;&lt;/urls&gt;&lt;/record&gt;&lt;/Cite&gt;&lt;/EndNote&gt;</w:instrText>
      </w:r>
      <w:r w:rsidR="00C04337">
        <w:fldChar w:fldCharType="separate"/>
      </w:r>
      <w:r>
        <w:rPr>
          <w:noProof/>
        </w:rPr>
        <w:t xml:space="preserve">Ibid.: </w:t>
      </w:r>
      <w:r w:rsidR="00C04337">
        <w:fldChar w:fldCharType="end"/>
      </w:r>
      <w:r>
        <w:t>284.</w:t>
      </w:r>
    </w:p>
  </w:footnote>
  <w:footnote w:id="37">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&lt;EndNote&gt;&lt;Cite&gt;&lt;Author&gt;Della Valle&lt;/Author&gt;&lt;Year&gt;1988&lt;/Year&gt;&lt;RecNum&gt;536&lt;/RecNum&gt;&lt;DisplayText&gt;Ibid.: &lt;/DisplayText&gt;&lt;record&gt;&lt;rec-number&gt;536&lt;/rec-number&gt;&lt;foreign-keys&gt;&lt;key app="EN" db-id="5xwt9zxa6r5fesevwr5xzp97r95ev9wx9zpw" timestamp="1441337231"&gt;536&lt;/key&gt;&lt;/foreign-keys&gt;&lt;ref-type name="Journal Article"&gt;17&lt;/ref-type&gt;&lt;contributors&gt;&lt;authors&gt;&lt;author&gt;Della Valle, Anna P&lt;/author&gt;&lt;/authors&gt;&lt;/contributors&gt;&lt;titles&gt;&lt;title&gt;Short-run versus long-run marginal cost pricing&lt;/title&gt;&lt;secondary-title&gt;Energy Economics&lt;/secondary-title&gt;&lt;/titles&gt;&lt;periodical&gt;&lt;full-title&gt;Energy Economics&lt;/full-title&gt;&lt;/periodical&gt;&lt;pages&gt;283-286&lt;/pages&gt;&lt;volume&gt;10&lt;/volume&gt;&lt;number&gt;4&lt;/number&gt;&lt;dates&gt;&lt;year&gt;1988&lt;/year&gt;&lt;/dates&gt;&lt;urls&gt;&lt;/urls&gt;&lt;/record&gt;&lt;/Cite&gt;&lt;/EndNote&gt;</w:instrText>
      </w:r>
      <w:r w:rsidR="00C04337">
        <w:fldChar w:fldCharType="separate"/>
      </w:r>
      <w:r>
        <w:rPr>
          <w:noProof/>
        </w:rPr>
        <w:t xml:space="preserve">Ibid.: </w:t>
      </w:r>
      <w:r w:rsidR="00C04337">
        <w:fldChar w:fldCharType="end"/>
      </w:r>
      <w:r>
        <w:t>284.</w:t>
      </w:r>
    </w:p>
  </w:footnote>
  <w:footnote w:id="38">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&lt;EndNote&gt;&lt;Cite&gt;&lt;Author&gt;Della Valle&lt;/Author&gt;&lt;Year&gt;1988&lt;/Year&gt;&lt;RecNum&gt;536&lt;/RecNum&gt;&lt;DisplayText&gt;Ibid.: &lt;/DisplayText&gt;&lt;record&gt;&lt;rec-number&gt;536&lt;/rec-number&gt;&lt;foreign-keys&gt;&lt;key app="EN" db-id="5xwt9zxa6r5fesevwr5xzp97r95ev9wx9zpw" timestamp="1441337231"&gt;536&lt;/key&gt;&lt;/foreign-keys&gt;&lt;ref-type name="Journal Article"&gt;17&lt;/ref-type&gt;&lt;contributors&gt;&lt;authors&gt;&lt;author&gt;Della Valle, Anna P&lt;/author&gt;&lt;/authors&gt;&lt;/contributors&gt;&lt;titles&gt;&lt;title&gt;Short-run versus long-run marginal cost pricing&lt;/title&gt;&lt;secondary-title&gt;Energy Economics&lt;/secondary-title&gt;&lt;/titles&gt;&lt;periodical&gt;&lt;full-title&gt;Energy Economics&lt;/full-title&gt;&lt;/periodical&gt;&lt;pages&gt;283-286&lt;/pages&gt;&lt;volume&gt;10&lt;/volume&gt;&lt;number&gt;4&lt;/number&gt;&lt;dates&gt;&lt;year&gt;1988&lt;/year&gt;&lt;/dates&gt;&lt;urls&gt;&lt;/urls&gt;&lt;/record&gt;&lt;/Cite&gt;&lt;/EndNote&gt;</w:instrText>
      </w:r>
      <w:r w:rsidR="00C04337">
        <w:fldChar w:fldCharType="separate"/>
      </w:r>
      <w:r>
        <w:rPr>
          <w:noProof/>
        </w:rPr>
        <w:t xml:space="preserve">Ibid.: </w:t>
      </w:r>
      <w:r w:rsidR="00C04337">
        <w:fldChar w:fldCharType="end"/>
      </w:r>
      <w:r>
        <w:t>285.</w:t>
      </w:r>
    </w:p>
  </w:footnote>
  <w:footnote w:id="39">
    <w:p w:rsidR="00F231C9" w:rsidRDefault="00F231C9" w:rsidP="002F55FE">
      <w:pPr>
        <w:pStyle w:val="FootnoteText"/>
      </w:pPr>
      <w:r>
        <w:rPr>
          <w:rStyle w:val="FootnoteReference"/>
        </w:rPr>
        <w:footnoteRef/>
      </w:r>
      <w:r>
        <w:t xml:space="preserve"> </w:t>
      </w:r>
      <w:r w:rsidR="00C04337">
        <w:fldChar w:fldCharType="begin"/>
      </w:r>
      <w:r>
        <w:instrText xml:space="preserve"> ADDIN EN.CITE &lt;EndNote&gt;&lt;Cite&gt;&lt;Author&gt;Andersson&lt;/Author&gt;&lt;Year&gt;1985&lt;/Year&gt;&lt;RecNum&gt;532&lt;/RecNum&gt;&lt;DisplayText&gt;Andersson and Bohman, 1985: &lt;/DisplayText&gt;&lt;record&gt;&lt;rec-number&gt;532&lt;/rec-number&gt;&lt;foreign-keys&gt;&lt;key app="EN" db-id="5xwt9zxa6r5fesevwr5xzp97r95ev9wx9zpw" timestamp="1441329572"&gt;532&lt;/key&gt;&lt;/foreign-keys&gt;&lt;ref-type name="Journal Article"&gt;17&lt;/ref-type&gt;&lt;contributors&gt;&lt;authors&gt;&lt;author&gt;Andersson, Roland&lt;/author&gt;&lt;author&gt;Bohman, Mats&lt;/author&gt;&lt;/authors&gt;&lt;/contributors&gt;&lt;titles&gt;&lt;title&gt;Short- and long-run marginal cost pricing: On their alleged equivalence&lt;/title&gt;&lt;secondary-title&gt;Energy Economics&lt;/secondary-title&gt;&lt;/titles&gt;&lt;periodical&gt;&lt;full-title&gt;Energy Economics&lt;/full-title&gt;&lt;/periodical&gt;&lt;pages&gt;279-288&lt;/pages&gt;&lt;volume&gt;7&lt;/volume&gt;&lt;number&gt;4&lt;/number&gt;&lt;dates&gt;&lt;year&gt;1985&lt;/year&gt;&lt;/dates&gt;&lt;urls&gt;&lt;/urls&gt;&lt;/record&gt;&lt;/Cite&gt;&lt;/EndNote&gt;</w:instrText>
      </w:r>
      <w:r w:rsidR="00C04337">
        <w:fldChar w:fldCharType="separate"/>
      </w:r>
      <w:r>
        <w:rPr>
          <w:noProof/>
        </w:rPr>
        <w:t xml:space="preserve">Andersson and Bohman, 1985: </w:t>
      </w:r>
      <w:r w:rsidR="00C04337">
        <w:fldChar w:fldCharType="end"/>
      </w:r>
      <w:r>
        <w:t>279.</w:t>
      </w:r>
    </w:p>
  </w:footnote>
  <w:footnote w:id="40">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&lt;EndNote&gt;&lt;Cite&gt;&lt;Author&gt;Vickrey&lt;/Author&gt;&lt;Year&gt;1971&lt;/Year&gt;&lt;RecNum&gt;703&lt;/RecNum&gt;&lt;DisplayText&gt;Vickrey, 1971: &lt;/DisplayText&gt;&lt;record&gt;&lt;rec-number&gt;703&lt;/rec-number&gt;&lt;foreign-keys&gt;&lt;key app="EN" db-id="5xwt9zxa6r5fesevwr5xzp97r95ev9wx9zpw" timestamp="1459227693"&gt;703&lt;/key&gt;&lt;key app="ENWeb" db-id=""&gt;0&lt;/key&gt;&lt;/foreign-keys&gt;&lt;ref-type name="Journal Article"&gt;17&lt;/ref-type&gt;&lt;contributors&gt;&lt;authors&gt;&lt;author&gt;Vickrey, William&lt;/author&gt;&lt;/authors&gt;&lt;/contributors&gt;&lt;titles&gt;&lt;title&gt;Responsive Pricing of Public Utility Services&lt;/title&gt;&lt;secondary-title&gt;The Bell Journal of Economics and Management Science&lt;/secondary-title&gt;&lt;/titles&gt;&lt;periodical&gt;&lt;full-title&gt;The Bell Journal of Economics and Management Science&lt;/full-title&gt;&lt;/periodical&gt;&lt;pages&gt;337-346&lt;/pages&gt;&lt;volume&gt;2&lt;/volume&gt;&lt;number&gt;1&lt;/number&gt;&lt;dates&gt;&lt;year&gt;1971&lt;/year&gt;&lt;/dates&gt;&lt;urls&gt;&lt;/urls&gt;&lt;/record&gt;&lt;/Cite&gt;&lt;/EndNote&gt;</w:instrText>
      </w:r>
      <w:r w:rsidR="00C04337">
        <w:fldChar w:fldCharType="separate"/>
      </w:r>
      <w:r>
        <w:rPr>
          <w:noProof/>
        </w:rPr>
        <w:t xml:space="preserve">Vickrey, 1971: </w:t>
      </w:r>
      <w:r w:rsidR="00C04337">
        <w:fldChar w:fldCharType="end"/>
      </w:r>
      <w:r>
        <w:t>338.</w:t>
      </w:r>
    </w:p>
  </w:footnote>
  <w:footnote w:id="41">
    <w:p w:rsidR="00F231C9" w:rsidRDefault="00F231C9" w:rsidP="00996D2D">
      <w:pPr>
        <w:pStyle w:val="FootnoteText"/>
      </w:pPr>
      <w:r>
        <w:rPr>
          <w:rStyle w:val="FootnoteReference"/>
        </w:rPr>
        <w:footnoteRef/>
      </w:r>
      <w:r>
        <w:t xml:space="preserve"> </w:t>
      </w:r>
      <w:r w:rsidR="00C04337">
        <w:fldChar w:fldCharType="begin"/>
      </w:r>
      <w:r>
        <w:instrText xml:space="preserve"> ADDIN EN.CITE &lt;EndNote&gt;&lt;Cite&gt;&lt;Author&gt;Turvey&lt;/Author&gt;&lt;Year&gt;1976&lt;/Year&gt;&lt;RecNum&gt;519&lt;/RecNum&gt;&lt;DisplayText&gt;Turvey, 1976: &lt;/DisplayText&gt;&lt;record&gt;&lt;rec-number&gt;519&lt;/rec-number&gt;&lt;foreign-keys&gt;&lt;key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r>
        <w:rPr>
          <w:noProof/>
        </w:rPr>
        <w:t xml:space="preserve">Turvey, 1976: </w:t>
      </w:r>
      <w:r w:rsidR="00C04337">
        <w:fldChar w:fldCharType="end"/>
      </w:r>
      <w:r>
        <w:t>159.</w:t>
      </w:r>
    </w:p>
  </w:footnote>
  <w:footnote w:id="42">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&lt;EndNote&gt;&lt;Cite&gt;&lt;Author&gt;Mann&lt;/Author&gt;&lt;Year&gt;1980&lt;/Year&gt;&lt;RecNum&gt;695&lt;/RecNum&gt;&lt;DisplayText&gt;Mann, Saunders and Warford, 1980: &lt;/DisplayText&gt;&lt;record&gt;&lt;rec-number&gt;695&lt;/rec-number&gt;&lt;foreign-keys&gt;&lt;key app="EN" db-id="5xwt9zxa6r5fesevwr5xzp97r95ev9wx9zpw" timestamp="1458185524"&gt;695&lt;/key&gt;&lt;key app="ENWeb" db-id=""&gt;0&lt;/key&gt;&lt;/foreign-keys&gt;&lt;ref-type name="Journal Article"&gt;17&lt;/ref-type&gt;&lt;contributors&gt;&lt;authors&gt;&lt;author&gt;Mann, Patrick C.&lt;/author&gt;&lt;author&gt;Saunders, Robert J.&lt;/author&gt;&lt;author&gt;Warford, Jeremy J.&lt;/author&gt;&lt;/authors&gt;&lt;/contributors&gt;&lt;titles&gt;&lt;title&gt;A Note on Capital Indivisibility and the Definition of Marginal Cost&lt;/title&gt;&lt;secondary-title&gt;Water Resources Research&lt;/secondary-title&gt;&lt;/titles&gt;&lt;periodical&gt;&lt;full-title&gt;Water Resources Research&lt;/full-title&gt;&lt;/periodical&gt;&lt;pages&gt;602-604&lt;/pages&gt;&lt;volume&gt;16&lt;/volume&gt;&lt;number&gt;3&lt;/number&gt;&lt;dates&gt;&lt;year&gt;1980&lt;/year&gt;&lt;/dates&gt;&lt;urls&gt;&lt;/urls&gt;&lt;/record&gt;&lt;/Cite&gt;&lt;/EndNote&gt;</w:instrText>
      </w:r>
      <w:r w:rsidR="00C04337">
        <w:fldChar w:fldCharType="separate"/>
      </w:r>
      <w:r>
        <w:rPr>
          <w:noProof/>
        </w:rPr>
        <w:t xml:space="preserve">Mann, Saunders and Warford, 1980: </w:t>
      </w:r>
      <w:r w:rsidR="00C04337">
        <w:fldChar w:fldCharType="end"/>
      </w:r>
      <w:r>
        <w:t>602.</w:t>
      </w:r>
    </w:p>
  </w:footnote>
  <w:footnote w:id="43">
    <w:p w:rsidR="00F231C9" w:rsidRDefault="00F231C9" w:rsidP="00F97A84">
      <w:pPr>
        <w:pStyle w:val="FootnoteText"/>
      </w:pPr>
      <w:r>
        <w:rPr>
          <w:rStyle w:val="FootnoteReference"/>
        </w:rPr>
        <w:footnoteRef/>
      </w:r>
      <w:r>
        <w:t xml:space="preserve"> </w:t>
      </w:r>
      <w:r w:rsidR="00C04337">
        <w:fldChar w:fldCharType="begin"/>
      </w:r>
      <w:r>
        <w:instrText xml:space="preserve"> ADDIN EN.CITE &lt;EndNote&gt;&lt;Cite&gt;&lt;Author&gt;Hirshleifer&lt;/Author&gt;&lt;Year&gt;1960&lt;/Year&gt;&lt;RecNum&gt;706&lt;/RecNum&gt;&lt;DisplayText&gt;Hirshleifer, DeHaven and Milliman, 1960: &lt;/DisplayText&gt;&lt;record&gt;&lt;rec-number&gt;706&lt;/rec-number&gt;&lt;foreign-keys&gt;&lt;key app="EN" db-id="5xwt9zxa6r5fesevwr5xzp97r95ev9wx9zpw" timestamp="1460417661"&gt;706&lt;/key&gt;&lt;/foreign-keys&gt;&lt;ref-type name="Book"&gt;6&lt;/ref-type&gt;&lt;contributors&gt;&lt;authors&gt;&lt;author&gt;Hirshleifer, Jack&lt;/author&gt;&lt;author&gt;DeHaven, James C&lt;/author&gt;&lt;author&gt;Milliman, Jerome W&lt;/author&gt;&lt;/authors&gt;&lt;/contributors&gt;&lt;titles&gt;&lt;title&gt;Water Supply: Economics, Technology and Policy&lt;/title&gt;&lt;/titles&gt;&lt;dates&gt;&lt;year&gt;1960&lt;/year&gt;&lt;/dates&gt;&lt;publisher&gt;University of Chicago Press&lt;/publisher&gt;&lt;urls&gt;&lt;related-urls&gt;&lt;url&gt;http://babel.hathitrust.org/cgi/pt?id=mdp.39015011501270;view=1up;seq=11&lt;/url&gt;&lt;/related-urls&gt;&lt;/urls&gt;&lt;/record&gt;&lt;/Cite&gt;&lt;/EndNote&gt;</w:instrText>
      </w:r>
      <w:r w:rsidR="00C04337">
        <w:fldChar w:fldCharType="separate"/>
      </w:r>
      <w:r>
        <w:rPr>
          <w:noProof/>
        </w:rPr>
        <w:t xml:space="preserve">Hirshleifer, DeHaven and Milliman, 1960: </w:t>
      </w:r>
      <w:r w:rsidR="00C04337">
        <w:fldChar w:fldCharType="end"/>
      </w:r>
      <w:r>
        <w:t>97.</w:t>
      </w:r>
    </w:p>
  </w:footnote>
  <w:footnote w:id="44">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&lt;EndNote&gt;&lt;Cite&gt;&lt;Author&gt;Vickrey&lt;/Author&gt;&lt;Year&gt;1971&lt;/Year&gt;&lt;RecNum&gt;703&lt;/RecNum&gt;&lt;DisplayText&gt;Vickrey, 1971: &lt;/DisplayText&gt;&lt;record&gt;&lt;rec-number&gt;703&lt;/rec-number&gt;&lt;foreign-keys&gt;&lt;key app="EN" db-id="5xwt9zxa6r5fesevwr5xzp97r95ev9wx9zpw" timestamp="1459227693"&gt;703&lt;/key&gt;&lt;key app="ENWeb" db-id=""&gt;0&lt;/key&gt;&lt;/foreign-keys&gt;&lt;ref-type name="Journal Article"&gt;17&lt;/ref-type&gt;&lt;contributors&gt;&lt;authors&gt;&lt;author&gt;Vickrey, William&lt;/author&gt;&lt;/authors&gt;&lt;/contributors&gt;&lt;titles&gt;&lt;title&gt;Responsive Pricing of Public Utility Services&lt;/title&gt;&lt;secondary-title&gt;The Bell Journal of Economics and Management Science&lt;/secondary-title&gt;&lt;/titles&gt;&lt;periodical&gt;&lt;full-title&gt;The Bell Journal of Economics and Management Science&lt;/full-title&gt;&lt;/periodical&gt;&lt;pages&gt;337-346&lt;/pages&gt;&lt;volume&gt;2&lt;/volume&gt;&lt;number&gt;1&lt;/number&gt;&lt;dates&gt;&lt;year&gt;1971&lt;/year&gt;&lt;/dates&gt;&lt;urls&gt;&lt;/urls&gt;&lt;/record&gt;&lt;/Cite&gt;&lt;/EndNote&gt;</w:instrText>
      </w:r>
      <w:r w:rsidR="00C04337">
        <w:fldChar w:fldCharType="separate"/>
      </w:r>
      <w:r>
        <w:rPr>
          <w:noProof/>
        </w:rPr>
        <w:t xml:space="preserve">Vickrey, 1971: </w:t>
      </w:r>
      <w:r w:rsidR="00C04337">
        <w:fldChar w:fldCharType="end"/>
      </w:r>
      <w:r>
        <w:t>343.</w:t>
      </w:r>
    </w:p>
  </w:footnote>
  <w:footnote w:id="45">
    <w:p w:rsidR="00F231C9" w:rsidRDefault="00F231C9" w:rsidP="00AA4643">
      <w:pPr>
        <w:pStyle w:val="FootnoteText"/>
      </w:pPr>
      <w:r>
        <w:rPr>
          <w:rStyle w:val="FootnoteReference"/>
        </w:rPr>
        <w:footnoteRef/>
      </w:r>
      <w:r>
        <w:t xml:space="preserve"> See </w:t>
      </w:r>
      <w:r w:rsidR="00C04337">
        <w:fldChar w:fldCharType="begin"/>
      </w:r>
      <w:r>
        <w:instrText xml:space="preserve"> ADDIN EN.CITE &lt;EndNote&gt;&lt;Cite&gt;&lt;Author&gt;ICRC&lt;/Author&gt;&lt;Year&gt;2012&lt;/Year&gt;&lt;RecNum&gt;133&lt;/RecNum&gt;&lt;DisplayText&gt;ICRC, 2012: &lt;/DisplayText&gt;&lt;record&gt;&lt;rec-number&gt;133&lt;/rec-number&gt;&lt;foreign-keys&gt;&lt;key app="EN" db-id="5xwt9zxa6r5fesevwr5xzp97r95ev9wx9zpw" timestamp="1372913885"&gt;133&lt;/key&gt;&lt;/foreign-keys&gt;&lt;ref-type name="AAA ICRC Water References"&gt;40&lt;/ref-type&gt;&lt;contributors&gt;&lt;authors&gt;&lt;author&gt;ICRC,&lt;/author&gt;&lt;/authors&gt;&lt;/contributors&gt;&lt;titles&gt;&lt;title&gt;Final report: Secondary water use in the ACT&lt;/title&gt;&lt;/titles&gt;&lt;volume&gt;Report 6 of 2012&lt;/volume&gt;&lt;dates&gt;&lt;year&gt;2012&lt;/year&gt;&lt;pub-dates&gt;&lt;date&gt;July 2012&lt;/date&gt;&lt;/pub-dates&gt;&lt;/dates&gt;&lt;pub-location&gt;Canberra ACT&lt;/pub-location&gt;&lt;publisher&gt;Independent Competition and Regulatory Commission&lt;/publisher&gt;&lt;urls&gt;&lt;/urls&gt;&lt;/record&gt;&lt;/Cite&gt;&lt;/EndNote&gt;</w:instrText>
      </w:r>
      <w:r w:rsidR="00C04337">
        <w:fldChar w:fldCharType="separate"/>
      </w:r>
      <w:r>
        <w:rPr>
          <w:noProof/>
        </w:rPr>
        <w:t xml:space="preserve">ICRC, 2012: </w:t>
      </w:r>
      <w:r w:rsidR="00C04337">
        <w:fldChar w:fldCharType="end"/>
      </w:r>
      <w:r>
        <w:t xml:space="preserve">1-150. Available for download from </w:t>
      </w:r>
      <w:r w:rsidRPr="00365E29">
        <w:t>http://www.icrc.act.gov.au/wp-content/uploads/2013/02/Report_6_of_2012_July_2012.pdf</w:t>
      </w:r>
      <w:r>
        <w:t>.</w:t>
      </w:r>
    </w:p>
  </w:footnote>
  <w:footnote w:id="46">
    <w:p w:rsidR="00F231C9" w:rsidRDefault="00F231C9">
      <w:pPr>
        <w:pStyle w:val="FootnoteText"/>
      </w:pPr>
      <w:r>
        <w:rPr>
          <w:rStyle w:val="FootnoteReference"/>
        </w:rPr>
        <w:footnoteRef/>
      </w:r>
      <w:r>
        <w:t xml:space="preserve"> Primary water is potable water provided through Icon Water’s reticulated water supply network. Secondary water is water provided from any other source, including water sourced from wastewater (such as treated effluent from a water treatment plant or sewer mining scheme and greywater from bathrooms and laundries), stormwater and rainwater.</w:t>
      </w:r>
    </w:p>
  </w:footnote>
  <w:footnote w:id="47">
    <w:p w:rsidR="00F231C9" w:rsidRDefault="00F231C9" w:rsidP="002E691E">
      <w:pPr>
        <w:pStyle w:val="FootnoteText"/>
        <w:spacing w:before="120"/>
      </w:pPr>
      <w:r>
        <w:rPr>
          <w:rStyle w:val="FootnoteReference"/>
        </w:rPr>
        <w:footnoteRef/>
      </w:r>
      <w:r>
        <w:t xml:space="preserve"> This assumes that demand is independent of the source of the water—that is, that users will not, for example, use more recycled water because it is believed to have a lower impact on the environment than using primary water. Presumably, the extent of any such offset to the general reduction in demand for primary water would be small.</w:t>
      </w:r>
    </w:p>
  </w:footnote>
  <w:footnote w:id="48">
    <w:p w:rsidR="00F231C9" w:rsidRDefault="00F231C9">
      <w:pPr>
        <w:pStyle w:val="FootnoteText"/>
      </w:pPr>
      <w:r>
        <w:rPr>
          <w:rStyle w:val="FootnoteReference"/>
        </w:rPr>
        <w:footnoteRef/>
      </w:r>
      <w:r>
        <w:t xml:space="preserve"> </w:t>
      </w:r>
      <w:r w:rsidRPr="00F33AB1">
        <w:t>Th</w:t>
      </w:r>
      <w:r>
        <w:t xml:space="preserve">e astute reader will have observed that that this </w:t>
      </w:r>
      <w:r w:rsidRPr="00F33AB1">
        <w:t xml:space="preserve">concept </w:t>
      </w:r>
      <w:r>
        <w:t>can be described as</w:t>
      </w:r>
      <w:r w:rsidRPr="00F33AB1">
        <w:t xml:space="preserve"> scarcity pricing</w:t>
      </w:r>
      <w:r>
        <w:t xml:space="preserve">, a matter discussed in the Commission’s issues paper for the tariff review. See </w:t>
      </w:r>
      <w:r w:rsidR="00C04337">
        <w:fldChar w:fldCharType="begin"/>
      </w:r>
      <w:r>
        <w:instrText xml:space="preserve"> ADDIN EN.CITE &lt;EndNote&gt;&lt;Cite&gt;&lt;Author&gt;ICRC&lt;/Author&gt;&lt;Year&gt;2015&lt;/Year&gt;&lt;RecNum&gt;630&lt;/RecNum&gt;&lt;DisplayText&gt;ICRC, 2015a: &lt;/DisplayText&gt;&lt;record&gt;&lt;rec-number&gt;630&lt;/rec-number&gt;&lt;foreign-keys&gt;&lt;key app="EN" db-id="5xwt9zxa6r5fesevwr5xzp97r95ev9wx9zpw" timestamp="1445552628"&gt;630&lt;/key&gt;&lt;/foreign-keys&gt;&lt;ref-type name="AAA ICRC Water References"&gt;40&lt;/ref-type&gt;&lt;contributors&gt;&lt;authors&gt;&lt;author&gt;ICRC,&lt;/author&gt;&lt;/authors&gt;&lt;/contributors&gt;&lt;titles&gt;&lt;title&gt;Issues Paper: Tariff Review 2016 - Regulated Water and Sewerage Services&lt;/title&gt;&lt;/titles&gt;&lt;volume&gt;Report 7 of 2015&lt;/volume&gt;&lt;dates&gt;&lt;year&gt;2015&lt;/year&gt;&lt;pub-dates&gt;&lt;date&gt;November 2015&lt;/date&gt;&lt;/pub-dates&gt;&lt;/dates&gt;&lt;pub-location&gt;Canberra&lt;/pub-location&gt;&lt;publisher&gt;ICRC&lt;/publisher&gt;&lt;urls&gt;&lt;/urls&gt;&lt;/record&gt;&lt;/Cite&gt;&lt;/EndNote&gt;</w:instrText>
      </w:r>
      <w:r w:rsidR="00C04337">
        <w:fldChar w:fldCharType="separate"/>
      </w:r>
      <w:r>
        <w:rPr>
          <w:noProof/>
        </w:rPr>
        <w:t xml:space="preserve">ICRC, 2015a: </w:t>
      </w:r>
      <w:r w:rsidR="00C04337">
        <w:fldChar w:fldCharType="end"/>
      </w:r>
      <w:r>
        <w:t xml:space="preserve">66-68. </w:t>
      </w:r>
    </w:p>
  </w:footnote>
  <w:footnote w:id="49">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&lt;EndNote&gt;&lt;Cite&gt;&lt;Author&gt;ICRC&lt;/Author&gt;&lt;Year&gt;2016&lt;/Year&gt;&lt;RecNum&gt;697&lt;/RecNum&gt;&lt;DisplayText&gt;ICRC, 2016: &lt;/DisplayText&gt;&lt;record&gt;&lt;rec-number&gt;697&lt;/rec-number&gt;&lt;foreign-keys&gt;&lt;key app="EN" db-id="5xwt9zxa6r5fesevwr5xzp97r95ev9wx9zpw" timestamp="1458518329"&gt;697&lt;/key&gt;&lt;key app="ENWeb" db-id=""&gt;0&lt;/key&gt;&lt;/foreign-keys&gt;&lt;ref-type name="AAA ICRC Water References"&gt;40&lt;/ref-type&gt;&lt;contributors&gt;&lt;authors&gt;&lt;author&gt;ICRC,&lt;/author&gt;&lt;/authors&gt;&lt;/contributors&gt;&lt;titles&gt;&lt;title&gt;Technical paper 1: Price elasticity of water demand in the ACT&lt;/title&gt;&lt;/titles&gt;&lt;volume&gt;Report 1 of 2016&lt;/volume&gt;&lt;dates&gt;&lt;year&gt;2016&lt;/year&gt;&lt;pub-dates&gt;&lt;date&gt;February 2016&lt;/date&gt;&lt;/pub-dates&gt;&lt;/dates&gt;&lt;pub-location&gt;Canberra&lt;/pub-location&gt;&lt;publisher&gt;Independent Competition and Regulatory Commission&lt;/publisher&gt;&lt;urls&gt;&lt;/urls&gt;&lt;/record&gt;&lt;/Cite&gt;&lt;/EndNote&gt;</w:instrText>
      </w:r>
      <w:r w:rsidR="00C04337">
        <w:fldChar w:fldCharType="separate"/>
      </w:r>
      <w:r>
        <w:rPr>
          <w:noProof/>
        </w:rPr>
        <w:t xml:space="preserve">ICRC, 2016: </w:t>
      </w:r>
      <w:r w:rsidR="00C04337">
        <w:fldChar w:fldCharType="end"/>
      </w:r>
      <w:r>
        <w:t>43.</w:t>
      </w:r>
    </w:p>
  </w:footnote>
  <w:footnote w:id="50">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&lt;EndNote&gt;&lt;Cite&gt;&lt;Author&gt;ICRC&lt;/Author&gt;&lt;Year&gt;2016&lt;/Year&gt;&lt;RecNum&gt;697&lt;/RecNum&gt;&lt;DisplayText&gt;Ibid.: &lt;/DisplayText&gt;&lt;record&gt;&lt;rec-number&gt;697&lt;/rec-number&gt;&lt;foreign-keys&gt;&lt;key app="EN" db-id="5xwt9zxa6r5fesevwr5xzp97r95ev9wx9zpw" timestamp="1458518329"&gt;697&lt;/key&gt;&lt;key app="ENWeb" db-id=""&gt;0&lt;/key&gt;&lt;/foreign-keys&gt;&lt;ref-type name="AAA ICRC Water References"&gt;40&lt;/ref-type&gt;&lt;contributors&gt;&lt;authors&gt;&lt;author&gt;ICRC,&lt;/author&gt;&lt;/authors&gt;&lt;/contributors&gt;&lt;titles&gt;&lt;title&gt;Technical paper 1: Price elasticity of water demand in the ACT&lt;/title&gt;&lt;/titles&gt;&lt;volume&gt;Report 1 of 2016&lt;/volume&gt;&lt;dates&gt;&lt;year&gt;2016&lt;/year&gt;&lt;pub-dates&gt;&lt;date&gt;February 2016&lt;/date&gt;&lt;/pub-dates&gt;&lt;/dates&gt;&lt;pub-location&gt;Canberra&lt;/pub-location&gt;&lt;publisher&gt;Independent Competition and Regulatory Commission&lt;/publisher&gt;&lt;urls&gt;&lt;/urls&gt;&lt;/record&gt;&lt;/Cite&gt;&lt;/EndNote&gt;</w:instrText>
      </w:r>
      <w:r w:rsidR="00C04337">
        <w:fldChar w:fldCharType="separate"/>
      </w:r>
      <w:r>
        <w:rPr>
          <w:noProof/>
        </w:rPr>
        <w:t xml:space="preserve">Ibid.: </w:t>
      </w:r>
      <w:r w:rsidR="00C04337">
        <w:fldChar w:fldCharType="end"/>
      </w:r>
      <w:r>
        <w:t>69-70.</w:t>
      </w:r>
    </w:p>
  </w:footnote>
  <w:footnote w:id="51">
    <w:p w:rsidR="00F231C9" w:rsidRDefault="00F231C9" w:rsidP="005866C0">
      <w:pPr>
        <w:pStyle w:val="FootnoteText"/>
      </w:pPr>
      <w:r>
        <w:rPr>
          <w:rStyle w:val="FootnoteReference"/>
        </w:rPr>
        <w:footnoteRef/>
      </w:r>
      <w:r>
        <w:t xml:space="preserve"> </w:t>
      </w:r>
      <w:r w:rsidR="00C04337">
        <w:fldChar w:fldCharType="begin"/>
      </w:r>
      <w:r>
        <w:instrText xml:space="preserve"> ADDIN EN.CITE &lt;EndNote&gt;&lt;Cite&gt;&lt;Author&gt;Train&lt;/Author&gt;&lt;Year&gt;1991&lt;/Year&gt;&lt;RecNum&gt;610&lt;/RecNum&gt;&lt;DisplayText&gt;Train, 1991: &lt;/DisplayText&gt;&lt;record&gt;&lt;rec-number&gt;610&lt;/rec-number&gt;&lt;foreign-keys&gt;&lt;key app="EN" db-id="5xwt9zxa6r5fesevwr5xzp97r95ev9wx9zpw" timestamp="1444795794"&gt;610&lt;/key&gt;&lt;/foreign-keys&gt;&lt;ref-type name="Book"&gt;6&lt;/ref-type&gt;&lt;contributors&gt;&lt;authors&gt;&lt;author&gt;Train, Kenneth E&lt;/author&gt;&lt;/authors&gt;&lt;/contributors&gt;&lt;titles&gt;&lt;title&gt;Optimal Regulation: The Economic Theory of Natural Monopoly&lt;/title&gt;&lt;/titles&gt;&lt;dates&gt;&lt;year&gt;1991&lt;/year&gt;&lt;/dates&gt;&lt;pub-location&gt;London&lt;/pub-location&gt;&lt;publisher&gt;MIT Press&lt;/publisher&gt;&lt;urls&gt;&lt;/urls&gt;&lt;/record&gt;&lt;/Cite&gt;&lt;/EndNote&gt;</w:instrText>
      </w:r>
      <w:r w:rsidR="00C04337">
        <w:fldChar w:fldCharType="separate"/>
      </w:r>
      <w:r>
        <w:rPr>
          <w:noProof/>
        </w:rPr>
        <w:t xml:space="preserve">Train, 1991: </w:t>
      </w:r>
      <w:r w:rsidR="00C04337">
        <w:fldChar w:fldCharType="end"/>
      </w:r>
      <w:r>
        <w:t>1.</w:t>
      </w:r>
    </w:p>
  </w:footnote>
  <w:footnote w:id="52">
    <w:p w:rsidR="00F231C9" w:rsidRDefault="00F231C9">
      <w:pPr>
        <w:pStyle w:val="FootnoteText"/>
      </w:pPr>
      <w:r>
        <w:rPr>
          <w:rStyle w:val="FootnoteReference"/>
        </w:rPr>
        <w:footnoteRef/>
      </w:r>
      <w:r>
        <w:t xml:space="preserve"> The second fundamental welfare theorem states that if household preferences and firm production sets are convex, there is a complete set of markets with publicly known prices, and every agent acts as a price taker, then any Pareto optimal outcome can be achieved as a competitive equilibrium if appropriate lump sum transfers of wealth are arranged. Mas-Colell, Whinston and Green (1995) note that the second welfare theorem also runs into difficulties, in the presence of nonconvex production sets that characterise the natural monopoly situation, even if price taking can somehow be relied on. See </w:t>
      </w:r>
      <w:r w:rsidR="00C04337">
        <w:fldChar w:fldCharType="begin"/>
      </w:r>
      <w:r>
        <w:instrText xml:space="preserve"> ADDIN EN.CITE &lt;EndNote&gt;&lt;Cite&gt;&lt;Author&gt;Mas-Colell&lt;/Author&gt;&lt;Year&gt;1995&lt;/Year&gt;&lt;RecNum&gt;640&lt;/RecNum&gt;&lt;DisplayText&gt;Mas-Colell, Whinston and Green, 1995: &lt;/DisplayText&gt;&lt;record&gt;&lt;rec-number&gt;640&lt;/rec-number&gt;&lt;foreign-keys&gt;&lt;key app="EN" db-id="5xwt9zxa6r5fesevwr5xzp97r95ev9wx9zpw" timestamp="1445999092"&gt;640&lt;/key&gt;&lt;/foreign-keys&gt;&lt;ref-type name="Book"&gt;6&lt;/ref-type&gt;&lt;contributors&gt;&lt;authors&gt;&lt;author&gt;Mas-Colell, Andreu&lt;/author&gt;&lt;author&gt;Whinston, Michael D.&lt;/author&gt;&lt;author&gt;Green, Jerry R&lt;/author&gt;&lt;/authors&gt;&lt;/contributors&gt;&lt;titles&gt;&lt;title&gt;Microeconomic Theory&lt;/title&gt;&lt;/titles&gt;&lt;dates&gt;&lt;year&gt;1995&lt;/year&gt;&lt;/dates&gt;&lt;pub-location&gt;New York&lt;/pub-location&gt;&lt;publisher&gt;Oxford Economic Press&lt;/publisher&gt;&lt;urls&gt;&lt;/urls&gt;&lt;/record&gt;&lt;/Cite&gt;&lt;/EndNote&gt;</w:instrText>
      </w:r>
      <w:r w:rsidR="00C04337">
        <w:fldChar w:fldCharType="separate"/>
      </w:r>
      <w:r>
        <w:rPr>
          <w:noProof/>
        </w:rPr>
        <w:t xml:space="preserve">Mas-Colell, Whinston and Green, 1995: </w:t>
      </w:r>
      <w:r w:rsidR="00C04337">
        <w:fldChar w:fldCharType="end"/>
      </w:r>
      <w:r>
        <w:t>570-71 for more detail.</w:t>
      </w:r>
    </w:p>
  </w:footnote>
  <w:footnote w:id="53">
    <w:p w:rsidR="00F231C9" w:rsidRDefault="00F231C9" w:rsidP="005866C0">
      <w:pPr>
        <w:pStyle w:val="FootnoteText"/>
      </w:pPr>
      <w:r>
        <w:rPr>
          <w:rStyle w:val="FootnoteReference"/>
        </w:rPr>
        <w:footnoteRef/>
      </w:r>
      <w:r>
        <w:t xml:space="preserve"> If the monopolist was able to perfectly discriminate among its customers by knowing customer preferences and making a distinct offer to each customer, there would be no welfare deadweight loss. Mas-Colell, Whinston and Green (1995) note that such discrimination is impractical, in particular due to a lack of information about customer preferences and the possibility of customer resale.</w:t>
      </w:r>
    </w:p>
  </w:footnote>
  <w:footnote w:id="54">
    <w:p w:rsidR="00F231C9" w:rsidRDefault="00F231C9" w:rsidP="008346E0">
      <w:pPr>
        <w:pStyle w:val="FootnoteText"/>
      </w:pPr>
      <w:r>
        <w:rPr>
          <w:rStyle w:val="FootnoteReference"/>
        </w:rPr>
        <w:footnoteRef/>
      </w:r>
      <w:r>
        <w:rPr>
          <w:noProof/>
        </w:rPr>
        <w:t xml:space="preserve"> </w:t>
      </w:r>
      <w:r w:rsidR="00C04337">
        <w:rPr>
          <w:noProof/>
        </w:rPr>
        <w:fldChar w:fldCharType="begin"/>
      </w:r>
      <w:r>
        <w:rPr>
          <w:noProof/>
        </w:rPr>
        <w:instrText xml:space="preserve"> ADDIN EN.CITE &lt;EndNote&gt;&lt;Cite&gt;&lt;Author&gt;Brown&lt;/Author&gt;&lt;Year&gt;1992&lt;/Year&gt;&lt;RecNum&gt;371&lt;/RecNum&gt;&lt;DisplayText&gt;Brown, Heller and Starr, 1992: &lt;/DisplayText&gt;&lt;record&gt;&lt;rec-number&gt;371&lt;/rec-number&gt;&lt;foreign-keys&gt;&lt;key app="EN" db-id="5xwt9zxa6r5fesevwr5xzp97r95ev9wx9zpw" timestamp="1387160988"&gt;371&lt;/key&gt;&lt;/foreign-keys&gt;&lt;ref-type name="Journal Article"&gt;17&lt;/ref-type&gt;&lt;contributors&gt;&lt;authors&gt;&lt;author&gt;Brown, Donald J.&lt;/author&gt;&lt;author&gt;Heller, Walter P.&lt;/author&gt;&lt;author&gt;Starr, Ross M.&lt;/author&gt;&lt;/authors&gt;&lt;/contributors&gt;&lt;titles&gt;&lt;title&gt;Two-part marginal cost pricing equilibria: Existence and efficiency&lt;/title&gt;&lt;secondary-title&gt;Journal of Economic Theory&lt;/secondary-title&gt;&lt;/titles&gt;&lt;periodical&gt;&lt;full-title&gt;Journal of Economic Theory&lt;/full-title&gt;&lt;/periodical&gt;&lt;pages&gt;52-72&lt;/pages&gt;&lt;volume&gt;57&lt;/volume&gt;&lt;dates&gt;&lt;year&gt;1992&lt;/year&gt;&lt;/dates&gt;&lt;urls&gt;&lt;/urls&gt;&lt;electronic-resource-num&gt;10.1016/S0022-0531(05)80040-7&lt;/electronic-resource-num&gt;&lt;/record&gt;&lt;/Cite&gt;&lt;/EndNote&gt;</w:instrText>
      </w:r>
      <w:r w:rsidR="00C04337">
        <w:rPr>
          <w:noProof/>
        </w:rPr>
        <w:fldChar w:fldCharType="separate"/>
      </w:r>
      <w:r>
        <w:rPr>
          <w:noProof/>
        </w:rPr>
        <w:t xml:space="preserve">Brown, Heller and Starr, 1992: </w:t>
      </w:r>
      <w:r w:rsidR="00C04337">
        <w:rPr>
          <w:noProof/>
        </w:rPr>
        <w:fldChar w:fldCharType="end"/>
      </w:r>
      <w:r>
        <w:t>53.</w:t>
      </w:r>
    </w:p>
  </w:footnote>
  <w:footnote w:id="55">
    <w:p w:rsidR="00F231C9" w:rsidRDefault="00F231C9">
      <w:pPr>
        <w:pStyle w:val="FootnoteText"/>
      </w:pPr>
      <w:r>
        <w:rPr>
          <w:rStyle w:val="FootnoteReference"/>
        </w:rPr>
        <w:footnoteRef/>
      </w:r>
      <w:r>
        <w:t xml:space="preserve"> For a fuller treatment of the marginal cost </w:t>
      </w:r>
      <w:proofErr w:type="gramStart"/>
      <w:r>
        <w:t>controversy</w:t>
      </w:r>
      <w:proofErr w:type="gramEnd"/>
      <w:r>
        <w:t xml:space="preserve"> see </w:t>
      </w:r>
      <w:r w:rsidR="00C04337">
        <w:fldChar w:fldCharType="begin"/>
      </w:r>
      <w:r>
        <w:instrText xml:space="preserve"> REF _Ref452964976 \r \h </w:instrText>
      </w:r>
      <w:r w:rsidR="00C04337">
        <w:fldChar w:fldCharType="separate"/>
      </w:r>
      <w:r w:rsidR="00027D28">
        <w:t>Appendix 1</w:t>
      </w:r>
      <w:r w:rsidR="00C04337">
        <w:fldChar w:fldCharType="end"/>
      </w:r>
      <w:r>
        <w:t xml:space="preserve">. </w:t>
      </w:r>
    </w:p>
  </w:footnote>
  <w:footnote w:id="56">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&lt;EndNote&gt;&lt;Cite&gt;&lt;Author&gt;Hotelling&lt;/Author&gt;&lt;Year&gt;1938&lt;/Year&gt;&lt;RecNum&gt;698&lt;/RecNum&gt;&lt;DisplayText&gt;Hotelling, 1938: &lt;/DisplayText&gt;&lt;record&gt;&lt;rec-number&gt;698&lt;/rec-number&gt;&lt;foreign-keys&gt;&lt;key app="EN" db-id="5xwt9zxa6r5fesevwr5xzp97r95ev9wx9zpw" timestamp="1458686389"&gt;698&lt;/key&gt;&lt;key app="ENWeb" db-id=""&gt;0&lt;/key&gt;&lt;/foreign-keys&gt;&lt;ref-type name="Journal Article"&gt;17&lt;/ref-type&gt;&lt;contributors&gt;&lt;authors&gt;&lt;author&gt;Hotelling, Harold&lt;/author&gt;&lt;/authors&gt;&lt;/contributors&gt;&lt;titles&gt;&lt;title&gt;The General Welfare in Relation to Problems of Taxation and of Railway and Utility Rates&lt;/title&gt;&lt;secondary-title&gt;Econometrica&lt;/secondary-title&gt;&lt;/titles&gt;&lt;periodical&gt;&lt;full-title&gt;Econometrica&lt;/full-title&gt;&lt;/periodical&gt;&lt;pages&gt;242-269&lt;/pages&gt;&lt;volume&gt;6&lt;/volume&gt;&lt;number&gt;3&lt;/number&gt;&lt;dates&gt;&lt;year&gt;1938&lt;/year&gt;&lt;/dates&gt;&lt;urls&gt;&lt;/urls&gt;&lt;/record&gt;&lt;/Cite&gt;&lt;/EndNote&gt;</w:instrText>
      </w:r>
      <w:r w:rsidR="00C04337">
        <w:fldChar w:fldCharType="separate"/>
      </w:r>
      <w:r>
        <w:rPr>
          <w:noProof/>
        </w:rPr>
        <w:t xml:space="preserve">Hotelling, 1938: </w:t>
      </w:r>
      <w:r w:rsidR="00C04337">
        <w:fldChar w:fldCharType="end"/>
      </w:r>
      <w:r>
        <w:t>242.</w:t>
      </w:r>
    </w:p>
  </w:footnote>
  <w:footnote w:id="57">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&lt;EndNote&gt;&lt;Cite&gt;&lt;Author&gt;Coase&lt;/Author&gt;&lt;Year&gt;1946&lt;/Year&gt;&lt;RecNum&gt;367&lt;/RecNum&gt;&lt;DisplayText&gt;Coase, 1946: &lt;/DisplayText&gt;&lt;record&gt;&lt;rec-number&gt;367&lt;/rec-number&gt;&lt;foreign-keys&gt;&lt;key app="EN" db-id="5xwt9zxa6r5fesevwr5xzp97r95ev9wx9zpw" timestamp="1387160988"&gt;367&lt;/key&gt;&lt;/foreign-keys&gt;&lt;ref-type name="Journal Article"&gt;17&lt;/ref-type&gt;&lt;contributors&gt;&lt;authors&gt;&lt;author&gt;Coase, Ronald H.&lt;/author&gt;&lt;/authors&gt;&lt;/contributors&gt;&lt;titles&gt;&lt;title&gt;Marginal Cost Controversy&lt;/title&gt;&lt;secondary-title&gt;Economica&lt;/secondary-title&gt;&lt;/titles&gt;&lt;periodical&gt;&lt;full-title&gt;Economica&lt;/full-title&gt;&lt;/periodical&gt;&lt;pages&gt;169-182&lt;/pages&gt;&lt;volume&gt;13&lt;/volume&gt;&lt;dates&gt;&lt;year&gt;1946&lt;/year&gt;&lt;/dates&gt;&lt;urls&gt;&lt;/urls&gt;&lt;/record&gt;&lt;/Cite&gt;&lt;/EndNote&gt;</w:instrText>
      </w:r>
      <w:r w:rsidR="00C04337">
        <w:fldChar w:fldCharType="separate"/>
      </w:r>
      <w:r>
        <w:rPr>
          <w:noProof/>
        </w:rPr>
        <w:t xml:space="preserve">Coase, 1946: </w:t>
      </w:r>
      <w:r w:rsidR="00C04337">
        <w:fldChar w:fldCharType="end"/>
      </w:r>
      <w:r>
        <w:t>169-82.</w:t>
      </w:r>
    </w:p>
  </w:footnote>
  <w:footnote w:id="58">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&lt;EndNote&gt;&lt;Cite&gt;&lt;Author&gt;Coase&lt;/Author&gt;&lt;Year&gt;1946&lt;/Year&gt;&lt;RecNum&gt;367&lt;/RecNum&gt;&lt;DisplayText&gt;Ibid.: &lt;/DisplayText&gt;&lt;record&gt;&lt;rec-number&gt;367&lt;/rec-number&gt;&lt;foreign-keys&gt;&lt;key app="EN" db-id="5xwt9zxa6r5fesevwr5xzp97r95ev9wx9zpw" timestamp="1387160988"&gt;367&lt;/key&gt;&lt;/foreign-keys&gt;&lt;ref-type name="Journal Article"&gt;17&lt;/ref-type&gt;&lt;contributors&gt;&lt;authors&gt;&lt;author&gt;Coase, Ronald H.&lt;/author&gt;&lt;/authors&gt;&lt;/contributors&gt;&lt;titles&gt;&lt;title&gt;Marginal Cost Controversy&lt;/title&gt;&lt;secondary-title&gt;Economica&lt;/secondary-title&gt;&lt;/titles&gt;&lt;periodical&gt;&lt;full-title&gt;Economica&lt;/full-title&gt;&lt;/periodical&gt;&lt;pages&gt;169-182&lt;/pages&gt;&lt;volume&gt;13&lt;/volume&gt;&lt;dates&gt;&lt;year&gt;1946&lt;/year&gt;&lt;/dates&gt;&lt;urls&gt;&lt;/urls&gt;&lt;/record&gt;&lt;/Cite&gt;&lt;/EndNote&gt;</w:instrText>
      </w:r>
      <w:r w:rsidR="00C04337">
        <w:fldChar w:fldCharType="separate"/>
      </w:r>
      <w:r>
        <w:rPr>
          <w:noProof/>
        </w:rPr>
        <w:t xml:space="preserve">Ibid.: </w:t>
      </w:r>
      <w:r w:rsidR="00C04337">
        <w:fldChar w:fldCharType="end"/>
      </w:r>
      <w:r>
        <w:t>173.</w:t>
      </w:r>
    </w:p>
  </w:footnote>
  <w:footnote w:id="59">
    <w:p w:rsidR="00F231C9" w:rsidRDefault="00F231C9" w:rsidP="00986BD8">
      <w:pPr>
        <w:pStyle w:val="FootnoteText"/>
      </w:pPr>
      <w:r>
        <w:rPr>
          <w:rStyle w:val="FootnoteReference"/>
        </w:rPr>
        <w:footnoteRef/>
      </w:r>
      <w:r>
        <w:t xml:space="preserve"> </w:t>
      </w:r>
      <w:r>
        <w:rPr>
          <w:noProof/>
        </w:rPr>
        <w:t xml:space="preserve">Train, 1991: </w:t>
      </w:r>
      <w:r>
        <w:t>191.</w:t>
      </w:r>
    </w:p>
  </w:footnote>
  <w:footnote w:id="60">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&lt;EndNote&gt;&lt;Cite&gt;&lt;Author&gt;Hirshleifer&lt;/Author&gt;&lt;Year&gt;1960&lt;/Year&gt;&lt;RecNum&gt;706&lt;/RecNum&gt;&lt;DisplayText&gt;Hirshleifer, DeHaven and Milliman, 1960: &lt;/DisplayText&gt;&lt;record&gt;&lt;rec-number&gt;706&lt;/rec-number&gt;&lt;foreign-keys&gt;&lt;key app="EN" db-id="5xwt9zxa6r5fesevwr5xzp97r95ev9wx9zpw" timestamp="1460417661"&gt;706&lt;/key&gt;&lt;/foreign-keys&gt;&lt;ref-type name="Book"&gt;6&lt;/ref-type&gt;&lt;contributors&gt;&lt;authors&gt;&lt;author&gt;Hirshleifer, Jack&lt;/author&gt;&lt;author&gt;DeHaven, James C&lt;/author&gt;&lt;author&gt;Milliman, Jerome W&lt;/author&gt;&lt;/authors&gt;&lt;/contributors&gt;&lt;titles&gt;&lt;title&gt;Water Supply: Economics, Technology and Policy&lt;/title&gt;&lt;/titles&gt;&lt;dates&gt;&lt;year&gt;1960&lt;/year&gt;&lt;/dates&gt;&lt;publisher&gt;University of Chicago Press&lt;/publisher&gt;&lt;urls&gt;&lt;related-urls&gt;&lt;url&gt;http://babel.hathitrust.org/cgi/pt?id=mdp.39015011501270;view=1up;seq=11&lt;/url&gt;&lt;/related-urls&gt;&lt;/urls&gt;&lt;/record&gt;&lt;/Cite&gt;&lt;/EndNote&gt;</w:instrText>
      </w:r>
      <w:r w:rsidR="00C04337">
        <w:fldChar w:fldCharType="separate"/>
      </w:r>
      <w:r>
        <w:rPr>
          <w:noProof/>
        </w:rPr>
        <w:t xml:space="preserve">Hirshleifer, DeHaven and Milliman, 1960: </w:t>
      </w:r>
      <w:r w:rsidR="00C04337">
        <w:fldChar w:fldCharType="end"/>
      </w:r>
      <w:r>
        <w:t>90-1.</w:t>
      </w:r>
    </w:p>
  </w:footnote>
  <w:footnote w:id="61">
    <w:p w:rsidR="00F231C9" w:rsidRDefault="00F231C9" w:rsidP="00EF7001">
      <w:pPr>
        <w:pStyle w:val="FootnoteText"/>
      </w:pPr>
      <w:r>
        <w:rPr>
          <w:rStyle w:val="FootnoteReference"/>
        </w:rPr>
        <w:footnoteRef/>
      </w:r>
      <w:r>
        <w:t xml:space="preserve"> In its 2013 final report on regulated water and sewerage services, the Commission noted the distinction between the ACT community as customers and taxpayers on the basis that there are likely to be taxpayers who consume virtually no water and large water customers who may pay little tax (</w:t>
      </w:r>
      <w:r w:rsidR="00C04337">
        <w:fldChar w:fldCharType="begin"/>
      </w:r>
      <w:r>
        <w:instrText xml:space="preserve"> ADDIN EN.CITE &lt;EndNote&gt;&lt;Cite&gt;&lt;Author&gt;ICRC&lt;/Author&gt;&lt;Year&gt;2013&lt;/Year&gt;&lt;RecNum&gt;195&lt;/RecNum&gt;&lt;DisplayText&gt;ICRC, 2013b: &lt;/DisplayText&gt;&lt;record&gt;&lt;rec-number&gt;195&lt;/rec-number&gt;&lt;foreign-keys&gt;&lt;key app="EN" db-id="5xwt9zxa6r5fesevwr5xzp97r95ev9wx9zpw" timestamp="1375230149"&gt;195&lt;/key&gt;&lt;/foreign-keys&gt;&lt;ref-type name="AAA ICRC Water References"&gt;40&lt;/ref-type&gt;&lt;contributors&gt;&lt;authors&gt;&lt;author&gt;ICRC,&lt;/author&gt;&lt;/authors&gt;&lt;/contributors&gt;&lt;titles&gt;&lt;title&gt;Final Report Regulated Water and Sewerage Services 1 July 2013 to 30 June 2019&lt;/title&gt;&lt;/titles&gt;&lt;volume&gt;Report 5 of 2013&lt;/volume&gt;&lt;dates&gt;&lt;year&gt;2013&lt;/year&gt;&lt;pub-dates&gt;&lt;date&gt;June 2013&lt;/date&gt;&lt;/pub-dates&gt;&lt;/dates&gt;&lt;pub-location&gt;Canberra&lt;/pub-location&gt;&lt;publisher&gt;ICRC&lt;/publisher&gt;&lt;urls&gt;&lt;/urls&gt;&lt;/record&gt;&lt;/Cite&gt;&lt;/EndNote&gt;</w:instrText>
      </w:r>
      <w:r w:rsidR="00C04337">
        <w:fldChar w:fldCharType="separate"/>
      </w:r>
      <w:r>
        <w:rPr>
          <w:noProof/>
        </w:rPr>
        <w:t xml:space="preserve">ICRC, 2013b: </w:t>
      </w:r>
      <w:r w:rsidR="00C04337">
        <w:fldChar w:fldCharType="end"/>
      </w:r>
      <w:r>
        <w:t>63).</w:t>
      </w:r>
    </w:p>
  </w:footnote>
  <w:footnote w:id="62">
    <w:p w:rsidR="00F231C9" w:rsidRDefault="00F231C9" w:rsidP="0042087A">
      <w:pPr>
        <w:pStyle w:val="FootnoteText"/>
      </w:pPr>
      <w:r>
        <w:rPr>
          <w:rStyle w:val="FootnoteReference"/>
        </w:rPr>
        <w:footnoteRef/>
      </w:r>
      <w:r>
        <w:t xml:space="preserve"> </w:t>
      </w:r>
      <w:r w:rsidRPr="00D46E4F">
        <w:t>Frank Ramsey</w:t>
      </w:r>
      <w:r>
        <w:t>,</w:t>
      </w:r>
      <w:r w:rsidRPr="00D46E4F">
        <w:t xml:space="preserve"> </w:t>
      </w:r>
      <w:r>
        <w:t xml:space="preserve">in his 1927 seminal article on optimal </w:t>
      </w:r>
      <w:r w:rsidRPr="00D46E4F">
        <w:t>taxation</w:t>
      </w:r>
      <w:r>
        <w:t>,</w:t>
      </w:r>
      <w:r w:rsidRPr="00D46E4F">
        <w:t xml:space="preserve"> provided at least implicitly a solution to the optimal pricing problem for an industry in which marginal cost prices do not cover total costs</w:t>
      </w:r>
      <w:r>
        <w:t xml:space="preserve"> (</w:t>
      </w:r>
      <w:r w:rsidR="00C04337">
        <w:fldChar w:fldCharType="begin"/>
      </w:r>
      <w:r>
        <w:instrText xml:space="preserve"> ADDIN EN.CITE &lt;EndNote&gt;&lt;Cite&gt;&lt;Author&gt;Ramsey&lt;/Author&gt;&lt;Year&gt;1927&lt;/Year&gt;&lt;RecNum&gt;456&lt;/RecNum&gt;&lt;DisplayText&gt;Ramsey, 1927: &lt;/DisplayText&gt;&lt;record&gt;&lt;rec-number&gt;456&lt;/rec-number&gt;&lt;foreign-keys&gt;&lt;key app="EN" db-id="5xwt9zxa6r5fesevwr5xzp97r95ev9wx9zpw" timestamp="1410828942"&gt;456&lt;/key&gt;&lt;/foreign-keys&gt;&lt;ref-type name="Journal Article"&gt;17&lt;/ref-type&gt;&lt;contributors&gt;&lt;authors&gt;&lt;author&gt;Ramsey, Frank P.&lt;/author&gt;&lt;/authors&gt;&lt;/contributors&gt;&lt;titles&gt;&lt;title&gt;A Contribution to the Theory of Taxation&lt;/title&gt;&lt;secondary-title&gt;The Economic Journal&lt;/secondary-title&gt;&lt;/titles&gt;&lt;periodical&gt;&lt;full-title&gt;The Economic Journal&lt;/full-title&gt;&lt;/periodical&gt;&lt;pages&gt;47-61&lt;/pages&gt;&lt;volume&gt;37&lt;/volume&gt;&lt;number&gt;145&lt;/number&gt;&lt;dates&gt;&lt;year&gt;1927&lt;/year&gt;&lt;/dates&gt;&lt;urls&gt;&lt;/urls&gt;&lt;/record&gt;&lt;/Cite&gt;&lt;/EndNote&gt;</w:instrText>
      </w:r>
      <w:r w:rsidR="00C04337">
        <w:fldChar w:fldCharType="separate"/>
      </w:r>
      <w:r>
        <w:rPr>
          <w:noProof/>
        </w:rPr>
        <w:t xml:space="preserve">Ramsey, 1927: </w:t>
      </w:r>
      <w:r w:rsidR="00C04337">
        <w:fldChar w:fldCharType="end"/>
      </w:r>
      <w:r>
        <w:t>47–61).</w:t>
      </w:r>
    </w:p>
  </w:footnote>
  <w:footnote w:id="63">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&lt;EndNote&gt;&lt;Cite&gt;&lt;Author&gt;Train&lt;/Author&gt;&lt;Year&gt;1991&lt;/Year&gt;&lt;RecNum&gt;610&lt;/RecNum&gt;&lt;DisplayText&gt;Train, 1991: &lt;/DisplayText&gt;&lt;record&gt;&lt;rec-number&gt;610&lt;/rec-number&gt;&lt;foreign-keys&gt;&lt;key app="EN" db-id="5xwt9zxa6r5fesevwr5xzp97r95ev9wx9zpw" timestamp="1444795794"&gt;610&lt;/key&gt;&lt;/foreign-keys&gt;&lt;ref-type name="Book"&gt;6&lt;/ref-type&gt;&lt;contributors&gt;&lt;authors&gt;&lt;author&gt;Train, Kenneth E&lt;/author&gt;&lt;/authors&gt;&lt;/contributors&gt;&lt;titles&gt;&lt;title&gt;Optimal Regulation: The Economic Theory of Natural Monopoly&lt;/title&gt;&lt;/titles&gt;&lt;dates&gt;&lt;year&gt;1991&lt;/year&gt;&lt;/dates&gt;&lt;pub-location&gt;London&lt;/pub-location&gt;&lt;publisher&gt;MIT Press&lt;/publisher&gt;&lt;urls&gt;&lt;/urls&gt;&lt;/record&gt;&lt;/Cite&gt;&lt;/EndNote&gt;</w:instrText>
      </w:r>
      <w:r w:rsidR="00C04337">
        <w:fldChar w:fldCharType="separate"/>
      </w:r>
      <w:r>
        <w:rPr>
          <w:noProof/>
        </w:rPr>
        <w:t xml:space="preserve">Train, 1991: </w:t>
      </w:r>
      <w:r w:rsidR="00C04337">
        <w:fldChar w:fldCharType="end"/>
      </w:r>
      <w:r>
        <w:t>125-35 also provides a derivation of the Ramsey pricing rule.</w:t>
      </w:r>
    </w:p>
  </w:footnote>
  <w:footnote w:id="64">
    <w:p w:rsidR="00F231C9" w:rsidRDefault="00F231C9" w:rsidP="0042087A">
      <w:pPr>
        <w:pStyle w:val="FootnoteText"/>
      </w:pPr>
      <w:r>
        <w:rPr>
          <w:rStyle w:val="FootnoteReference"/>
        </w:rPr>
        <w:footnoteRef/>
      </w:r>
      <w:r>
        <w:t>The price elasticity of demand is the percentage change in quantity demanded divided by the percentage change in price that brought it about. Demand is said to be elastic if the percentage change in quantity is greater than the percentage change in price (elasticity is greater than one). Demand is inelastic if the percentage change in quantity is less than the percentage change in price (elasticity is less than one).</w:t>
      </w:r>
    </w:p>
  </w:footnote>
  <w:footnote w:id="65">
    <w:p w:rsidR="00F231C9" w:rsidRDefault="00F231C9" w:rsidP="0042087A">
      <w:pPr>
        <w:pStyle w:val="FootnoteText"/>
      </w:pPr>
      <w:r>
        <w:rPr>
          <w:rStyle w:val="FootnoteReference"/>
        </w:rPr>
        <w:footnoteRef/>
      </w:r>
      <w:r w:rsidR="00C04337">
        <w:fldChar w:fldCharType="begin"/>
      </w:r>
      <w:r>
        <w:instrText xml:space="preserve"> ADDIN EN.CITE &lt;EndNote&gt;&lt;Cite&gt;&lt;Author&gt;The Brattle Group&lt;/Author&gt;&lt;Year&gt;2014&lt;/Year&gt;&lt;RecNum&gt;523&lt;/RecNum&gt;&lt;DisplayText&gt;The Brattle Group, 2014: &lt;/DisplayText&gt;&lt;record&gt;&lt;rec-number&gt;523&lt;/rec-number&gt;&lt;foreign-keys&gt;&lt;key app="EN" db-id="5xwt9zxa6r5fesevwr5xzp97r95ev9wx9zpw" timestamp="1440465695"&gt;523&lt;/key&gt;&lt;/foreign-keys&gt;&lt;ref-type name="AAA ICRC Water References"&gt;40&lt;/ref-type&gt;&lt;contributors&gt;&lt;authors&gt;&lt;author&gt;The Brattle Group,&lt;/author&gt;&lt;/authors&gt;&lt;/contributors&gt;&lt;titles&gt;&lt;title&gt;Structure of Electricity Distribution Network Tariffs: Recovery of Residual Costs&lt;/title&gt;&lt;/titles&gt;&lt;dates&gt;&lt;year&gt;2014&lt;/year&gt;&lt;pub-dates&gt;&lt;date&gt;August 2014&lt;/date&gt;&lt;/pub-dates&gt;&lt;/dates&gt;&lt;pub-location&gt;Sydney&lt;/pub-location&gt;&lt;publisher&gt;Australian Energy Market Commission&lt;/publisher&gt;&lt;urls&gt;&lt;/urls&gt;&lt;/record&gt;&lt;/Cite&gt;&lt;/EndNote&gt;</w:instrText>
      </w:r>
      <w:r w:rsidR="00C04337">
        <w:fldChar w:fldCharType="separate"/>
      </w:r>
      <w:r>
        <w:rPr>
          <w:noProof/>
        </w:rPr>
        <w:t xml:space="preserve">The Brattle Group, 2014: </w:t>
      </w:r>
      <w:r w:rsidR="00C04337">
        <w:fldChar w:fldCharType="end"/>
      </w:r>
      <w:r>
        <w:t>5.</w:t>
      </w:r>
    </w:p>
  </w:footnote>
  <w:footnote w:id="66">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&lt;EndNote&gt;&lt;Cite&gt;&lt;Author&gt;Train&lt;/Author&gt;&lt;Year&gt;1991&lt;/Year&gt;&lt;RecNum&gt;610&lt;/RecNum&gt;&lt;DisplayText&gt;Train, 1991: &lt;/DisplayText&gt;&lt;record&gt;&lt;rec-number&gt;610&lt;/rec-number&gt;&lt;foreign-keys&gt;&lt;key app="EN" db-id="5xwt9zxa6r5fesevwr5xzp97r95ev9wx9zpw" timestamp="1444795794"&gt;610&lt;/key&gt;&lt;/foreign-keys&gt;&lt;ref-type name="Book"&gt;6&lt;/ref-type&gt;&lt;contributors&gt;&lt;authors&gt;&lt;author&gt;Train, Kenneth E&lt;/author&gt;&lt;/authors&gt;&lt;/contributors&gt;&lt;titles&gt;&lt;title&gt;Optimal Regulation: The Economic Theory of Natural Monopoly&lt;/title&gt;&lt;/titles&gt;&lt;dates&gt;&lt;year&gt;1991&lt;/year&gt;&lt;/dates&gt;&lt;pub-location&gt;London&lt;/pub-location&gt;&lt;publisher&gt;MIT Press&lt;/publisher&gt;&lt;urls&gt;&lt;/urls&gt;&lt;/record&gt;&lt;/Cite&gt;&lt;/EndNote&gt;</w:instrText>
      </w:r>
      <w:r w:rsidR="00C04337">
        <w:fldChar w:fldCharType="separate"/>
      </w:r>
      <w:r>
        <w:rPr>
          <w:noProof/>
        </w:rPr>
        <w:t xml:space="preserve">Train, 1991: </w:t>
      </w:r>
      <w:r w:rsidR="00C04337">
        <w:fldChar w:fldCharType="end"/>
      </w:r>
      <w:r>
        <w:t>116.</w:t>
      </w:r>
    </w:p>
  </w:footnote>
  <w:footnote w:id="67">
    <w:p w:rsidR="00F231C9" w:rsidRDefault="00F231C9" w:rsidP="00450D54">
      <w:pPr>
        <w:pStyle w:val="FootnoteText"/>
      </w:pPr>
      <w:r>
        <w:rPr>
          <w:rStyle w:val="FootnoteReference"/>
        </w:rPr>
        <w:footnoteRef/>
      </w:r>
      <w:r>
        <w:t xml:space="preserve"> </w:t>
      </w:r>
      <w:r w:rsidR="00C04337">
        <w:fldChar w:fldCharType="begin"/>
      </w:r>
      <w:r>
        <w:instrText xml:space="preserve"> ADDIN EN.CITE &lt;EndNote&gt;&lt;Cite&gt;&lt;Author&gt;Hanke&lt;/Author&gt;&lt;Year&gt;1981&lt;/Year&gt;&lt;RecNum&gt;694&lt;/RecNum&gt;&lt;DisplayText&gt;Hanke and Wentworth, 1981: &lt;/DisplayText&gt;&lt;record&gt;&lt;rec-number&gt;694&lt;/rec-number&gt;&lt;foreign-keys&gt;&lt;key app="EN" db-id="5xwt9zxa6r5fesevwr5xzp97r95ev9wx9zpw" timestamp="1458081167"&gt;694&lt;/key&gt;&lt;key app="ENWeb" db-id=""&gt;0&lt;/key&gt;&lt;/foreign-keys&gt;&lt;ref-type name="Journal Article"&gt;17&lt;/ref-type&gt;&lt;contributors&gt;&lt;authors&gt;&lt;author&gt;Hanke, Steve H&lt;/author&gt;&lt;author&gt;Wentworth, Roland W&lt;/author&gt;&lt;/authors&gt;&lt;/contributors&gt;&lt;titles&gt;&lt;title&gt;On the Marginal Cost of Wastewater Services&lt;/title&gt;&lt;secondary-title&gt;Land Economics&lt;/secondary-title&gt;&lt;/titles&gt;&lt;periodical&gt;&lt;full-title&gt;Land Economics&lt;/full-title&gt;&lt;/periodical&gt;&lt;pages&gt;558-567&lt;/pages&gt;&lt;volume&gt;57&lt;/volume&gt;&lt;number&gt;4&lt;/number&gt;&lt;dates&gt;&lt;year&gt;1981&lt;/year&gt;&lt;/dates&gt;&lt;urls&gt;&lt;/urls&gt;&lt;/record&gt;&lt;/Cite&gt;&lt;/EndNote&gt;</w:instrText>
      </w:r>
      <w:r w:rsidR="00C04337">
        <w:fldChar w:fldCharType="separate"/>
      </w:r>
      <w:r>
        <w:rPr>
          <w:noProof/>
        </w:rPr>
        <w:t xml:space="preserve">Hanke and Wentworth, 1981: </w:t>
      </w:r>
      <w:r w:rsidR="00C04337">
        <w:fldChar w:fldCharType="end"/>
      </w:r>
      <w:r>
        <w:t>560.</w:t>
      </w:r>
    </w:p>
  </w:footnote>
  <w:footnote w:id="68">
    <w:p w:rsidR="00F231C9" w:rsidRDefault="00F231C9" w:rsidP="00C73F29">
      <w:pPr>
        <w:pStyle w:val="FootnoteText"/>
      </w:pPr>
      <w:r>
        <w:rPr>
          <w:rStyle w:val="FootnoteReference"/>
        </w:rPr>
        <w:footnoteRef/>
      </w:r>
      <w:r>
        <w:t xml:space="preserve"> Icon Water’s 2015</w:t>
      </w:r>
      <w:r>
        <w:sym w:font="Symbol" w:char="F02D"/>
      </w:r>
      <w:r>
        <w:t>16 volumetric prices are $2.60 per kL for the first 0.548 kL per day and $5.22 per kL thereafter.</w:t>
      </w:r>
    </w:p>
  </w:footnote>
  <w:footnote w:id="69">
    <w:p w:rsidR="00F231C9" w:rsidRDefault="00F231C9" w:rsidP="00C73F29">
      <w:pPr>
        <w:pStyle w:val="FootnoteText"/>
      </w:pPr>
      <w:r>
        <w:rPr>
          <w:rStyle w:val="FootnoteReference"/>
        </w:rPr>
        <w:footnoteRef/>
      </w:r>
      <w:r>
        <w:t xml:space="preserve"> The combined ACT dam storage level was 77 per cent as at 7 June 2016. See </w:t>
      </w:r>
      <w:r w:rsidRPr="00480012">
        <w:t>https://www.iconwater.com.au/Water-and-Sewerage-System/Dams/Water-Storage-Levels.aspx</w:t>
      </w:r>
      <w:r>
        <w:t>.</w:t>
      </w:r>
    </w:p>
  </w:footnote>
  <w:footnote w:id="70">
    <w:p w:rsidR="00F231C9" w:rsidRDefault="00F231C9" w:rsidP="00C73F29">
      <w:pPr>
        <w:pStyle w:val="FootnoteText"/>
      </w:pPr>
      <w:r>
        <w:rPr>
          <w:rStyle w:val="FootnoteReference"/>
        </w:rPr>
        <w:footnoteRef/>
      </w:r>
      <w:r>
        <w:t xml:space="preserve"> </w:t>
      </w:r>
      <w:r w:rsidR="00C04337">
        <w:fldChar w:fldCharType="begin"/>
      </w:r>
      <w:r>
        <w:instrText xml:space="preserve"> ADDIN EN.CITE &lt;EndNote&gt;&lt;Cite&gt;&lt;Author&gt;Saunders&lt;/Author&gt;&lt;Year&gt;1977&lt;/Year&gt;&lt;RecNum&gt;681&lt;/RecNum&gt;&lt;DisplayText&gt;Saunders, Warford and Mann, 1977: &lt;/DisplayText&gt;&lt;record&gt;&lt;rec-number&gt;681&lt;/rec-number&gt;&lt;foreign-keys&gt;&lt;key app="EN" db-id="5xwt9zxa6r5fesevwr5xzp97r95ev9wx9zpw" timestamp="1457654329"&gt;681&lt;/key&gt;&lt;key app="ENWeb" db-id=""&gt;0&lt;/key&gt;&lt;/foreign-keys&gt;&lt;ref-type name="AAA ICRC Water References"&gt;40&lt;/ref-type&gt;&lt;contributors&gt;&lt;authors&gt;&lt;author&gt;Saunders, Robert J.&lt;/author&gt;&lt;author&gt;Warford, Jeremy J.&lt;/author&gt;&lt;author&gt;Mann, Patrick C. &lt;/author&gt;&lt;/authors&gt;&lt;/contributors&gt;&lt;titles&gt;&lt;title&gt;Alternative Concepts of Marginal Cost for Public Utility Pricing: Problems of Applicationin the Water Supply Sector&lt;/title&gt;&lt;/titles&gt;&lt;volume&gt;Staff Working Paper No. 25&lt;/volume&gt;&lt;dates&gt;&lt;year&gt;1977&lt;/year&gt;&lt;pub-dates&gt;&lt;date&gt;May 1977&lt;/date&gt;&lt;/pub-dates&gt;&lt;/dates&gt;&lt;publisher&gt;World Bank&lt;/publisher&gt;&lt;urls&gt;&lt;/urls&gt;&lt;/record&gt;&lt;/Cite&gt;&lt;/EndNote&gt;</w:instrText>
      </w:r>
      <w:r w:rsidR="00C04337">
        <w:fldChar w:fldCharType="separate"/>
      </w:r>
      <w:r>
        <w:rPr>
          <w:noProof/>
        </w:rPr>
        <w:t xml:space="preserve">Saunders, Warford and Mann, 1977: </w:t>
      </w:r>
      <w:r w:rsidR="00C04337">
        <w:fldChar w:fldCharType="end"/>
      </w:r>
      <w:r>
        <w:t>18.</w:t>
      </w:r>
    </w:p>
  </w:footnote>
  <w:footnote w:id="71">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&lt;EndNote&gt;&lt;Cite&gt;&lt;Author&gt;Turvey&lt;/Author&gt;&lt;Year&gt;1976&lt;/Year&gt;&lt;RecNum&gt;519&lt;/RecNum&gt;&lt;DisplayText&gt;Turvey, 1976: &lt;/DisplayText&gt;&lt;record&gt;&lt;rec-number&gt;519&lt;/rec-number&gt;&lt;foreign-keys&gt;&lt;key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r>
        <w:rPr>
          <w:noProof/>
        </w:rPr>
        <w:t xml:space="preserve">Turvey, 1976: </w:t>
      </w:r>
      <w:r w:rsidR="00C04337">
        <w:fldChar w:fldCharType="end"/>
      </w:r>
      <w:r>
        <w:t>159.</w:t>
      </w:r>
    </w:p>
  </w:footnote>
  <w:footnote w:id="72">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&lt;EndNote&gt;&lt;Cite&gt;&lt;Author&gt;Turvey&lt;/Author&gt;&lt;Year&gt;1976&lt;/Year&gt;&lt;RecNum&gt;519&lt;/RecNum&gt;&lt;DisplayText&gt;Ibid.: &lt;/DisplayText&gt;&lt;record&gt;&lt;rec-number&gt;519&lt;/rec-number&gt;&lt;foreign-keys&gt;&lt;key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r>
        <w:rPr>
          <w:noProof/>
        </w:rPr>
        <w:t xml:space="preserve">Ibid.: </w:t>
      </w:r>
      <w:r w:rsidR="00C04337">
        <w:fldChar w:fldCharType="end"/>
      </w:r>
      <w:r>
        <w:t>158-68.</w:t>
      </w:r>
    </w:p>
  </w:footnote>
  <w:footnote w:id="73">
    <w:p w:rsidR="00F231C9" w:rsidRDefault="00F231C9" w:rsidP="00915BF6">
      <w:pPr>
        <w:pStyle w:val="FootnoteText"/>
      </w:pPr>
      <w:r>
        <w:rPr>
          <w:rStyle w:val="FootnoteReference"/>
        </w:rPr>
        <w:footnoteRef/>
      </w:r>
      <w:r>
        <w:t xml:space="preserve"> It is important to note that a Pareto efficient outcome requires that the services are produced at least cost. This principle applies to any system changes required in response to an incremental increase in demand.</w:t>
      </w:r>
    </w:p>
  </w:footnote>
  <w:footnote w:id="74">
    <w:p w:rsidR="00F231C9" w:rsidRDefault="00F231C9" w:rsidP="00915BF6">
      <w:pPr>
        <w:pStyle w:val="FootnoteText"/>
      </w:pPr>
      <w:r>
        <w:rPr>
          <w:rStyle w:val="FootnoteReference"/>
        </w:rPr>
        <w:footnoteRef/>
      </w:r>
      <w:r>
        <w:t xml:space="preserve"> This point was made by the Commission in its final report on secondary water use in the ACT in relation to the </w:t>
      </w:r>
      <w:r w:rsidRPr="007A5657">
        <w:t>value of a kilolitre of secondary water vary</w:t>
      </w:r>
      <w:r>
        <w:t>ing</w:t>
      </w:r>
      <w:r w:rsidRPr="007A5657">
        <w:t xml:space="preserve"> over time depending on how full the primary </w:t>
      </w:r>
      <w:r>
        <w:t xml:space="preserve">supply is </w:t>
      </w:r>
      <w:r w:rsidRPr="007A5657">
        <w:t>and how close we are to the next investment in augmenting the</w:t>
      </w:r>
      <w:r>
        <w:t xml:space="preserve"> primary supply</w:t>
      </w:r>
      <w:r w:rsidRPr="007A5657">
        <w:t>.</w:t>
      </w:r>
    </w:p>
  </w:footnote>
  <w:footnote w:id="75">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&lt;EndNote&gt;&lt;Cite&gt;&lt;Author&gt;Hirshleifer&lt;/Author&gt;&lt;Year&gt;1960&lt;/Year&gt;&lt;RecNum&gt;706&lt;/RecNum&gt;&lt;DisplayText&gt;Hirshleifer, DeHaven and Milliman, 1960: &lt;/DisplayText&gt;&lt;record&gt;&lt;rec-number&gt;706&lt;/rec-number&gt;&lt;foreign-keys&gt;&lt;key app="EN" db-id="5xwt9zxa6r5fesevwr5xzp97r95ev9wx9zpw" timestamp="1460417661"&gt;706&lt;/key&gt;&lt;/foreign-keys&gt;&lt;ref-type name="Book"&gt;6&lt;/ref-type&gt;&lt;contributors&gt;&lt;authors&gt;&lt;author&gt;Hirshleifer, Jack&lt;/author&gt;&lt;author&gt;DeHaven, James C&lt;/author&gt;&lt;author&gt;Milliman, Jerome W&lt;/author&gt;&lt;/authors&gt;&lt;/contributors&gt;&lt;titles&gt;&lt;title&gt;Water Supply: Economics, Technology and Policy&lt;/title&gt;&lt;/titles&gt;&lt;dates&gt;&lt;year&gt;1960&lt;/year&gt;&lt;/dates&gt;&lt;publisher&gt;University of Chicago Press&lt;/publisher&gt;&lt;urls&gt;&lt;related-urls&gt;&lt;url&gt;http://babel.hathitrust.org/cgi/pt?id=mdp.39015011501270;view=1up;seq=11&lt;/url&gt;&lt;/related-urls&gt;&lt;/urls&gt;&lt;/record&gt;&lt;/Cite&gt;&lt;/EndNote&gt;</w:instrText>
      </w:r>
      <w:r w:rsidR="00C04337">
        <w:fldChar w:fldCharType="separate"/>
      </w:r>
      <w:r>
        <w:rPr>
          <w:noProof/>
        </w:rPr>
        <w:t xml:space="preserve">Hirshleifer, DeHaven and Milliman, 1960: </w:t>
      </w:r>
      <w:r w:rsidR="00C04337">
        <w:fldChar w:fldCharType="end"/>
      </w:r>
      <w:r>
        <w:t>98.</w:t>
      </w:r>
    </w:p>
  </w:footnote>
  <w:footnote w:id="76">
    <w:p w:rsidR="00F231C9" w:rsidRDefault="00F231C9" w:rsidP="00915BF6">
      <w:pPr>
        <w:pStyle w:val="FootnoteText"/>
      </w:pPr>
      <w:r>
        <w:rPr>
          <w:rStyle w:val="FootnoteReference"/>
        </w:rPr>
        <w:footnoteRef/>
      </w:r>
      <w:r>
        <w:t xml:space="preserve"> Differential calculus is applied to find the slope of the tangent to the total cost curve at any particular output level.</w:t>
      </w:r>
    </w:p>
  </w:footnote>
  <w:footnote w:id="77">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&lt;EndNote&gt;&lt;Cite&gt;&lt;Author&gt;Mann&lt;/Author&gt;&lt;Year&gt;1980&lt;/Year&gt;&lt;RecNum&gt;695&lt;/RecNum&gt;&lt;DisplayText&gt;Mann, Saunders and Warford, 1980: &lt;/DisplayText&gt;&lt;record&gt;&lt;rec-number&gt;695&lt;/rec-number&gt;&lt;foreign-keys&gt;&lt;key app="EN" db-id="5xwt9zxa6r5fesevwr5xzp97r95ev9wx9zpw" timestamp="1458185524"&gt;695&lt;/key&gt;&lt;key app="ENWeb" db-id=""&gt;0&lt;/key&gt;&lt;/foreign-keys&gt;&lt;ref-type name="Journal Article"&gt;17&lt;/ref-type&gt;&lt;contributors&gt;&lt;authors&gt;&lt;author&gt;Mann, Patrick C.&lt;/author&gt;&lt;author&gt;Saunders, Robert J.&lt;/author&gt;&lt;author&gt;Warford, Jeremy J.&lt;/author&gt;&lt;/authors&gt;&lt;/contributors&gt;&lt;titles&gt;&lt;title&gt;A Note on Capital Indivisibility and the Definition of Marginal Cost&lt;/title&gt;&lt;secondary-title&gt;Water Resources Research&lt;/secondary-title&gt;&lt;/titles&gt;&lt;periodical&gt;&lt;full-title&gt;Water Resources Research&lt;/full-title&gt;&lt;/periodical&gt;&lt;pages&gt;602-604&lt;/pages&gt;&lt;volume&gt;16&lt;/volume&gt;&lt;number&gt;3&lt;/number&gt;&lt;dates&gt;&lt;year&gt;1980&lt;/year&gt;&lt;/dates&gt;&lt;urls&gt;&lt;/urls&gt;&lt;/record&gt;&lt;/Cite&gt;&lt;/EndNote&gt;</w:instrText>
      </w:r>
      <w:r w:rsidR="00C04337">
        <w:fldChar w:fldCharType="separate"/>
      </w:r>
      <w:r>
        <w:rPr>
          <w:noProof/>
        </w:rPr>
        <w:t xml:space="preserve">Mann, Saunders and Warford, 1980: </w:t>
      </w:r>
      <w:r w:rsidR="00C04337">
        <w:fldChar w:fldCharType="end"/>
      </w:r>
      <w:r>
        <w:t>603.</w:t>
      </w:r>
    </w:p>
  </w:footnote>
  <w:footnote w:id="78">
    <w:p w:rsidR="00F231C9" w:rsidRDefault="00F231C9" w:rsidP="00915BF6">
      <w:pPr>
        <w:pStyle w:val="FootnoteText"/>
      </w:pPr>
      <w:r>
        <w:rPr>
          <w:rStyle w:val="FootnoteReference"/>
        </w:rPr>
        <w:footnoteRef/>
      </w:r>
      <w:r>
        <w:t xml:space="preserve"> T</w:t>
      </w:r>
      <w:r w:rsidRPr="00D9123D">
        <w:t xml:space="preserve">he capital recovery factor, </w:t>
      </w:r>
      <w:r w:rsidRPr="00D9123D">
        <w:rPr>
          <w:i/>
        </w:rPr>
        <w:t>r</w:t>
      </w:r>
      <w:r>
        <w:t xml:space="preserve">, is </w:t>
      </w:r>
      <w:r w:rsidRPr="00D9123D">
        <w:t>the annual payment that will repay a $1 loan over the useful life of the investment with interest equal to the opportunity cost of capital.</w:t>
      </w:r>
    </w:p>
  </w:footnote>
  <w:footnote w:id="79">
    <w:p w:rsidR="00F231C9" w:rsidRDefault="00F231C9" w:rsidP="00672CD3">
      <w:pPr>
        <w:pStyle w:val="FootnoteText"/>
      </w:pPr>
      <w:r>
        <w:rPr>
          <w:rStyle w:val="FootnoteReference"/>
        </w:rPr>
        <w:footnoteRef/>
      </w:r>
      <w:r>
        <w:t xml:space="preserve"> T</w:t>
      </w:r>
      <w:r w:rsidRPr="009E1B52">
        <w:t xml:space="preserve">he terminology incremental cost </w:t>
      </w:r>
      <w:r>
        <w:t xml:space="preserve">is used </w:t>
      </w:r>
      <w:r w:rsidRPr="009E1B52">
        <w:t>rather than marginal cost to reflect the lumpy investment profile</w:t>
      </w:r>
      <w:r>
        <w:t>.</w:t>
      </w:r>
    </w:p>
  </w:footnote>
  <w:footnote w:id="80">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&lt;EndNote&gt;&lt;Cite&gt;&lt;Author&gt;Turvey&lt;/Author&gt;&lt;Year&gt;1976&lt;/Year&gt;&lt;RecNum&gt;519&lt;/RecNum&gt;&lt;DisplayText&gt;Turvey, 1976: &lt;/DisplayText&gt;&lt;record&gt;&lt;rec-number&gt;519&lt;/rec-number&gt;&lt;foreign-keys&gt;&lt;key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rsidR="00C04337">
        <w:fldChar w:fldCharType="separate"/>
      </w:r>
      <w:r>
        <w:rPr>
          <w:noProof/>
        </w:rPr>
        <w:t xml:space="preserve">Turvey, 1976: </w:t>
      </w:r>
      <w:r w:rsidR="00C04337">
        <w:fldChar w:fldCharType="end"/>
      </w:r>
      <w:r>
        <w:t>159.</w:t>
      </w:r>
    </w:p>
  </w:footnote>
  <w:footnote w:id="81">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&lt;EndNote&gt;&lt;Cite&gt;&lt;Author&gt;Mann&lt;/Author&gt;&lt;Year&gt;1980&lt;/Year&gt;&lt;RecNum&gt;695&lt;/RecNum&gt;&lt;DisplayText&gt;Mann, Saunders and Warford, 1980: &lt;/DisplayText&gt;&lt;record&gt;&lt;rec-number&gt;695&lt;/rec-number&gt;&lt;foreign-keys&gt;&lt;key app="EN" db-id="5xwt9zxa6r5fesevwr5xzp97r95ev9wx9zpw" timestamp="1458185524"&gt;695&lt;/key&gt;&lt;key app="ENWeb" db-id=""&gt;0&lt;/key&gt;&lt;/foreign-keys&gt;&lt;ref-type name="Journal Article"&gt;17&lt;/ref-type&gt;&lt;contributors&gt;&lt;authors&gt;&lt;author&gt;Mann, Patrick C.&lt;/author&gt;&lt;author&gt;Saunders, Robert J.&lt;/author&gt;&lt;author&gt;Warford, Jeremy J.&lt;/author&gt;&lt;/authors&gt;&lt;/contributors&gt;&lt;titles&gt;&lt;title&gt;A Note on Capital Indivisibility and the Definition of Marginal Cost&lt;/title&gt;&lt;secondary-title&gt;Water Resources Research&lt;/secondary-title&gt;&lt;/titles&gt;&lt;periodical&gt;&lt;full-title&gt;Water Resources Research&lt;/full-title&gt;&lt;/periodical&gt;&lt;pages&gt;602-604&lt;/pages&gt;&lt;volume&gt;16&lt;/volume&gt;&lt;number&gt;3&lt;/number&gt;&lt;dates&gt;&lt;year&gt;1980&lt;/year&gt;&lt;/dates&gt;&lt;urls&gt;&lt;/urls&gt;&lt;/record&gt;&lt;/Cite&gt;&lt;/EndNote&gt;</w:instrText>
      </w:r>
      <w:r w:rsidR="00C04337">
        <w:fldChar w:fldCharType="separate"/>
      </w:r>
      <w:r>
        <w:rPr>
          <w:noProof/>
        </w:rPr>
        <w:t xml:space="preserve">Mann, Saunders and Warford, 1980: </w:t>
      </w:r>
      <w:r w:rsidR="00C04337">
        <w:fldChar w:fldCharType="end"/>
      </w:r>
      <w:r>
        <w:t>604.</w:t>
      </w:r>
    </w:p>
  </w:footnote>
  <w:footnote w:id="82">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&lt;EndNote&gt;&lt;Cite&gt;&lt;Author&gt;NERA&lt;/Author&gt;&lt;Year&gt;2011&lt;/Year&gt;&lt;RecNum&gt;705&lt;/RecNum&gt;&lt;DisplayText&gt;NERA, 2011: &lt;/DisplayText&gt;&lt;record&gt;&lt;rec-number&gt;705&lt;/rec-number&gt;&lt;foreign-keys&gt;&lt;key app="EN" db-id="5xwt9zxa6r5fesevwr5xzp97r95ev9wx9zpw" timestamp="1460000286"&gt;705&lt;/key&gt;&lt;key app="ENWeb" db-id=""&gt;0&lt;/key&gt;&lt;/foreign-keys&gt;&lt;ref-type name="AAA ICRC Water References"&gt;40&lt;/ref-type&gt;&lt;contributors&gt;&lt;authors&gt;&lt;author&gt;NERA,&lt;/author&gt;&lt;/authors&gt;&lt;/contributors&gt;&lt;titles&gt;&lt;title&gt;Estimating long-run marginal cost in the National Electricity Market: A paper for the AEMC&lt;/title&gt;&lt;/titles&gt;&lt;dates&gt;&lt;year&gt;2011&lt;/year&gt;&lt;pub-dates&gt;&lt;date&gt;19 December 2011&lt;/date&gt;&lt;/pub-dates&gt;&lt;/dates&gt;&lt;pub-location&gt;Sydney&lt;/pub-location&gt;&lt;urls&gt;&lt;/urls&gt;&lt;/record&gt;&lt;/Cite&gt;&lt;/EndNote&gt;</w:instrText>
      </w:r>
      <w:r w:rsidR="00C04337">
        <w:fldChar w:fldCharType="separate"/>
      </w:r>
      <w:r>
        <w:rPr>
          <w:noProof/>
        </w:rPr>
        <w:t xml:space="preserve">NERA, 2011: </w:t>
      </w:r>
      <w:r w:rsidR="00C04337">
        <w:fldChar w:fldCharType="end"/>
      </w:r>
      <w:r>
        <w:t>9.</w:t>
      </w:r>
    </w:p>
  </w:footnote>
  <w:footnote w:id="83">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&lt;EndNote&gt;&lt;Cite&gt;&lt;Author&gt;Marsden Jacob Associates&lt;/Author&gt;&lt;Year&gt;2004&lt;/Year&gt;&lt;RecNum&gt;543&lt;/RecNum&gt;&lt;DisplayText&gt;Marsden Jacob Associates, 2004: &lt;/DisplayText&gt;&lt;record&gt;&lt;rec-number&gt;543&lt;/rec-number&gt;&lt;foreign-keys&gt;&lt;key app="EN" db-id="5xwt9zxa6r5fesevwr5xzp97r95ev9wx9zpw" timestamp="1441337579"&gt;543&lt;/key&gt;&lt;/foreign-keys&gt;&lt;ref-type name="AAA ICRC Water References"&gt;40&lt;/ref-type&gt;&lt;contributors&gt;&lt;authors&gt;&lt;author&gt;Marsden Jacob Associates,&lt;/author&gt;&lt;/authors&gt;&lt;/contributors&gt;&lt;titles&gt;&lt;title&gt;Estimation of Long Run Marginal Cost (LRMC): A report prepared for the Queensland Competition Authority&lt;/title&gt;&lt;/titles&gt;&lt;dates&gt;&lt;year&gt;2004&lt;/year&gt;&lt;pub-dates&gt;&lt;date&gt;3 November 2004&lt;/date&gt;&lt;/pub-dates&gt;&lt;/dates&gt;&lt;pub-location&gt;Brisbane&lt;/pub-location&gt;&lt;urls&gt;&lt;/urls&gt;&lt;/record&gt;&lt;/Cite&gt;&lt;/EndNote&gt;</w:instrText>
      </w:r>
      <w:r w:rsidR="00C04337">
        <w:fldChar w:fldCharType="separate"/>
      </w:r>
      <w:r>
        <w:rPr>
          <w:noProof/>
        </w:rPr>
        <w:t xml:space="preserve">Marsden Jacob Associates, 2004: </w:t>
      </w:r>
      <w:r w:rsidR="00C04337">
        <w:fldChar w:fldCharType="end"/>
      </w:r>
      <w:r>
        <w:t>33.</w:t>
      </w:r>
    </w:p>
  </w:footnote>
  <w:footnote w:id="84">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&lt;EndNote&gt;&lt;Cite&gt;&lt;Author&gt;AEMC&lt;/Author&gt;&lt;Year&gt;2013&lt;/Year&gt;&lt;RecNum&gt;449&lt;/RecNum&gt;&lt;DisplayText&gt;AEMC, 2013: &lt;/DisplayText&gt;&lt;record&gt;&lt;rec-number&gt;449&lt;/rec-number&gt;&lt;foreign-keys&gt;&lt;key app="EN" db-id="5xwt9zxa6r5fesevwr5xzp97r95ev9wx9zpw" timestamp="1399443492"&gt;449&lt;/key&gt;&lt;/foreign-keys&gt;&lt;ref-type name="AAA ICRC Water References"&gt;40&lt;/ref-type&gt;&lt;contributors&gt;&lt;authors&gt;&lt;author&gt;AEMC,&lt;/author&gt;&lt;/authors&gt;&lt;/contributors&gt;&lt;titles&gt;&lt;title&gt;Electricity price trend final report - Possible future retail electricity price movements: 1 July 2012 to 30 June 2015&lt;/title&gt;&lt;/titles&gt;&lt;dates&gt;&lt;year&gt;2013&lt;/year&gt;&lt;pub-dates&gt;&lt;date&gt;22 March 2013&lt;/date&gt;&lt;/pub-dates&gt;&lt;/dates&gt;&lt;pub-location&gt;Sydney&lt;/pub-location&gt;&lt;publisher&gt;Australian Energy Market Commission&lt;/publisher&gt;&lt;urls&gt;&lt;/urls&gt;&lt;/record&gt;&lt;/Cite&gt;&lt;/EndNote&gt;</w:instrText>
      </w:r>
      <w:r w:rsidR="00C04337">
        <w:fldChar w:fldCharType="separate"/>
      </w:r>
      <w:r>
        <w:rPr>
          <w:noProof/>
        </w:rPr>
        <w:t xml:space="preserve">AEMC, 2013: </w:t>
      </w:r>
      <w:r w:rsidR="00C04337">
        <w:fldChar w:fldCharType="end"/>
      </w:r>
      <w:r>
        <w:t>29.</w:t>
      </w:r>
    </w:p>
  </w:footnote>
  <w:footnote w:id="85">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&lt;EndNote&gt;&lt;Cite&gt;&lt;Author&gt;Saunders&lt;/Author&gt;&lt;Year&gt;1977&lt;/Year&gt;&lt;RecNum&gt;681&lt;/RecNum&gt;&lt;DisplayText&gt;Saunders, Warford and Mann, 1977: &lt;/DisplayText&gt;&lt;record&gt;&lt;rec-number&gt;681&lt;/rec-number&gt;&lt;foreign-keys&gt;&lt;key app="EN" db-id="5xwt9zxa6r5fesevwr5xzp97r95ev9wx9zpw" timestamp="1457654329"&gt;681&lt;/key&gt;&lt;key app="ENWeb" db-id=""&gt;0&lt;/key&gt;&lt;/foreign-keys&gt;&lt;ref-type name="AAA ICRC Water References"&gt;40&lt;/ref-type&gt;&lt;contributors&gt;&lt;authors&gt;&lt;author&gt;Saunders, Robert J.&lt;/author&gt;&lt;author&gt;Warford, Jeremy J.&lt;/author&gt;&lt;author&gt;Mann, Patrick C. &lt;/author&gt;&lt;/authors&gt;&lt;/contributors&gt;&lt;titles&gt;&lt;title&gt;Alternative Concepts of Marginal Cost for Public Utility Pricing: Problems of Applicationin the Water Supply Sector&lt;/title&gt;&lt;/titles&gt;&lt;volume&gt;Staff Working Paper No. 25&lt;/volume&gt;&lt;dates&gt;&lt;year&gt;1977&lt;/year&gt;&lt;pub-dates&gt;&lt;date&gt;May 1977&lt;/date&gt;&lt;/pub-dates&gt;&lt;/dates&gt;&lt;publisher&gt;World Bank&lt;/publisher&gt;&lt;urls&gt;&lt;/urls&gt;&lt;/record&gt;&lt;/Cite&gt;&lt;/EndNote&gt;</w:instrText>
      </w:r>
      <w:r w:rsidR="00C04337">
        <w:fldChar w:fldCharType="separate"/>
      </w:r>
      <w:r>
        <w:rPr>
          <w:noProof/>
        </w:rPr>
        <w:t xml:space="preserve">Saunders, Warford and Mann, 1977: </w:t>
      </w:r>
      <w:r w:rsidR="00C04337">
        <w:fldChar w:fldCharType="end"/>
      </w:r>
      <w:r>
        <w:t>32.</w:t>
      </w:r>
    </w:p>
  </w:footnote>
  <w:footnote w:id="86">
    <w:p w:rsidR="00F231C9" w:rsidRDefault="00F231C9">
      <w:pPr>
        <w:pStyle w:val="FootnoteText"/>
      </w:pPr>
      <w:r>
        <w:rPr>
          <w:rStyle w:val="FootnoteReference"/>
        </w:rPr>
        <w:footnoteRef/>
      </w:r>
      <w:r>
        <w:t xml:space="preserve"> As the WAC is based on abstracted volume, it is adjusted in the long-run marginal cost calculation to account for network losses. This is discussed further below.</w:t>
      </w:r>
    </w:p>
  </w:footnote>
  <w:footnote w:id="87">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&lt;EndNote&gt;&lt;Cite&gt;&lt;Author&gt;Gittinger&lt;/Author&gt;&lt;Year&gt;1982&lt;/Year&gt;&lt;RecNum&gt;707&lt;/RecNum&gt;&lt;DisplayText&gt;Gittinger, 1982: &lt;/DisplayText&gt;&lt;record&gt;&lt;rec-number&gt;707&lt;/rec-number&gt;&lt;foreign-keys&gt;&lt;key app="EN" db-id="5xwt9zxa6r5fesevwr5xzp97r95ev9wx9zpw" timestamp="1460423989"&gt;707&lt;/key&gt;&lt;/foreign-keys&gt;&lt;ref-type name="Book"&gt;6&lt;/ref-type&gt;&lt;contributors&gt;&lt;authors&gt;&lt;author&gt;Gittinger, J Price&lt;/author&gt;&lt;/authors&gt;&lt;/contributors&gt;&lt;titles&gt;&lt;title&gt;Economic Analysis of Agricultural Projects&lt;/title&gt;&lt;/titles&gt;&lt;number&gt;Second edition&lt;/number&gt;&lt;dates&gt;&lt;year&gt;1982&lt;/year&gt;&lt;/dates&gt;&lt;publisher&gt;Johns Hopkins University Press&lt;/publisher&gt;&lt;urls&gt;&lt;/urls&gt;&lt;/record&gt;&lt;/Cite&gt;&lt;/EndNote&gt;</w:instrText>
      </w:r>
      <w:r w:rsidR="00C04337">
        <w:fldChar w:fldCharType="separate"/>
      </w:r>
      <w:r>
        <w:rPr>
          <w:noProof/>
        </w:rPr>
        <w:t xml:space="preserve">Gittinger, 1982: </w:t>
      </w:r>
      <w:r w:rsidR="00C04337">
        <w:fldChar w:fldCharType="end"/>
      </w:r>
      <w:r>
        <w:t>314.</w:t>
      </w:r>
    </w:p>
  </w:footnote>
  <w:footnote w:id="88">
    <w:p w:rsidR="00F231C9" w:rsidRDefault="00F231C9" w:rsidP="00915BF6">
      <w:pPr>
        <w:pStyle w:val="FootnoteText"/>
      </w:pPr>
      <w:r>
        <w:rPr>
          <w:rStyle w:val="FootnoteReference"/>
        </w:rPr>
        <w:footnoteRef/>
      </w:r>
      <w:r>
        <w:t xml:space="preserve"> This is a nominal vanilla WACC. For calculation purposes, as the cost streams are in real 2015</w:t>
      </w:r>
      <w:r>
        <w:sym w:font="Symbol" w:char="F02D"/>
      </w:r>
      <w:r>
        <w:t xml:space="preserve">16 prices, the real WACC is used. Applying the Fisher equation, the real WACC is calculated as 4.59 per cent. </w:t>
      </w:r>
    </w:p>
  </w:footnote>
  <w:footnote w:id="89">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&lt;EndNote&gt;&lt;Cite&gt;&lt;Author&gt;Industry Panel&lt;/Author&gt;&lt;Year&gt;2015&lt;/Year&gt;&lt;RecNum&gt;573&lt;/RecNum&gt;&lt;DisplayText&gt;Industry Panel, 2015: &lt;/DisplayText&gt;&lt;record&gt;&lt;rec-number&gt;573&lt;/rec-number&gt;&lt;foreign-keys&gt;&lt;key app="EN" db-id="5xwt9zxa6r5fesevwr5xzp97r95ev9wx9zpw" timestamp="1441846858"&gt;573&lt;/key&gt;&lt;/foreign-keys&gt;&lt;ref-type name="AAA ICRC Water References"&gt;40&lt;/ref-type&gt;&lt;contributors&gt;&lt;authors&gt;&lt;author&gt;Industry Panel,&lt;/author&gt;&lt;/authors&gt;&lt;/contributors&gt;&lt;titles&gt;&lt;title&gt;Final Report: Review of the Independent Competition and Regulatory Commission&amp;apos;s 2013 Price Direction for Regulated Water and Sewerage Services in the ACT&lt;/title&gt;&lt;/titles&gt;&lt;dates&gt;&lt;year&gt;2015&lt;/year&gt;&lt;pub-dates&gt;&lt;date&gt;April 2015&lt;/date&gt;&lt;/pub-dates&gt;&lt;/dates&gt;&lt;pub-location&gt;Canberra&lt;/pub-location&gt;&lt;publisher&gt;Industry Panel&lt;/publisher&gt;&lt;urls&gt;&lt;/urls&gt;&lt;/record&gt;&lt;/Cite&gt;&lt;/EndNote&gt;</w:instrText>
      </w:r>
      <w:r w:rsidR="00C04337">
        <w:fldChar w:fldCharType="separate"/>
      </w:r>
      <w:r>
        <w:rPr>
          <w:noProof/>
        </w:rPr>
        <w:t xml:space="preserve">Industry Panel, 2015: </w:t>
      </w:r>
      <w:r w:rsidR="00C04337">
        <w:fldChar w:fldCharType="end"/>
      </w:r>
      <w:r>
        <w:t>65. The substitute price direction was determined by the Industry Panel in May 2015.</w:t>
      </w:r>
    </w:p>
  </w:footnote>
  <w:footnote w:id="90">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&lt;EndNote&gt;&lt;Cite&gt;&lt;Author&gt;ICRC&lt;/Author&gt;&lt;Year&gt;2013&lt;/Year&gt;&lt;RecNum&gt;136&lt;/RecNum&gt;&lt;DisplayText&gt;ICRC, 2013a: &lt;/DisplayText&gt;&lt;record&gt;&lt;rec-number&gt;136&lt;/rec-number&gt;&lt;foreign-keys&gt;&lt;key app="EN" db-id="5xwt9zxa6r5fesevwr5xzp97r95ev9wx9zpw" timestamp="1372919553"&gt;136&lt;/key&gt;&lt;/foreign-keys&gt;&lt;ref-type name="AAA ICRC Water References"&gt;40&lt;/ref-type&gt;&lt;contributors&gt;&lt;authors&gt;&lt;author&gt;ICRC,&lt;/author&gt;&lt;/authors&gt;&lt;/contributors&gt;&lt;titles&gt;&lt;title&gt;Draft report: Regulated water and sewerage services&lt;/title&gt;&lt;/titles&gt;&lt;volume&gt;Report 1 of 2013&lt;/volume&gt;&lt;dates&gt;&lt;year&gt;2013&lt;/year&gt;&lt;pub-dates&gt;&lt;date&gt;February 2013&lt;/date&gt;&lt;/pub-dates&gt;&lt;/dates&gt;&lt;pub-location&gt;Canberra ACT&lt;/pub-location&gt;&lt;publisher&gt;Independent Competition and Regulatory Commission&lt;/publisher&gt;&lt;urls&gt;&lt;/urls&gt;&lt;/record&gt;&lt;/Cite&gt;&lt;/EndNote&gt;</w:instrText>
      </w:r>
      <w:r w:rsidR="00C04337">
        <w:fldChar w:fldCharType="separate"/>
      </w:r>
      <w:r>
        <w:rPr>
          <w:noProof/>
        </w:rPr>
        <w:t xml:space="preserve">ICRC, 2013a: </w:t>
      </w:r>
      <w:r w:rsidR="00C04337">
        <w:fldChar w:fldCharType="end"/>
      </w:r>
      <w:r>
        <w:t>133.</w:t>
      </w:r>
      <w:r w:rsidRPr="00B3115E">
        <w:t xml:space="preserve"> </w:t>
      </w:r>
      <w:r>
        <w:t>Note that the network loss figure of 14.5 per cent used by the Commission in 2013 final determination included an allowance for the bulk water service provided to Queanbeyan City Council by Icon Water.</w:t>
      </w:r>
    </w:p>
  </w:footnote>
  <w:footnote w:id="91">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&lt;EndNote&gt;&lt;Cite&gt;&lt;Author&gt;ICRC&lt;/Author&gt;&lt;Year&gt;2015&lt;/Year&gt;&lt;RecNum&gt;630&lt;/RecNum&gt;&lt;DisplayText&gt;ICRC, 2015a: &lt;/DisplayText&gt;&lt;record&gt;&lt;rec-number&gt;630&lt;/rec-number&gt;&lt;foreign-keys&gt;&lt;key app="EN" db-id="5xwt9zxa6r5fesevwr5xzp97r95ev9wx9zpw" timestamp="1445552628"&gt;630&lt;/key&gt;&lt;/foreign-keys&gt;&lt;ref-type name="AAA ICRC Water References"&gt;40&lt;/ref-type&gt;&lt;contributors&gt;&lt;authors&gt;&lt;author&gt;ICRC,&lt;/author&gt;&lt;/authors&gt;&lt;/contributors&gt;&lt;titles&gt;&lt;title&gt;Issues Paper: Tariff Review 2016 - Regulated Water and Sewerage Services&lt;/title&gt;&lt;/titles&gt;&lt;volume&gt;Report 7 of 2015&lt;/volume&gt;&lt;dates&gt;&lt;year&gt;2015&lt;/year&gt;&lt;pub-dates&gt;&lt;date&gt;November 2015&lt;/date&gt;&lt;/pub-dates&gt;&lt;/dates&gt;&lt;pub-location&gt;Canberra&lt;/pub-location&gt;&lt;publisher&gt;ICRC&lt;/publisher&gt;&lt;urls&gt;&lt;/urls&gt;&lt;/record&gt;&lt;/Cite&gt;&lt;/EndNote&gt;</w:instrText>
      </w:r>
      <w:r w:rsidR="00C04337">
        <w:fldChar w:fldCharType="separate"/>
      </w:r>
      <w:r>
        <w:rPr>
          <w:noProof/>
        </w:rPr>
        <w:t xml:space="preserve">ICRC, 2015a: </w:t>
      </w:r>
      <w:r w:rsidR="00C04337">
        <w:fldChar w:fldCharType="end"/>
      </w:r>
      <w:r>
        <w:t>73.</w:t>
      </w:r>
    </w:p>
  </w:footnote>
  <w:footnote w:id="92">
    <w:p w:rsidR="00F231C9" w:rsidRDefault="00F231C9" w:rsidP="00915BF6">
      <w:pPr>
        <w:pStyle w:val="FootnoteText"/>
      </w:pPr>
      <w:r>
        <w:rPr>
          <w:rStyle w:val="FootnoteReference"/>
        </w:rPr>
        <w:footnoteRef/>
      </w:r>
      <w:r>
        <w:t xml:space="preserve"> A formal arrangement would require the development of a capital contributions code under the </w:t>
      </w:r>
      <w:r w:rsidRPr="00292029">
        <w:rPr>
          <w:i/>
        </w:rPr>
        <w:t>Utilities Act 2000</w:t>
      </w:r>
      <w:r>
        <w:t xml:space="preserve"> (ACT).</w:t>
      </w:r>
    </w:p>
  </w:footnote>
  <w:footnote w:id="93">
    <w:p w:rsidR="00F231C9" w:rsidRDefault="00F231C9" w:rsidP="00915BF6">
      <w:pPr>
        <w:pStyle w:val="FootnoteText"/>
      </w:pPr>
      <w:r>
        <w:rPr>
          <w:rStyle w:val="FootnoteReference"/>
        </w:rPr>
        <w:footnoteRef/>
      </w:r>
      <w:r>
        <w:t xml:space="preserve"> See </w:t>
      </w:r>
      <w:r w:rsidR="00C04337">
        <w:fldChar w:fldCharType="begin"/>
      </w:r>
      <w:r>
        <w:instrText xml:space="preserve"> ADDIN EN.CITE &lt;EndNote&gt;&lt;Cite&gt;&lt;Author&gt;Marsden Jacob Associates&lt;/Author&gt;&lt;Year&gt;2004&lt;/Year&gt;&lt;RecNum&gt;543&lt;/RecNum&gt;&lt;DisplayText&gt;Marsden Jacob Associates, 2004: &lt;/DisplayText&gt;&lt;record&gt;&lt;rec-number&gt;543&lt;/rec-number&gt;&lt;foreign-keys&gt;&lt;key app="EN" db-id="5xwt9zxa6r5fesevwr5xzp97r95ev9wx9zpw" timestamp="1441337579"&gt;543&lt;/key&gt;&lt;/foreign-keys&gt;&lt;ref-type name="AAA ICRC Water References"&gt;40&lt;/ref-type&gt;&lt;contributors&gt;&lt;authors&gt;&lt;author&gt;Marsden Jacob Associates,&lt;/author&gt;&lt;/authors&gt;&lt;/contributors&gt;&lt;titles&gt;&lt;title&gt;Estimation of Long Run Marginal Cost (LRMC): A report prepared for the Queensland Competition Authority&lt;/title&gt;&lt;/titles&gt;&lt;dates&gt;&lt;year&gt;2004&lt;/year&gt;&lt;pub-dates&gt;&lt;date&gt;3 November 2004&lt;/date&gt;&lt;/pub-dates&gt;&lt;/dates&gt;&lt;pub-location&gt;Brisbane&lt;/pub-location&gt;&lt;urls&gt;&lt;/urls&gt;&lt;/record&gt;&lt;/Cite&gt;&lt;/EndNote&gt;</w:instrText>
      </w:r>
      <w:r w:rsidR="00C04337">
        <w:fldChar w:fldCharType="separate"/>
      </w:r>
      <w:r>
        <w:rPr>
          <w:noProof/>
        </w:rPr>
        <w:t xml:space="preserve">Marsden Jacob Associates, 2004: </w:t>
      </w:r>
      <w:r w:rsidR="00C04337">
        <w:fldChar w:fldCharType="end"/>
      </w:r>
      <w:r>
        <w:t>26-27 for a discussion on this issue.</w:t>
      </w:r>
    </w:p>
  </w:footnote>
  <w:footnote w:id="94">
    <w:p w:rsidR="00F231C9" w:rsidRPr="001C5E9E" w:rsidRDefault="00F231C9" w:rsidP="00915BF6">
      <w:pPr>
        <w:pStyle w:val="FootnoteText"/>
        <w:rPr>
          <w:rStyle w:val="FootnoteReference"/>
        </w:rPr>
      </w:pPr>
      <w:r>
        <w:rPr>
          <w:rStyle w:val="FootnoteReference"/>
        </w:rPr>
        <w:footnoteRef/>
      </w:r>
      <w:r>
        <w:t xml:space="preserve"> </w:t>
      </w:r>
      <w:r w:rsidR="00C04337">
        <w:fldChar w:fldCharType="begin"/>
      </w:r>
      <w:r>
        <w:instrText xml:space="preserve"> ADDIN EN.CITE &lt;EndNote&gt;&lt;Cite&gt;&lt;Author&gt;IPART&lt;/Author&gt;&lt;Year&gt;2012&lt;/Year&gt;&lt;RecNum&gt;501&lt;/RecNum&gt;&lt;DisplayText&gt;IPART, 2012: &lt;/DisplayText&gt;&lt;record&gt;&lt;rec-number&gt;501&lt;/rec-number&gt;&lt;foreign-keys&gt;&lt;key app="EN" db-id="5xwt9zxa6r5fesevwr5xzp97r95ev9wx9zpw" timestamp="1439855268"&gt;501&lt;/key&gt;&lt;/foreign-keys&gt;&lt;ref-type name="AAA ICRC Water References"&gt;40&lt;/ref-type&gt;&lt;contributors&gt;&lt;authors&gt;&lt;author&gt;IPART,&lt;/author&gt;&lt;/authors&gt;&lt;/contributors&gt;&lt;titles&gt;&lt;title&gt;Review of prices for Sydney Water Corporation&amp;apos;s water, sewerage, stormwater drainage and other services: from 1 July 2012 to 30 June 2016 - Water - Final Report&lt;/title&gt;&lt;/titles&gt;&lt;dates&gt;&lt;year&gt;2012&lt;/year&gt;&lt;pub-dates&gt;&lt;date&gt;June 2012&lt;/date&gt;&lt;/pub-dates&gt;&lt;/dates&gt;&lt;pub-location&gt;Sydney&lt;/pub-location&gt;&lt;publisher&gt;Independent Pricing and Regulatory Tribunal&lt;/publisher&gt;&lt;urls&gt;&lt;/urls&gt;&lt;/record&gt;&lt;/Cite&gt;&lt;/EndNote&gt;</w:instrText>
      </w:r>
      <w:r w:rsidR="00C04337">
        <w:fldChar w:fldCharType="separate"/>
      </w:r>
      <w:r>
        <w:rPr>
          <w:noProof/>
        </w:rPr>
        <w:t xml:space="preserve">IPART, 2012: </w:t>
      </w:r>
      <w:r w:rsidR="00C04337">
        <w:fldChar w:fldCharType="end"/>
      </w:r>
      <w:r>
        <w:t>101.</w:t>
      </w:r>
    </w:p>
  </w:footnote>
  <w:footnote w:id="95">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&lt;EndNote&gt;&lt;Cite&gt;&lt;Author&gt;IPART&lt;/Author&gt;&lt;Year&gt;2012&lt;/Year&gt;&lt;RecNum&gt;501&lt;/RecNum&gt;&lt;DisplayText&gt;Ibid.: &lt;/DisplayText&gt;&lt;record&gt;&lt;rec-number&gt;501&lt;/rec-number&gt;&lt;foreign-keys&gt;&lt;key app="EN" db-id="5xwt9zxa6r5fesevwr5xzp97r95ev9wx9zpw" timestamp="1439855268"&gt;501&lt;/key&gt;&lt;/foreign-keys&gt;&lt;ref-type name="AAA ICRC Water References"&gt;40&lt;/ref-type&gt;&lt;contributors&gt;&lt;authors&gt;&lt;author&gt;IPART,&lt;/author&gt;&lt;/authors&gt;&lt;/contributors&gt;&lt;titles&gt;&lt;title&gt;Review of prices for Sydney Water Corporation&amp;apos;s water, sewerage, stormwater drainage and other services: from 1 July 2012 to 30 June 2016 - Water - Final Report&lt;/title&gt;&lt;/titles&gt;&lt;dates&gt;&lt;year&gt;2012&lt;/year&gt;&lt;pub-dates&gt;&lt;date&gt;June 2012&lt;/date&gt;&lt;/pub-dates&gt;&lt;/dates&gt;&lt;pub-location&gt;Sydney&lt;/pub-location&gt;&lt;publisher&gt;Independent Pricing and Regulatory Tribunal&lt;/publisher&gt;&lt;urls&gt;&lt;/urls&gt;&lt;/record&gt;&lt;/Cite&gt;&lt;/EndNote&gt;</w:instrText>
      </w:r>
      <w:r w:rsidR="00C04337">
        <w:fldChar w:fldCharType="separate"/>
      </w:r>
      <w:r>
        <w:rPr>
          <w:noProof/>
        </w:rPr>
        <w:t xml:space="preserve">Ibid.: </w:t>
      </w:r>
      <w:r w:rsidR="00C04337">
        <w:fldChar w:fldCharType="end"/>
      </w:r>
      <w:r>
        <w:t>215.</w:t>
      </w:r>
    </w:p>
  </w:footnote>
  <w:footnote w:id="96">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&lt;EndNote&gt;&lt;Cite&gt;&lt;Author&gt;OTTER&lt;/Author&gt;&lt;Year&gt;2015&lt;/Year&gt;&lt;RecNum&gt;503&lt;/RecNum&gt;&lt;DisplayText&gt;OTTER, 2015: &lt;/DisplayText&gt;&lt;record&gt;&lt;rec-number&gt;503&lt;/rec-number&gt;&lt;foreign-keys&gt;&lt;key app="EN" db-id="5xwt9zxa6r5fesevwr5xzp97r95ev9wx9zpw" timestamp="1439855798"&gt;503&lt;/key&gt;&lt;/foreign-keys&gt;&lt;ref-type name="AAA ICRC Water References"&gt;40&lt;/ref-type&gt;&lt;contributors&gt;&lt;authors&gt;&lt;author&gt;OTTER,&lt;/author&gt;&lt;/authors&gt;&lt;/contributors&gt;&lt;titles&gt;&lt;title&gt;2015 Price Determination Investigation - Regulated water and sewerage services in Tasmania: Final report &lt;/title&gt;&lt;/titles&gt;&lt;dates&gt;&lt;year&gt;2015&lt;/year&gt;&lt;pub-dates&gt;&lt;date&gt;April 2015&lt;/date&gt;&lt;/pub-dates&gt;&lt;/dates&gt;&lt;pub-location&gt;Hobart&lt;/pub-location&gt;&lt;publisher&gt;Office of the Tasmanian Economic Regulator&lt;/publisher&gt;&lt;urls&gt;&lt;/urls&gt;&lt;/record&gt;&lt;/Cite&gt;&lt;/EndNote&gt;</w:instrText>
      </w:r>
      <w:r w:rsidR="00C04337">
        <w:fldChar w:fldCharType="separate"/>
      </w:r>
      <w:r>
        <w:rPr>
          <w:noProof/>
        </w:rPr>
        <w:t xml:space="preserve">OTTER, 2015: </w:t>
      </w:r>
      <w:r w:rsidR="00C04337">
        <w:fldChar w:fldCharType="end"/>
      </w:r>
      <w:r>
        <w:t>78.</w:t>
      </w:r>
    </w:p>
  </w:footnote>
  <w:footnote w:id="97">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&lt;EndNote&gt;&lt;Cite&gt;&lt;Author&gt;ERA&lt;/Author&gt;&lt;Year&gt;2013&lt;/Year&gt;&lt;RecNum&gt;490&lt;/RecNum&gt;&lt;DisplayText&gt;ERA, 2013: &lt;/DisplayText&gt;&lt;record&gt;&lt;rec-number&gt;490&lt;/rec-number&gt;&lt;foreign-keys&gt;&lt;key app="EN" db-id="5xwt9zxa6r5fesevwr5xzp97r95ev9wx9zpw" timestamp="1439851743"&gt;490&lt;/key&gt;&lt;/foreign-keys&gt;&lt;ref-type name="AAA ICRC Water References"&gt;40&lt;/ref-type&gt;&lt;contributors&gt;&lt;authors&gt;&lt;author&gt;ERA,&lt;/author&gt;&lt;/authors&gt;&lt;/contributors&gt;&lt;titles&gt;&lt;title&gt;Inquiry into the Efficient Costs and Tariffs of the Water Corporation, Aqwest and the Busselton Water Board: Revised Final Report&lt;/title&gt;&lt;/titles&gt;&lt;dates&gt;&lt;year&gt;2013&lt;/year&gt;&lt;pub-dates&gt;&lt;date&gt;28 March 2013&lt;/date&gt;&lt;/pub-dates&gt;&lt;/dates&gt;&lt;pub-location&gt;Perth&lt;/pub-location&gt;&lt;publisher&gt;Economic Regulation Authority&lt;/publisher&gt;&lt;urls&gt;&lt;/urls&gt;&lt;/record&gt;&lt;/Cite&gt;&lt;/EndNote&gt;</w:instrText>
      </w:r>
      <w:r w:rsidR="00C04337">
        <w:fldChar w:fldCharType="separate"/>
      </w:r>
      <w:r>
        <w:rPr>
          <w:noProof/>
        </w:rPr>
        <w:t xml:space="preserve">ERA, 2013: </w:t>
      </w:r>
      <w:r w:rsidR="00C04337">
        <w:fldChar w:fldCharType="end"/>
      </w:r>
      <w:r>
        <w:t xml:space="preserve">24 </w:t>
      </w:r>
    </w:p>
  </w:footnote>
  <w:footnote w:id="98">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&lt;EndNote&gt;&lt;Cite&gt;&lt;Author&gt;ESCOSA&lt;/Author&gt;&lt;Year&gt;2010&lt;/Year&gt;&lt;RecNum&gt;710&lt;/RecNum&gt;&lt;DisplayText&gt;ESCOSA, 2010: &lt;/DisplayText&gt;&lt;record&gt;&lt;rec-number&gt;710&lt;/rec-number&gt;&lt;foreign-keys&gt;&lt;key app="EN" db-id="5xwt9zxa6r5fesevwr5xzp97r95ev9wx9zpw" timestamp="1460512882"&gt;710&lt;/key&gt;&lt;key app="ENWeb" db-id=""&gt;0&lt;/key&gt;&lt;/foreign-keys&gt;&lt;ref-type name="AAA ICRC Water References"&gt;40&lt;/ref-type&gt;&lt;contributors&gt;&lt;authors&gt;&lt;author&gt;ESCOSA,&lt;/author&gt;&lt;/authors&gt;&lt;/contributors&gt;&lt;titles&gt;&lt;title&gt;Inquiry into the 2010-11 metropolitan and regional potable water and sewerage pricing process: Final report&lt;/title&gt;&lt;/titles&gt;&lt;dates&gt;&lt;year&gt;2010&lt;/year&gt;&lt;pub-dates&gt;&lt;date&gt;October 2010&lt;/date&gt;&lt;/pub-dates&gt;&lt;/dates&gt;&lt;pub-location&gt;Adelaide&lt;/pub-location&gt;&lt;urls&gt;&lt;/urls&gt;&lt;/record&gt;&lt;/Cite&gt;&lt;/EndNote&gt;</w:instrText>
      </w:r>
      <w:r w:rsidR="00C04337">
        <w:fldChar w:fldCharType="separate"/>
      </w:r>
      <w:r>
        <w:rPr>
          <w:noProof/>
        </w:rPr>
        <w:t xml:space="preserve">ESCOSA, 2010: </w:t>
      </w:r>
      <w:r w:rsidR="00C04337">
        <w:fldChar w:fldCharType="end"/>
      </w:r>
      <w:r>
        <w:t>54.</w:t>
      </w:r>
    </w:p>
  </w:footnote>
  <w:footnote w:id="99">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&lt;EndNote&gt;&lt;Cite&gt;&lt;Author&gt;ESCOSA&lt;/Author&gt;&lt;Year&gt;2010&lt;/Year&gt;&lt;RecNum&gt;710&lt;/RecNum&gt;&lt;DisplayText&gt;Ibid.: &lt;/DisplayText&gt;&lt;record&gt;&lt;rec-number&gt;710&lt;/rec-number&gt;&lt;foreign-keys&gt;&lt;key app="EN" db-id="5xwt9zxa6r5fesevwr5xzp97r95ev9wx9zpw" timestamp="1460512882"&gt;710&lt;/key&gt;&lt;key app="ENWeb" db-id=""&gt;0&lt;/key&gt;&lt;/foreign-keys&gt;&lt;ref-type name="AAA ICRC Water References"&gt;40&lt;/ref-type&gt;&lt;contributors&gt;&lt;authors&gt;&lt;author&gt;ESCOSA,&lt;/author&gt;&lt;/authors&gt;&lt;/contributors&gt;&lt;titles&gt;&lt;title&gt;Inquiry into the 2010-11 metropolitan and regional potable water and sewerage pricing process: Final report&lt;/title&gt;&lt;/titles&gt;&lt;dates&gt;&lt;year&gt;2010&lt;/year&gt;&lt;pub-dates&gt;&lt;date&gt;October 2010&lt;/date&gt;&lt;/pub-dates&gt;&lt;/dates&gt;&lt;pub-location&gt;Adelaide&lt;/pub-location&gt;&lt;urls&gt;&lt;/urls&gt;&lt;/record&gt;&lt;/Cite&gt;&lt;/EndNote&gt;</w:instrText>
      </w:r>
      <w:r w:rsidR="00C04337">
        <w:fldChar w:fldCharType="separate"/>
      </w:r>
      <w:r>
        <w:rPr>
          <w:noProof/>
        </w:rPr>
        <w:t xml:space="preserve">Ibid.: </w:t>
      </w:r>
      <w:r w:rsidR="00C04337">
        <w:fldChar w:fldCharType="end"/>
      </w:r>
      <w:r>
        <w:t>57-8.</w:t>
      </w:r>
    </w:p>
  </w:footnote>
  <w:footnote w:id="100">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&lt;EndNote&gt;&lt;Cite&gt;&lt;Author&gt;QCA&lt;/Author&gt;&lt;Year&gt;2000&lt;/Year&gt;&lt;RecNum&gt;227&lt;/RecNum&gt;&lt;DisplayText&gt;QCA, 2000: &lt;/DisplayText&gt;&lt;record&gt;&lt;rec-number&gt;227&lt;/rec-number&gt;&lt;foreign-keys&gt;&lt;key app="EN" db-id="5xwt9zxa6r5fesevwr5xzp97r95ev9wx9zpw" timestamp="1375753637"&gt;227&lt;/key&gt;&lt;/foreign-keys&gt;&lt;ref-type name="AAA ICRC Water References"&gt;40&lt;/ref-type&gt;&lt;contributors&gt;&lt;authors&gt;&lt;author&gt;QCA,&lt;/author&gt;&lt;/authors&gt;&lt;/contributors&gt;&lt;titles&gt;&lt;title&gt;Statement of Regulatory Pricing Principles for the Water Sector&lt;/title&gt;&lt;/titles&gt;&lt;dates&gt;&lt;year&gt;2000&lt;/year&gt;&lt;pub-dates&gt;&lt;date&gt;December 2000&lt;/date&gt;&lt;/pub-dates&gt;&lt;/dates&gt;&lt;pub-location&gt;Brisbane&lt;/pub-location&gt;&lt;publisher&gt;Queensland Competition Authority&lt;/publisher&gt;&lt;urls&gt;&lt;/urls&gt;&lt;/record&gt;&lt;/Cite&gt;&lt;/EndNote&gt;</w:instrText>
      </w:r>
      <w:r w:rsidR="00C04337">
        <w:fldChar w:fldCharType="separate"/>
      </w:r>
      <w:r>
        <w:rPr>
          <w:noProof/>
        </w:rPr>
        <w:t xml:space="preserve">QCA, 2000: </w:t>
      </w:r>
      <w:r w:rsidR="00C04337">
        <w:fldChar w:fldCharType="end"/>
      </w:r>
      <w:r>
        <w:t>6.</w:t>
      </w:r>
    </w:p>
  </w:footnote>
  <w:footnote w:id="101">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&lt;EndNote&gt;&lt;Cite&gt;&lt;Author&gt;ESC&lt;/Author&gt;&lt;Year&gt;2011&lt;/Year&gt;&lt;RecNum&gt;519&lt;/RecNum&gt;&lt;DisplayText&gt;ESC, 2011: &lt;/DisplayText&gt;&lt;record&gt;&lt;rec-number&gt;519&lt;/rec-number&gt;&lt;foreign-keys&gt;&lt;key app="EN" db-id="v0xfx5d9ss0wzred9wbpa5e4zwfrepsaw0v9"&gt;519&lt;/key&gt;&lt;/foreign-keys&gt;&lt;ref-type name="Unused 1"&gt;40&lt;/ref-type&gt;&lt;contributors&gt;&lt;authors&gt;&lt;author&gt;ESC,&lt;/author&gt;&lt;/authors&gt;&lt;/contributors&gt;&lt;titles&gt;&lt;title&gt;2013 Water Price Review: Tariff issues paper&lt;/title&gt;&lt;/titles&gt;&lt;dates&gt;&lt;year&gt;2011&lt;/year&gt;&lt;pub-dates&gt;&lt;date&gt;July 2011&lt;/date&gt;&lt;/pub-dates&gt;&lt;/dates&gt;&lt;pub-location&gt;Melbourne&lt;/pub-location&gt;&lt;publisher&gt;Essential Services Commission&lt;/publisher&gt;&lt;urls&gt;&lt;/urls&gt;&lt;/record&gt;&lt;/Cite&gt;&lt;/EndNote&gt;</w:instrText>
      </w:r>
      <w:r w:rsidR="00C04337">
        <w:fldChar w:fldCharType="separate"/>
      </w:r>
      <w:r>
        <w:rPr>
          <w:noProof/>
        </w:rPr>
        <w:t xml:space="preserve">ESC, 2011: </w:t>
      </w:r>
      <w:r w:rsidR="00C04337">
        <w:fldChar w:fldCharType="end"/>
      </w:r>
      <w:r>
        <w:t xml:space="preserve">12 </w:t>
      </w:r>
    </w:p>
  </w:footnote>
  <w:footnote w:id="102">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&lt;EndNote&gt;&lt;Cite&gt;&lt;Author&gt;ESC&lt;/Author&gt;&lt;Year&gt;2015&lt;/Year&gt;&lt;RecNum&gt;591&lt;/RecNum&gt;&lt;DisplayText&gt;ESC, 2015: &lt;/DisplayText&gt;&lt;record&gt;&lt;rec-number&gt;591&lt;/rec-number&gt;&lt;foreign-keys&gt;&lt;key app="EN" db-id="5xwt9zxa6r5fesevwr5xzp97r95ev9wx9zpw" timestamp="1442982368"&gt;591&lt;/key&gt;&lt;/foreign-keys&gt;&lt;ref-type name="AAA ICRC Water References"&gt;40&lt;/ref-type&gt;&lt;contributors&gt;&lt;authors&gt;&lt;author&gt;ESC,&lt;/author&gt;&lt;/authors&gt;&lt;/contributors&gt;&lt;titles&gt;&lt;title&gt;Melbourne Water 2016 Price Review: Guidance paper&lt;/title&gt;&lt;/titles&gt;&lt;dates&gt;&lt;year&gt;2015&lt;/year&gt;&lt;pub-dates&gt;&lt;date&gt;April 2015&lt;/date&gt;&lt;/pub-dates&gt;&lt;/dates&gt;&lt;pub-location&gt;Melbourne&lt;/pub-location&gt;&lt;publisher&gt;Essential Services Commission&lt;/publisher&gt;&lt;urls&gt;&lt;/urls&gt;&lt;/record&gt;&lt;/Cite&gt;&lt;/EndNote&gt;</w:instrText>
      </w:r>
      <w:r w:rsidR="00C04337">
        <w:fldChar w:fldCharType="separate"/>
      </w:r>
      <w:r>
        <w:rPr>
          <w:noProof/>
        </w:rPr>
        <w:t xml:space="preserve">ESC, 2015: </w:t>
      </w:r>
      <w:r w:rsidR="00C04337">
        <w:fldChar w:fldCharType="end"/>
      </w:r>
      <w:r>
        <w:t xml:space="preserve">34. </w:t>
      </w:r>
    </w:p>
  </w:footnote>
  <w:footnote w:id="103">
    <w:p w:rsidR="00F231C9" w:rsidRDefault="00F231C9">
      <w:pPr>
        <w:pStyle w:val="FootnoteText"/>
      </w:pPr>
      <w:r>
        <w:rPr>
          <w:rStyle w:val="FootnoteReference"/>
        </w:rPr>
        <w:footnoteRef/>
      </w:r>
      <w:r>
        <w:t xml:space="preserve"> Previously called the Canadian Water and Wastewater Authority. </w:t>
      </w:r>
    </w:p>
  </w:footnote>
  <w:footnote w:id="104">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&lt;EndNote&gt;&lt;Cite&gt;&lt;Author&gt;NERA&lt;/Author&gt;&lt;Year&gt;2014&lt;/Year&gt;&lt;RecNum&gt;585&lt;/RecNum&gt;&lt;DisplayText&gt;NERA, 2014a: &lt;/DisplayText&gt;&lt;record&gt;&lt;rec-number&gt;585&lt;/rec-number&gt;&lt;foreign-keys&gt;&lt;key app="EN" db-id="5xwt9zxa6r5fesevwr5xzp97r95ev9wx9zpw" timestamp="1442545490"&gt;585&lt;/key&gt;&lt;/foreign-keys&gt;&lt;ref-type name="AAA ICRC Water References"&gt;40&lt;/ref-type&gt;&lt;contributors&gt;&lt;authors&gt;&lt;author&gt;NERA,&lt;/author&gt;&lt;/authors&gt;&lt;/contributors&gt;&lt;titles&gt;&lt;title&gt;Economic Concepts for Pricing Electricity Network Services: A Report for the Australian Energy Market Commission&lt;/title&gt;&lt;/titles&gt;&lt;dates&gt;&lt;year&gt;2014&lt;/year&gt;&lt;pub-dates&gt;&lt;date&gt;21 July 2014&lt;/date&gt;&lt;/pub-dates&gt;&lt;/dates&gt;&lt;pub-location&gt;Melbourne&lt;/pub-location&gt;&lt;publisher&gt;NERA Economic Consulting&lt;/publisher&gt;&lt;urls&gt;&lt;/urls&gt;&lt;/record&gt;&lt;/Cite&gt;&lt;/EndNote&gt;</w:instrText>
      </w:r>
      <w:r w:rsidR="00C04337">
        <w:fldChar w:fldCharType="separate"/>
      </w:r>
      <w:r>
        <w:rPr>
          <w:noProof/>
        </w:rPr>
        <w:t xml:space="preserve">NERA, 2014a: </w:t>
      </w:r>
      <w:r w:rsidR="00C04337">
        <w:fldChar w:fldCharType="end"/>
      </w:r>
      <w:r>
        <w:t>8.</w:t>
      </w:r>
    </w:p>
  </w:footnote>
  <w:footnote w:id="105">
    <w:p w:rsidR="00F231C9" w:rsidRDefault="00F231C9">
      <w:pPr>
        <w:pStyle w:val="FootnoteText"/>
      </w:pPr>
      <w:r>
        <w:rPr>
          <w:rStyle w:val="FootnoteReference"/>
        </w:rPr>
        <w:footnoteRef/>
      </w:r>
      <w:r>
        <w:t xml:space="preserve"> See </w:t>
      </w:r>
      <w:r w:rsidRPr="00966F76">
        <w:t>http://www.cwwa.ca/publicationorder_e.asp#ratemanual</w:t>
      </w:r>
      <w:r>
        <w:t>.</w:t>
      </w:r>
    </w:p>
  </w:footnote>
  <w:footnote w:id="106">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&lt;EndNote&gt;&lt;Cite&gt;&lt;Author&gt;Marsden Jacob Associates&lt;/Author&gt;&lt;Year&gt;2004&lt;/Year&gt;&lt;RecNum&gt;543&lt;/RecNum&gt;&lt;DisplayText&gt;Marsden Jacob Associates, 2004: &lt;/DisplayText&gt;&lt;record&gt;&lt;rec-number&gt;543&lt;/rec-number&gt;&lt;foreign-keys&gt;&lt;key app="EN" db-id="5xwt9zxa6r5fesevwr5xzp97r95ev9wx9zpw" timestamp="1441337579"&gt;543&lt;/key&gt;&lt;/foreign-keys&gt;&lt;ref-type name="AAA ICRC Water References"&gt;40&lt;/ref-type&gt;&lt;contributors&gt;&lt;authors&gt;&lt;author&gt;Marsden Jacob Associates,&lt;/author&gt;&lt;/authors&gt;&lt;/contributors&gt;&lt;titles&gt;&lt;title&gt;Estimation of Long Run Marginal Cost (LRMC): A report prepared for the Queensland Competition Authority&lt;/title&gt;&lt;/titles&gt;&lt;dates&gt;&lt;year&gt;2004&lt;/year&gt;&lt;pub-dates&gt;&lt;date&gt;3 November 2004&lt;/date&gt;&lt;/pub-dates&gt;&lt;/dates&gt;&lt;pub-location&gt;Brisbane&lt;/pub-location&gt;&lt;urls&gt;&lt;/urls&gt;&lt;/record&gt;&lt;/Cite&gt;&lt;/EndNote&gt;</w:instrText>
      </w:r>
      <w:r w:rsidR="00C04337">
        <w:fldChar w:fldCharType="separate"/>
      </w:r>
      <w:r>
        <w:rPr>
          <w:noProof/>
        </w:rPr>
        <w:t xml:space="preserve">Marsden Jacob Associates, 2004: </w:t>
      </w:r>
      <w:r w:rsidR="00C04337">
        <w:fldChar w:fldCharType="end"/>
      </w:r>
      <w:r>
        <w:t>22.</w:t>
      </w:r>
    </w:p>
  </w:footnote>
  <w:footnote w:id="107">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&lt;EndNote&gt;&lt;Cite&gt;&lt;Author&gt;IPART&lt;/Author&gt;&lt;Year&gt;2013&lt;/Year&gt;&lt;RecNum&gt;497&lt;/RecNum&gt;&lt;DisplayText&gt;IPART, 2013: &lt;/DisplayText&gt;&lt;record&gt;&lt;rec-number&gt;497&lt;/rec-number&gt;&lt;foreign-keys&gt;&lt;key app="EN" db-id="5xwt9zxa6r5fesevwr5xzp97r95ev9wx9zpw" timestamp="1439853002"&gt;497&lt;/key&gt;&lt;/foreign-keys&gt;&lt;ref-type name="AAA ICRC Water References"&gt;40&lt;/ref-type&gt;&lt;contributors&gt;&lt;authors&gt;&lt;author&gt;IPART,&lt;/author&gt;&lt;/authors&gt;&lt;/contributors&gt;&lt;titles&gt;&lt;title&gt;Hunter Water Corporation&amp;apos;s water, sewerage, stormwater drainage and other services: Review of prices from 1 July 2013 to 30 June 2017 - Water Final Report&lt;/title&gt;&lt;/titles&gt;&lt;dates&gt;&lt;year&gt;2013&lt;/year&gt;&lt;pub-dates&gt;&lt;date&gt;June 2013&lt;/date&gt;&lt;/pub-dates&gt;&lt;/dates&gt;&lt;pub-location&gt;Sydney&lt;/pub-location&gt;&lt;publisher&gt;Independent Pricing and Regulatory Tribunal&lt;/publisher&gt;&lt;urls&gt;&lt;/urls&gt;&lt;/record&gt;&lt;/Cite&gt;&lt;/EndNote&gt;</w:instrText>
      </w:r>
      <w:r w:rsidR="00C04337">
        <w:fldChar w:fldCharType="separate"/>
      </w:r>
      <w:r>
        <w:rPr>
          <w:noProof/>
        </w:rPr>
        <w:t xml:space="preserve">IPART, 2013: </w:t>
      </w:r>
      <w:r w:rsidR="00C04337">
        <w:fldChar w:fldCharType="end"/>
      </w:r>
      <w:r>
        <w:t>118.</w:t>
      </w:r>
      <w:r w:rsidDel="00AF3AB8">
        <w:t xml:space="preserve"> </w:t>
      </w:r>
    </w:p>
  </w:footnote>
  <w:footnote w:id="108">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&lt;EndNote&gt;&lt;Cite&gt;&lt;Author&gt;IPART&lt;/Author&gt;&lt;Year&gt;2012&lt;/Year&gt;&lt;RecNum&gt;501&lt;/RecNum&gt;&lt;DisplayText&gt;IPART, 2012: &lt;/DisplayText&gt;&lt;record&gt;&lt;rec-number&gt;501&lt;/rec-number&gt;&lt;foreign-keys&gt;&lt;key app="EN" db-id="5xwt9zxa6r5fesevwr5xzp97r95ev9wx9zpw" timestamp="1439855268"&gt;501&lt;/key&gt;&lt;/foreign-keys&gt;&lt;ref-type name="AAA ICRC Water References"&gt;40&lt;/ref-type&gt;&lt;contributors&gt;&lt;authors&gt;&lt;author&gt;IPART,&lt;/author&gt;&lt;/authors&gt;&lt;/contributors&gt;&lt;titles&gt;&lt;title&gt;Review of prices for Sydney Water Corporation&amp;apos;s water, sewerage, stormwater drainage and other services: from 1 July 2012 to 30 June 2016 - Water - Final Report&lt;/title&gt;&lt;/titles&gt;&lt;dates&gt;&lt;year&gt;2012&lt;/year&gt;&lt;pub-dates&gt;&lt;date&gt;June 2012&lt;/date&gt;&lt;/pub-dates&gt;&lt;/dates&gt;&lt;pub-location&gt;Sydney&lt;/pub-location&gt;&lt;publisher&gt;Independent Pricing and Regulatory Tribunal&lt;/publisher&gt;&lt;urls&gt;&lt;/urls&gt;&lt;/record&gt;&lt;/Cite&gt;&lt;/EndNote&gt;</w:instrText>
      </w:r>
      <w:r w:rsidR="00C04337">
        <w:fldChar w:fldCharType="separate"/>
      </w:r>
      <w:r>
        <w:rPr>
          <w:noProof/>
        </w:rPr>
        <w:t xml:space="preserve">IPART, 2012: </w:t>
      </w:r>
      <w:r w:rsidR="00C04337">
        <w:fldChar w:fldCharType="end"/>
      </w:r>
      <w:r>
        <w:t>103.</w:t>
      </w:r>
    </w:p>
  </w:footnote>
  <w:footnote w:id="109">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&lt;EndNote&gt;&lt;Cite&gt;&lt;Author&gt;ESC&lt;/Author&gt;&lt;Year&gt;2013&lt;/Year&gt;&lt;RecNum&gt;492&lt;/RecNum&gt;&lt;DisplayText&gt;ESC, 2013a: &lt;/DisplayText&gt;&lt;record&gt;&lt;rec-number&gt;492&lt;/rec-number&gt;&lt;foreign-keys&gt;&lt;key app="EN" db-id="5xwt9zxa6r5fesevwr5xzp97r95ev9wx9zpw" timestamp="1439852289"&gt;492&lt;/key&gt;&lt;/foreign-keys&gt;&lt;ref-type name="AAA ICRC Water References"&gt;40&lt;/ref-type&gt;&lt;contributors&gt;&lt;authors&gt;&lt;author&gt;ESC,&lt;/author&gt;&lt;/authors&gt;&lt;/contributors&gt;&lt;titles&gt;&lt;title&gt;Price Review 2013: Greater Metropolitan Water Businesses: Draft decision - Volume 1&lt;/title&gt;&lt;/titles&gt;&lt;dates&gt;&lt;year&gt;2013&lt;/year&gt;&lt;pub-dates&gt;&lt;date&gt;April 2013&lt;/date&gt;&lt;/pub-dates&gt;&lt;/dates&gt;&lt;pub-location&gt;Melbourne&lt;/pub-location&gt;&lt;publisher&gt;Essential Services Commission&lt;/publisher&gt;&lt;urls&gt;&lt;/urls&gt;&lt;/record&gt;&lt;/Cite&gt;&lt;/EndNote&gt;</w:instrText>
      </w:r>
      <w:r w:rsidR="00C04337">
        <w:fldChar w:fldCharType="separate"/>
      </w:r>
      <w:r>
        <w:rPr>
          <w:noProof/>
        </w:rPr>
        <w:t xml:space="preserve">ESC, 2013a: </w:t>
      </w:r>
      <w:r w:rsidR="00C04337">
        <w:fldChar w:fldCharType="end"/>
      </w:r>
      <w:r>
        <w:t>177.</w:t>
      </w:r>
    </w:p>
  </w:footnote>
  <w:footnote w:id="110">
    <w:p w:rsidR="00F231C9" w:rsidRDefault="00F231C9" w:rsidP="00915BF6">
      <w:pPr>
        <w:pStyle w:val="FootnoteText"/>
      </w:pPr>
      <w:r>
        <w:rPr>
          <w:rStyle w:val="FootnoteReference"/>
        </w:rPr>
        <w:footnoteRef/>
      </w:r>
      <w:r>
        <w:t xml:space="preserve"> </w:t>
      </w:r>
      <w:r w:rsidR="00C04337">
        <w:fldChar w:fldCharType="begin"/>
      </w:r>
      <w:r>
        <w:instrText xml:space="preserve"> ADDIN EN.CITE &lt;EndNote&gt;&lt;Cite&gt;&lt;Author&gt;ESC&lt;/Author&gt;&lt;Year&gt;2013&lt;/Year&gt;&lt;RecNum&gt;709&lt;/RecNum&gt;&lt;DisplayText&gt;ESC, 2013b: &lt;/DisplayText&gt;&lt;record&gt;&lt;rec-number&gt;709&lt;/rec-number&gt;&lt;foreign-keys&gt;&lt;key app="EN" db-id="5xwt9zxa6r5fesevwr5xzp97r95ev9wx9zpw" timestamp="1460510068"&gt;709&lt;/key&gt;&lt;/foreign-keys&gt;&lt;ref-type name="AAA ICRC Water References"&gt;40&lt;/ref-type&gt;&lt;contributors&gt;&lt;authors&gt;&lt;author&gt;ESC,&lt;/author&gt;&lt;/authors&gt;&lt;/contributors&gt;&lt;titles&gt;&lt;title&gt;Price Review 2013: Greater Metropolitan Water Businesses: Final decision&lt;/title&gt;&lt;/titles&gt;&lt;dates&gt;&lt;year&gt;2013&lt;/year&gt;&lt;pub-dates&gt;&lt;date&gt;June 2013&lt;/date&gt;&lt;/pub-dates&gt;&lt;/dates&gt;&lt;pub-location&gt;Melbourne&lt;/pub-location&gt;&lt;publisher&gt;Essential Services Commission&lt;/publisher&gt;&lt;urls&gt;&lt;/urls&gt;&lt;/record&gt;&lt;/Cite&gt;&lt;/EndNote&gt;</w:instrText>
      </w:r>
      <w:r w:rsidR="00C04337">
        <w:fldChar w:fldCharType="separate"/>
      </w:r>
      <w:r>
        <w:rPr>
          <w:noProof/>
        </w:rPr>
        <w:t xml:space="preserve">ESC, 2013b: </w:t>
      </w:r>
      <w:r w:rsidR="00C04337">
        <w:fldChar w:fldCharType="end"/>
      </w:r>
      <w:r>
        <w:t>134.</w:t>
      </w:r>
    </w:p>
  </w:footnote>
  <w:footnote w:id="111">
    <w:p w:rsidR="00F231C9" w:rsidRDefault="00F231C9" w:rsidP="0073093F">
      <w:pPr>
        <w:pStyle w:val="FootnoteText"/>
      </w:pPr>
      <w:r>
        <w:rPr>
          <w:rStyle w:val="FootnoteReference"/>
        </w:rPr>
        <w:footnoteRef/>
      </w:r>
      <w:r>
        <w:t xml:space="preserve"> For more detail see: </w:t>
      </w:r>
      <w:r w:rsidRPr="00895A5B">
        <w:t>https://www.iconwater.com.au/Water-and-Sewerage-System.aspx</w:t>
      </w:r>
      <w:r>
        <w:t>.</w:t>
      </w:r>
    </w:p>
  </w:footnote>
  <w:footnote w:id="112">
    <w:p w:rsidR="00F231C9" w:rsidRDefault="00F231C9" w:rsidP="00AB6A0C">
      <w:pPr>
        <w:pStyle w:val="FootnoteText"/>
      </w:pPr>
      <w:r>
        <w:rPr>
          <w:rStyle w:val="FootnoteReference"/>
        </w:rPr>
        <w:footnoteRef/>
      </w:r>
      <w:r>
        <w:t xml:space="preserve"> An additional water resource marginal cost element has not been included in the marginal cost estimate in this paper for two reasons. The first is that the WAC already includes a scarcity charge, although undefined in magnitude. The second reason is that the likelihood of temporary water restrictions in the near or indeed medium-term is relatively low.</w:t>
      </w:r>
    </w:p>
  </w:footnote>
  <w:footnote w:id="113">
    <w:p w:rsidR="00F231C9" w:rsidRDefault="00F231C9" w:rsidP="00AB6A0C">
      <w:pPr>
        <w:pStyle w:val="FootnoteText"/>
      </w:pPr>
      <w:r>
        <w:rPr>
          <w:rStyle w:val="FootnoteReference"/>
        </w:rPr>
        <w:footnoteRef/>
      </w:r>
      <w:r>
        <w:t xml:space="preserve"> The costs are presented per kL of water abstracted.  </w:t>
      </w:r>
    </w:p>
  </w:footnote>
  <w:footnote w:id="114">
    <w:p w:rsidR="00F231C9" w:rsidRDefault="00F231C9" w:rsidP="00AB6A0C">
      <w:pPr>
        <w:pStyle w:val="FootnoteText"/>
      </w:pPr>
      <w:r>
        <w:rPr>
          <w:rStyle w:val="FootnoteReference"/>
        </w:rPr>
        <w:footnoteRef/>
      </w:r>
      <w:r>
        <w:t xml:space="preserve"> This  estimate has been adjusted to account for network losses through leakage and the like of about 8.1 per cent.</w:t>
      </w:r>
    </w:p>
  </w:footnote>
  <w:footnote w:id="115">
    <w:p w:rsidR="00F231C9" w:rsidRDefault="00F231C9">
      <w:pPr>
        <w:pStyle w:val="FootnoteText"/>
      </w:pPr>
      <w:r>
        <w:rPr>
          <w:rStyle w:val="FootnoteReference"/>
        </w:rPr>
        <w:footnoteRef/>
      </w:r>
      <w:r>
        <w:t xml:space="preserve"> The most recent articulation of the water security objective is in the 2014 ACT Water Strategy document which states ‘Using best available modelling and assumptions, the current water supply system should meet unrestricted demand for the ACT and Queanbeyan 95% of the time until at least 2030’(</w:t>
      </w:r>
      <w:r w:rsidR="00C04337">
        <w:fldChar w:fldCharType="begin"/>
      </w:r>
      <w:r>
        <w:instrText xml:space="preserve"> ADDIN EN.CITE &lt;EndNote&gt;&lt;Cite&gt;&lt;Author&gt;ACT Government&lt;/Author&gt;&lt;Year&gt;2014&lt;/Year&gt;&lt;RecNum&gt;711&lt;/RecNum&gt;&lt;DisplayText&gt;ACT Government, 2014b: &lt;/DisplayText&gt;&lt;record&gt;&lt;rec-number&gt;711&lt;/rec-number&gt;&lt;foreign-keys&gt;&lt;key app="EN" db-id="5xwt9zxa6r5fesevwr5xzp97r95ev9wx9zpw" timestamp="1460524795"&gt;711&lt;/key&gt;&lt;/foreign-keys&gt;&lt;ref-type name="AAA ICRC Water References"&gt;40&lt;/ref-type&gt;&lt;contributors&gt;&lt;authors&gt;&lt;author&gt;ACT Government,&lt;/author&gt;&lt;/authors&gt;&lt;/contributors&gt;&lt;titles&gt;&lt;title&gt;ACT Water Strategy 2014-44: Striking the Balance&lt;/title&gt;&lt;/titles&gt;&lt;dates&gt;&lt;year&gt;2014&lt;/year&gt;&lt;pub-dates&gt;&lt;date&gt;August 2014&lt;/date&gt;&lt;/pub-dates&gt;&lt;/dates&gt;&lt;pub-location&gt;Canberra&lt;/pub-location&gt;&lt;publisher&gt;ACT Government&lt;/publisher&gt;&lt;urls&gt;&lt;/urls&gt;&lt;/record&gt;&lt;/Cite&gt;&lt;/EndNote&gt;</w:instrText>
      </w:r>
      <w:r w:rsidR="00C04337">
        <w:fldChar w:fldCharType="separate"/>
      </w:r>
      <w:r>
        <w:rPr>
          <w:noProof/>
        </w:rPr>
        <w:t xml:space="preserve">ACT Government, 2014b: </w:t>
      </w:r>
      <w:r w:rsidR="00C04337">
        <w:fldChar w:fldCharType="end"/>
      </w:r>
      <w:r>
        <w:t>20).</w:t>
      </w:r>
    </w:p>
  </w:footnote>
  <w:footnote w:id="116">
    <w:p w:rsidR="00F231C9" w:rsidRDefault="00F231C9" w:rsidP="009A0293">
      <w:pPr>
        <w:pStyle w:val="FootnoteText"/>
      </w:pPr>
      <w:r>
        <w:rPr>
          <w:rStyle w:val="FootnoteReference"/>
        </w:rPr>
        <w:footnoteRef/>
      </w:r>
      <w:r>
        <w:t xml:space="preserve"> The Commission has previously commented on the </w:t>
      </w:r>
      <w:r w:rsidRPr="002961D6">
        <w:rPr>
          <w:szCs w:val="22"/>
        </w:rPr>
        <w:t>lack of specificity in the ACT Government</w:t>
      </w:r>
      <w:r>
        <w:rPr>
          <w:szCs w:val="22"/>
        </w:rPr>
        <w:t>’</w:t>
      </w:r>
      <w:r w:rsidRPr="002961D6">
        <w:rPr>
          <w:szCs w:val="22"/>
        </w:rPr>
        <w:t xml:space="preserve">s </w:t>
      </w:r>
      <w:r>
        <w:rPr>
          <w:szCs w:val="22"/>
        </w:rPr>
        <w:t xml:space="preserve">water </w:t>
      </w:r>
      <w:r w:rsidRPr="002961D6">
        <w:rPr>
          <w:szCs w:val="22"/>
        </w:rPr>
        <w:t>security objective</w:t>
      </w:r>
      <w:r>
        <w:rPr>
          <w:szCs w:val="22"/>
        </w:rPr>
        <w:t xml:space="preserve"> (</w:t>
      </w:r>
      <w:r w:rsidR="00C04337">
        <w:rPr>
          <w:szCs w:val="22"/>
        </w:rPr>
        <w:fldChar w:fldCharType="begin"/>
      </w:r>
      <w:r>
        <w:rPr>
          <w:szCs w:val="22"/>
        </w:rPr>
        <w:instrText xml:space="preserve"> ADDIN EN.CITE &lt;EndNote&gt;&lt;Cite&gt;&lt;Author&gt;ICRC&lt;/Author&gt;&lt;Year&gt;2010&lt;/Year&gt;&lt;RecNum&gt;14&lt;/RecNum&gt;&lt;DisplayText&gt;ICRC, 2010: &lt;/DisplayText&gt;&lt;record&gt;&lt;rec-number&gt;14&lt;/rec-number&gt;&lt;foreign-keys&gt;&lt;key app="EN" db-id="5xwt9zxa6r5fesevwr5xzp97r95ev9wx9zpw" timestamp="1327903698"&gt;14&lt;/key&gt;&lt;/foreign-keys&gt;&lt;ref-type name="Report"&gt;27&lt;/ref-type&gt;&lt;contributors&gt;&lt;authors&gt;&lt;author&gt;ICRC,&lt;/author&gt;&lt;/authors&gt;&lt;/contributors&gt;&lt;titles&gt;&lt;title&gt;Final Report: Enlarged Cotter Dam Water Security Project&lt;/title&gt;&lt;/titles&gt;&lt;volume&gt;Report 9 of 2010&lt;/volume&gt;&lt;keywords&gt;&lt;keyword&gt;water security&lt;/keyword&gt;&lt;/keywords&gt;&lt;dates&gt;&lt;year&gt;2010&lt;/year&gt;&lt;pub-dates&gt;&lt;date&gt;June 2010&lt;/date&gt;&lt;/pub-dates&gt;&lt;/dates&gt;&lt;pub-location&gt;Canberra&lt;/pub-location&gt;&lt;publisher&gt;Independent Competition and Regulatory Commission&lt;/publisher&gt;&lt;urls&gt;&lt;/urls&gt;&lt;/record&gt;&lt;/Cite&gt;&lt;/EndNote&gt;</w:instrText>
      </w:r>
      <w:r w:rsidR="00C04337">
        <w:rPr>
          <w:szCs w:val="22"/>
        </w:rPr>
        <w:fldChar w:fldCharType="separate"/>
      </w:r>
      <w:r>
        <w:rPr>
          <w:noProof/>
          <w:szCs w:val="22"/>
        </w:rPr>
        <w:t xml:space="preserve">ICRC, 2010: </w:t>
      </w:r>
      <w:r w:rsidR="00C04337">
        <w:rPr>
          <w:szCs w:val="22"/>
        </w:rPr>
        <w:fldChar w:fldCharType="end"/>
      </w:r>
      <w:r>
        <w:rPr>
          <w:szCs w:val="22"/>
        </w:rPr>
        <w:t>10).</w:t>
      </w:r>
    </w:p>
  </w:footnote>
  <w:footnote w:id="117">
    <w:p w:rsidR="00F231C9" w:rsidRDefault="00F231C9" w:rsidP="009A0293">
      <w:pPr>
        <w:pStyle w:val="FootnoteText"/>
        <w:spacing w:before="120"/>
      </w:pPr>
      <w:r>
        <w:rPr>
          <w:rStyle w:val="FootnoteReference"/>
        </w:rPr>
        <w:footnoteRef/>
      </w:r>
      <w:r>
        <w:t xml:space="preserve"> Water price is the only factor that is not considered in the model. </w:t>
      </w:r>
    </w:p>
  </w:footnote>
  <w:footnote w:id="118">
    <w:p w:rsidR="00F231C9" w:rsidRPr="001E0428" w:rsidRDefault="00F231C9" w:rsidP="009A0293">
      <w:pPr>
        <w:pStyle w:val="FootnoteText"/>
        <w:rPr>
          <w:lang w:val="en-US"/>
        </w:rPr>
      </w:pPr>
      <w:r>
        <w:rPr>
          <w:rStyle w:val="FootnoteReference"/>
        </w:rPr>
        <w:footnoteRef/>
      </w:r>
      <w:r>
        <w:t xml:space="preserve"> </w:t>
      </w:r>
      <w:r>
        <w:rPr>
          <w:lang w:val="en-US"/>
        </w:rPr>
        <w:t>The technique described here is often referred to as Monte Carlo simulation.</w:t>
      </w:r>
    </w:p>
  </w:footnote>
  <w:footnote w:id="119">
    <w:p w:rsidR="00F231C9" w:rsidRDefault="00F231C9">
      <w:pPr>
        <w:pStyle w:val="FootnoteText"/>
      </w:pPr>
      <w:r>
        <w:rPr>
          <w:rStyle w:val="FootnoteReference"/>
        </w:rPr>
        <w:footnoteRef/>
      </w:r>
      <w:r>
        <w:t xml:space="preserve"> </w:t>
      </w:r>
      <w:r w:rsidRPr="00E65311">
        <w:t>It is important to note that meeting the ACT Government</w:t>
      </w:r>
      <w:r>
        <w:t>’</w:t>
      </w:r>
      <w:r w:rsidRPr="00E65311">
        <w:t>s water security objective does not imply that the ACT will never be in water restrictions over the modelling period. Rather it implies that the probability of being in water restrictions in any given year over this period is no more than 5</w:t>
      </w:r>
      <w:r>
        <w:t xml:space="preserve"> per cent</w:t>
      </w:r>
      <w:r w:rsidRPr="00E65311">
        <w:t>. Thus, the statement that the ACT is water secure means that water restrictions may be imposed but only rarely.</w:t>
      </w:r>
    </w:p>
  </w:footnote>
  <w:footnote w:id="120">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&lt;EndNote&gt;&lt;Cite&gt;&lt;Author&gt;ACTEW&lt;/Author&gt;&lt;Year&gt;2014&lt;/Year&gt;&lt;RecNum&gt;713&lt;/RecNum&gt;&lt;DisplayText&gt;ACTEW, 2014b: &lt;/DisplayText&gt;&lt;record&gt;&lt;rec-number&gt;713&lt;/rec-number&gt;&lt;foreign-keys&gt;&lt;key app="EN" db-id="5xwt9zxa6r5fesevwr5xzp97r95ev9wx9zpw" timestamp="1460528871"&gt;713&lt;/key&gt;&lt;/foreign-keys&gt;&lt;ref-type name="AAA ICRC Water References"&gt;40&lt;/ref-type&gt;&lt;contributors&gt;&lt;authors&gt;&lt;author&gt;ACTEW,&lt;/author&gt;&lt;/authors&gt;&lt;/contributors&gt;&lt;titles&gt;&lt;title&gt;Information return: demand forecasts: Submission to the Industry Panel review of the Price Direction for regulated water and sewerage services determined by the Independent Competition and Regulatory Commission in June 2013&lt;/title&gt;&lt;/titles&gt;&lt;dates&gt;&lt;year&gt;2014&lt;/year&gt;&lt;pub-dates&gt;&lt;date&gt;August 2014&lt;/date&gt;&lt;/pub-dates&gt;&lt;/dates&gt;&lt;pub-location&gt;Canberra&lt;/pub-location&gt;&lt;publisher&gt;ACTEW Water&lt;/publisher&gt;&lt;urls&gt;&lt;/urls&gt;&lt;/record&gt;&lt;/Cite&gt;&lt;/EndNote&gt;</w:instrText>
      </w:r>
      <w:r w:rsidR="00C04337">
        <w:fldChar w:fldCharType="separate"/>
      </w:r>
      <w:r>
        <w:rPr>
          <w:noProof/>
        </w:rPr>
        <w:t xml:space="preserve">ACTEW, 2014b: </w:t>
      </w:r>
      <w:r w:rsidR="00C04337">
        <w:fldChar w:fldCharType="end"/>
      </w:r>
      <w:r>
        <w:t xml:space="preserve">1-21. Available for download at: </w:t>
      </w:r>
      <w:r w:rsidRPr="007C6056">
        <w:t>http://apps.treasury.act.gov.au/__data/assets/pdf_file/0016/630034/Information-Return-Demand-Forecasts-15-August-2014.pdf</w:t>
      </w:r>
      <w:r>
        <w:t>.</w:t>
      </w:r>
    </w:p>
  </w:footnote>
  <w:footnote w:id="121">
    <w:p w:rsidR="00F231C9" w:rsidRDefault="00F231C9" w:rsidP="00B602C1">
      <w:pPr>
        <w:pStyle w:val="FootnoteText"/>
      </w:pPr>
      <w:r>
        <w:rPr>
          <w:rStyle w:val="FootnoteReference"/>
        </w:rPr>
        <w:footnoteRef/>
      </w:r>
      <w:r>
        <w:t xml:space="preserve"> Per capita volumes are obtained by dividing total dam releases by the sum of the ACT and Queanbeyan population. </w:t>
      </w:r>
    </w:p>
  </w:footnote>
  <w:footnote w:id="122">
    <w:p w:rsidR="00F231C9" w:rsidRDefault="00F231C9" w:rsidP="002C1FD4">
      <w:pPr>
        <w:pStyle w:val="FootnoteText"/>
      </w:pPr>
      <w:r>
        <w:rPr>
          <w:rStyle w:val="FootnoteReference"/>
        </w:rPr>
        <w:footnoteRef/>
      </w:r>
      <w:r>
        <w:t xml:space="preserve"> </w:t>
      </w:r>
      <w:r w:rsidR="00C04337">
        <w:fldChar w:fldCharType="begin"/>
      </w:r>
      <w:r>
        <w:instrText xml:space="preserve"> ADDIN EN.CITE &lt;EndNote&gt;&lt;Cite&gt;&lt;Author&gt;Breusch&lt;/Author&gt;&lt;Year&gt;2012&lt;/Year&gt;&lt;RecNum&gt;469&lt;/RecNum&gt;&lt;DisplayText&gt;Breusch and Ward, 2012: &lt;/DisplayText&gt;&lt;record&gt;&lt;rec-number&gt;469&lt;/rec-number&gt;&lt;foreign-keys&gt;&lt;key app="EN" db-id="5xwt9zxa6r5fesevwr5xzp97r95ev9wx9zpw" timestamp="1418352894"&gt;469&lt;/key&gt;&lt;/foreign-keys&gt;&lt;ref-type name="AAA ICRC Water References"&gt;40&lt;/ref-type&gt;&lt;contributors&gt;&lt;authors&gt;&lt;author&gt;Breusch, Trevor&lt;/author&gt;&lt;author&gt;Michael Ward&lt;/author&gt;&lt;/authors&gt;&lt;/contributors&gt;&lt;titles&gt;&lt;title&gt;Attachment 12: Building a forecasting model of ACT water use&lt;/title&gt;&lt;/titles&gt;&lt;dates&gt;&lt;year&gt;2012&lt;/year&gt;&lt;pub-dates&gt;&lt;date&gt;June 2012&lt;/date&gt;&lt;/pub-dates&gt;&lt;/dates&gt;&lt;pub-location&gt;Canberra&lt;/pub-location&gt;&lt;urls&gt;&lt;/urls&gt;&lt;/record&gt;&lt;/Cite&gt;&lt;/EndNote&gt;</w:instrText>
      </w:r>
      <w:r w:rsidR="00C04337">
        <w:fldChar w:fldCharType="separate"/>
      </w:r>
      <w:r>
        <w:rPr>
          <w:noProof/>
        </w:rPr>
        <w:t xml:space="preserve">Breusch and Ward, 2012: </w:t>
      </w:r>
      <w:r w:rsidR="00C04337">
        <w:fldChar w:fldCharType="end"/>
      </w:r>
      <w:r>
        <w:t>18.</w:t>
      </w:r>
    </w:p>
  </w:footnote>
  <w:footnote w:id="123">
    <w:p w:rsidR="00F231C9" w:rsidRDefault="00F231C9" w:rsidP="002C1FD4">
      <w:pPr>
        <w:pStyle w:val="FootnoteText"/>
      </w:pPr>
      <w:r>
        <w:rPr>
          <w:rStyle w:val="FootnoteReference"/>
        </w:rPr>
        <w:footnoteRef/>
      </w:r>
      <w:r>
        <w:t xml:space="preserve"> </w:t>
      </w:r>
      <w:r w:rsidR="00C04337">
        <w:fldChar w:fldCharType="begin"/>
      </w:r>
      <w:r>
        <w:instrText xml:space="preserve"> ADDIN EN.CITE &lt;EndNote&gt;&lt;Cite&gt;&lt;Author&gt;Breusch&lt;/Author&gt;&lt;Year&gt;2012&lt;/Year&gt;&lt;RecNum&gt;469&lt;/RecNum&gt;&lt;DisplayText&gt;Ibid.: &lt;/DisplayText&gt;&lt;record&gt;&lt;rec-number&gt;469&lt;/rec-number&gt;&lt;foreign-keys&gt;&lt;key app="EN" db-id="5xwt9zxa6r5fesevwr5xzp97r95ev9wx9zpw" timestamp="1418352894"&gt;469&lt;/key&gt;&lt;/foreign-keys&gt;&lt;ref-type name="AAA ICRC Water References"&gt;40&lt;/ref-type&gt;&lt;contributors&gt;&lt;authors&gt;&lt;author&gt;Breusch, Trevor&lt;/author&gt;&lt;author&gt;Michael Ward&lt;/author&gt;&lt;/authors&gt;&lt;/contributors&gt;&lt;titles&gt;&lt;title&gt;Attachment 12: Building a forecasting model of ACT water use&lt;/title&gt;&lt;/titles&gt;&lt;dates&gt;&lt;year&gt;2012&lt;/year&gt;&lt;pub-dates&gt;&lt;date&gt;June 2012&lt;/date&gt;&lt;/pub-dates&gt;&lt;/dates&gt;&lt;pub-location&gt;Canberra&lt;/pub-location&gt;&lt;urls&gt;&lt;/urls&gt;&lt;/record&gt;&lt;/Cite&gt;&lt;/EndNote&gt;</w:instrText>
      </w:r>
      <w:r w:rsidR="00C04337">
        <w:fldChar w:fldCharType="separate"/>
      </w:r>
      <w:r>
        <w:rPr>
          <w:noProof/>
        </w:rPr>
        <w:t xml:space="preserve">Ibid.: </w:t>
      </w:r>
      <w:r w:rsidR="00C04337">
        <w:fldChar w:fldCharType="end"/>
      </w:r>
      <w:r>
        <w:t>5.</w:t>
      </w:r>
    </w:p>
  </w:footnote>
  <w:footnote w:id="124">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&lt;EndNote&gt;&lt;Cite&gt;&lt;Author&gt;ICRC&lt;/Author&gt;&lt;Year&gt;2015&lt;/Year&gt;&lt;RecNum&gt;643&lt;/RecNum&gt;&lt;DisplayText&gt;ICRC, 2015b: &lt;/DisplayText&gt;&lt;record&gt;&lt;rec-number&gt;643&lt;/rec-number&gt;&lt;foreign-keys&gt;&lt;key app="EN" db-id="5xwt9zxa6r5fesevwr5xzp97r95ev9wx9zpw" timestamp="1446005790"&gt;643&lt;/key&gt;&lt;/foreign-keys&gt;&lt;ref-type name="AAA ICRC Water References"&gt;40&lt;/ref-type&gt;&lt;contributors&gt;&lt;authors&gt;&lt;author&gt;ICRC,&lt;/author&gt;&lt;/authors&gt;&lt;/contributors&gt;&lt;titles&gt;&lt;title&gt;Water Demand Forecasting Final Technical Paper&lt;/title&gt;&lt;/titles&gt;&lt;volume&gt;Report 2 of 2015&lt;/volume&gt;&lt;dates&gt;&lt;year&gt;2015&lt;/year&gt;&lt;pub-dates&gt;&lt;date&gt;April 2015&lt;/date&gt;&lt;/pub-dates&gt;&lt;/dates&gt;&lt;pub-location&gt;Canberra&lt;/pub-location&gt;&lt;publisher&gt;Independent Competition and Regulatory Commision&lt;/publisher&gt;&lt;urls&gt;&lt;/urls&gt;&lt;/record&gt;&lt;/Cite&gt;&lt;/EndNote&gt;</w:instrText>
      </w:r>
      <w:r w:rsidR="00C04337">
        <w:fldChar w:fldCharType="separate"/>
      </w:r>
      <w:r>
        <w:rPr>
          <w:noProof/>
        </w:rPr>
        <w:t xml:space="preserve">ICRC, 2015b: </w:t>
      </w:r>
      <w:r w:rsidR="00C04337">
        <w:fldChar w:fldCharType="end"/>
      </w:r>
      <w:r>
        <w:t>12.</w:t>
      </w:r>
    </w:p>
  </w:footnote>
  <w:footnote w:id="125">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&lt;EndNote&gt;&lt;Cite&gt;&lt;Author&gt;Breusch&lt;/Author&gt;&lt;Year&gt;2012&lt;/Year&gt;&lt;RecNum&gt;469&lt;/RecNum&gt;&lt;DisplayText&gt;Breusch and Ward, 2012: &lt;/DisplayText&gt;&lt;record&gt;&lt;rec-number&gt;469&lt;/rec-number&gt;&lt;foreign-keys&gt;&lt;key app="EN" db-id="5xwt9zxa6r5fesevwr5xzp97r95ev9wx9zpw" timestamp="1418352894"&gt;469&lt;/key&gt;&lt;/foreign-keys&gt;&lt;ref-type name="AAA ICRC Water References"&gt;40&lt;/ref-type&gt;&lt;contributors&gt;&lt;authors&gt;&lt;author&gt;Breusch, Trevor&lt;/author&gt;&lt;author&gt;Michael Ward&lt;/author&gt;&lt;/authors&gt;&lt;/contributors&gt;&lt;titles&gt;&lt;title&gt;Attachment 12: Building a forecasting model of ACT water use&lt;/title&gt;&lt;/titles&gt;&lt;dates&gt;&lt;year&gt;2012&lt;/year&gt;&lt;pub-dates&gt;&lt;date&gt;June 2012&lt;/date&gt;&lt;/pub-dates&gt;&lt;/dates&gt;&lt;pub-location&gt;Canberra&lt;/pub-location&gt;&lt;urls&gt;&lt;/urls&gt;&lt;/record&gt;&lt;/Cite&gt;&lt;/EndNote&gt;</w:instrText>
      </w:r>
      <w:r w:rsidR="00C04337">
        <w:fldChar w:fldCharType="separate"/>
      </w:r>
      <w:r>
        <w:rPr>
          <w:noProof/>
        </w:rPr>
        <w:t xml:space="preserve">Breusch and Ward, 2012: </w:t>
      </w:r>
      <w:r w:rsidR="00C04337">
        <w:fldChar w:fldCharType="end"/>
      </w:r>
      <w:r>
        <w:t>5.</w:t>
      </w:r>
    </w:p>
  </w:footnote>
  <w:footnote w:id="126">
    <w:p w:rsidR="00F231C9" w:rsidRDefault="00F231C9">
      <w:pPr>
        <w:pStyle w:val="FootnoteText"/>
      </w:pPr>
      <w:r>
        <w:rPr>
          <w:rStyle w:val="FootnoteReference"/>
        </w:rPr>
        <w:footnoteRef/>
      </w:r>
      <w:r>
        <w:t xml:space="preserve"> T</w:t>
      </w:r>
      <w:r w:rsidRPr="00967863">
        <w:t xml:space="preserve">he Commission has not included </w:t>
      </w:r>
      <w:r>
        <w:t xml:space="preserve">a population allowance for </w:t>
      </w:r>
      <w:r w:rsidRPr="00967863">
        <w:t xml:space="preserve">additional </w:t>
      </w:r>
      <w:r>
        <w:t>cross-border supply given the uncertainty of Icon Water supplying additional water to areas such as Yass or Murrumbateman in the future.</w:t>
      </w:r>
    </w:p>
  </w:footnote>
  <w:footnote w:id="127">
    <w:p w:rsidR="00F231C9" w:rsidRDefault="00F231C9">
      <w:pPr>
        <w:pStyle w:val="FootnoteText"/>
      </w:pPr>
      <w:r>
        <w:rPr>
          <w:rStyle w:val="FootnoteReference"/>
        </w:rPr>
        <w:footnoteRef/>
      </w:r>
      <w:r>
        <w:t xml:space="preserve"> The baseline scenario assumes that zero per cent of any incremental population growth contributes to aggregate demand growth.</w:t>
      </w:r>
    </w:p>
  </w:footnote>
  <w:footnote w:id="128">
    <w:p w:rsidR="00F231C9" w:rsidRDefault="00F231C9">
      <w:pPr>
        <w:pStyle w:val="FootnoteText"/>
      </w:pPr>
      <w:r>
        <w:rPr>
          <w:rStyle w:val="FootnoteReference"/>
        </w:rPr>
        <w:footnoteRef/>
      </w:r>
      <w:r>
        <w:t xml:space="preserve"> Autumn rainfall, for example, has decreased significantly, with an almost 40 per cent reduction observed over the period 1997 to 2010.</w:t>
      </w:r>
    </w:p>
  </w:footnote>
  <w:footnote w:id="129">
    <w:p w:rsidR="00F231C9" w:rsidRDefault="00F231C9">
      <w:pPr>
        <w:pStyle w:val="FootnoteText"/>
      </w:pPr>
      <w:r>
        <w:rPr>
          <w:rStyle w:val="FootnoteReference"/>
        </w:rPr>
        <w:footnoteRef/>
      </w:r>
      <w:r>
        <w:t xml:space="preserve"> See </w:t>
      </w:r>
      <w:r w:rsidR="00C04337">
        <w:fldChar w:fldCharType="begin"/>
      </w:r>
      <w:r>
        <w:instrText xml:space="preserve"> ADDIN EN.CITE &lt;EndNote&gt;&lt;Cite&gt;&lt;Author&gt;ACTEW&lt;/Author&gt;&lt;Year&gt;2014&lt;/Year&gt;&lt;RecNum&gt;712&lt;/RecNum&gt;&lt;DisplayText&gt;ACTEW, 2014a: &lt;/DisplayText&gt;&lt;record&gt;&lt;rec-number&gt;712&lt;/rec-number&gt;&lt;foreign-keys&gt;&lt;key app="EN" db-id="5xwt9zxa6r5fesevwr5xzp97r95ev9wx9zpw" timestamp="1460528738"&gt;712&lt;/key&gt;&lt;key app="ENWeb" db-id=""&gt;0&lt;/key&gt;&lt;/foreign-keys&gt;&lt;ref-type name="AAA ICRC Water References"&gt;40&lt;/ref-type&gt;&lt;contributors&gt;&lt;authors&gt;&lt;author&gt;ACTEW,&lt;/author&gt;&lt;/authors&gt;&lt;/contributors&gt;&lt;titles&gt;&lt;title&gt;ACTEW Future Climate Update&lt;/title&gt;&lt;/titles&gt;&lt;dates&gt;&lt;year&gt;2014&lt;/year&gt;&lt;pub-dates&gt;&lt;date&gt;June 2014&lt;/date&gt;&lt;/pub-dates&gt;&lt;/dates&gt;&lt;pub-location&gt;Canberra&lt;/pub-location&gt;&lt;publisher&gt;ACTEW Water&lt;/publisher&gt;&lt;urls&gt;&lt;/urls&gt;&lt;/record&gt;&lt;/Cite&gt;&lt;/EndNote&gt;</w:instrText>
      </w:r>
      <w:r w:rsidR="00C04337">
        <w:fldChar w:fldCharType="separate"/>
      </w:r>
      <w:r>
        <w:rPr>
          <w:noProof/>
        </w:rPr>
        <w:t xml:space="preserve">ACTEW, 2014a: </w:t>
      </w:r>
      <w:r w:rsidR="00C04337">
        <w:fldChar w:fldCharType="end"/>
      </w:r>
      <w:r>
        <w:t xml:space="preserve">for more information. Available for download at </w:t>
      </w:r>
      <w:r w:rsidRPr="008218E6">
        <w:t>https://www.iconwater.com.au/About/Reports-and-Publications/Key-Publications.aspx</w:t>
      </w:r>
      <w:r>
        <w:t>.</w:t>
      </w:r>
    </w:p>
  </w:footnote>
  <w:footnote w:id="130">
    <w:p w:rsidR="00F231C9" w:rsidRDefault="00F231C9" w:rsidP="009A0293">
      <w:pPr>
        <w:pStyle w:val="FootnoteText"/>
        <w:spacing w:before="120"/>
      </w:pPr>
      <w:r>
        <w:rPr>
          <w:rStyle w:val="FootnoteReference"/>
        </w:rPr>
        <w:footnoteRef/>
      </w:r>
      <w:r>
        <w:t xml:space="preserve"> </w:t>
      </w:r>
      <w:r w:rsidR="00C04337">
        <w:fldChar w:fldCharType="begin"/>
      </w:r>
      <w:r>
        <w:instrText xml:space="preserve"> ADDIN EN.CITE &lt;EndNote&gt;&lt;Cite&gt;&lt;Author&gt;ACT Government&lt;/Author&gt;&lt;Year&gt;2013&lt;/Year&gt;&lt;RecNum&gt;714&lt;/RecNum&gt;&lt;DisplayText&gt;ACT Government, 2013: &lt;/DisplayText&gt;&lt;record&gt;&lt;rec-number&gt;714&lt;/rec-number&gt;&lt;foreign-keys&gt;&lt;key app="EN" db-id="5xwt9zxa6r5fesevwr5xzp97r95ev9wx9zpw" timestamp="1460608151"&gt;714&lt;/key&gt;&lt;/foreign-keys&gt;&lt;ref-type name="AAA ICRC Water References"&gt;40&lt;/ref-type&gt;&lt;contributors&gt;&lt;authors&gt;&lt;author&gt;ACT Government,&lt;/author&gt;&lt;/authors&gt;&lt;secondary-authors&gt;&lt;author&gt;Environment ACT&lt;/author&gt;&lt;/secondary-authors&gt;&lt;/contributors&gt;&lt;titles&gt;&lt;title&gt;Water Resources Environmental Flow Guidelines&amp;#xD;2013&lt;/title&gt;&lt;/titles&gt;&lt;dates&gt;&lt;year&gt;2013&lt;/year&gt;&lt;pub-dates&gt;&lt;date&gt;15 April 2013&lt;/date&gt;&lt;/pub-dates&gt;&lt;/dates&gt;&lt;pub-location&gt;Canberra&lt;/pub-location&gt;&lt;publisher&gt;ACT Government&lt;/publisher&gt;&lt;urls&gt;&lt;/urls&gt;&lt;/record&gt;&lt;/Cite&gt;&lt;/EndNote&gt;</w:instrText>
      </w:r>
      <w:r w:rsidR="00C04337">
        <w:fldChar w:fldCharType="separate"/>
      </w:r>
      <w:r>
        <w:rPr>
          <w:noProof/>
        </w:rPr>
        <w:t xml:space="preserve">ACT Government, 2013: </w:t>
      </w:r>
      <w:r w:rsidR="00C04337">
        <w:fldChar w:fldCharType="end"/>
      </w:r>
      <w:r>
        <w:t xml:space="preserve">1-42. Available for download at: </w:t>
      </w:r>
      <w:r w:rsidRPr="007670DC">
        <w:t>http://www.legislation.act.gov.au/di/2013-44/current/pdf/2013-44.pdf</w:t>
      </w:r>
      <w:r>
        <w:t>.</w:t>
      </w:r>
    </w:p>
  </w:footnote>
  <w:footnote w:id="131">
    <w:p w:rsidR="00F231C9" w:rsidRPr="00182E2A" w:rsidRDefault="00F231C9" w:rsidP="009A0293">
      <w:pPr>
        <w:pStyle w:val="FootnoteText"/>
        <w:spacing w:before="120"/>
      </w:pPr>
      <w:r>
        <w:rPr>
          <w:rStyle w:val="FootnoteReference"/>
        </w:rPr>
        <w:footnoteRef/>
      </w:r>
      <w:r w:rsidR="00C04337">
        <w:fldChar w:fldCharType="begin"/>
      </w:r>
      <w:r>
        <w:instrText xml:space="preserve"> ADDIN EN.CITE &lt;EndNote&gt;&lt;Cite&gt;&lt;Author&gt;ACT Government&lt;/Author&gt;&lt;Year&gt;2010&lt;/Year&gt;&lt;RecNum&gt;579&lt;/RecNum&gt;&lt;DisplayText&gt;ACT Government, 2010b: &lt;/DisplayText&gt;&lt;record&gt;&lt;rec-number&gt;579&lt;/rec-number&gt;&lt;foreign-keys&gt;&lt;key app="EN" db-id="5xwt9zxa6r5fesevwr5xzp97r95ev9wx9zpw" timestamp="1442193683"&gt;579&lt;/key&gt;&lt;/foreign-keys&gt;&lt;ref-type name="Legal Rule or Regulation"&gt;50&lt;/ref-type&gt;&lt;contributors&gt;&lt;authors&gt;&lt;author&gt;ACT Government,&lt;/author&gt;&lt;/authors&gt;&lt;secondary-authors&gt;&lt;author&gt;ACT Government&lt;/author&gt;&lt;/secondary-authors&gt;&lt;/contributors&gt;&lt;titles&gt;&lt;title&gt;Utilities Water Conservation Measures Approval 2010&lt;/title&gt;&lt;/titles&gt;&lt;volume&gt;DI 2010–279&lt;/volume&gt;&lt;dates&gt;&lt;year&gt;2010&lt;/year&gt;&lt;pub-dates&gt;&lt;date&gt;27 October 2010&lt;/date&gt;&lt;/pub-dates&gt;&lt;/dates&gt;&lt;pub-location&gt;Canberra&lt;/pub-location&gt;&lt;publisher&gt;ACT Legislative Assembly&lt;/publisher&gt;&lt;urls&gt;&lt;/urls&gt;&lt;/record&gt;&lt;/Cite&gt;&lt;/EndNote&gt;</w:instrText>
      </w:r>
      <w:r w:rsidR="00C04337">
        <w:fldChar w:fldCharType="separate"/>
      </w:r>
      <w:r>
        <w:rPr>
          <w:noProof/>
        </w:rPr>
        <w:t xml:space="preserve">ACT Government, 2010b: </w:t>
      </w:r>
      <w:r w:rsidR="00C04337">
        <w:fldChar w:fldCharType="end"/>
      </w:r>
      <w:r>
        <w:t xml:space="preserve">1-9 and </w:t>
      </w:r>
      <w:r w:rsidR="00C04337">
        <w:fldChar w:fldCharType="begin"/>
      </w:r>
      <w:r>
        <w:instrText xml:space="preserve"> ADDIN EN.CITE &lt;EndNote&gt;&lt;Cite&gt;&lt;Author&gt;ACT Government&lt;/Author&gt;&lt;Year&gt;2010&lt;/Year&gt;&lt;RecNum&gt;580&lt;/RecNum&gt;&lt;DisplayText&gt;ACT Government, 2010a: &lt;/DisplayText&gt;&lt;record&gt;&lt;rec-number&gt;580&lt;/rec-number&gt;&lt;foreign-keys&gt;&lt;key app="EN" db-id="5xwt9zxa6r5fesevwr5xzp97r95ev9wx9zpw" timestamp="1442198661"&gt;580&lt;/key&gt;&lt;/foreign-keys&gt;&lt;ref-type name="AAA ICRC Water References"&gt;40&lt;/ref-type&gt;&lt;contributors&gt;&lt;authors&gt;&lt;author&gt;ACT Government,&lt;/author&gt;&lt;/authors&gt;&lt;/contributors&gt;&lt;titles&gt;&lt;title&gt;Utilities (Water Restrictions Scheme) Approval 2010 (No 1)&lt;/title&gt;&lt;/titles&gt;&lt;volume&gt;DI 2010–197&lt;/volume&gt;&lt;keywords&gt;&lt;keyword&gt;WSUD&lt;/keyword&gt;&lt;/keywords&gt;&lt;dates&gt;&lt;year&gt;2010&lt;/year&gt;&lt;pub-dates&gt;&lt;date&gt;30 August 2010&lt;/date&gt;&lt;/pub-dates&gt;&lt;/dates&gt;&lt;pub-location&gt;Canberra&lt;/pub-location&gt;&lt;publisher&gt;ACT Legislative Assembly&lt;/publisher&gt;&lt;urls&gt;&lt;/urls&gt;&lt;/record&gt;&lt;/Cite&gt;&lt;/EndNote&gt;</w:instrText>
      </w:r>
      <w:r w:rsidR="00C04337">
        <w:fldChar w:fldCharType="separate"/>
      </w:r>
      <w:r>
        <w:rPr>
          <w:noProof/>
        </w:rPr>
        <w:t xml:space="preserve">ACT Government, 2010a: </w:t>
      </w:r>
      <w:r w:rsidR="00C04337">
        <w:fldChar w:fldCharType="end"/>
      </w:r>
      <w:r>
        <w:t>1-6.</w:t>
      </w:r>
    </w:p>
  </w:footnote>
  <w:footnote w:id="132">
    <w:p w:rsidR="00F231C9" w:rsidRDefault="00F231C9">
      <w:pPr>
        <w:pStyle w:val="FootnoteText"/>
      </w:pPr>
      <w:r>
        <w:rPr>
          <w:rStyle w:val="FootnoteReference"/>
        </w:rPr>
        <w:footnoteRef/>
      </w:r>
      <w:r>
        <w:t xml:space="preserve"> This assumption is made for the purposes of calculating indicative marginal costs for the purposes of this paper only. The same applies for the assumptions about cost and construction timing. </w:t>
      </w:r>
    </w:p>
  </w:footnote>
  <w:footnote w:id="133">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&lt;EndNote&gt;&lt;Cite&gt;&lt;Author&gt;ACTEW&lt;/Author&gt;&lt;Year&gt;2008&lt;/Year&gt;&lt;RecNum&gt;53&lt;/RecNum&gt;&lt;DisplayText&gt;ACTEW, 2008: &lt;/DisplayText&gt;&lt;record&gt;&lt;rec-number&gt;53&lt;/rec-number&gt;&lt;foreign-keys&gt;&lt;key app="EN" db-id="5xwt9zxa6r5fesevwr5xzp97r95ev9wx9zpw" timestamp="1329950781"&gt;53&lt;/key&gt;&lt;/foreign-keys&gt;&lt;ref-type name="Report"&gt;27&lt;/ref-type&gt;&lt;contributors&gt;&lt;authors&gt;&lt;author&gt;ACTEW,&lt;/author&gt;&lt;/authors&gt;&lt;tertiary-authors&gt;&lt;author&gt;ACTEW&lt;/author&gt;&lt;/tertiary-authors&gt;&lt;/contributors&gt;&lt;titles&gt;&lt;title&gt;Water security for the ACT and region: Recommendations to ACT Government&lt;/title&gt;&lt;/titles&gt;&lt;dates&gt;&lt;year&gt;2008&lt;/year&gt;&lt;pub-dates&gt;&lt;date&gt;July 2007&lt;/date&gt;&lt;/pub-dates&gt;&lt;/dates&gt;&lt;pub-location&gt;Canberra ACT&lt;/pub-location&gt;&lt;urls&gt;&lt;/urls&gt;&lt;/record&gt;&lt;/Cite&gt;&lt;/EndNote&gt;</w:instrText>
      </w:r>
      <w:r w:rsidR="00C04337">
        <w:fldChar w:fldCharType="separate"/>
      </w:r>
      <w:r>
        <w:rPr>
          <w:noProof/>
        </w:rPr>
        <w:t xml:space="preserve">ACTEW, 2008: </w:t>
      </w:r>
      <w:r w:rsidR="00C04337">
        <w:fldChar w:fldCharType="end"/>
      </w:r>
      <w:r>
        <w:t>19.</w:t>
      </w:r>
    </w:p>
  </w:footnote>
  <w:footnote w:id="134">
    <w:p w:rsidR="00F231C9" w:rsidRDefault="00F231C9">
      <w:pPr>
        <w:pStyle w:val="FootnoteText"/>
      </w:pPr>
      <w:r>
        <w:rPr>
          <w:rStyle w:val="FootnoteReference"/>
        </w:rPr>
        <w:footnoteRef/>
      </w:r>
      <w:r>
        <w:t xml:space="preserve"> See </w:t>
      </w:r>
      <w:r w:rsidR="00C04337">
        <w:fldChar w:fldCharType="begin"/>
      </w:r>
      <w:r>
        <w:instrText xml:space="preserve"> ADDIN EN.CITE &lt;EndNote&gt;&lt;Cite&gt;&lt;Author&gt;ACTEW&lt;/Author&gt;&lt;Year&gt;2005&lt;/Year&gt;&lt;RecNum&gt;717&lt;/RecNum&gt;&lt;DisplayText&gt;ACTEW, 2005: &lt;/DisplayText&gt;&lt;record&gt;&lt;rec-number&gt;717&lt;/rec-number&gt;&lt;foreign-keys&gt;&lt;key app="EN" db-id="5xwt9zxa6r5fesevwr5xzp97r95ev9wx9zpw" timestamp="1460958583"&gt;717&lt;/key&gt;&lt;key app="ENWeb" db-id=""&gt;0&lt;/key&gt;&lt;/foreign-keys&gt;&lt;ref-type name="AAA ICRC Water References"&gt;40&lt;/ref-type&gt;&lt;contributors&gt;&lt;authors&gt;&lt;author&gt;ACTEW,&lt;/author&gt;&lt;/authors&gt;&lt;/contributors&gt;&lt;titles&gt;&lt;title&gt;Future Water Options: Tennent Option Report&lt;/title&gt;&lt;/titles&gt;&lt;dates&gt;&lt;year&gt;2005&lt;/year&gt;&lt;pub-dates&gt;&lt;date&gt;April 2005&lt;/date&gt;&lt;/pub-dates&gt;&lt;/dates&gt;&lt;urls&gt;&lt;/urls&gt;&lt;/record&gt;&lt;/Cite&gt;&lt;/EndNote&gt;</w:instrText>
      </w:r>
      <w:r w:rsidR="00C04337">
        <w:fldChar w:fldCharType="separate"/>
      </w:r>
      <w:r>
        <w:rPr>
          <w:noProof/>
        </w:rPr>
        <w:t xml:space="preserve">ACTEW, 2005: </w:t>
      </w:r>
      <w:r w:rsidR="00C04337">
        <w:fldChar w:fldCharType="end"/>
      </w:r>
      <w:r>
        <w:t xml:space="preserve">1-100 for more information on the Tennent Dam option. Available for download from: </w:t>
      </w:r>
      <w:r w:rsidRPr="007516D8">
        <w:t>https://www.iconwater.com.au/About/Reports-and-Publications/Reports-Archive.aspx</w:t>
      </w:r>
      <w:r>
        <w:t xml:space="preserve">. </w:t>
      </w:r>
    </w:p>
  </w:footnote>
  <w:footnote w:id="135">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&lt;EndNote&gt;&lt;Cite&gt;&lt;Author&gt;Halcrow&lt;/Author&gt;&lt;Year&gt;2010&lt;/Year&gt;&lt;RecNum&gt;718&lt;/RecNum&gt;&lt;DisplayText&gt;Halcrow, 2010: &lt;/DisplayText&gt;&lt;record&gt;&lt;rec-number&gt;718&lt;/rec-number&gt;&lt;foreign-keys&gt;&lt;key app="EN" db-id="5xwt9zxa6r5fesevwr5xzp97r95ev9wx9zpw" timestamp="1461713649"&gt;718&lt;/key&gt;&lt;key app="ENWeb" db-id=""&gt;0&lt;/key&gt;&lt;/foreign-keys&gt;&lt;ref-type name="AAA ICRC Water References"&gt;40&lt;/ref-type&gt;&lt;contributors&gt;&lt;authors&gt;&lt;author&gt;Halcrow,&lt;/author&gt;&lt;/authors&gt;&lt;/contributors&gt;&lt;titles&gt;&lt;title&gt;Enlarged Cotter Dam Water Security Project Investigation: Final Report&lt;/title&gt;&lt;/titles&gt;&lt;volume&gt;A report for the Indpependent COmpetition and Regulatory Commission&lt;/volume&gt;&lt;dates&gt;&lt;year&gt;2010&lt;/year&gt;&lt;pub-dates&gt;&lt;date&gt;March 2010&lt;/date&gt;&lt;/pub-dates&gt;&lt;/dates&gt;&lt;pub-location&gt;Canberra&lt;/pub-location&gt;&lt;publisher&gt;Halcrow Pacific Pty Ltd&lt;/publisher&gt;&lt;urls&gt;&lt;/urls&gt;&lt;/record&gt;&lt;/Cite&gt;&lt;/EndNote&gt;</w:instrText>
      </w:r>
      <w:r w:rsidR="00C04337">
        <w:fldChar w:fldCharType="separate"/>
      </w:r>
      <w:r>
        <w:rPr>
          <w:noProof/>
        </w:rPr>
        <w:t xml:space="preserve">Halcrow, 2010: </w:t>
      </w:r>
      <w:r w:rsidR="00C04337">
        <w:fldChar w:fldCharType="end"/>
      </w:r>
      <w:r>
        <w:t>19.</w:t>
      </w:r>
    </w:p>
  </w:footnote>
  <w:footnote w:id="136">
    <w:p w:rsidR="00F231C9" w:rsidRDefault="00F231C9" w:rsidP="00633AE2">
      <w:pPr>
        <w:pStyle w:val="FootnoteText"/>
      </w:pPr>
      <w:r>
        <w:rPr>
          <w:rStyle w:val="FootnoteReference"/>
        </w:rPr>
        <w:footnoteRef/>
      </w:r>
      <w:r>
        <w:t xml:space="preserve"> See </w:t>
      </w:r>
      <w:hyperlink r:id="rId1" w:history="1">
        <w:r w:rsidRPr="008A3DD6">
          <w:rPr>
            <w:rStyle w:val="Hyperlink"/>
            <w:sz w:val="18"/>
          </w:rPr>
          <w:t>https://www.iconwater.com.au/Water-and-Sewerage-System.aspx</w:t>
        </w:r>
      </w:hyperlink>
      <w:r>
        <w:t xml:space="preserve"> for more information on Icon Water’s sewerage network.</w:t>
      </w:r>
    </w:p>
  </w:footnote>
  <w:footnote w:id="137">
    <w:p w:rsidR="00F231C9" w:rsidRDefault="00F231C9">
      <w:pPr>
        <w:pStyle w:val="FootnoteText"/>
      </w:pPr>
      <w:r>
        <w:rPr>
          <w:rStyle w:val="FootnoteReference"/>
        </w:rPr>
        <w:footnoteRef/>
      </w:r>
      <w:r>
        <w:t xml:space="preserve"> </w:t>
      </w:r>
      <w:r w:rsidR="00C04337">
        <w:fldChar w:fldCharType="begin"/>
      </w:r>
      <w:r>
        <w:instrText xml:space="preserve"> ADDIN EN.CITE &lt;EndNote&gt;&lt;Cite&gt;&lt;Author&gt;ACTEW&lt;/Author&gt;&lt;Year&gt;2011&lt;/Year&gt;&lt;RecNum&gt;1&lt;/RecNum&gt;&lt;DisplayText&gt;ACTEW, 2011b: &lt;/DisplayText&gt;&lt;record&gt;&lt;rec-number&gt;1&lt;/rec-number&gt;&lt;foreign-keys&gt;&lt;key app="EN" db-id="5xwt9zxa6r5fesevwr5xzp97r95ev9wx9zpw" timestamp="1327903692"&gt;1&lt;/key&gt;&lt;/foreign-keys&gt;&lt;ref-type name="Report"&gt;27&lt;/ref-type&gt;&lt;contributors&gt;&lt;authors&gt;&lt;author&gt;ACTEW,&lt;/author&gt;&lt;/authors&gt;&lt;/contributors&gt;&lt;titles&gt;&lt;title&gt;Future Sewerage Options Review Summary 2010-2060&lt;/title&gt;&lt;/titles&gt;&lt;dates&gt;&lt;year&gt;2011&lt;/year&gt;&lt;/dates&gt;&lt;urls&gt;&lt;/urls&gt;&lt;/record&gt;&lt;/Cite&gt;&lt;/EndNote&gt;</w:instrText>
      </w:r>
      <w:r w:rsidR="00C04337">
        <w:fldChar w:fldCharType="separate"/>
      </w:r>
      <w:r>
        <w:rPr>
          <w:noProof/>
        </w:rPr>
        <w:t xml:space="preserve">ACTEW, 2011b: </w:t>
      </w:r>
      <w:r w:rsidR="00C04337">
        <w:fldChar w:fldCharType="end"/>
      </w:r>
      <w:r>
        <w:t>2.</w:t>
      </w:r>
    </w:p>
  </w:footnote>
  <w:footnote w:id="138">
    <w:p w:rsidR="00F231C9" w:rsidRDefault="00F231C9" w:rsidP="005940CF">
      <w:pPr>
        <w:pStyle w:val="FootnoteText"/>
      </w:pPr>
      <w:r>
        <w:rPr>
          <w:rStyle w:val="FootnoteReference"/>
        </w:rPr>
        <w:footnoteRef/>
      </w:r>
      <w:r>
        <w:t xml:space="preserve"> This is an average cost across the network, with some areas not requiring any pumping.     </w:t>
      </w:r>
    </w:p>
  </w:footnote>
  <w:footnote w:id="139">
    <w:p w:rsidR="00F231C9" w:rsidRDefault="00F231C9" w:rsidP="001F208D">
      <w:pPr>
        <w:pStyle w:val="FootnoteText"/>
      </w:pPr>
      <w:r>
        <w:rPr>
          <w:rStyle w:val="FootnoteReference"/>
        </w:rPr>
        <w:footnoteRef/>
      </w:r>
      <w:r>
        <w:t xml:space="preserve"> </w:t>
      </w:r>
      <w:r w:rsidR="00C04337">
        <w:fldChar w:fldCharType="begin"/>
      </w:r>
      <w:r>
        <w:instrText xml:space="preserve"> ADDIN EN.CITE &lt;EndNote&gt;&lt;Cite&gt;&lt;Author&gt;Gotora&lt;/Author&gt;&lt;Year&gt;2012&lt;/Year&gt;&lt;RecNum&gt;615&lt;/RecNum&gt;&lt;DisplayText&gt;Gotora, 2012: &lt;/DisplayText&gt;&lt;record&gt;&lt;rec-number&gt;615&lt;/rec-number&gt;&lt;foreign-keys&gt;&lt;key app="EN" db-id="5xwt9zxa6r5fesevwr5xzp97r95ev9wx9zpw" timestamp="1444877225"&gt;615&lt;/key&gt;&lt;/foreign-keys&gt;&lt;ref-type name="Newspaper Article"&gt;23&lt;/ref-type&gt;&lt;contributors&gt;&lt;authors&gt;&lt;author&gt;Gotora, Gillian&lt;/author&gt;&lt;/authors&gt;&lt;/contributors&gt;&lt;titles&gt;&lt;title&gt;Zimbabwe: Bulawayo urges residents to flush together to unblock sewers&lt;/title&gt;&lt;secondary-title&gt;Associated Press&lt;/secondary-title&gt;&lt;/titles&gt;&lt;dates&gt;&lt;year&gt;2012&lt;/year&gt;&lt;pub-dates&gt;&lt;date&gt;24 September 2012&lt;/date&gt;&lt;/pub-dates&gt;&lt;/dates&gt;&lt;urls&gt;&lt;related-urls&gt;&lt;url&gt;http://www.thestar.com/news/world/2012/09/24/zimbabwe_bulawayo_urges_residents_to_flush_together_to_unblock_sewers.html&lt;/url&gt;&lt;/related-urls&gt;&lt;/urls&gt;&lt;/record&gt;&lt;/Cite&gt;&lt;/EndNote&gt;</w:instrText>
      </w:r>
      <w:r w:rsidR="00C04337">
        <w:fldChar w:fldCharType="separate"/>
      </w:r>
      <w:r>
        <w:rPr>
          <w:noProof/>
        </w:rPr>
        <w:t xml:space="preserve">Gotora, 2012: </w:t>
      </w:r>
      <w:r w:rsidR="00C04337">
        <w:fldChar w:fldCharType="end"/>
      </w:r>
      <w:r>
        <w:t>1.</w:t>
      </w:r>
    </w:p>
  </w:footnote>
  <w:footnote w:id="140">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&lt;EndNote&gt;&lt;Cite&gt;&lt;Author&gt;Marshall&lt;/Author&gt;&lt;Year&gt;1920&lt;/Year&gt;&lt;RecNum&gt;702&lt;/RecNum&gt;&lt;DisplayText&gt;Marshall, 1920: &lt;/DisplayText&gt;&lt;record&gt;&lt;rec-number&gt;702&lt;/rec-number&gt;&lt;foreign-keys&gt;&lt;key app="EN" db-id="5xwt9zxa6r5fesevwr5xzp97r95ev9wx9zpw" timestamp="1459208369"&gt;702&lt;/key&gt;&lt;key app="ENWeb" db-id=""&gt;0&lt;/key&gt;&lt;/foreign-keys&gt;&lt;ref-type name="Book"&gt;6&lt;/ref-type&gt;&lt;contributors&gt;&lt;authors&gt;&lt;author&gt;Marshall, Alfred&lt;/author&gt;&lt;/authors&gt;&lt;/contributors&gt;&lt;titles&gt;&lt;title&gt;Principles of Economics&lt;/title&gt;&lt;/titles&gt;&lt;edition&gt;8th edition&lt;/edition&gt;&lt;dates&gt;&lt;year&gt;1920&lt;/year&gt;&lt;/dates&gt;&lt;pub-location&gt;London&lt;/pub-location&gt;&lt;publisher&gt;Macmillan and Company&lt;/publisher&gt;&lt;urls&gt;&lt;/urls&gt;&lt;/record&gt;&lt;/Cite&gt;&lt;/EndNote&gt;</w:instrText>
      </w:r>
      <w:r w:rsidR="00C04337">
        <w:fldChar w:fldCharType="separate"/>
      </w:r>
      <w:r>
        <w:rPr>
          <w:noProof/>
        </w:rPr>
        <w:t xml:space="preserve">Marshall, 1920: </w:t>
      </w:r>
      <w:r w:rsidR="00C04337">
        <w:fldChar w:fldCharType="end"/>
      </w:r>
      <w:r>
        <w:t xml:space="preserve">472-75. For an excellent exposition on the marginal cost pricing debate between the proponents of taxation and those in favour of full cost pricing see </w:t>
      </w:r>
      <w:r w:rsidR="00C04337">
        <w:fldChar w:fldCharType="begin"/>
      </w:r>
      <w:r>
        <w:instrText xml:space="preserve"> ADDIN EN.CITE &lt;EndNote&gt;&lt;Cite&gt;&lt;Author&gt;Ruggles&lt;/Author&gt;&lt;Year&gt;1950&lt;/Year&gt;&lt;RecNum&gt;691&lt;/RecNum&gt;&lt;DisplayText&gt;Ruggles, 1950: &lt;/DisplayText&gt;&lt;record&gt;&lt;rec-number&gt;691&lt;/rec-number&gt;&lt;foreign-keys&gt;&lt;key app="EN" db-id="5xwt9zxa6r5fesevwr5xzp97r95ev9wx9zpw" timestamp="1458081158"&gt;691&lt;/key&gt;&lt;key app="ENWeb" db-id=""&gt;0&lt;/key&gt;&lt;/foreign-keys&gt;&lt;ref-type name="Journal Article"&gt;17&lt;/ref-type&gt;&lt;contributors&gt;&lt;authors&gt;&lt;author&gt;Ruggles, Nancy&lt;/author&gt;&lt;/authors&gt;&lt;/contributors&gt;&lt;titles&gt;&lt;title&gt;Recent Developments in the Theory of Marginal Cost Pricing&lt;/title&gt;&lt;secondary-title&gt;The Review of Economic Studies&lt;/secondary-title&gt;&lt;/titles&gt;&lt;periodical&gt;&lt;full-title&gt;The Review of Economic Studies&lt;/full-title&gt;&lt;/periodical&gt;&lt;pages&gt;107-126&lt;/pages&gt;&lt;volume&gt;17&lt;/volume&gt;&lt;number&gt;2&lt;/number&gt;&lt;dates&gt;&lt;year&gt;1950&lt;/year&gt;&lt;/dates&gt;&lt;urls&gt;&lt;/urls&gt;&lt;/record&gt;&lt;/Cite&gt;&lt;/EndNote&gt;</w:instrText>
      </w:r>
      <w:r w:rsidR="00C04337">
        <w:fldChar w:fldCharType="separate"/>
      </w:r>
      <w:r>
        <w:rPr>
          <w:noProof/>
        </w:rPr>
        <w:t xml:space="preserve">Ruggles, 1950: </w:t>
      </w:r>
      <w:r w:rsidR="00C04337">
        <w:fldChar w:fldCharType="end"/>
      </w:r>
      <w:r>
        <w:t>107-126.</w:t>
      </w:r>
    </w:p>
  </w:footnote>
  <w:footnote w:id="141">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&lt;EndNote&gt;&lt;Cite&gt;&lt;Author&gt;Hotelling&lt;/Author&gt;&lt;Year&gt;1938&lt;/Year&gt;&lt;RecNum&gt;698&lt;/RecNum&gt;&lt;DisplayText&gt;Hotelling, 1938: &lt;/DisplayText&gt;&lt;record&gt;&lt;rec-number&gt;698&lt;/rec-number&gt;&lt;foreign-keys&gt;&lt;key app="EN" db-id="5xwt9zxa6r5fesevwr5xzp97r95ev9wx9zpw" timestamp="1458686389"&gt;698&lt;/key&gt;&lt;key app="ENWeb" db-id=""&gt;0&lt;/key&gt;&lt;/foreign-keys&gt;&lt;ref-type name="Journal Article"&gt;17&lt;/ref-type&gt;&lt;contributors&gt;&lt;authors&gt;&lt;author&gt;Hotelling, Harold&lt;/author&gt;&lt;/authors&gt;&lt;/contributors&gt;&lt;titles&gt;&lt;title&gt;The General Welfare in Relation to Problems of Taxation and of Railway and Utility Rates&lt;/title&gt;&lt;secondary-title&gt;Econometrica&lt;/secondary-title&gt;&lt;/titles&gt;&lt;periodical&gt;&lt;full-title&gt;Econometrica&lt;/full-title&gt;&lt;/periodical&gt;&lt;pages&gt;242-269&lt;/pages&gt;&lt;volume&gt;6&lt;/volume&gt;&lt;number&gt;3&lt;/number&gt;&lt;dates&gt;&lt;year&gt;1938&lt;/year&gt;&lt;/dates&gt;&lt;urls&gt;&lt;/urls&gt;&lt;/record&gt;&lt;/Cite&gt;&lt;/EndNote&gt;</w:instrText>
      </w:r>
      <w:r w:rsidR="00C04337">
        <w:fldChar w:fldCharType="separate"/>
      </w:r>
      <w:r>
        <w:rPr>
          <w:noProof/>
        </w:rPr>
        <w:t xml:space="preserve">Hotelling, 1938: </w:t>
      </w:r>
      <w:r w:rsidR="00C04337">
        <w:fldChar w:fldCharType="end"/>
      </w:r>
      <w:r>
        <w:t>242-69.</w:t>
      </w:r>
    </w:p>
  </w:footnote>
  <w:footnote w:id="142">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&lt;EndNote&gt;&lt;Cite&gt;&lt;Author&gt;Hotelling&lt;/Author&gt;&lt;Year&gt;1938&lt;/Year&gt;&lt;RecNum&gt;698&lt;/RecNum&gt;&lt;DisplayText&gt;Ibid.: &lt;/DisplayText&gt;&lt;record&gt;&lt;rec-number&gt;698&lt;/rec-number&gt;&lt;foreign-keys&gt;&lt;key app="EN" db-id="5xwt9zxa6r5fesevwr5xzp97r95ev9wx9zpw" timestamp="1458686389"&gt;698&lt;/key&gt;&lt;key app="ENWeb" db-id=""&gt;0&lt;/key&gt;&lt;/foreign-keys&gt;&lt;ref-type name="Journal Article"&gt;17&lt;/ref-type&gt;&lt;contributors&gt;&lt;authors&gt;&lt;author&gt;Hotelling, Harold&lt;/author&gt;&lt;/authors&gt;&lt;/contributors&gt;&lt;titles&gt;&lt;title&gt;The General Welfare in Relation to Problems of Taxation and of Railway and Utility Rates&lt;/title&gt;&lt;secondary-title&gt;Econometrica&lt;/secondary-title&gt;&lt;/titles&gt;&lt;periodical&gt;&lt;full-title&gt;Econometrica&lt;/full-title&gt;&lt;/periodical&gt;&lt;pages&gt;242-269&lt;/pages&gt;&lt;volume&gt;6&lt;/volume&gt;&lt;number&gt;3&lt;/number&gt;&lt;dates&gt;&lt;year&gt;1938&lt;/year&gt;&lt;/dates&gt;&lt;urls&gt;&lt;/urls&gt;&lt;/record&gt;&lt;/Cite&gt;&lt;/EndNote&gt;</w:instrText>
      </w:r>
      <w:r w:rsidR="00C04337">
        <w:fldChar w:fldCharType="separate"/>
      </w:r>
      <w:r>
        <w:rPr>
          <w:noProof/>
        </w:rPr>
        <w:t xml:space="preserve">Ibid.: </w:t>
      </w:r>
      <w:r w:rsidR="00C04337">
        <w:fldChar w:fldCharType="end"/>
      </w:r>
      <w:r>
        <w:t>242.</w:t>
      </w:r>
    </w:p>
  </w:footnote>
  <w:footnote w:id="143">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&lt;EndNote&gt;&lt;Cite&gt;&lt;Author&gt;Hotelling&lt;/Author&gt;&lt;Year&gt;1938&lt;/Year&gt;&lt;RecNum&gt;698&lt;/RecNum&gt;&lt;DisplayText&gt;Ibid.: &lt;/DisplayText&gt;&lt;record&gt;&lt;rec-number&gt;698&lt;/rec-number&gt;&lt;foreign-keys&gt;&lt;key app="EN" db-id="5xwt9zxa6r5fesevwr5xzp97r95ev9wx9zpw" timestamp="1458686389"&gt;698&lt;/key&gt;&lt;key app="ENWeb" db-id=""&gt;0&lt;/key&gt;&lt;/foreign-keys&gt;&lt;ref-type name="Journal Article"&gt;17&lt;/ref-type&gt;&lt;contributors&gt;&lt;authors&gt;&lt;author&gt;Hotelling, Harold&lt;/author&gt;&lt;/authors&gt;&lt;/contributors&gt;&lt;titles&gt;&lt;title&gt;The General Welfare in Relation to Problems of Taxation and of Railway and Utility Rates&lt;/title&gt;&lt;secondary-title&gt;Econometrica&lt;/secondary-title&gt;&lt;/titles&gt;&lt;periodical&gt;&lt;full-title&gt;Econometrica&lt;/full-title&gt;&lt;/periodical&gt;&lt;pages&gt;242-269&lt;/pages&gt;&lt;volume&gt;6&lt;/volume&gt;&lt;number&gt;3&lt;/number&gt;&lt;dates&gt;&lt;year&gt;1938&lt;/year&gt;&lt;/dates&gt;&lt;urls&gt;&lt;/urls&gt;&lt;/record&gt;&lt;/Cite&gt;&lt;/EndNote&gt;</w:instrText>
      </w:r>
      <w:r w:rsidR="00C04337">
        <w:fldChar w:fldCharType="separate"/>
      </w:r>
      <w:r>
        <w:rPr>
          <w:noProof/>
        </w:rPr>
        <w:t xml:space="preserve">Ibid.: </w:t>
      </w:r>
      <w:r w:rsidR="00C04337">
        <w:fldChar w:fldCharType="end"/>
      </w:r>
      <w:r>
        <w:t>252.</w:t>
      </w:r>
    </w:p>
  </w:footnote>
  <w:footnote w:id="144">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&lt;EndNote&gt;&lt;Cite&gt;&lt;Author&gt;Hotelling&lt;/Author&gt;&lt;Year&gt;1939&lt;/Year&gt;&lt;RecNum&gt;699&lt;/RecNum&gt;&lt;DisplayText&gt;Hotelling, 1939: &lt;/DisplayText&gt;&lt;record&gt;&lt;rec-number&gt;699&lt;/rec-number&gt;&lt;foreign-keys&gt;&lt;key app="EN" db-id="5xwt9zxa6r5fesevwr5xzp97r95ev9wx9zpw" timestamp="1458686471"&gt;699&lt;/key&gt;&lt;key app="ENWeb" db-id=""&gt;0&lt;/key&gt;&lt;/foreign-keys&gt;&lt;ref-type name="Journal Article"&gt;17&lt;/ref-type&gt;&lt;contributors&gt;&lt;authors&gt;&lt;author&gt;Hotelling, Harold&lt;/author&gt;&lt;/authors&gt;&lt;/contributors&gt;&lt;titles&gt;&lt;title&gt;The Relation of Prices to Marginal Costs in an Optimum System&lt;/title&gt;&lt;secondary-title&gt;Econometrica&lt;/secondary-title&gt;&lt;/titles&gt;&lt;periodical&gt;&lt;full-title&gt;Econometrica&lt;/full-title&gt;&lt;/periodical&gt;&lt;pages&gt;151-155&lt;/pages&gt;&lt;volume&gt;7&lt;/volume&gt;&lt;number&gt;2&lt;/number&gt;&lt;dates&gt;&lt;year&gt;1939&lt;/year&gt;&lt;/dates&gt;&lt;urls&gt;&lt;/urls&gt;&lt;/record&gt;&lt;/Cite&gt;&lt;/EndNote&gt;</w:instrText>
      </w:r>
      <w:r w:rsidR="00C04337">
        <w:fldChar w:fldCharType="separate"/>
      </w:r>
      <w:r>
        <w:rPr>
          <w:noProof/>
        </w:rPr>
        <w:t xml:space="preserve">Hotelling, 1939: </w:t>
      </w:r>
      <w:r w:rsidR="00C04337">
        <w:fldChar w:fldCharType="end"/>
      </w:r>
      <w:r>
        <w:t>151.</w:t>
      </w:r>
    </w:p>
  </w:footnote>
  <w:footnote w:id="145">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&lt;EndNote&gt;&lt;Cite&gt;&lt;Author&gt;Hotelling&lt;/Author&gt;&lt;Year&gt;1938&lt;/Year&gt;&lt;RecNum&gt;698&lt;/RecNum&gt;&lt;DisplayText&gt;Hotelling, 1938: &lt;/DisplayText&gt;&lt;record&gt;&lt;rec-number&gt;698&lt;/rec-number&gt;&lt;foreign-keys&gt;&lt;key app="EN" db-id="5xwt9zxa6r5fesevwr5xzp97r95ev9wx9zpw" timestamp="1458686389"&gt;698&lt;/key&gt;&lt;key app="ENWeb" db-id=""&gt;0&lt;/key&gt;&lt;/foreign-keys&gt;&lt;ref-type name="Journal Article"&gt;17&lt;/ref-type&gt;&lt;contributors&gt;&lt;authors&gt;&lt;author&gt;Hotelling, Harold&lt;/author&gt;&lt;/authors&gt;&lt;/contributors&gt;&lt;titles&gt;&lt;title&gt;The General Welfare in Relation to Problems of Taxation and of Railway and Utility Rates&lt;/title&gt;&lt;secondary-title&gt;Econometrica&lt;/secondary-title&gt;&lt;/titles&gt;&lt;periodical&gt;&lt;full-title&gt;Econometrica&lt;/full-title&gt;&lt;/periodical&gt;&lt;pages&gt;242-269&lt;/pages&gt;&lt;volume&gt;6&lt;/volume&gt;&lt;number&gt;3&lt;/number&gt;&lt;dates&gt;&lt;year&gt;1938&lt;/year&gt;&lt;/dates&gt;&lt;urls&gt;&lt;/urls&gt;&lt;/record&gt;&lt;/Cite&gt;&lt;/EndNote&gt;</w:instrText>
      </w:r>
      <w:r w:rsidR="00C04337">
        <w:fldChar w:fldCharType="separate"/>
      </w:r>
      <w:r>
        <w:rPr>
          <w:noProof/>
        </w:rPr>
        <w:t xml:space="preserve">Hotelling, 1938: </w:t>
      </w:r>
      <w:r w:rsidR="00C04337">
        <w:fldChar w:fldCharType="end"/>
      </w:r>
      <w:r>
        <w:t>268.</w:t>
      </w:r>
    </w:p>
  </w:footnote>
  <w:footnote w:id="146">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&lt;EndNote&gt;&lt;Cite&gt;&lt;Author&gt;Coase&lt;/Author&gt;&lt;Year&gt;1946&lt;/Year&gt;&lt;RecNum&gt;367&lt;/RecNum&gt;&lt;DisplayText&gt;Coase, 1946: &lt;/DisplayText&gt;&lt;record&gt;&lt;rec-number&gt;367&lt;/rec-number&gt;&lt;foreign-keys&gt;&lt;key app="EN" db-id="5xwt9zxa6r5fesevwr5xzp97r95ev9wx9zpw" timestamp="1387160988"&gt;367&lt;/key&gt;&lt;/foreign-keys&gt;&lt;ref-type name="Journal Article"&gt;17&lt;/ref-type&gt;&lt;contributors&gt;&lt;authors&gt;&lt;author&gt;Coase, Ronald H.&lt;/author&gt;&lt;/authors&gt;&lt;/contributors&gt;&lt;titles&gt;&lt;title&gt;Marginal Cost Controversy&lt;/title&gt;&lt;secondary-title&gt;Economica&lt;/secondary-title&gt;&lt;/titles&gt;&lt;periodical&gt;&lt;full-title&gt;Economica&lt;/full-title&gt;&lt;/periodical&gt;&lt;pages&gt;169-182&lt;/pages&gt;&lt;volume&gt;13&lt;/volume&gt;&lt;dates&gt;&lt;year&gt;1946&lt;/year&gt;&lt;/dates&gt;&lt;urls&gt;&lt;/urls&gt;&lt;/record&gt;&lt;/Cite&gt;&lt;/EndNote&gt;</w:instrText>
      </w:r>
      <w:r w:rsidR="00C04337">
        <w:fldChar w:fldCharType="separate"/>
      </w:r>
      <w:r>
        <w:rPr>
          <w:noProof/>
        </w:rPr>
        <w:t xml:space="preserve">Coase, 1946: </w:t>
      </w:r>
      <w:r w:rsidR="00C04337">
        <w:fldChar w:fldCharType="end"/>
      </w:r>
      <w:r>
        <w:t>169-82.</w:t>
      </w:r>
    </w:p>
  </w:footnote>
  <w:footnote w:id="147">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&lt;EndNote&gt;&lt;Cite&gt;&lt;Author&gt;Ruggles&lt;/Author&gt;&lt;Year&gt;1950&lt;/Year&gt;&lt;RecNum&gt;691&lt;/RecNum&gt;&lt;DisplayText&gt;Ruggles, 1950: &lt;/DisplayText&gt;&lt;record&gt;&lt;rec-number&gt;691&lt;/rec-number&gt;&lt;foreign-keys&gt;&lt;key app="EN" db-id="5xwt9zxa6r5fesevwr5xzp97r95ev9wx9zpw" timestamp="1458081158"&gt;691&lt;/key&gt;&lt;key app="ENWeb" db-id=""&gt;0&lt;/key&gt;&lt;/foreign-keys&gt;&lt;ref-type name="Journal Article"&gt;17&lt;/ref-type&gt;&lt;contributors&gt;&lt;authors&gt;&lt;author&gt;Ruggles, Nancy&lt;/author&gt;&lt;/authors&gt;&lt;/contributors&gt;&lt;titles&gt;&lt;title&gt;Recent Developments in the Theory of Marginal Cost Pricing&lt;/title&gt;&lt;secondary-title&gt;The Review of Economic Studies&lt;/secondary-title&gt;&lt;/titles&gt;&lt;periodical&gt;&lt;full-title&gt;The Review of Economic Studies&lt;/full-title&gt;&lt;/periodical&gt;&lt;pages&gt;107-126&lt;/pages&gt;&lt;volume&gt;17&lt;/volume&gt;&lt;number&gt;2&lt;/number&gt;&lt;dates&gt;&lt;year&gt;1950&lt;/year&gt;&lt;/dates&gt;&lt;urls&gt;&lt;/urls&gt;&lt;/record&gt;&lt;/Cite&gt;&lt;/EndNote&gt;</w:instrText>
      </w:r>
      <w:r w:rsidR="00C04337">
        <w:fldChar w:fldCharType="separate"/>
      </w:r>
      <w:r>
        <w:rPr>
          <w:noProof/>
        </w:rPr>
        <w:t xml:space="preserve">Ruggles, 1950: </w:t>
      </w:r>
      <w:r w:rsidR="00C04337">
        <w:fldChar w:fldCharType="end"/>
      </w:r>
      <w:r>
        <w:t>114-15.</w:t>
      </w:r>
    </w:p>
  </w:footnote>
  <w:footnote w:id="148">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&lt;EndNote&gt;&lt;Cite&gt;&lt;Author&gt;Coase&lt;/Author&gt;&lt;Year&gt;1946&lt;/Year&gt;&lt;RecNum&gt;367&lt;/RecNum&gt;&lt;DisplayText&gt;Coase, 1946: &lt;/DisplayText&gt;&lt;record&gt;&lt;rec-number&gt;367&lt;/rec-number&gt;&lt;foreign-keys&gt;&lt;key app="EN" db-id="5xwt9zxa6r5fesevwr5xzp97r95ev9wx9zpw" timestamp="1387160988"&gt;367&lt;/key&gt;&lt;/foreign-keys&gt;&lt;ref-type name="Journal Article"&gt;17&lt;/ref-type&gt;&lt;contributors&gt;&lt;authors&gt;&lt;author&gt;Coase, Ronald H.&lt;/author&gt;&lt;/authors&gt;&lt;/contributors&gt;&lt;titles&gt;&lt;title&gt;Marginal Cost Controversy&lt;/title&gt;&lt;secondary-title&gt;Economica&lt;/secondary-title&gt;&lt;/titles&gt;&lt;periodical&gt;&lt;full-title&gt;Economica&lt;/full-title&gt;&lt;/periodical&gt;&lt;pages&gt;169-182&lt;/pages&gt;&lt;volume&gt;13&lt;/volume&gt;&lt;dates&gt;&lt;year&gt;1946&lt;/year&gt;&lt;/dates&gt;&lt;urls&gt;&lt;/urls&gt;&lt;/record&gt;&lt;/Cite&gt;&lt;/EndNote&gt;</w:instrText>
      </w:r>
      <w:r w:rsidR="00C04337">
        <w:fldChar w:fldCharType="separate"/>
      </w:r>
      <w:r>
        <w:rPr>
          <w:noProof/>
        </w:rPr>
        <w:t xml:space="preserve">Coase, 1946: </w:t>
      </w:r>
      <w:r w:rsidR="00C04337">
        <w:fldChar w:fldCharType="end"/>
      </w:r>
      <w:r>
        <w:t>173.</w:t>
      </w:r>
    </w:p>
  </w:footnote>
  <w:footnote w:id="149">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&lt;EndNote&gt;&lt;Cite&gt;&lt;Author&gt;Vickrey&lt;/Author&gt;&lt;Year&gt;1948&lt;/Year&gt;&lt;RecNum&gt;701&lt;/RecNum&gt;&lt;DisplayText&gt;Vickrey, 1948: &lt;/DisplayText&gt;&lt;record&gt;&lt;rec-number&gt;701&lt;/rec-number&gt;&lt;foreign-keys&gt;&lt;key app="EN" db-id="5xwt9zxa6r5fesevwr5xzp97r95ev9wx9zpw" timestamp="1458784913"&gt;701&lt;/key&gt;&lt;key app="ENWeb" db-id=""&gt;0&lt;/key&gt;&lt;/foreign-keys&gt;&lt;ref-type name="Journal Article"&gt;17&lt;/ref-type&gt;&lt;contributors&gt;&lt;authors&gt;&lt;author&gt;Vickrey, William&lt;/author&gt;&lt;/authors&gt;&lt;/contributors&gt;&lt;titles&gt;&lt;title&gt;Some Objections to Marginal-Cost Pricing&lt;/title&gt;&lt;secondary-title&gt;The Journal of Political Economy&lt;/secondary-title&gt;&lt;/titles&gt;&lt;periodical&gt;&lt;full-title&gt;The Journal of Political Economy&lt;/full-title&gt;&lt;/periodical&gt;&lt;pages&gt;218-238&lt;/pages&gt;&lt;volume&gt;56&lt;/volume&gt;&lt;number&gt;3&lt;/number&gt;&lt;dates&gt;&lt;year&gt;1948&lt;/year&gt;&lt;/dates&gt;&lt;urls&gt;&lt;/urls&gt;&lt;/record&gt;&lt;/Cite&gt;&lt;/EndNote&gt;</w:instrText>
      </w:r>
      <w:r w:rsidR="00C04337">
        <w:fldChar w:fldCharType="separate"/>
      </w:r>
      <w:r>
        <w:rPr>
          <w:noProof/>
        </w:rPr>
        <w:t xml:space="preserve">Vickrey, 1948: </w:t>
      </w:r>
      <w:r w:rsidR="00C04337">
        <w:fldChar w:fldCharType="end"/>
      </w:r>
      <w:r>
        <w:t>218-38.</w:t>
      </w:r>
    </w:p>
  </w:footnote>
  <w:footnote w:id="150">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&lt;EndNote&gt;&lt;Cite&gt;&lt;Author&gt;Vickrey&lt;/Author&gt;&lt;Year&gt;1948&lt;/Year&gt;&lt;RecNum&gt;701&lt;/RecNum&gt;&lt;DisplayText&gt;Ibid.: &lt;/DisplayText&gt;&lt;record&gt;&lt;rec-number&gt;701&lt;/rec-number&gt;&lt;foreign-keys&gt;&lt;key app="EN" db-id="5xwt9zxa6r5fesevwr5xzp97r95ev9wx9zpw" timestamp="1458784913"&gt;701&lt;/key&gt;&lt;key app="ENWeb" db-id=""&gt;0&lt;/key&gt;&lt;/foreign-keys&gt;&lt;ref-type name="Journal Article"&gt;17&lt;/ref-type&gt;&lt;contributors&gt;&lt;authors&gt;&lt;author&gt;Vickrey, William&lt;/author&gt;&lt;/authors&gt;&lt;/contributors&gt;&lt;titles&gt;&lt;title&gt;Some Objections to Marginal-Cost Pricing&lt;/title&gt;&lt;secondary-title&gt;The Journal of Political Economy&lt;/secondary-title&gt;&lt;/titles&gt;&lt;periodical&gt;&lt;full-title&gt;The Journal of Political Economy&lt;/full-title&gt;&lt;/periodical&gt;&lt;pages&gt;218-238&lt;/pages&gt;&lt;volume&gt;56&lt;/volume&gt;&lt;number&gt;3&lt;/number&gt;&lt;dates&gt;&lt;year&gt;1948&lt;/year&gt;&lt;/dates&gt;&lt;urls&gt;&lt;/urls&gt;&lt;/record&gt;&lt;/Cite&gt;&lt;/EndNote&gt;</w:instrText>
      </w:r>
      <w:r w:rsidR="00C04337">
        <w:fldChar w:fldCharType="separate"/>
      </w:r>
      <w:r>
        <w:rPr>
          <w:noProof/>
        </w:rPr>
        <w:t xml:space="preserve">Ibid.: </w:t>
      </w:r>
      <w:r w:rsidR="00C04337">
        <w:fldChar w:fldCharType="end"/>
      </w:r>
      <w:r>
        <w:t>237.</w:t>
      </w:r>
    </w:p>
  </w:footnote>
  <w:footnote w:id="151">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&lt;EndNote&gt;&lt;Cite&gt;&lt;Author&gt;Vickrey&lt;/Author&gt;&lt;Year&gt;1955&lt;/Year&gt;&lt;RecNum&gt;213&lt;/RecNum&gt;&lt;DisplayText&gt;Vickrey, 1955: &lt;/DisplayText&gt;&lt;record&gt;&lt;rec-number&gt;213&lt;/rec-number&gt;&lt;foreign-keys&gt;&lt;key app="EN" db-id="5xwt9zxa6r5fesevwr5xzp97r95ev9wx9zpw" timestamp="1375249251"&gt;213&lt;/key&gt;&lt;/foreign-keys&gt;&lt;ref-type name="Journal Article"&gt;17&lt;/ref-type&gt;&lt;contributors&gt;&lt;authors&gt;&lt;author&gt;Vickrey, William&lt;/author&gt;&lt;/authors&gt;&lt;/contributors&gt;&lt;titles&gt;&lt;title&gt;Some implications of marginal cost pricing for utilities&lt;/title&gt;&lt;secondary-title&gt;The American Economic Review&lt;/secondary-title&gt;&lt;/titles&gt;&lt;periodical&gt;&lt;full-title&gt;The American Economic Review&lt;/full-title&gt;&lt;/periodical&gt;&lt;pages&gt;605-620&lt;/pages&gt;&lt;volume&gt;45&lt;/volume&gt;&lt;number&gt;No. 2&lt;/number&gt;&lt;dates&gt;&lt;year&gt;1955&lt;/year&gt;&lt;/dates&gt;&lt;urls&gt;&lt;/urls&gt;&lt;/record&gt;&lt;/Cite&gt;&lt;/EndNote&gt;</w:instrText>
      </w:r>
      <w:r w:rsidR="00C04337">
        <w:fldChar w:fldCharType="separate"/>
      </w:r>
      <w:r>
        <w:rPr>
          <w:noProof/>
        </w:rPr>
        <w:t xml:space="preserve">Vickrey, 1955: </w:t>
      </w:r>
      <w:r w:rsidR="00C04337">
        <w:fldChar w:fldCharType="end"/>
      </w:r>
      <w:r>
        <w:t>238.</w:t>
      </w:r>
    </w:p>
  </w:footnote>
  <w:footnote w:id="152">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&lt;EndNote&gt;&lt;Cite&gt;&lt;Author&gt;Vickrey&lt;/Author&gt;&lt;Year&gt;1955&lt;/Year&gt;&lt;RecNum&gt;213&lt;/RecNum&gt;&lt;DisplayText&gt;Ibid.: &lt;/DisplayText&gt;&lt;record&gt;&lt;rec-number&gt;213&lt;/rec-number&gt;&lt;foreign-keys&gt;&lt;key app="EN" db-id="5xwt9zxa6r5fesevwr5xzp97r95ev9wx9zpw" timestamp="1375249251"&gt;213&lt;/key&gt;&lt;/foreign-keys&gt;&lt;ref-type name="Journal Article"&gt;17&lt;/ref-type&gt;&lt;contributors&gt;&lt;authors&gt;&lt;author&gt;Vickrey, William&lt;/author&gt;&lt;/authors&gt;&lt;/contributors&gt;&lt;titles&gt;&lt;title&gt;Some implications of marginal cost pricing for utilities&lt;/title&gt;&lt;secondary-title&gt;The American Economic Review&lt;/secondary-title&gt;&lt;/titles&gt;&lt;periodical&gt;&lt;full-title&gt;The American Economic Review&lt;/full-title&gt;&lt;/periodical&gt;&lt;pages&gt;605-620&lt;/pages&gt;&lt;volume&gt;45&lt;/volume&gt;&lt;number&gt;No. 2&lt;/number&gt;&lt;dates&gt;&lt;year&gt;1955&lt;/year&gt;&lt;/dates&gt;&lt;urls&gt;&lt;/urls&gt;&lt;/record&gt;&lt;/Cite&gt;&lt;/EndNote&gt;</w:instrText>
      </w:r>
      <w:r w:rsidR="00C04337">
        <w:fldChar w:fldCharType="separate"/>
      </w:r>
      <w:r>
        <w:rPr>
          <w:noProof/>
        </w:rPr>
        <w:t xml:space="preserve">Ibid.: </w:t>
      </w:r>
      <w:r w:rsidR="00C04337">
        <w:fldChar w:fldCharType="end"/>
      </w:r>
      <w:r>
        <w:t>605-20.</w:t>
      </w:r>
    </w:p>
  </w:footnote>
  <w:footnote w:id="153">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&lt;EndNote&gt;&lt;Cite&gt;&lt;Author&gt;Vickrey&lt;/Author&gt;&lt;Year&gt;1955&lt;/Year&gt;&lt;RecNum&gt;213&lt;/RecNum&gt;&lt;DisplayText&gt;Ibid.: &lt;/DisplayText&gt;&lt;record&gt;&lt;rec-number&gt;213&lt;/rec-number&gt;&lt;foreign-keys&gt;&lt;key app="EN" db-id="5xwt9zxa6r5fesevwr5xzp97r95ev9wx9zpw" timestamp="1375249251"&gt;213&lt;/key&gt;&lt;/foreign-keys&gt;&lt;ref-type name="Journal Article"&gt;17&lt;/ref-type&gt;&lt;contributors&gt;&lt;authors&gt;&lt;author&gt;Vickrey, William&lt;/author&gt;&lt;/authors&gt;&lt;/contributors&gt;&lt;titles&gt;&lt;title&gt;Some implications of marginal cost pricing for utilities&lt;/title&gt;&lt;secondary-title&gt;The American Economic Review&lt;/secondary-title&gt;&lt;/titles&gt;&lt;periodical&gt;&lt;full-title&gt;The American Economic Review&lt;/full-title&gt;&lt;/periodical&gt;&lt;pages&gt;605-620&lt;/pages&gt;&lt;volume&gt;45&lt;/volume&gt;&lt;number&gt;No. 2&lt;/number&gt;&lt;dates&gt;&lt;year&gt;1955&lt;/year&gt;&lt;/dates&gt;&lt;urls&gt;&lt;/urls&gt;&lt;/record&gt;&lt;/Cite&gt;&lt;/EndNote&gt;</w:instrText>
      </w:r>
      <w:r w:rsidR="00C04337">
        <w:fldChar w:fldCharType="separate"/>
      </w:r>
      <w:r>
        <w:rPr>
          <w:noProof/>
        </w:rPr>
        <w:t xml:space="preserve">Ibid.: </w:t>
      </w:r>
      <w:r w:rsidR="00C04337">
        <w:fldChar w:fldCharType="end"/>
      </w:r>
      <w:r>
        <w:t>605.</w:t>
      </w:r>
    </w:p>
  </w:footnote>
  <w:footnote w:id="154">
    <w:p w:rsidR="00F231C9" w:rsidRDefault="00F231C9" w:rsidP="009B2648">
      <w:pPr>
        <w:pStyle w:val="FootnoteText"/>
      </w:pPr>
      <w:r>
        <w:rPr>
          <w:rStyle w:val="FootnoteReference"/>
        </w:rPr>
        <w:footnoteRef/>
      </w:r>
      <w:r>
        <w:t xml:space="preserve"> </w:t>
      </w:r>
      <w:r w:rsidR="00C04337">
        <w:fldChar w:fldCharType="begin"/>
      </w:r>
      <w:r>
        <w:instrText xml:space="preserve"> ADDIN EN.CITE &lt;EndNote&gt;&lt;Cite&gt;&lt;Author&gt;Coase&lt;/Author&gt;&lt;Year&gt;1970&lt;/Year&gt;&lt;RecNum&gt;217&lt;/RecNum&gt;&lt;DisplayText&gt;Coase, 1970: &lt;/DisplayText&gt;&lt;record&gt;&lt;rec-number&gt;217&lt;/rec-number&gt;&lt;foreign-keys&gt;&lt;key app="EN" db-id="5xwt9zxa6r5fesevwr5xzp97r95ev9wx9zpw" timestamp="1375310961"&gt;217&lt;/key&gt;&lt;/foreign-keys&gt;&lt;ref-type name="Journal Article"&gt;17&lt;/ref-type&gt;&lt;contributors&gt;&lt;authors&gt;&lt;author&gt;Coase, Ronald H.&lt;/author&gt;&lt;/authors&gt;&lt;/contributors&gt;&lt;titles&gt;&lt;title&gt;The theory of public utility pricing and its application&lt;/title&gt;&lt;secondary-title&gt;The Bell Journal of Economics and Management Science&lt;/secondary-title&gt;&lt;/titles&gt;&lt;periodical&gt;&lt;full-title&gt;The Bell Journal of Economics and Management Science&lt;/full-title&gt;&lt;/periodical&gt;&lt;pages&gt;113-128&lt;/pages&gt;&lt;volume&gt;1&lt;/volume&gt;&lt;number&gt;No. 1&lt;/number&gt;&lt;dates&gt;&lt;year&gt;1970&lt;/year&gt;&lt;/dates&gt;&lt;urls&gt;&lt;/urls&gt;&lt;/record&gt;&lt;/Cite&gt;&lt;/EndNote&gt;</w:instrText>
      </w:r>
      <w:r w:rsidR="00C04337">
        <w:fldChar w:fldCharType="separate"/>
      </w:r>
      <w:r>
        <w:rPr>
          <w:noProof/>
        </w:rPr>
        <w:t xml:space="preserve">Coase, 1970: </w:t>
      </w:r>
      <w:r w:rsidR="00C04337">
        <w:fldChar w:fldCharType="end"/>
      </w:r>
      <w:r>
        <w:t>122.</w:t>
      </w:r>
    </w:p>
  </w:footnote>
  <w:footnote w:id="155">
    <w:p w:rsidR="00F231C9" w:rsidRDefault="00F231C9" w:rsidP="009B2648">
      <w:pPr>
        <w:pStyle w:val="FootnoteText"/>
      </w:pPr>
      <w:r>
        <w:rPr>
          <w:rStyle w:val="FootnoteReference"/>
        </w:rPr>
        <w:footnoteRef/>
      </w:r>
      <w:r>
        <w:t xml:space="preserve"> </w:t>
      </w:r>
      <w:r>
        <w:rPr>
          <w:noProof/>
        </w:rPr>
        <w:t xml:space="preserve">Brown, Heller and Starr, 1992: </w:t>
      </w:r>
      <w:r>
        <w:t>71.</w:t>
      </w:r>
    </w:p>
  </w:footnote>
  <w:footnote w:id="156">
    <w:p w:rsidR="00F231C9" w:rsidRDefault="00F231C9" w:rsidP="009B2648">
      <w:pPr>
        <w:pStyle w:val="FootnoteText"/>
      </w:pPr>
      <w:r>
        <w:rPr>
          <w:rStyle w:val="FootnoteReference"/>
        </w:rPr>
        <w:footnoteRef/>
      </w:r>
      <w:r>
        <w:t xml:space="preserve"> </w:t>
      </w:r>
      <w:r>
        <w:rPr>
          <w:noProof/>
        </w:rPr>
        <w:t xml:space="preserve">Train, 1991: </w:t>
      </w:r>
      <w:r>
        <w:t>191.</w:t>
      </w:r>
    </w:p>
  </w:footnote>
  <w:footnote w:id="157">
    <w:p w:rsidR="00F231C9" w:rsidRDefault="00F231C9" w:rsidP="009B2648">
      <w:pPr>
        <w:pStyle w:val="FootnoteText"/>
        <w:spacing w:before="120"/>
      </w:pPr>
      <w:r>
        <w:rPr>
          <w:rStyle w:val="FootnoteReference"/>
        </w:rPr>
        <w:footnoteRef/>
      </w:r>
      <w:r>
        <w:t xml:space="preserve"> Random data generated using numerical methods to match the statistical properties of the historical time series data. </w:t>
      </w:r>
    </w:p>
  </w:footnote>
  <w:footnote w:id="158">
    <w:p w:rsidR="00F231C9" w:rsidRDefault="00F231C9" w:rsidP="009B2648">
      <w:pPr>
        <w:pStyle w:val="FootnoteText"/>
        <w:spacing w:before="120"/>
      </w:pPr>
      <w:r>
        <w:rPr>
          <w:rStyle w:val="FootnoteReference"/>
        </w:rPr>
        <w:footnoteRef/>
      </w:r>
      <w:r>
        <w:t xml:space="preserve"> Unrestricted demand is the output of the demand model before any reduction in demand due to temporary water restrictions is applied. </w:t>
      </w:r>
    </w:p>
  </w:footnote>
  <w:footnote w:id="159">
    <w:p w:rsidR="00F231C9" w:rsidRDefault="00F231C9" w:rsidP="009B2648">
      <w:pPr>
        <w:pStyle w:val="FootnoteText"/>
      </w:pPr>
      <w:r>
        <w:rPr>
          <w:rStyle w:val="FootnoteReference"/>
        </w:rPr>
        <w:footnoteRef/>
      </w:r>
      <w:r>
        <w:t xml:space="preserve"> A linear program-based water supply system simulation model that optimises water allocation within a network for each time step of the simulation period, in accordance with user-defined operating rules.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pPr>
      <w:spacing w:after="0" w:line="240" w:lineRule="aut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CF59A9">
    <w:pPr>
      <w:spacing w:after="0"/>
    </w:pPr>
  </w:p>
  <w:p w:rsidR="00F231C9" w:rsidRDefault="00F231C9" w:rsidP="00CF59A9">
    <w:pPr>
      <w:spacing w:after="0"/>
    </w:pPr>
  </w:p>
  <w:p w:rsidR="00F231C9" w:rsidRDefault="00F231C9" w:rsidP="00CF59A9">
    <w:pPr>
      <w:pStyle w:val="Headereven"/>
    </w:pPr>
  </w:p>
  <w:p w:rsidR="00F231C9" w:rsidRPr="00CF59A9" w:rsidRDefault="00F231C9" w:rsidP="00CF59A9">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jc w:val="right"/>
    </w:pPr>
  </w:p>
  <w:p w:rsidR="00F231C9" w:rsidRDefault="00F231C9" w:rsidP="00D67976">
    <w:pPr>
      <w:spacing w:after="0"/>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jc w:val="right"/>
    </w:pPr>
  </w:p>
  <w:p w:rsidR="00F231C9" w:rsidRDefault="00F231C9" w:rsidP="00D67976">
    <w:pPr>
      <w:spacing w:after="0"/>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jc w:val="right"/>
    </w:pPr>
  </w:p>
  <w:p w:rsidR="00F231C9" w:rsidRPr="0048615F" w:rsidRDefault="00F231C9" w:rsidP="00522FB8">
    <w:pPr>
      <w:pStyle w:val="Headerodd"/>
      <w:rPr>
        <w:color w:val="auto"/>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pPr>
  </w:p>
  <w:p w:rsidR="00F231C9" w:rsidRDefault="00F231C9" w:rsidP="00D67976">
    <w:pPr>
      <w:spacing w:after="0"/>
    </w:pPr>
  </w:p>
  <w:p w:rsidR="00F231C9" w:rsidRDefault="00C04337" w:rsidP="00502D80">
    <w:pPr>
      <w:pStyle w:val="Headereven"/>
    </w:pPr>
    <w:r>
      <w:fldChar w:fldCharType="begin"/>
    </w:r>
    <w:r w:rsidR="00F231C9">
      <w:instrText xml:space="preserve"> REF _Ref338172668 \r \h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_Ref338172668 \h </w:instrText>
    </w:r>
    <w:r>
      <w:fldChar w:fldCharType="separate"/>
    </w:r>
    <w:r w:rsidR="00027D28">
      <w:rPr>
        <w:b/>
        <w:bCs/>
        <w:lang w:val="en-US"/>
      </w:rPr>
      <w:t>Error! Reference source not found.</w:t>
    </w:r>
    <w:r>
      <w:fldChar w:fldCharType="end"/>
    </w:r>
  </w:p>
  <w:p w:rsidR="00F231C9" w:rsidRDefault="00C04337" w:rsidP="00502D80">
    <w:pPr>
      <w:pStyle w:val="Headereven"/>
    </w:pPr>
    <w:r>
      <w:fldChar w:fldCharType="begin"/>
    </w:r>
    <w:r w:rsidR="00F231C9">
      <w:instrText xml:space="preserve"> REF _Ref349552358 \r \h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_Ref349552358 \h </w:instrText>
    </w:r>
    <w:r>
      <w:fldChar w:fldCharType="separate"/>
    </w:r>
    <w:r w:rsidR="00027D28">
      <w:rPr>
        <w:b/>
        <w:bCs/>
        <w:lang w:val="en-US"/>
      </w:rPr>
      <w:t>Error! Reference source not found.</w:t>
    </w:r>
    <w: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jc w:val="right"/>
    </w:pPr>
  </w:p>
  <w:p w:rsidR="00F231C9" w:rsidRDefault="00F231C9" w:rsidP="00D67976">
    <w:pPr>
      <w:spacing w:after="0"/>
      <w:jc w:val="right"/>
    </w:pPr>
  </w:p>
  <w:p w:rsidR="00F231C9" w:rsidRDefault="00F231C9" w:rsidP="00502D80">
    <w:pPr>
      <w:pStyle w:val="Headerodd"/>
    </w:pPr>
  </w:p>
  <w:p w:rsidR="00F231C9" w:rsidRPr="00790F62" w:rsidRDefault="00F231C9" w:rsidP="00502D80">
    <w:pPr>
      <w:pStyle w:val="Headerodd"/>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pPr>
  </w:p>
  <w:p w:rsidR="00F231C9" w:rsidRDefault="00F231C9" w:rsidP="00D67976">
    <w:pPr>
      <w:spacing w:after="0"/>
    </w:pPr>
  </w:p>
  <w:p w:rsidR="00F231C9" w:rsidRDefault="00C04337" w:rsidP="00502D80">
    <w:pPr>
      <w:pStyle w:val="Headereven"/>
    </w:pPr>
    <w:r>
      <w:fldChar w:fldCharType="begin"/>
    </w:r>
    <w:r w:rsidR="00F231C9">
      <w:instrText xml:space="preserve"> REF _Ref364695177 \r \h </w:instrText>
    </w:r>
    <w:r>
      <w:fldChar w:fldCharType="separate"/>
    </w:r>
    <w:r w:rsidR="00027D28">
      <w:t>1</w:t>
    </w:r>
    <w:r>
      <w:fldChar w:fldCharType="end"/>
    </w:r>
    <w:r w:rsidR="00F231C9">
      <w:t xml:space="preserve"> – </w:t>
    </w:r>
    <w:r>
      <w:fldChar w:fldCharType="begin"/>
    </w:r>
    <w:r w:rsidR="00F231C9">
      <w:instrText xml:space="preserve"> REF _Ref364695177 \h </w:instrText>
    </w:r>
    <w:r>
      <w:fldChar w:fldCharType="separate"/>
    </w:r>
    <w:r w:rsidR="00027D28">
      <w:t>Introduction</w:t>
    </w:r>
    <w: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jc w:val="right"/>
    </w:pPr>
  </w:p>
  <w:p w:rsidR="00F231C9" w:rsidRDefault="00F231C9" w:rsidP="00D67976">
    <w:pPr>
      <w:spacing w:after="0"/>
      <w:jc w:val="right"/>
    </w:pPr>
  </w:p>
  <w:p w:rsidR="00F231C9" w:rsidRPr="00790F62" w:rsidRDefault="00C04337" w:rsidP="00502D80">
    <w:pPr>
      <w:pStyle w:val="Headerodd"/>
    </w:pPr>
    <w:r>
      <w:fldChar w:fldCharType="begin"/>
    </w:r>
    <w:r w:rsidR="00F231C9">
      <w:instrText xml:space="preserve"> PAGEREF _Ref364695177 \h </w:instrText>
    </w:r>
    <w:r>
      <w:fldChar w:fldCharType="separate"/>
    </w:r>
    <w:r w:rsidR="004612FF">
      <w:rPr>
        <w:noProof/>
      </w:rPr>
      <w:t>1</w:t>
    </w:r>
    <w:r>
      <w:fldChar w:fldCharType="end"/>
    </w:r>
    <w:r w:rsidR="00F231C9">
      <w:t xml:space="preserve"> – </w:t>
    </w:r>
    <w:r>
      <w:fldChar w:fldCharType="begin"/>
    </w:r>
    <w:r w:rsidR="00F231C9">
      <w:instrText xml:space="preserve"> REF _Ref364695177 \h </w:instrText>
    </w:r>
    <w:r>
      <w:fldChar w:fldCharType="separate"/>
    </w:r>
    <w:r w:rsidR="00027D28">
      <w:t>Introduction</w:t>
    </w:r>
    <w: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pPr>
  </w:p>
  <w:p w:rsidR="00F231C9" w:rsidRDefault="00F231C9" w:rsidP="00D67976">
    <w:pPr>
      <w:spacing w:after="0"/>
    </w:pPr>
  </w:p>
  <w:p w:rsidR="00F231C9" w:rsidRDefault="00F231C9" w:rsidP="00502D80">
    <w:pPr>
      <w:pStyle w:val="Headereven"/>
    </w:pPr>
  </w:p>
  <w:p w:rsidR="00F231C9" w:rsidRDefault="00C04337" w:rsidP="00502D80">
    <w:pPr>
      <w:pStyle w:val="Headereven"/>
    </w:pPr>
    <w:r>
      <w:fldChar w:fldCharType="begin"/>
    </w:r>
    <w:r w:rsidR="00F231C9">
      <w:instrText xml:space="preserve"> REF _Ref364695177 \r \h </w:instrText>
    </w:r>
    <w:r>
      <w:fldChar w:fldCharType="separate"/>
    </w:r>
    <w:r w:rsidR="00027D28">
      <w:t>1</w:t>
    </w:r>
    <w:r>
      <w:fldChar w:fldCharType="end"/>
    </w:r>
    <w:r w:rsidR="00F231C9">
      <w:t xml:space="preserve"> – </w:t>
    </w:r>
    <w:r>
      <w:fldChar w:fldCharType="begin"/>
    </w:r>
    <w:r w:rsidR="00F231C9">
      <w:instrText xml:space="preserve"> REF _Ref364695177 \h </w:instrText>
    </w:r>
    <w:r>
      <w:fldChar w:fldCharType="separate"/>
    </w:r>
    <w:r w:rsidR="00027D28">
      <w:t>Introduction</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Pr="00EC19F8" w:rsidRDefault="00C04337" w:rsidP="00EF6AF3">
    <w:pPr>
      <w:jc w:val="center"/>
      <w:rPr>
        <w:sz w:val="44"/>
      </w:rPr>
    </w:pPr>
    <w:r>
      <w:rPr>
        <w:noProof/>
        <w:sz w:val="44"/>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8" o:spid="_x0000_s2131" type="#_x0000_t75" style="position:absolute;left:0;text-align:left;margin-left:0;margin-top:0;width:416.3pt;height:662.55pt;z-index:-251626496;mso-position-horizontal:center;mso-position-horizontal-relative:margin;mso-position-vertical:center;mso-position-vertical-relative:margin" o:allowincell="f">
          <v:imagedata r:id="rId1" o:title="ICRC_reports_cover"/>
          <w10:wrap anchorx="margin" anchory="margin"/>
        </v:shape>
      </w:pict>
    </w:r>
    <w:r w:rsidR="00F231C9" w:rsidRPr="00EC19F8">
      <w:rPr>
        <w:sz w:val="44"/>
      </w:rPr>
      <w:t>Commission-in-Confidence</w:t>
    </w:r>
  </w:p>
  <w:p w:rsidR="00F231C9" w:rsidRDefault="00F231C9"/>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jc w:val="right"/>
    </w:pPr>
  </w:p>
  <w:p w:rsidR="00F231C9" w:rsidRDefault="00F231C9" w:rsidP="00D67976">
    <w:pPr>
      <w:spacing w:after="0"/>
      <w:jc w:val="right"/>
    </w:pPr>
  </w:p>
  <w:p w:rsidR="00F231C9" w:rsidRDefault="00F231C9" w:rsidP="00502D80">
    <w:pPr>
      <w:pStyle w:val="Headerodd"/>
    </w:pPr>
  </w:p>
  <w:p w:rsidR="00F231C9" w:rsidRPr="00790F62" w:rsidRDefault="00F231C9" w:rsidP="00502D80">
    <w:pPr>
      <w:pStyle w:val="Headerodd"/>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pPr>
  </w:p>
  <w:p w:rsidR="00F231C9" w:rsidRDefault="00F231C9" w:rsidP="00D67976">
    <w:pPr>
      <w:spacing w:after="0"/>
    </w:pPr>
  </w:p>
  <w:p w:rsidR="00F231C9" w:rsidRDefault="00C04337" w:rsidP="00502D80">
    <w:pPr>
      <w:pStyle w:val="Headereven"/>
    </w:pPr>
    <w:r>
      <w:fldChar w:fldCharType="begin"/>
    </w:r>
    <w:r w:rsidR="00F231C9">
      <w:instrText xml:space="preserve"> REF _Ref447870428 \r \h </w:instrText>
    </w:r>
    <w:r>
      <w:fldChar w:fldCharType="separate"/>
    </w:r>
    <w:r w:rsidR="00027D28">
      <w:t>2</w:t>
    </w:r>
    <w:r>
      <w:fldChar w:fldCharType="end"/>
    </w:r>
    <w:r w:rsidR="00F231C9">
      <w:t xml:space="preserve"> – </w:t>
    </w:r>
    <w:r>
      <w:fldChar w:fldCharType="begin"/>
    </w:r>
    <w:r w:rsidR="00F231C9">
      <w:instrText xml:space="preserve"> REF _Ref447870428 \h </w:instrText>
    </w:r>
    <w:r>
      <w:fldChar w:fldCharType="separate"/>
    </w:r>
    <w:r w:rsidR="00027D28">
      <w:t xml:space="preserve">Theory and application of marginal cost pricing </w:t>
    </w:r>
    <w: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jc w:val="right"/>
    </w:pPr>
  </w:p>
  <w:p w:rsidR="00F231C9" w:rsidRDefault="00F231C9" w:rsidP="00D67976">
    <w:pPr>
      <w:spacing w:after="0"/>
      <w:jc w:val="right"/>
    </w:pPr>
  </w:p>
  <w:p w:rsidR="00F231C9" w:rsidRPr="00790F62" w:rsidRDefault="00C04337" w:rsidP="00E809D3">
    <w:pPr>
      <w:pStyle w:val="Headerodd"/>
    </w:pPr>
    <w:r>
      <w:fldChar w:fldCharType="begin"/>
    </w:r>
    <w:r w:rsidR="00F231C9">
      <w:instrText xml:space="preserve"> REF _Ref447870428 \r \h </w:instrText>
    </w:r>
    <w:r>
      <w:fldChar w:fldCharType="separate"/>
    </w:r>
    <w:r w:rsidR="00027D28">
      <w:t>2</w:t>
    </w:r>
    <w:r>
      <w:fldChar w:fldCharType="end"/>
    </w:r>
    <w:r w:rsidR="00F231C9">
      <w:t xml:space="preserve"> – </w:t>
    </w:r>
    <w:r>
      <w:fldChar w:fldCharType="begin"/>
    </w:r>
    <w:r w:rsidR="00F231C9">
      <w:instrText xml:space="preserve"> REF _Ref447870428 \h </w:instrText>
    </w:r>
    <w:r>
      <w:fldChar w:fldCharType="separate"/>
    </w:r>
    <w:r w:rsidR="00027D28">
      <w:t xml:space="preserve">Theory and application of marginal cost pricing </w:t>
    </w:r>
    <w: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pPr>
  </w:p>
  <w:p w:rsidR="00F231C9" w:rsidRDefault="00F231C9" w:rsidP="00ED2CCF">
    <w:pPr>
      <w:spacing w:after="0"/>
    </w:pPr>
  </w:p>
  <w:p w:rsidR="00F231C9" w:rsidRDefault="00C04337" w:rsidP="00A859E0">
    <w:pPr>
      <w:pStyle w:val="Headereven"/>
    </w:pPr>
    <w:r>
      <w:fldChar w:fldCharType="begin"/>
    </w:r>
    <w:r w:rsidR="00F231C9">
      <w:instrText xml:space="preserve"> REF _Ref338172668 \r \h  \* MERGEFORMAT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_Ref338172668 \h  \* MERGEFORMAT </w:instrText>
    </w:r>
    <w:r>
      <w:fldChar w:fldCharType="separate"/>
    </w:r>
    <w:r w:rsidR="00027D28">
      <w:rPr>
        <w:b/>
        <w:bCs/>
        <w:lang w:val="en-US"/>
      </w:rPr>
      <w:t>Error! Reference source not found.</w:t>
    </w:r>
    <w:r>
      <w:fldChar w:fldCharType="end"/>
    </w:r>
  </w:p>
  <w:p w:rsidR="00F231C9" w:rsidRPr="00EF3464" w:rsidRDefault="00C04337" w:rsidP="00A859E0">
    <w:pPr>
      <w:pStyle w:val="Headereven"/>
    </w:pPr>
    <w:r>
      <w:fldChar w:fldCharType="begin"/>
    </w:r>
    <w:r w:rsidR="00F231C9">
      <w:instrText xml:space="preserve"> REF _Ref348703089 \r \h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_Ref348703052 \h </w:instrText>
    </w:r>
    <w:r>
      <w:fldChar w:fldCharType="separate"/>
    </w:r>
    <w:r w:rsidR="00027D28">
      <w:rPr>
        <w:b/>
        <w:bCs/>
        <w:lang w:val="en-US"/>
      </w:rPr>
      <w:t>Error! Reference source not found.</w:t>
    </w:r>
    <w:r>
      <w:fldChar w:fldCharType="end"/>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jc w:val="right"/>
    </w:pPr>
  </w:p>
  <w:p w:rsidR="00F231C9" w:rsidRDefault="00F231C9" w:rsidP="00ED2CCF">
    <w:pPr>
      <w:spacing w:after="0"/>
      <w:jc w:val="right"/>
    </w:pPr>
  </w:p>
  <w:p w:rsidR="00F231C9" w:rsidRDefault="00F231C9" w:rsidP="00A859E0">
    <w:pPr>
      <w:pStyle w:val="Headerodd"/>
    </w:pPr>
  </w:p>
  <w:p w:rsidR="00F231C9" w:rsidRPr="00EF3464" w:rsidRDefault="00F231C9" w:rsidP="00A859E0">
    <w:pPr>
      <w:pStyle w:val="Headerodd"/>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2F3A80">
    <w:pPr>
      <w:pStyle w:val="Headereven"/>
    </w:pPr>
  </w:p>
  <w:p w:rsidR="00F231C9" w:rsidRDefault="00F231C9" w:rsidP="002F3A80">
    <w:pPr>
      <w:pStyle w:val="Headereven"/>
    </w:pPr>
  </w:p>
  <w:p w:rsidR="00F231C9" w:rsidRDefault="00C04337" w:rsidP="002F3A80">
    <w:pPr>
      <w:pStyle w:val="Headereven"/>
    </w:pPr>
    <w:r>
      <w:fldChar w:fldCharType="begin"/>
    </w:r>
    <w:r w:rsidR="00F231C9">
      <w:instrText xml:space="preserve"> REF _Ref448923205 \r \h </w:instrText>
    </w:r>
    <w:r>
      <w:fldChar w:fldCharType="separate"/>
    </w:r>
    <w:r w:rsidR="00027D28">
      <w:t>3</w:t>
    </w:r>
    <w:r>
      <w:fldChar w:fldCharType="end"/>
    </w:r>
    <w:r w:rsidR="00F231C9">
      <w:t xml:space="preserve"> – </w:t>
    </w:r>
    <w:r>
      <w:fldChar w:fldCharType="begin"/>
    </w:r>
    <w:r w:rsidR="00F231C9">
      <w:instrText xml:space="preserve"> REF _Ref448923205 \h </w:instrText>
    </w:r>
    <w:r>
      <w:fldChar w:fldCharType="separate"/>
    </w:r>
    <w:r w:rsidR="00027D28">
      <w:t>Measuring marginal cost</w:t>
    </w:r>
    <w:r>
      <w:fldChar w:fldCharType="end"/>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jc w:val="right"/>
    </w:pPr>
  </w:p>
  <w:p w:rsidR="00F231C9" w:rsidRDefault="00F231C9" w:rsidP="002F3A80">
    <w:pPr>
      <w:pStyle w:val="Headerodd"/>
    </w:pPr>
  </w:p>
  <w:p w:rsidR="00F231C9" w:rsidRDefault="00C04337" w:rsidP="002F3A80">
    <w:pPr>
      <w:pStyle w:val="Headerodd"/>
    </w:pPr>
    <w:r>
      <w:fldChar w:fldCharType="begin"/>
    </w:r>
    <w:r w:rsidR="00F231C9">
      <w:instrText xml:space="preserve"> REF _Ref448923205 \r \h </w:instrText>
    </w:r>
    <w:r>
      <w:fldChar w:fldCharType="separate"/>
    </w:r>
    <w:r w:rsidR="00027D28">
      <w:t>3</w:t>
    </w:r>
    <w:r>
      <w:fldChar w:fldCharType="end"/>
    </w:r>
    <w:r w:rsidR="00F231C9">
      <w:t xml:space="preserve"> – </w:t>
    </w:r>
    <w:r>
      <w:fldChar w:fldCharType="begin"/>
    </w:r>
    <w:r w:rsidR="00F231C9">
      <w:instrText xml:space="preserve"> REF _Ref448923205 \h </w:instrText>
    </w:r>
    <w:r>
      <w:fldChar w:fldCharType="separate"/>
    </w:r>
    <w:r w:rsidR="00027D28">
      <w:t>Measuring marginal cost</w:t>
    </w:r>
    <w:r>
      <w:fldChar w:fldCharType="end"/>
    </w:r>
  </w:p>
  <w:p w:rsidR="00F231C9" w:rsidRPr="0048615F" w:rsidRDefault="00F231C9" w:rsidP="00522FB8">
    <w:pPr>
      <w:pStyle w:val="Headerodd"/>
      <w:rPr>
        <w:color w:val="auto"/>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pPr>
  </w:p>
  <w:p w:rsidR="00F231C9" w:rsidRDefault="00F231C9" w:rsidP="00ED2CCF">
    <w:pPr>
      <w:spacing w:after="0"/>
    </w:pPr>
  </w:p>
  <w:p w:rsidR="00F231C9" w:rsidRDefault="00C04337" w:rsidP="00A859E0">
    <w:pPr>
      <w:pStyle w:val="Headereven"/>
    </w:pPr>
    <w:r>
      <w:fldChar w:fldCharType="begin"/>
    </w:r>
    <w:r w:rsidR="00F231C9">
      <w:instrText xml:space="preserve"> REF _Ref338172668 \r \h  \* MERGEFORMAT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_Ref338172668 \h  \* MERGEFORMAT </w:instrText>
    </w:r>
    <w:r>
      <w:fldChar w:fldCharType="separate"/>
    </w:r>
    <w:r w:rsidR="00027D28">
      <w:rPr>
        <w:b/>
        <w:bCs/>
        <w:lang w:val="en-US"/>
      </w:rPr>
      <w:t>Error! Reference source not found.</w:t>
    </w:r>
    <w:r>
      <w:fldChar w:fldCharType="end"/>
    </w:r>
  </w:p>
  <w:p w:rsidR="00F231C9" w:rsidRPr="00EF3464" w:rsidRDefault="00C04337" w:rsidP="00A859E0">
    <w:pPr>
      <w:pStyle w:val="Headereven"/>
    </w:pPr>
    <w:r>
      <w:fldChar w:fldCharType="begin"/>
    </w:r>
    <w:r w:rsidR="00F231C9">
      <w:instrText xml:space="preserve"> REF _Ref348703089 \r \h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_Ref348703052 \h </w:instrText>
    </w:r>
    <w:r>
      <w:fldChar w:fldCharType="separate"/>
    </w:r>
    <w:r w:rsidR="00027D28">
      <w:rPr>
        <w:b/>
        <w:bCs/>
        <w:lang w:val="en-US"/>
      </w:rPr>
      <w:t>Error! Reference source not found.</w:t>
    </w:r>
    <w:r>
      <w:fldChar w:fldCharType="end"/>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jc w:val="right"/>
    </w:pPr>
  </w:p>
  <w:p w:rsidR="00F231C9" w:rsidRDefault="00F231C9" w:rsidP="00ED2CCF">
    <w:pPr>
      <w:spacing w:after="0"/>
      <w:jc w:val="right"/>
    </w:pPr>
  </w:p>
  <w:p w:rsidR="00F231C9" w:rsidRDefault="00F231C9" w:rsidP="00A859E0">
    <w:pPr>
      <w:pStyle w:val="Headerodd"/>
    </w:pPr>
  </w:p>
  <w:p w:rsidR="00F231C9" w:rsidRPr="00EF3464" w:rsidRDefault="00F231C9" w:rsidP="00A859E0">
    <w:pPr>
      <w:pStyle w:val="Headerodd"/>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pPr>
  </w:p>
  <w:p w:rsidR="00F231C9" w:rsidRDefault="00F231C9" w:rsidP="00D67976">
    <w:pPr>
      <w:spacing w:after="0"/>
    </w:pPr>
  </w:p>
  <w:p w:rsidR="00F231C9" w:rsidRDefault="00C04337" w:rsidP="00502D80">
    <w:pPr>
      <w:pStyle w:val="Headereven"/>
    </w:pPr>
    <w:r>
      <w:fldChar w:fldCharType="begin"/>
    </w:r>
    <w:r w:rsidR="00F231C9">
      <w:instrText xml:space="preserve"> REF _Ref433615233 \r \h </w:instrText>
    </w:r>
    <w:r>
      <w:fldChar w:fldCharType="separate"/>
    </w:r>
    <w:r w:rsidR="00027D28">
      <w:t>4</w:t>
    </w:r>
    <w:r>
      <w:fldChar w:fldCharType="end"/>
    </w:r>
    <w:r w:rsidR="00F231C9">
      <w:t xml:space="preserve"> – </w:t>
    </w:r>
    <w:r>
      <w:fldChar w:fldCharType="begin"/>
    </w:r>
    <w:r w:rsidR="00F231C9">
      <w:instrText xml:space="preserve"> REF _Ref448321586 \h </w:instrText>
    </w:r>
    <w:r>
      <w:fldChar w:fldCharType="separate"/>
    </w:r>
    <w:r w:rsidR="00027D28">
      <w:t>Marginal cost of water in the ACT</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C04337">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6" o:spid="_x0000_s2129" type="#_x0000_t75" style="position:absolute;margin-left:0;margin-top:0;width:457.8pt;height:728.6pt;z-index:-251628544;mso-position-horizontal:center;mso-position-horizontal-relative:margin;mso-position-vertical:center;mso-position-vertical-relative:margin" o:allowincell="f">
          <v:imagedata r:id="rId1" o:title="ICRC_reports_cover"/>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jc w:val="right"/>
    </w:pPr>
  </w:p>
  <w:p w:rsidR="00F231C9" w:rsidRDefault="00F231C9" w:rsidP="00D67976">
    <w:pPr>
      <w:spacing w:after="0"/>
      <w:jc w:val="right"/>
    </w:pPr>
  </w:p>
  <w:p w:rsidR="00F231C9" w:rsidRPr="00790F62" w:rsidRDefault="00C04337" w:rsidP="00E809D3">
    <w:pPr>
      <w:pStyle w:val="Headerodd"/>
    </w:pPr>
    <w:r>
      <w:fldChar w:fldCharType="begin"/>
    </w:r>
    <w:r w:rsidR="00F231C9">
      <w:instrText xml:space="preserve"> REF _Ref433615233 \r \h </w:instrText>
    </w:r>
    <w:r>
      <w:fldChar w:fldCharType="separate"/>
    </w:r>
    <w:r w:rsidR="00027D28">
      <w:t>4</w:t>
    </w:r>
    <w:r>
      <w:fldChar w:fldCharType="end"/>
    </w:r>
    <w:r w:rsidR="00F231C9">
      <w:t xml:space="preserve"> – </w:t>
    </w:r>
    <w:r>
      <w:fldChar w:fldCharType="begin"/>
    </w:r>
    <w:r w:rsidR="00F231C9">
      <w:instrText xml:space="preserve"> REF _Ref448321586 \h </w:instrText>
    </w:r>
    <w:r>
      <w:fldChar w:fldCharType="separate"/>
    </w:r>
    <w:r w:rsidR="00027D28">
      <w:t>Marginal cost of water in the ACT</w:t>
    </w:r>
    <w:r>
      <w:fldChar w:fldCharType="end"/>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pPr>
  </w:p>
  <w:p w:rsidR="00F231C9" w:rsidRDefault="00F231C9" w:rsidP="00ED2CCF">
    <w:pPr>
      <w:spacing w:after="0"/>
    </w:pPr>
  </w:p>
  <w:p w:rsidR="00F231C9" w:rsidRDefault="00C04337" w:rsidP="00A859E0">
    <w:pPr>
      <w:pStyle w:val="Headereven"/>
    </w:pPr>
    <w:r>
      <w:fldChar w:fldCharType="begin"/>
    </w:r>
    <w:r w:rsidR="00F231C9">
      <w:instrText xml:space="preserve"> REF _Ref338172668 \r \h  \* MERGEFORMAT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_Ref338172668 \h  \* MERGEFORMAT </w:instrText>
    </w:r>
    <w:r>
      <w:fldChar w:fldCharType="separate"/>
    </w:r>
    <w:r w:rsidR="00027D28">
      <w:rPr>
        <w:b/>
        <w:bCs/>
        <w:lang w:val="en-US"/>
      </w:rPr>
      <w:t>Error! Reference source not found.</w:t>
    </w:r>
    <w:r>
      <w:fldChar w:fldCharType="end"/>
    </w:r>
  </w:p>
  <w:p w:rsidR="00F231C9" w:rsidRPr="00EF3464" w:rsidRDefault="00C04337" w:rsidP="00A859E0">
    <w:pPr>
      <w:pStyle w:val="Headereven"/>
    </w:pPr>
    <w:r>
      <w:fldChar w:fldCharType="begin"/>
    </w:r>
    <w:r w:rsidR="00F231C9">
      <w:instrText xml:space="preserve"> REF _Ref348703089 \r \h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_Ref348703052 \h </w:instrText>
    </w:r>
    <w:r>
      <w:fldChar w:fldCharType="separate"/>
    </w:r>
    <w:r w:rsidR="00027D28">
      <w:rPr>
        <w:b/>
        <w:bCs/>
        <w:lang w:val="en-US"/>
      </w:rPr>
      <w:t>Error! Reference source not found.</w:t>
    </w:r>
    <w:r>
      <w:fldChar w:fldCharType="end"/>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jc w:val="right"/>
    </w:pPr>
  </w:p>
  <w:p w:rsidR="00F231C9" w:rsidRDefault="00F231C9" w:rsidP="00ED2CCF">
    <w:pPr>
      <w:spacing w:after="0"/>
      <w:jc w:val="right"/>
    </w:pPr>
  </w:p>
  <w:p w:rsidR="00F231C9" w:rsidRDefault="00F231C9" w:rsidP="00A859E0">
    <w:pPr>
      <w:pStyle w:val="Headerodd"/>
    </w:pPr>
  </w:p>
  <w:p w:rsidR="00F231C9" w:rsidRPr="00EF3464" w:rsidRDefault="00F231C9" w:rsidP="00A859E0">
    <w:pPr>
      <w:pStyle w:val="Headerodd"/>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pPr>
  </w:p>
  <w:p w:rsidR="00F231C9" w:rsidRDefault="00F231C9" w:rsidP="00D67976">
    <w:pPr>
      <w:spacing w:after="0"/>
    </w:pPr>
  </w:p>
  <w:p w:rsidR="00F231C9" w:rsidRDefault="00C04337" w:rsidP="00502D80">
    <w:pPr>
      <w:pStyle w:val="Headereven"/>
    </w:pPr>
    <w:r>
      <w:fldChar w:fldCharType="begin"/>
    </w:r>
    <w:r w:rsidR="00F231C9">
      <w:instrText xml:space="preserve"> REF _Ref448321607 \r \h </w:instrText>
    </w:r>
    <w:r>
      <w:fldChar w:fldCharType="separate"/>
    </w:r>
    <w:r w:rsidR="00027D28">
      <w:t>5</w:t>
    </w:r>
    <w:r>
      <w:fldChar w:fldCharType="end"/>
    </w:r>
    <w:r w:rsidR="00F231C9">
      <w:t xml:space="preserve"> – </w:t>
    </w:r>
    <w:r>
      <w:fldChar w:fldCharType="begin"/>
    </w:r>
    <w:r w:rsidR="00F231C9">
      <w:instrText xml:space="preserve"> REF _Ref448321607 \h </w:instrText>
    </w:r>
    <w:r>
      <w:fldChar w:fldCharType="separate"/>
    </w:r>
    <w:r w:rsidR="00027D28">
      <w:t>Marginal cost of sewerage services in the ACT</w:t>
    </w:r>
    <w:r>
      <w:fldChar w:fldCharType="end"/>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7976">
    <w:pPr>
      <w:spacing w:after="0"/>
      <w:jc w:val="right"/>
    </w:pPr>
  </w:p>
  <w:p w:rsidR="00F231C9" w:rsidRDefault="00F231C9" w:rsidP="00D67976">
    <w:pPr>
      <w:spacing w:after="0"/>
      <w:jc w:val="right"/>
    </w:pPr>
  </w:p>
  <w:p w:rsidR="00F231C9" w:rsidRDefault="00C04337" w:rsidP="003875C5">
    <w:pPr>
      <w:pStyle w:val="Headerodd"/>
    </w:pPr>
    <w:r>
      <w:fldChar w:fldCharType="begin"/>
    </w:r>
    <w:r w:rsidR="00F231C9">
      <w:instrText xml:space="preserve"> REF _Ref433615233 \r \h </w:instrText>
    </w:r>
    <w:r>
      <w:fldChar w:fldCharType="separate"/>
    </w:r>
    <w:r w:rsidR="00027D28">
      <w:t>4</w:t>
    </w:r>
    <w:r>
      <w:fldChar w:fldCharType="end"/>
    </w:r>
    <w:r w:rsidR="00F231C9">
      <w:t xml:space="preserve"> – </w:t>
    </w:r>
    <w:r>
      <w:fldChar w:fldCharType="begin"/>
    </w:r>
    <w:r w:rsidR="00F231C9">
      <w:instrText xml:space="preserve"> REF _Ref433615233 \h </w:instrText>
    </w:r>
    <w:r>
      <w:fldChar w:fldCharType="separate"/>
    </w:r>
    <w:r w:rsidR="00027D28">
      <w:t>Marginal cost</w:t>
    </w:r>
    <w:r>
      <w:fldChar w:fldCharType="end"/>
    </w:r>
  </w:p>
  <w:p w:rsidR="00F231C9" w:rsidRPr="00790F62" w:rsidRDefault="00F231C9" w:rsidP="00E809D3">
    <w:pPr>
      <w:pStyle w:val="Headerodd"/>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pPr>
  </w:p>
  <w:p w:rsidR="00F231C9" w:rsidRDefault="00F231C9" w:rsidP="00ED2CCF">
    <w:pPr>
      <w:spacing w:after="0"/>
    </w:pPr>
  </w:p>
  <w:p w:rsidR="00F231C9" w:rsidRDefault="00C04337" w:rsidP="00A859E0">
    <w:pPr>
      <w:pStyle w:val="Headereven"/>
    </w:pPr>
    <w:r>
      <w:fldChar w:fldCharType="begin"/>
    </w:r>
    <w:r w:rsidR="00F231C9">
      <w:instrText xml:space="preserve"> REF _Ref338172668 \r \h  \* MERGEFORMAT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_Ref338172668 \h  \* MERGEFORMAT </w:instrText>
    </w:r>
    <w:r>
      <w:fldChar w:fldCharType="separate"/>
    </w:r>
    <w:r w:rsidR="00027D28">
      <w:rPr>
        <w:b/>
        <w:bCs/>
        <w:lang w:val="en-US"/>
      </w:rPr>
      <w:t>Error! Reference source not found.</w:t>
    </w:r>
    <w:r>
      <w:fldChar w:fldCharType="end"/>
    </w:r>
  </w:p>
  <w:p w:rsidR="00F231C9" w:rsidRPr="00EF3464" w:rsidRDefault="00C04337" w:rsidP="00A859E0">
    <w:pPr>
      <w:pStyle w:val="Headereven"/>
    </w:pPr>
    <w:r>
      <w:fldChar w:fldCharType="begin"/>
    </w:r>
    <w:r w:rsidR="00F231C9">
      <w:instrText xml:space="preserve"> REF _Ref348703089 \r \h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_Ref348703052 \h </w:instrText>
    </w:r>
    <w:r>
      <w:fldChar w:fldCharType="separate"/>
    </w:r>
    <w:r w:rsidR="00027D28">
      <w:rPr>
        <w:b/>
        <w:bCs/>
        <w:lang w:val="en-US"/>
      </w:rPr>
      <w:t>Error! Reference source not found.</w:t>
    </w:r>
    <w:r>
      <w:fldChar w:fldCharType="end"/>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jc w:val="right"/>
    </w:pPr>
  </w:p>
  <w:p w:rsidR="00F231C9" w:rsidRDefault="00F231C9" w:rsidP="00ED2CCF">
    <w:pPr>
      <w:spacing w:after="0"/>
      <w:jc w:val="right"/>
    </w:pPr>
  </w:p>
  <w:p w:rsidR="00F231C9" w:rsidRDefault="00F231C9" w:rsidP="00A859E0">
    <w:pPr>
      <w:pStyle w:val="Headerodd"/>
    </w:pPr>
  </w:p>
  <w:p w:rsidR="00F231C9" w:rsidRPr="00EF3464" w:rsidRDefault="00F231C9" w:rsidP="00A859E0">
    <w:pPr>
      <w:pStyle w:val="Headerodd"/>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pPr>
  </w:p>
  <w:p w:rsidR="00F231C9" w:rsidRDefault="00F231C9" w:rsidP="00ED2CCF">
    <w:pPr>
      <w:spacing w:after="0"/>
    </w:pPr>
  </w:p>
  <w:p w:rsidR="00F231C9" w:rsidRPr="00EF3464" w:rsidRDefault="00C04337" w:rsidP="00E21F29">
    <w:pPr>
      <w:pStyle w:val="Headereven"/>
    </w:pPr>
    <w:r>
      <w:fldChar w:fldCharType="begin"/>
    </w:r>
    <w:r w:rsidR="00F231C9">
      <w:instrText xml:space="preserve"> REF _Ref449078808 \r \h </w:instrText>
    </w:r>
    <w:r>
      <w:fldChar w:fldCharType="separate"/>
    </w:r>
    <w:r w:rsidR="00027D28">
      <w:t>6</w:t>
    </w:r>
    <w:r>
      <w:fldChar w:fldCharType="end"/>
    </w:r>
    <w:r w:rsidR="00F231C9">
      <w:t xml:space="preserve"> – </w:t>
    </w:r>
    <w:r>
      <w:fldChar w:fldCharType="begin"/>
    </w:r>
    <w:r w:rsidR="00F231C9">
      <w:instrText xml:space="preserve"> REF _Ref449078808 \h </w:instrText>
    </w:r>
    <w:r>
      <w:fldChar w:fldCharType="separate"/>
    </w:r>
    <w:r w:rsidR="00027D28">
      <w:t>Concluding remarks on marginal cost pricing in the ACT</w:t>
    </w:r>
    <w:r>
      <w:fldChar w:fldCharType="end"/>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jc w:val="right"/>
    </w:pPr>
  </w:p>
  <w:p w:rsidR="00F231C9" w:rsidRDefault="00F231C9" w:rsidP="00ED2CCF">
    <w:pPr>
      <w:spacing w:after="0"/>
      <w:jc w:val="right"/>
    </w:pPr>
  </w:p>
  <w:p w:rsidR="00F231C9" w:rsidRPr="00EF3464" w:rsidRDefault="00C04337" w:rsidP="00FF0E1E">
    <w:pPr>
      <w:pStyle w:val="Headerodd"/>
    </w:pPr>
    <w:r>
      <w:fldChar w:fldCharType="begin"/>
    </w:r>
    <w:r w:rsidR="00F231C9">
      <w:instrText xml:space="preserve"> REF _Ref449078808 \r \h </w:instrText>
    </w:r>
    <w:r>
      <w:fldChar w:fldCharType="separate"/>
    </w:r>
    <w:r w:rsidR="00027D28">
      <w:t>6</w:t>
    </w:r>
    <w:r>
      <w:fldChar w:fldCharType="end"/>
    </w:r>
    <w:r w:rsidR="00F231C9">
      <w:t xml:space="preserve"> – </w:t>
    </w:r>
    <w:r>
      <w:fldChar w:fldCharType="begin"/>
    </w:r>
    <w:r w:rsidR="00F231C9">
      <w:instrText xml:space="preserve"> REF _Ref449078808 \h </w:instrText>
    </w:r>
    <w:r>
      <w:fldChar w:fldCharType="separate"/>
    </w:r>
    <w:r w:rsidR="00027D28">
      <w:t>Concluding remarks on marginal cost pricing in the ACT</w:t>
    </w:r>
    <w:r>
      <w:fldChar w:fldCharType="end"/>
    </w:r>
  </w:p>
  <w:p w:rsidR="00F231C9" w:rsidRPr="00EF3464" w:rsidRDefault="00F231C9" w:rsidP="00FF0E1E">
    <w:pPr>
      <w:pStyle w:val="Headerodd"/>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pPr>
  </w:p>
  <w:p w:rsidR="00F231C9" w:rsidRDefault="00F231C9" w:rsidP="00D641A8">
    <w:pPr>
      <w:spacing w:after="0"/>
    </w:pPr>
  </w:p>
  <w:p w:rsidR="00F231C9" w:rsidRDefault="00F231C9" w:rsidP="00D641A8">
    <w:pPr>
      <w:spacing w:after="0"/>
    </w:pPr>
  </w:p>
  <w:p w:rsidR="00F231C9" w:rsidRPr="00E67D26" w:rsidRDefault="00C04337" w:rsidP="00034E5E">
    <w:pPr>
      <w:pStyle w:val="Headereven"/>
    </w:pPr>
    <w:r>
      <w:fldChar w:fldCharType="begin"/>
    </w:r>
    <w:r w:rsidR="00F231C9">
      <w:instrText xml:space="preserve"> REF _Ref338249950 \r \h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_Ref338249950 \h </w:instrText>
    </w:r>
    <w:r>
      <w:fldChar w:fldCharType="separate"/>
    </w:r>
    <w:r w:rsidR="00027D28">
      <w:rPr>
        <w:b/>
        <w:bCs/>
        <w:lang w:val="en-US"/>
      </w:rPr>
      <w:t>Error! Reference source not found.</w:t>
    </w:r>
    <w: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jc w:val="right"/>
    </w:pPr>
  </w:p>
  <w:p w:rsidR="00F231C9" w:rsidRDefault="00F231C9" w:rsidP="00D641A8">
    <w:pPr>
      <w:spacing w:after="0"/>
      <w:jc w:val="right"/>
    </w:pPr>
  </w:p>
  <w:p w:rsidR="00F231C9" w:rsidRDefault="00F231C9" w:rsidP="00D641A8">
    <w:pPr>
      <w:spacing w:after="0"/>
      <w:jc w:val="right"/>
    </w:pPr>
  </w:p>
  <w:p w:rsidR="00F231C9" w:rsidRDefault="00F231C9" w:rsidP="00E42FAB">
    <w:pPr>
      <w:pStyle w:val="Headerodd"/>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pPr>
  </w:p>
  <w:p w:rsidR="00F231C9" w:rsidRDefault="00F231C9" w:rsidP="00ED2CCF">
    <w:pPr>
      <w:spacing w:after="0"/>
    </w:pPr>
  </w:p>
  <w:p w:rsidR="00F231C9" w:rsidRPr="00EF3464" w:rsidRDefault="00C04337" w:rsidP="00E21F29">
    <w:pPr>
      <w:pStyle w:val="Headereven"/>
    </w:pPr>
    <w:r>
      <w:fldChar w:fldCharType="begin"/>
    </w:r>
    <w:r w:rsidR="00F231C9">
      <w:instrText xml:space="preserve"> REF _Ref452964976 \r \h </w:instrText>
    </w:r>
    <w:r>
      <w:fldChar w:fldCharType="separate"/>
    </w:r>
    <w:r w:rsidR="00027D28">
      <w:t>Appendix 1</w:t>
    </w:r>
    <w:r>
      <w:fldChar w:fldCharType="end"/>
    </w:r>
    <w:r w:rsidR="00F231C9">
      <w:t xml:space="preserve"> – </w:t>
    </w:r>
    <w:r>
      <w:fldChar w:fldCharType="begin"/>
    </w:r>
    <w:r w:rsidR="00F231C9">
      <w:instrText xml:space="preserve"> REF _Ref452964976 \h </w:instrText>
    </w:r>
    <w:r>
      <w:fldChar w:fldCharType="separate"/>
    </w:r>
    <w:r w:rsidR="00027D28">
      <w:t>The marginal cost controversy</w:t>
    </w:r>
    <w:r>
      <w:fldChar w:fldCharType="end"/>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ED2CCF">
    <w:pPr>
      <w:spacing w:after="0"/>
      <w:jc w:val="right"/>
    </w:pPr>
  </w:p>
  <w:p w:rsidR="00F231C9" w:rsidRDefault="00F231C9" w:rsidP="00ED2CCF">
    <w:pPr>
      <w:spacing w:after="0"/>
      <w:jc w:val="right"/>
    </w:pPr>
  </w:p>
  <w:p w:rsidR="00F231C9" w:rsidRPr="00EF3464" w:rsidRDefault="00C04337" w:rsidP="00FF0E1E">
    <w:pPr>
      <w:pStyle w:val="Headerodd"/>
    </w:pPr>
    <w:r>
      <w:fldChar w:fldCharType="begin"/>
    </w:r>
    <w:r w:rsidR="00F231C9">
      <w:instrText xml:space="preserve"> REF _Ref452964976 \r \h </w:instrText>
    </w:r>
    <w:r>
      <w:fldChar w:fldCharType="separate"/>
    </w:r>
    <w:r w:rsidR="00027D28">
      <w:t>Appendix 1</w:t>
    </w:r>
    <w:r>
      <w:fldChar w:fldCharType="end"/>
    </w:r>
    <w:r w:rsidR="00F231C9">
      <w:t xml:space="preserve"> – </w:t>
    </w:r>
    <w:r>
      <w:fldChar w:fldCharType="begin"/>
    </w:r>
    <w:r w:rsidR="00F231C9">
      <w:instrText xml:space="preserve"> REF _Ref452964976 \h </w:instrText>
    </w:r>
    <w:r>
      <w:fldChar w:fldCharType="separate"/>
    </w:r>
    <w:r w:rsidR="00027D28">
      <w:t>The marginal cost controversy</w:t>
    </w:r>
    <w:r>
      <w:fldChar w:fldCharType="end"/>
    </w:r>
  </w:p>
  <w:p w:rsidR="00F231C9" w:rsidRPr="00EF3464" w:rsidRDefault="00F231C9" w:rsidP="00FF0E1E">
    <w:pPr>
      <w:pStyle w:val="Headerodd"/>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pPr>
  </w:p>
  <w:p w:rsidR="00F231C9" w:rsidRDefault="00F231C9" w:rsidP="00D641A8">
    <w:pPr>
      <w:spacing w:after="0"/>
    </w:pPr>
  </w:p>
  <w:p w:rsidR="00F231C9" w:rsidRDefault="00F231C9" w:rsidP="00D641A8">
    <w:pPr>
      <w:spacing w:after="0"/>
    </w:pPr>
  </w:p>
  <w:p w:rsidR="00F231C9" w:rsidRPr="00E67D26" w:rsidRDefault="00C04337" w:rsidP="00034E5E">
    <w:pPr>
      <w:pStyle w:val="Headereven"/>
    </w:pPr>
    <w:r>
      <w:fldChar w:fldCharType="begin"/>
    </w:r>
    <w:r w:rsidR="00F231C9">
      <w:instrText xml:space="preserve"> REF _Ref338249950 \r \h </w:instrText>
    </w:r>
    <w:r>
      <w:fldChar w:fldCharType="separate"/>
    </w:r>
    <w:r w:rsidR="00027D28">
      <w:rPr>
        <w:b/>
        <w:bCs/>
        <w:lang w:val="en-US"/>
      </w:rPr>
      <w:t>Error! Reference source not found.</w:t>
    </w:r>
    <w:r>
      <w:fldChar w:fldCharType="end"/>
    </w:r>
    <w:r w:rsidR="00F231C9">
      <w:t xml:space="preserve"> – </w:t>
    </w:r>
    <w:r>
      <w:fldChar w:fldCharType="begin"/>
    </w:r>
    <w:r w:rsidR="00F231C9">
      <w:instrText xml:space="preserve"> REF _Ref338249950 \h </w:instrText>
    </w:r>
    <w:r>
      <w:fldChar w:fldCharType="separate"/>
    </w:r>
    <w:r w:rsidR="00027D28">
      <w:rPr>
        <w:b/>
        <w:bCs/>
        <w:lang w:val="en-US"/>
      </w:rPr>
      <w:t>Error! Reference source not found.</w:t>
    </w:r>
    <w:r>
      <w:fldChar w:fldCharType="end"/>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jc w:val="right"/>
    </w:pPr>
  </w:p>
  <w:p w:rsidR="00F231C9" w:rsidRDefault="00F231C9" w:rsidP="00D641A8">
    <w:pPr>
      <w:spacing w:after="0"/>
      <w:jc w:val="right"/>
    </w:pPr>
  </w:p>
  <w:p w:rsidR="00F231C9" w:rsidRDefault="00F231C9" w:rsidP="00D641A8">
    <w:pPr>
      <w:spacing w:after="0"/>
      <w:jc w:val="right"/>
    </w:pPr>
  </w:p>
  <w:p w:rsidR="00F231C9" w:rsidRDefault="00F231C9" w:rsidP="00E42FAB">
    <w:pPr>
      <w:pStyle w:val="Headerodd"/>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pPr>
  </w:p>
  <w:p w:rsidR="00F231C9" w:rsidRDefault="00F231C9" w:rsidP="00D641A8">
    <w:pPr>
      <w:spacing w:after="0"/>
    </w:pPr>
  </w:p>
  <w:p w:rsidR="00F231C9" w:rsidRDefault="00C04337" w:rsidP="00496E92">
    <w:pPr>
      <w:pStyle w:val="Headereven"/>
    </w:pPr>
    <w:r>
      <w:fldChar w:fldCharType="begin"/>
    </w:r>
    <w:r w:rsidR="00AC15E1">
      <w:instrText xml:space="preserve"> REF _Ref452973532 \r \h </w:instrText>
    </w:r>
    <w:r>
      <w:fldChar w:fldCharType="separate"/>
    </w:r>
    <w:r w:rsidR="00AC15E1">
      <w:t>Appendix 2</w:t>
    </w:r>
    <w:r>
      <w:fldChar w:fldCharType="end"/>
    </w:r>
    <w:r w:rsidR="00AC15E1">
      <w:t xml:space="preserve"> </w:t>
    </w:r>
    <w:r w:rsidR="00F231C9">
      <w:t>–</w:t>
    </w:r>
    <w:r w:rsidR="00AC15E1">
      <w:t xml:space="preserve"> </w:t>
    </w:r>
    <w:r>
      <w:fldChar w:fldCharType="begin"/>
    </w:r>
    <w:r w:rsidR="00AC15E1">
      <w:instrText xml:space="preserve"> REF _Ref452973532 \h </w:instrText>
    </w:r>
    <w:r>
      <w:fldChar w:fldCharType="separate"/>
    </w:r>
    <w:r w:rsidR="00AC15E1">
      <w:t>Water supply and demand modelling process</w:t>
    </w:r>
    <w:r>
      <w:fldChar w:fldCharType="end"/>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jc w:val="right"/>
    </w:pPr>
    <w:r>
      <w:t>`</w:t>
    </w:r>
  </w:p>
  <w:p w:rsidR="00F231C9" w:rsidRDefault="00F231C9" w:rsidP="00D641A8">
    <w:pPr>
      <w:spacing w:after="0"/>
      <w:jc w:val="right"/>
    </w:pPr>
  </w:p>
  <w:p w:rsidR="00F231C9" w:rsidRDefault="00F231C9" w:rsidP="00D641A8">
    <w:pPr>
      <w:spacing w:after="0"/>
      <w:jc w:val="right"/>
    </w:pPr>
  </w:p>
  <w:p w:rsidR="00F231C9" w:rsidRDefault="00C04337" w:rsidP="00E42FAB">
    <w:pPr>
      <w:pStyle w:val="Headerodd"/>
    </w:pPr>
    <w:r>
      <w:fldChar w:fldCharType="begin"/>
    </w:r>
    <w:r w:rsidR="00AC15E1">
      <w:instrText xml:space="preserve"> REF _Ref452973532 \r \h </w:instrText>
    </w:r>
    <w:r>
      <w:fldChar w:fldCharType="separate"/>
    </w:r>
    <w:r w:rsidR="00AC15E1">
      <w:t>Appendix 2</w:t>
    </w:r>
    <w:r>
      <w:fldChar w:fldCharType="end"/>
    </w:r>
    <w:r w:rsidR="00AC15E1">
      <w:t xml:space="preserve"> </w:t>
    </w:r>
    <w:r w:rsidR="00F231C9">
      <w:t>–</w:t>
    </w:r>
    <w:r w:rsidR="00AC15E1">
      <w:t xml:space="preserve"> </w:t>
    </w:r>
    <w:r>
      <w:fldChar w:fldCharType="begin"/>
    </w:r>
    <w:r w:rsidR="00AC15E1">
      <w:instrText xml:space="preserve"> REF _Ref452973532 \h </w:instrText>
    </w:r>
    <w:r>
      <w:fldChar w:fldCharType="separate"/>
    </w:r>
    <w:r w:rsidR="00AC15E1">
      <w:t>Water supply and demand modelling process</w:t>
    </w:r>
    <w:r>
      <w:fldChar w:fldCharType="end"/>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pPr>
  </w:p>
  <w:p w:rsidR="00F231C9" w:rsidRDefault="00F231C9" w:rsidP="00D641A8">
    <w:pPr>
      <w:spacing w:after="0"/>
    </w:pPr>
  </w:p>
  <w:p w:rsidR="00F231C9" w:rsidRDefault="00F231C9" w:rsidP="00D641A8">
    <w:pPr>
      <w:spacing w:after="0"/>
    </w:pPr>
  </w:p>
  <w:p w:rsidR="00F231C9" w:rsidRPr="00E67D26" w:rsidRDefault="00C04337" w:rsidP="00034E5E">
    <w:pPr>
      <w:pStyle w:val="Headereven"/>
    </w:pPr>
    <w:r>
      <w:fldChar w:fldCharType="begin"/>
    </w:r>
    <w:r w:rsidR="00F231C9">
      <w:instrText xml:space="preserve"> REF Abbreviations_and_acronyms \h </w:instrText>
    </w:r>
    <w:r>
      <w:fldChar w:fldCharType="separate"/>
    </w:r>
    <w:r w:rsidR="00027D28" w:rsidRPr="002E2FD3">
      <w:t>Abbreviations and acronyms</w:t>
    </w:r>
    <w:r>
      <w:fldChar w:fldCharType="end"/>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jc w:val="right"/>
    </w:pPr>
  </w:p>
  <w:p w:rsidR="00F231C9" w:rsidRDefault="00F231C9" w:rsidP="00D641A8">
    <w:pPr>
      <w:spacing w:after="0"/>
      <w:jc w:val="right"/>
    </w:pPr>
  </w:p>
  <w:p w:rsidR="00F231C9" w:rsidRDefault="00F231C9" w:rsidP="00D641A8">
    <w:pPr>
      <w:spacing w:after="0"/>
      <w:jc w:val="right"/>
    </w:pPr>
  </w:p>
  <w:p w:rsidR="00F231C9" w:rsidRDefault="00F231C9" w:rsidP="00E42FAB">
    <w:pPr>
      <w:pStyle w:val="Headerodd"/>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pPr>
  </w:p>
  <w:p w:rsidR="00F231C9" w:rsidRDefault="00F231C9" w:rsidP="00D641A8">
    <w:pPr>
      <w:spacing w:after="0"/>
    </w:pPr>
  </w:p>
  <w:p w:rsidR="00F231C9" w:rsidRPr="00E67D26" w:rsidRDefault="00C04337" w:rsidP="00034E5E">
    <w:pPr>
      <w:pStyle w:val="Headereven"/>
    </w:pPr>
    <w:r>
      <w:fldChar w:fldCharType="begin"/>
    </w:r>
    <w:r w:rsidR="00F231C9">
      <w:instrText xml:space="preserve"> REF Abbreviations_and_acronyms \h </w:instrText>
    </w:r>
    <w:r>
      <w:fldChar w:fldCharType="separate"/>
    </w:r>
    <w:r w:rsidR="00027D28" w:rsidRPr="002E2FD3">
      <w:t>Abbreviations and acronyms</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Pr="00E42160" w:rsidRDefault="00F231C9" w:rsidP="00E42160"/>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jc w:val="right"/>
    </w:pPr>
  </w:p>
  <w:p w:rsidR="00F231C9" w:rsidRDefault="00F231C9" w:rsidP="00D641A8">
    <w:pPr>
      <w:spacing w:after="0"/>
      <w:jc w:val="right"/>
    </w:pPr>
  </w:p>
  <w:p w:rsidR="00F231C9" w:rsidRDefault="00F231C9" w:rsidP="00D641A8">
    <w:pPr>
      <w:spacing w:after="0"/>
      <w:jc w:val="right"/>
    </w:pPr>
  </w:p>
  <w:p w:rsidR="00F231C9" w:rsidRDefault="00C04337" w:rsidP="00E42FAB">
    <w:pPr>
      <w:pStyle w:val="Headerodd"/>
    </w:pPr>
    <w:r>
      <w:fldChar w:fldCharType="begin"/>
    </w:r>
    <w:r w:rsidR="00F231C9">
      <w:instrText xml:space="preserve"> REF Abbreviations_and_acronyms \h </w:instrText>
    </w:r>
    <w:r>
      <w:fldChar w:fldCharType="separate"/>
    </w:r>
    <w:r w:rsidR="00027D28" w:rsidRPr="002E2FD3">
      <w:t>Abbreviations and acronyms</w:t>
    </w:r>
    <w:r>
      <w:fldChar w:fldCharType="end"/>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pPr>
  </w:p>
  <w:p w:rsidR="00F231C9" w:rsidRDefault="00F231C9" w:rsidP="00D641A8">
    <w:pPr>
      <w:spacing w:after="0"/>
    </w:pPr>
  </w:p>
  <w:p w:rsidR="00F231C9" w:rsidRDefault="00F231C9" w:rsidP="00D641A8">
    <w:pPr>
      <w:spacing w:after="0"/>
    </w:pPr>
  </w:p>
  <w:p w:rsidR="00F231C9" w:rsidRPr="00E67D26" w:rsidRDefault="00C04337" w:rsidP="00034E5E">
    <w:pPr>
      <w:pStyle w:val="Headereven"/>
    </w:pPr>
    <w:r>
      <w:fldChar w:fldCharType="begin"/>
    </w:r>
    <w:r w:rsidR="00F231C9">
      <w:instrText xml:space="preserve"> REF References \h </w:instrText>
    </w:r>
    <w:r>
      <w:fldChar w:fldCharType="separate"/>
    </w:r>
    <w:r w:rsidR="00027D28">
      <w:rPr>
        <w:b/>
        <w:bCs/>
        <w:lang w:val="en-US"/>
      </w:rPr>
      <w:t>Error! Reference source not found.</w:t>
    </w:r>
    <w:r>
      <w:fldChar w:fldCharType="end"/>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D641A8">
    <w:pPr>
      <w:spacing w:after="0"/>
      <w:jc w:val="right"/>
    </w:pPr>
  </w:p>
  <w:p w:rsidR="00F231C9" w:rsidRDefault="00F231C9" w:rsidP="00D641A8">
    <w:pPr>
      <w:spacing w:after="0"/>
      <w:jc w:val="right"/>
    </w:pPr>
  </w:p>
  <w:p w:rsidR="00F231C9" w:rsidRDefault="00F231C9" w:rsidP="00D641A8">
    <w:pPr>
      <w:spacing w:after="0"/>
      <w:jc w:val="right"/>
    </w:pPr>
  </w:p>
  <w:p w:rsidR="00F231C9" w:rsidRDefault="00F231C9" w:rsidP="003C49C5">
    <w:pPr>
      <w:pStyle w:val="Headerodd"/>
    </w:pPr>
  </w:p>
  <w:p w:rsidR="00F231C9" w:rsidRDefault="00F231C9" w:rsidP="00E42FAB">
    <w:pPr>
      <w:pStyle w:val="Headerodd"/>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pPr>
      <w:pStyle w:val="Headereven"/>
    </w:pPr>
  </w:p>
  <w:p w:rsidR="00F231C9" w:rsidRDefault="00F231C9">
    <w:pPr>
      <w:pStyle w:val="Headereven"/>
    </w:pPr>
  </w:p>
  <w:p w:rsidR="00F231C9" w:rsidRDefault="00F231C9">
    <w:pPr>
      <w:pStyle w:val="Headereven"/>
    </w:pPr>
    <w:r>
      <w:t>References</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sidP="00F922F1">
    <w:pPr>
      <w:pStyle w:val="Headerodd"/>
    </w:pPr>
  </w:p>
  <w:p w:rsidR="00F231C9" w:rsidRDefault="00F231C9" w:rsidP="00F922F1">
    <w:pPr>
      <w:pStyle w:val="Headerodd"/>
    </w:pPr>
  </w:p>
  <w:p w:rsidR="00F231C9" w:rsidRDefault="00F231C9" w:rsidP="00F922F1">
    <w:pPr>
      <w:pStyle w:val="Headerodd"/>
    </w:pPr>
  </w:p>
  <w:p w:rsidR="00F231C9" w:rsidRDefault="00F231C9" w:rsidP="00F922F1">
    <w:pPr>
      <w:pStyle w:val="Headerodd"/>
    </w:pPr>
    <w:r>
      <w:t>References</w:t>
    </w:r>
  </w:p>
  <w:p w:rsidR="00F231C9" w:rsidRDefault="00F231C9" w:rsidP="00D641A8">
    <w:pPr>
      <w:spacing w:after="0"/>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r>
      <w:rPr>
        <w:noProof/>
        <w:lang w:val="en-AU" w:eastAsia="en-AU"/>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287010" cy="8414385"/>
          <wp:effectExtent l="0" t="0" r="8890" b="5715"/>
          <wp:wrapNone/>
          <wp:docPr id="15" name="Picture 15" descr="ICRC_report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RC_reports_cove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7010" cy="8414385"/>
                  </a:xfrm>
                  <a:prstGeom prst="rect">
                    <a:avLst/>
                  </a:prstGeom>
                  <a:noFill/>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F231C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Pr="00E42160" w:rsidRDefault="00F231C9" w:rsidP="00E4216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C9" w:rsidRDefault="00C04337">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9" o:spid="_x0000_s2132" type="#_x0000_t75" style="position:absolute;margin-left:0;margin-top:0;width:416.3pt;height:662.55pt;z-index:-251625472;mso-position-horizontal:center;mso-position-horizontal-relative:margin;mso-position-vertical:center;mso-position-vertical-relative:margin" o:allowincell="f">
          <v:imagedata r:id="rId1" o:title="ICRC_reports_cover"/>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CB1B64"/>
    <w:multiLevelType w:val="hybridMultilevel"/>
    <w:tmpl w:val="82FC36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8"/>
    <w:multiLevelType w:val="singleLevel"/>
    <w:tmpl w:val="4C3AD61A"/>
    <w:lvl w:ilvl="0">
      <w:start w:val="1"/>
      <w:numFmt w:val="decimal"/>
      <w:lvlText w:val="%1."/>
      <w:lvlJc w:val="left"/>
      <w:pPr>
        <w:tabs>
          <w:tab w:val="num" w:pos="360"/>
        </w:tabs>
        <w:ind w:left="360" w:hanging="360"/>
      </w:pPr>
    </w:lvl>
  </w:abstractNum>
  <w:abstractNum w:abstractNumId="2">
    <w:nsid w:val="FFFFFF89"/>
    <w:multiLevelType w:val="singleLevel"/>
    <w:tmpl w:val="AD0E794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E"/>
    <w:multiLevelType w:val="singleLevel"/>
    <w:tmpl w:val="1F9E56BC"/>
    <w:lvl w:ilvl="0">
      <w:numFmt w:val="decimal"/>
      <w:pStyle w:val="QuoteBullet"/>
      <w:lvlText w:val="*"/>
      <w:lvlJc w:val="left"/>
      <w:rPr>
        <w:rFonts w:cs="Times New Roman"/>
      </w:rPr>
    </w:lvl>
  </w:abstractNum>
  <w:abstractNum w:abstractNumId="4">
    <w:nsid w:val="0119CEB5"/>
    <w:multiLevelType w:val="hybridMultilevel"/>
    <w:tmpl w:val="5C2D54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434E67"/>
    <w:multiLevelType w:val="multilevel"/>
    <w:tmpl w:val="CF62576C"/>
    <w:lvl w:ilvl="0">
      <w:start w:val="1"/>
      <w:numFmt w:val="upperRoman"/>
      <w:pStyle w:val="HeadingPart"/>
      <w:lvlText w:val="Part %1"/>
      <w:lvlJc w:val="left"/>
      <w:pPr>
        <w:ind w:left="1814" w:hanging="18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5D07AF8"/>
    <w:multiLevelType w:val="hybridMultilevel"/>
    <w:tmpl w:val="37BCB24C"/>
    <w:lvl w:ilvl="0" w:tplc="3F3C518E">
      <w:start w:val="2"/>
      <w:numFmt w:val="bullet"/>
      <w:lvlText w:val=""/>
      <w:lvlJc w:val="left"/>
      <w:pPr>
        <w:ind w:left="1961" w:hanging="360"/>
      </w:pPr>
      <w:rPr>
        <w:rFonts w:ascii="Symbol" w:eastAsia="Cambria" w:hAnsi="Symbol" w:cs="Times New Roman" w:hint="default"/>
      </w:rPr>
    </w:lvl>
    <w:lvl w:ilvl="1" w:tplc="0C090003" w:tentative="1">
      <w:start w:val="1"/>
      <w:numFmt w:val="bullet"/>
      <w:lvlText w:val="o"/>
      <w:lvlJc w:val="left"/>
      <w:pPr>
        <w:ind w:left="2681" w:hanging="360"/>
      </w:pPr>
      <w:rPr>
        <w:rFonts w:ascii="Courier New" w:hAnsi="Courier New" w:cs="Courier New" w:hint="default"/>
      </w:rPr>
    </w:lvl>
    <w:lvl w:ilvl="2" w:tplc="0C090005" w:tentative="1">
      <w:start w:val="1"/>
      <w:numFmt w:val="bullet"/>
      <w:lvlText w:val=""/>
      <w:lvlJc w:val="left"/>
      <w:pPr>
        <w:ind w:left="3401" w:hanging="360"/>
      </w:pPr>
      <w:rPr>
        <w:rFonts w:ascii="Wingdings" w:hAnsi="Wingdings" w:hint="default"/>
      </w:rPr>
    </w:lvl>
    <w:lvl w:ilvl="3" w:tplc="0C090001" w:tentative="1">
      <w:start w:val="1"/>
      <w:numFmt w:val="bullet"/>
      <w:lvlText w:val=""/>
      <w:lvlJc w:val="left"/>
      <w:pPr>
        <w:ind w:left="4121" w:hanging="360"/>
      </w:pPr>
      <w:rPr>
        <w:rFonts w:ascii="Symbol" w:hAnsi="Symbol" w:hint="default"/>
      </w:rPr>
    </w:lvl>
    <w:lvl w:ilvl="4" w:tplc="0C090003" w:tentative="1">
      <w:start w:val="1"/>
      <w:numFmt w:val="bullet"/>
      <w:lvlText w:val="o"/>
      <w:lvlJc w:val="left"/>
      <w:pPr>
        <w:ind w:left="4841" w:hanging="360"/>
      </w:pPr>
      <w:rPr>
        <w:rFonts w:ascii="Courier New" w:hAnsi="Courier New" w:cs="Courier New" w:hint="default"/>
      </w:rPr>
    </w:lvl>
    <w:lvl w:ilvl="5" w:tplc="0C090005" w:tentative="1">
      <w:start w:val="1"/>
      <w:numFmt w:val="bullet"/>
      <w:lvlText w:val=""/>
      <w:lvlJc w:val="left"/>
      <w:pPr>
        <w:ind w:left="5561" w:hanging="360"/>
      </w:pPr>
      <w:rPr>
        <w:rFonts w:ascii="Wingdings" w:hAnsi="Wingdings" w:hint="default"/>
      </w:rPr>
    </w:lvl>
    <w:lvl w:ilvl="6" w:tplc="0C090001" w:tentative="1">
      <w:start w:val="1"/>
      <w:numFmt w:val="bullet"/>
      <w:lvlText w:val=""/>
      <w:lvlJc w:val="left"/>
      <w:pPr>
        <w:ind w:left="6281" w:hanging="360"/>
      </w:pPr>
      <w:rPr>
        <w:rFonts w:ascii="Symbol" w:hAnsi="Symbol" w:hint="default"/>
      </w:rPr>
    </w:lvl>
    <w:lvl w:ilvl="7" w:tplc="0C090003" w:tentative="1">
      <w:start w:val="1"/>
      <w:numFmt w:val="bullet"/>
      <w:lvlText w:val="o"/>
      <w:lvlJc w:val="left"/>
      <w:pPr>
        <w:ind w:left="7001" w:hanging="360"/>
      </w:pPr>
      <w:rPr>
        <w:rFonts w:ascii="Courier New" w:hAnsi="Courier New" w:cs="Courier New" w:hint="default"/>
      </w:rPr>
    </w:lvl>
    <w:lvl w:ilvl="8" w:tplc="0C090005" w:tentative="1">
      <w:start w:val="1"/>
      <w:numFmt w:val="bullet"/>
      <w:lvlText w:val=""/>
      <w:lvlJc w:val="left"/>
      <w:pPr>
        <w:ind w:left="7721" w:hanging="360"/>
      </w:pPr>
      <w:rPr>
        <w:rFonts w:ascii="Wingdings" w:hAnsi="Wingdings" w:hint="default"/>
      </w:rPr>
    </w:lvl>
  </w:abstractNum>
  <w:abstractNum w:abstractNumId="7">
    <w:nsid w:val="18576930"/>
    <w:multiLevelType w:val="hybridMultilevel"/>
    <w:tmpl w:val="23CCC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D8251C"/>
    <w:multiLevelType w:val="hybridMultilevel"/>
    <w:tmpl w:val="DF4268C8"/>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Arial"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Arial"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Arial"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9">
    <w:nsid w:val="2B075CC9"/>
    <w:multiLevelType w:val="multilevel"/>
    <w:tmpl w:val="C37E6462"/>
    <w:lvl w:ilvl="0">
      <w:start w:val="1"/>
      <w:numFmt w:val="decimal"/>
      <w:lvlText w:val="(%1)"/>
      <w:lvlJc w:val="left"/>
      <w:pPr>
        <w:ind w:left="717" w:hanging="360"/>
      </w:pPr>
      <w:rPr>
        <w:rFonts w:ascii="Times New Roman" w:hAnsi="Times New Roman" w:hint="default"/>
        <w:b w:val="0"/>
        <w:i w:val="0"/>
        <w:sz w:val="20"/>
      </w:rPr>
    </w:lvl>
    <w:lvl w:ilvl="1">
      <w:start w:val="1"/>
      <w:numFmt w:val="lowerLetter"/>
      <w:lvlText w:val="(%2)"/>
      <w:lvlJc w:val="left"/>
      <w:pPr>
        <w:ind w:left="1077"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0">
    <w:nsid w:val="2D525F94"/>
    <w:multiLevelType w:val="hybridMultilevel"/>
    <w:tmpl w:val="493287DA"/>
    <w:lvl w:ilvl="0" w:tplc="0C09000F">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nsid w:val="31D90C0E"/>
    <w:multiLevelType w:val="hybridMultilevel"/>
    <w:tmpl w:val="65CA815C"/>
    <w:lvl w:ilvl="0" w:tplc="0C090011">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2">
    <w:nsid w:val="40774F1A"/>
    <w:multiLevelType w:val="multilevel"/>
    <w:tmpl w:val="DA104F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080"/>
        </w:tabs>
        <w:ind w:left="720" w:hanging="720"/>
      </w:pPr>
      <w:rPr>
        <w:rFonts w:cs="Times New Roman"/>
      </w:rPr>
    </w:lvl>
    <w:lvl w:ilvl="2">
      <w:start w:val="1"/>
      <w:numFmt w:val="decimal"/>
      <w:lvlText w:val="%1.%2.%3"/>
      <w:lvlJc w:val="left"/>
      <w:pPr>
        <w:tabs>
          <w:tab w:val="num" w:pos="144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nsid w:val="43C06547"/>
    <w:multiLevelType w:val="hybridMultilevel"/>
    <w:tmpl w:val="3158754E"/>
    <w:lvl w:ilvl="0" w:tplc="E5CC8A56">
      <w:start w:val="1"/>
      <w:numFmt w:val="bullet"/>
      <w:pStyle w:val="BulletLast"/>
      <w:lvlText w:val=""/>
      <w:lvlJc w:val="left"/>
      <w:pPr>
        <w:ind w:left="1083" w:hanging="360"/>
      </w:pPr>
      <w:rPr>
        <w:rFonts w:ascii="Symbol" w:hAnsi="Symbol" w:hint="default"/>
      </w:rPr>
    </w:lvl>
    <w:lvl w:ilvl="1" w:tplc="0C090003">
      <w:start w:val="1"/>
      <w:numFmt w:val="bullet"/>
      <w:lvlText w:val="o"/>
      <w:lvlJc w:val="left"/>
      <w:pPr>
        <w:ind w:left="1803" w:hanging="360"/>
      </w:pPr>
      <w:rPr>
        <w:rFonts w:ascii="Courier New" w:hAnsi="Courier New" w:cs="Courier New" w:hint="default"/>
      </w:rPr>
    </w:lvl>
    <w:lvl w:ilvl="2" w:tplc="0C090005">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4">
    <w:nsid w:val="44367C8E"/>
    <w:multiLevelType w:val="hybridMultilevel"/>
    <w:tmpl w:val="6F2A32E0"/>
    <w:lvl w:ilvl="0" w:tplc="B310F7D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4D678DA"/>
    <w:multiLevelType w:val="hybridMultilevel"/>
    <w:tmpl w:val="16D089EC"/>
    <w:lvl w:ilvl="0" w:tplc="EFA8B3AC">
      <w:start w:val="1"/>
      <w:numFmt w:val="lowerLetter"/>
      <w:lvlText w:val="%1)"/>
      <w:lvlJc w:val="left"/>
      <w:pPr>
        <w:ind w:left="720" w:hanging="360"/>
      </w:pPr>
      <w:rPr>
        <w:rFonts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5691102"/>
    <w:multiLevelType w:val="hybridMultilevel"/>
    <w:tmpl w:val="494A1FF6"/>
    <w:lvl w:ilvl="0" w:tplc="0C090011">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7">
    <w:nsid w:val="4ACF2B83"/>
    <w:multiLevelType w:val="multilevel"/>
    <w:tmpl w:val="CFA4836A"/>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1.%2"/>
      <w:lvlJc w:val="left"/>
      <w:pPr>
        <w:tabs>
          <w:tab w:val="num" w:pos="1222"/>
        </w:tabs>
        <w:ind w:left="862" w:hanging="720"/>
      </w:pPr>
      <w:rPr>
        <w:rFonts w:cs="Times New Roman"/>
      </w:rPr>
    </w:lvl>
    <w:lvl w:ilvl="2">
      <w:start w:val="1"/>
      <w:numFmt w:val="decimal"/>
      <w:pStyle w:val="Heading3"/>
      <w:lvlText w:val="%1.%2.%3"/>
      <w:lvlJc w:val="left"/>
      <w:pPr>
        <w:tabs>
          <w:tab w:val="num" w:pos="4842"/>
        </w:tabs>
        <w:ind w:left="4122"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569C589C"/>
    <w:multiLevelType w:val="multilevel"/>
    <w:tmpl w:val="3BA80B6C"/>
    <w:lvl w:ilvl="0">
      <w:start w:val="1"/>
      <w:numFmt w:val="decimal"/>
      <w:pStyle w:val="HeadingAppendix1"/>
      <w:lvlText w:val="Appendix %1"/>
      <w:lvlJc w:val="left"/>
      <w:pPr>
        <w:ind w:left="2693" w:hanging="2693"/>
      </w:pPr>
      <w:rPr>
        <w:rFonts w:hint="default"/>
      </w:rPr>
    </w:lvl>
    <w:lvl w:ilvl="1">
      <w:start w:val="1"/>
      <w:numFmt w:val="decimal"/>
      <w:pStyle w:val="HeadingAppendix2"/>
      <w:lvlText w:val="A%1.%2"/>
      <w:lvlJc w:val="left"/>
      <w:pPr>
        <w:ind w:left="907" w:hanging="907"/>
      </w:pPr>
      <w:rPr>
        <w:rFonts w:cs="Times New Roman"/>
        <w:bCs w:val="0"/>
        <w:i w:val="0"/>
        <w:iCs w:val="0"/>
        <w:caps w:val="0"/>
        <w:smallCaps w:val="0"/>
        <w:strike w:val="0"/>
        <w:dstrike w:val="0"/>
        <w:noProof w:val="0"/>
        <w:vanish w:val="0"/>
        <w:color w:val="000000"/>
        <w:spacing w:val="0"/>
        <w:position w:val="0"/>
        <w:u w:val="none"/>
        <w:vertAlign w:val="baseline"/>
        <w:em w:val="none"/>
      </w:rPr>
    </w:lvl>
    <w:lvl w:ilvl="2">
      <w:start w:val="1"/>
      <w:numFmt w:val="decimal"/>
      <w:pStyle w:val="HeadingAppendix3"/>
      <w:lvlText w:val="A%1.%2.%3"/>
      <w:lvlJc w:val="left"/>
      <w:pPr>
        <w:ind w:left="907" w:hanging="907"/>
      </w:pPr>
      <w:rPr>
        <w:rFonts w:hint="default"/>
      </w:rPr>
    </w:lvl>
    <w:lvl w:ilvl="3">
      <w:start w:val="1"/>
      <w:numFmt w:val="decimal"/>
      <w:lvlText w:val="%4."/>
      <w:lvlJc w:val="left"/>
      <w:pPr>
        <w:ind w:left="2693" w:hanging="2693"/>
      </w:pPr>
      <w:rPr>
        <w:rFonts w:hint="default"/>
      </w:rPr>
    </w:lvl>
    <w:lvl w:ilvl="4">
      <w:start w:val="1"/>
      <w:numFmt w:val="lowerLetter"/>
      <w:lvlText w:val="%5."/>
      <w:lvlJc w:val="left"/>
      <w:pPr>
        <w:ind w:left="2693" w:hanging="2693"/>
      </w:pPr>
      <w:rPr>
        <w:rFonts w:hint="default"/>
      </w:rPr>
    </w:lvl>
    <w:lvl w:ilvl="5">
      <w:start w:val="1"/>
      <w:numFmt w:val="lowerRoman"/>
      <w:lvlText w:val="%6."/>
      <w:lvlJc w:val="right"/>
      <w:pPr>
        <w:ind w:left="2693" w:hanging="2693"/>
      </w:pPr>
      <w:rPr>
        <w:rFonts w:hint="default"/>
      </w:rPr>
    </w:lvl>
    <w:lvl w:ilvl="6">
      <w:start w:val="1"/>
      <w:numFmt w:val="decimal"/>
      <w:lvlText w:val="%7."/>
      <w:lvlJc w:val="left"/>
      <w:pPr>
        <w:ind w:left="2693" w:hanging="2693"/>
      </w:pPr>
      <w:rPr>
        <w:rFonts w:hint="default"/>
      </w:rPr>
    </w:lvl>
    <w:lvl w:ilvl="7">
      <w:start w:val="1"/>
      <w:numFmt w:val="lowerLetter"/>
      <w:lvlText w:val="%8."/>
      <w:lvlJc w:val="left"/>
      <w:pPr>
        <w:ind w:left="2693" w:hanging="2693"/>
      </w:pPr>
      <w:rPr>
        <w:rFonts w:hint="default"/>
      </w:rPr>
    </w:lvl>
    <w:lvl w:ilvl="8">
      <w:start w:val="1"/>
      <w:numFmt w:val="lowerRoman"/>
      <w:lvlText w:val="%9."/>
      <w:lvlJc w:val="right"/>
      <w:pPr>
        <w:ind w:left="2693" w:hanging="2693"/>
      </w:pPr>
      <w:rPr>
        <w:rFonts w:hint="default"/>
      </w:rPr>
    </w:lvl>
  </w:abstractNum>
  <w:abstractNum w:abstractNumId="19">
    <w:nsid w:val="5A565032"/>
    <w:multiLevelType w:val="multilevel"/>
    <w:tmpl w:val="9404D75E"/>
    <w:lvl w:ilvl="0">
      <w:start w:val="1"/>
      <w:numFmt w:val="lowerLetter"/>
      <w:pStyle w:val="LetteredList"/>
      <w:lvlText w:val="(%1)"/>
      <w:lvlJc w:val="left"/>
      <w:pPr>
        <w:ind w:left="680" w:hanging="396"/>
      </w:pPr>
      <w:rPr>
        <w:rFonts w:hint="default"/>
      </w:rPr>
    </w:lvl>
    <w:lvl w:ilvl="1">
      <w:start w:val="1"/>
      <w:numFmt w:val="lowerRoman"/>
      <w:lvlText w:val="(%2)"/>
      <w:lvlJc w:val="left"/>
      <w:pPr>
        <w:ind w:left="1701" w:hanging="624"/>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0">
    <w:nsid w:val="5BFC0F86"/>
    <w:multiLevelType w:val="hybridMultilevel"/>
    <w:tmpl w:val="967807A0"/>
    <w:lvl w:ilvl="0" w:tplc="080C19FA">
      <w:start w:val="1"/>
      <w:numFmt w:val="bullet"/>
      <w:pStyle w:val="TableBullet"/>
      <w:lvlText w:val=""/>
      <w:lvlJc w:val="left"/>
      <w:pPr>
        <w:tabs>
          <w:tab w:val="num" w:pos="360"/>
        </w:tabs>
        <w:ind w:left="216" w:hanging="216"/>
      </w:pPr>
      <w:rPr>
        <w:rFonts w:ascii="Symbol" w:hAnsi="Symbol" w:hint="default"/>
        <w:sz w:val="16"/>
      </w:rPr>
    </w:lvl>
    <w:lvl w:ilvl="1" w:tplc="F9E2E734" w:tentative="1">
      <w:start w:val="1"/>
      <w:numFmt w:val="bullet"/>
      <w:lvlText w:val="o"/>
      <w:lvlJc w:val="left"/>
      <w:pPr>
        <w:tabs>
          <w:tab w:val="num" w:pos="1440"/>
        </w:tabs>
        <w:ind w:left="1440" w:hanging="360"/>
      </w:pPr>
      <w:rPr>
        <w:rFonts w:ascii="Courier New" w:hAnsi="Courier New" w:hint="default"/>
      </w:rPr>
    </w:lvl>
    <w:lvl w:ilvl="2" w:tplc="6DEEAAA4" w:tentative="1">
      <w:start w:val="1"/>
      <w:numFmt w:val="bullet"/>
      <w:lvlText w:val=""/>
      <w:lvlJc w:val="left"/>
      <w:pPr>
        <w:tabs>
          <w:tab w:val="num" w:pos="2160"/>
        </w:tabs>
        <w:ind w:left="2160" w:hanging="360"/>
      </w:pPr>
      <w:rPr>
        <w:rFonts w:ascii="Wingdings" w:hAnsi="Wingdings" w:hint="default"/>
      </w:rPr>
    </w:lvl>
    <w:lvl w:ilvl="3" w:tplc="C598E346" w:tentative="1">
      <w:start w:val="1"/>
      <w:numFmt w:val="bullet"/>
      <w:lvlText w:val=""/>
      <w:lvlJc w:val="left"/>
      <w:pPr>
        <w:tabs>
          <w:tab w:val="num" w:pos="2880"/>
        </w:tabs>
        <w:ind w:left="2880" w:hanging="360"/>
      </w:pPr>
      <w:rPr>
        <w:rFonts w:ascii="Symbol" w:hAnsi="Symbol" w:hint="default"/>
      </w:rPr>
    </w:lvl>
    <w:lvl w:ilvl="4" w:tplc="790C274C" w:tentative="1">
      <w:start w:val="1"/>
      <w:numFmt w:val="bullet"/>
      <w:lvlText w:val="o"/>
      <w:lvlJc w:val="left"/>
      <w:pPr>
        <w:tabs>
          <w:tab w:val="num" w:pos="3600"/>
        </w:tabs>
        <w:ind w:left="3600" w:hanging="360"/>
      </w:pPr>
      <w:rPr>
        <w:rFonts w:ascii="Courier New" w:hAnsi="Courier New" w:hint="default"/>
      </w:rPr>
    </w:lvl>
    <w:lvl w:ilvl="5" w:tplc="D0E442FA" w:tentative="1">
      <w:start w:val="1"/>
      <w:numFmt w:val="bullet"/>
      <w:lvlText w:val=""/>
      <w:lvlJc w:val="left"/>
      <w:pPr>
        <w:tabs>
          <w:tab w:val="num" w:pos="4320"/>
        </w:tabs>
        <w:ind w:left="4320" w:hanging="360"/>
      </w:pPr>
      <w:rPr>
        <w:rFonts w:ascii="Wingdings" w:hAnsi="Wingdings" w:hint="default"/>
      </w:rPr>
    </w:lvl>
    <w:lvl w:ilvl="6" w:tplc="D24C2F38" w:tentative="1">
      <w:start w:val="1"/>
      <w:numFmt w:val="bullet"/>
      <w:lvlText w:val=""/>
      <w:lvlJc w:val="left"/>
      <w:pPr>
        <w:tabs>
          <w:tab w:val="num" w:pos="5040"/>
        </w:tabs>
        <w:ind w:left="5040" w:hanging="360"/>
      </w:pPr>
      <w:rPr>
        <w:rFonts w:ascii="Symbol" w:hAnsi="Symbol" w:hint="default"/>
      </w:rPr>
    </w:lvl>
    <w:lvl w:ilvl="7" w:tplc="D8A6F982" w:tentative="1">
      <w:start w:val="1"/>
      <w:numFmt w:val="bullet"/>
      <w:lvlText w:val="o"/>
      <w:lvlJc w:val="left"/>
      <w:pPr>
        <w:tabs>
          <w:tab w:val="num" w:pos="5760"/>
        </w:tabs>
        <w:ind w:left="5760" w:hanging="360"/>
      </w:pPr>
      <w:rPr>
        <w:rFonts w:ascii="Courier New" w:hAnsi="Courier New" w:hint="default"/>
      </w:rPr>
    </w:lvl>
    <w:lvl w:ilvl="8" w:tplc="9F1A4FD0" w:tentative="1">
      <w:start w:val="1"/>
      <w:numFmt w:val="bullet"/>
      <w:lvlText w:val=""/>
      <w:lvlJc w:val="left"/>
      <w:pPr>
        <w:tabs>
          <w:tab w:val="num" w:pos="6480"/>
        </w:tabs>
        <w:ind w:left="6480" w:hanging="360"/>
      </w:pPr>
      <w:rPr>
        <w:rFonts w:ascii="Wingdings" w:hAnsi="Wingdings" w:hint="default"/>
      </w:rPr>
    </w:lvl>
  </w:abstractNum>
  <w:abstractNum w:abstractNumId="21">
    <w:nsid w:val="62AB11EF"/>
    <w:multiLevelType w:val="hybridMultilevel"/>
    <w:tmpl w:val="D898C958"/>
    <w:lvl w:ilvl="0" w:tplc="BF20C17A">
      <w:start w:val="1"/>
      <w:numFmt w:val="bullet"/>
      <w:pStyle w:val="Bullet"/>
      <w:lvlText w:val=""/>
      <w:lvlJc w:val="left"/>
      <w:pPr>
        <w:ind w:left="644" w:hanging="360"/>
      </w:pPr>
      <w:rPr>
        <w:rFonts w:ascii="Symbol" w:hAnsi="Symbol" w:hint="default"/>
        <w:b w:val="0"/>
        <w:i w:val="0"/>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ABC7145"/>
    <w:multiLevelType w:val="hybridMultilevel"/>
    <w:tmpl w:val="428C538A"/>
    <w:lvl w:ilvl="0" w:tplc="BA8C3370">
      <w:start w:val="1"/>
      <w:numFmt w:val="decimal"/>
      <w:pStyle w:val="ListNumber"/>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0C0580F"/>
    <w:multiLevelType w:val="hybridMultilevel"/>
    <w:tmpl w:val="8E4C8FFC"/>
    <w:lvl w:ilvl="0" w:tplc="61AEB950">
      <w:start w:val="1"/>
      <w:numFmt w:val="bullet"/>
      <w:pStyle w:val="Dash"/>
      <w:lvlText w:val="–"/>
      <w:lvlJc w:val="left"/>
      <w:pPr>
        <w:tabs>
          <w:tab w:val="num" w:pos="2160"/>
        </w:tabs>
        <w:ind w:left="2160" w:hanging="720"/>
      </w:pPr>
      <w:rPr>
        <w:rFonts w:ascii="Verdana" w:hAnsi="Verdana" w:hint="default"/>
      </w:rPr>
    </w:lvl>
    <w:lvl w:ilvl="1" w:tplc="0C090019" w:tentative="1">
      <w:start w:val="1"/>
      <w:numFmt w:val="bullet"/>
      <w:lvlText w:val="o"/>
      <w:lvlJc w:val="left"/>
      <w:pPr>
        <w:tabs>
          <w:tab w:val="num" w:pos="1800"/>
        </w:tabs>
        <w:ind w:left="1800" w:hanging="360"/>
      </w:pPr>
      <w:rPr>
        <w:rFonts w:ascii="Courier New" w:hAnsi="Courier New"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24">
    <w:nsid w:val="730E407D"/>
    <w:multiLevelType w:val="hybridMultilevel"/>
    <w:tmpl w:val="9D288BB0"/>
    <w:lvl w:ilvl="0" w:tplc="0C090001">
      <w:start w:val="1"/>
      <w:numFmt w:val="bullet"/>
      <w:lvlText w:val=""/>
      <w:lvlJc w:val="left"/>
      <w:pPr>
        <w:ind w:left="1565" w:hanging="360"/>
      </w:pPr>
      <w:rPr>
        <w:rFonts w:ascii="Symbol" w:hAnsi="Symbol" w:hint="default"/>
      </w:rPr>
    </w:lvl>
    <w:lvl w:ilvl="1" w:tplc="0C090003" w:tentative="1">
      <w:start w:val="1"/>
      <w:numFmt w:val="bullet"/>
      <w:lvlText w:val="o"/>
      <w:lvlJc w:val="left"/>
      <w:pPr>
        <w:ind w:left="2285" w:hanging="360"/>
      </w:pPr>
      <w:rPr>
        <w:rFonts w:ascii="Courier New" w:hAnsi="Courier New" w:cs="Courier New" w:hint="default"/>
      </w:rPr>
    </w:lvl>
    <w:lvl w:ilvl="2" w:tplc="0C090005" w:tentative="1">
      <w:start w:val="1"/>
      <w:numFmt w:val="bullet"/>
      <w:lvlText w:val=""/>
      <w:lvlJc w:val="left"/>
      <w:pPr>
        <w:ind w:left="3005" w:hanging="360"/>
      </w:pPr>
      <w:rPr>
        <w:rFonts w:ascii="Wingdings" w:hAnsi="Wingdings" w:hint="default"/>
      </w:rPr>
    </w:lvl>
    <w:lvl w:ilvl="3" w:tplc="0C090001" w:tentative="1">
      <w:start w:val="1"/>
      <w:numFmt w:val="bullet"/>
      <w:lvlText w:val=""/>
      <w:lvlJc w:val="left"/>
      <w:pPr>
        <w:ind w:left="3725" w:hanging="360"/>
      </w:pPr>
      <w:rPr>
        <w:rFonts w:ascii="Symbol" w:hAnsi="Symbol" w:hint="default"/>
      </w:rPr>
    </w:lvl>
    <w:lvl w:ilvl="4" w:tplc="0C090003" w:tentative="1">
      <w:start w:val="1"/>
      <w:numFmt w:val="bullet"/>
      <w:lvlText w:val="o"/>
      <w:lvlJc w:val="left"/>
      <w:pPr>
        <w:ind w:left="4445" w:hanging="360"/>
      </w:pPr>
      <w:rPr>
        <w:rFonts w:ascii="Courier New" w:hAnsi="Courier New" w:cs="Courier New" w:hint="default"/>
      </w:rPr>
    </w:lvl>
    <w:lvl w:ilvl="5" w:tplc="0C090005" w:tentative="1">
      <w:start w:val="1"/>
      <w:numFmt w:val="bullet"/>
      <w:lvlText w:val=""/>
      <w:lvlJc w:val="left"/>
      <w:pPr>
        <w:ind w:left="5165" w:hanging="360"/>
      </w:pPr>
      <w:rPr>
        <w:rFonts w:ascii="Wingdings" w:hAnsi="Wingdings" w:hint="default"/>
      </w:rPr>
    </w:lvl>
    <w:lvl w:ilvl="6" w:tplc="0C090001" w:tentative="1">
      <w:start w:val="1"/>
      <w:numFmt w:val="bullet"/>
      <w:lvlText w:val=""/>
      <w:lvlJc w:val="left"/>
      <w:pPr>
        <w:ind w:left="5885" w:hanging="360"/>
      </w:pPr>
      <w:rPr>
        <w:rFonts w:ascii="Symbol" w:hAnsi="Symbol" w:hint="default"/>
      </w:rPr>
    </w:lvl>
    <w:lvl w:ilvl="7" w:tplc="0C090003" w:tentative="1">
      <w:start w:val="1"/>
      <w:numFmt w:val="bullet"/>
      <w:lvlText w:val="o"/>
      <w:lvlJc w:val="left"/>
      <w:pPr>
        <w:ind w:left="6605" w:hanging="360"/>
      </w:pPr>
      <w:rPr>
        <w:rFonts w:ascii="Courier New" w:hAnsi="Courier New" w:cs="Courier New" w:hint="default"/>
      </w:rPr>
    </w:lvl>
    <w:lvl w:ilvl="8" w:tplc="0C090005" w:tentative="1">
      <w:start w:val="1"/>
      <w:numFmt w:val="bullet"/>
      <w:lvlText w:val=""/>
      <w:lvlJc w:val="left"/>
      <w:pPr>
        <w:ind w:left="7325" w:hanging="360"/>
      </w:pPr>
      <w:rPr>
        <w:rFonts w:ascii="Wingdings" w:hAnsi="Wingdings" w:hint="default"/>
      </w:rPr>
    </w:lvl>
  </w:abstractNum>
  <w:abstractNum w:abstractNumId="25">
    <w:nsid w:val="73FF3C2A"/>
    <w:multiLevelType w:val="hybridMultilevel"/>
    <w:tmpl w:val="84CE7A78"/>
    <w:lvl w:ilvl="0" w:tplc="0C090011">
      <w:start w:val="1"/>
      <w:numFmt w:val="bullet"/>
      <w:lvlText w:val=""/>
      <w:lvlJc w:val="left"/>
      <w:pPr>
        <w:ind w:left="360" w:hanging="360"/>
      </w:pPr>
      <w:rPr>
        <w:rFonts w:ascii="Symbol" w:hAnsi="Symbol" w:hint="default"/>
      </w:rPr>
    </w:lvl>
    <w:lvl w:ilvl="1" w:tplc="54E43686">
      <w:start w:val="1"/>
      <w:numFmt w:val="bullet"/>
      <w:lvlText w:val="o"/>
      <w:lvlJc w:val="left"/>
      <w:pPr>
        <w:ind w:left="1080" w:hanging="360"/>
      </w:pPr>
      <w:rPr>
        <w:rFonts w:ascii="Courier New" w:hAnsi="Courier New" w:cs="Courier New" w:hint="default"/>
      </w:rPr>
    </w:lvl>
    <w:lvl w:ilvl="2" w:tplc="0C09001B">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6">
    <w:nsid w:val="7AD74D2B"/>
    <w:multiLevelType w:val="hybridMultilevel"/>
    <w:tmpl w:val="FC20107E"/>
    <w:lvl w:ilvl="0" w:tplc="8CFC3DEC">
      <w:start w:val="2"/>
      <w:numFmt w:val="bullet"/>
      <w:lvlText w:val="-"/>
      <w:lvlJc w:val="left"/>
      <w:pPr>
        <w:ind w:left="1961" w:hanging="360"/>
      </w:pPr>
      <w:rPr>
        <w:rFonts w:ascii="Arial Narrow" w:eastAsia="Cambria" w:hAnsi="Arial Narrow" w:cs="Times New Roman" w:hint="default"/>
      </w:rPr>
    </w:lvl>
    <w:lvl w:ilvl="1" w:tplc="0C090003" w:tentative="1">
      <w:start w:val="1"/>
      <w:numFmt w:val="bullet"/>
      <w:lvlText w:val="o"/>
      <w:lvlJc w:val="left"/>
      <w:pPr>
        <w:ind w:left="2681" w:hanging="360"/>
      </w:pPr>
      <w:rPr>
        <w:rFonts w:ascii="Courier New" w:hAnsi="Courier New" w:cs="Courier New" w:hint="default"/>
      </w:rPr>
    </w:lvl>
    <w:lvl w:ilvl="2" w:tplc="0C090005" w:tentative="1">
      <w:start w:val="1"/>
      <w:numFmt w:val="bullet"/>
      <w:lvlText w:val=""/>
      <w:lvlJc w:val="left"/>
      <w:pPr>
        <w:ind w:left="3401" w:hanging="360"/>
      </w:pPr>
      <w:rPr>
        <w:rFonts w:ascii="Wingdings" w:hAnsi="Wingdings" w:hint="default"/>
      </w:rPr>
    </w:lvl>
    <w:lvl w:ilvl="3" w:tplc="0C090001" w:tentative="1">
      <w:start w:val="1"/>
      <w:numFmt w:val="bullet"/>
      <w:lvlText w:val=""/>
      <w:lvlJc w:val="left"/>
      <w:pPr>
        <w:ind w:left="4121" w:hanging="360"/>
      </w:pPr>
      <w:rPr>
        <w:rFonts w:ascii="Symbol" w:hAnsi="Symbol" w:hint="default"/>
      </w:rPr>
    </w:lvl>
    <w:lvl w:ilvl="4" w:tplc="0C090003" w:tentative="1">
      <w:start w:val="1"/>
      <w:numFmt w:val="bullet"/>
      <w:lvlText w:val="o"/>
      <w:lvlJc w:val="left"/>
      <w:pPr>
        <w:ind w:left="4841" w:hanging="360"/>
      </w:pPr>
      <w:rPr>
        <w:rFonts w:ascii="Courier New" w:hAnsi="Courier New" w:cs="Courier New" w:hint="default"/>
      </w:rPr>
    </w:lvl>
    <w:lvl w:ilvl="5" w:tplc="0C090005" w:tentative="1">
      <w:start w:val="1"/>
      <w:numFmt w:val="bullet"/>
      <w:lvlText w:val=""/>
      <w:lvlJc w:val="left"/>
      <w:pPr>
        <w:ind w:left="5561" w:hanging="360"/>
      </w:pPr>
      <w:rPr>
        <w:rFonts w:ascii="Wingdings" w:hAnsi="Wingdings" w:hint="default"/>
      </w:rPr>
    </w:lvl>
    <w:lvl w:ilvl="6" w:tplc="0C090001" w:tentative="1">
      <w:start w:val="1"/>
      <w:numFmt w:val="bullet"/>
      <w:lvlText w:val=""/>
      <w:lvlJc w:val="left"/>
      <w:pPr>
        <w:ind w:left="6281" w:hanging="360"/>
      </w:pPr>
      <w:rPr>
        <w:rFonts w:ascii="Symbol" w:hAnsi="Symbol" w:hint="default"/>
      </w:rPr>
    </w:lvl>
    <w:lvl w:ilvl="7" w:tplc="0C090003" w:tentative="1">
      <w:start w:val="1"/>
      <w:numFmt w:val="bullet"/>
      <w:lvlText w:val="o"/>
      <w:lvlJc w:val="left"/>
      <w:pPr>
        <w:ind w:left="7001" w:hanging="360"/>
      </w:pPr>
      <w:rPr>
        <w:rFonts w:ascii="Courier New" w:hAnsi="Courier New" w:cs="Courier New" w:hint="default"/>
      </w:rPr>
    </w:lvl>
    <w:lvl w:ilvl="8" w:tplc="0C090005" w:tentative="1">
      <w:start w:val="1"/>
      <w:numFmt w:val="bullet"/>
      <w:lvlText w:val=""/>
      <w:lvlJc w:val="left"/>
      <w:pPr>
        <w:ind w:left="7721" w:hanging="360"/>
      </w:pPr>
      <w:rPr>
        <w:rFonts w:ascii="Wingdings" w:hAnsi="Wingdings" w:hint="default"/>
      </w:rPr>
    </w:lvl>
  </w:abstractNum>
  <w:num w:numId="1">
    <w:abstractNumId w:val="21"/>
  </w:num>
  <w:num w:numId="2">
    <w:abstractNumId w:val="20"/>
  </w:num>
  <w:num w:numId="3">
    <w:abstractNumId w:val="3"/>
    <w:lvlOverride w:ilvl="0">
      <w:lvl w:ilvl="0">
        <w:start w:val="1"/>
        <w:numFmt w:val="bullet"/>
        <w:pStyle w:val="QuoteBullet"/>
        <w:lvlText w:val=""/>
        <w:legacy w:legacy="1" w:legacySpace="0" w:legacyIndent="360"/>
        <w:lvlJc w:val="left"/>
        <w:pPr>
          <w:ind w:left="360" w:hanging="360"/>
        </w:pPr>
        <w:rPr>
          <w:rFonts w:ascii="Symbol" w:hAnsi="Symbol" w:hint="default"/>
        </w:rPr>
      </w:lvl>
    </w:lvlOverride>
  </w:num>
  <w:num w:numId="4">
    <w:abstractNumId w:val="5"/>
  </w:num>
  <w:num w:numId="5">
    <w:abstractNumId w:val="13"/>
  </w:num>
  <w:num w:numId="6">
    <w:abstractNumId w:val="18"/>
  </w:num>
  <w:num w:numId="7">
    <w:abstractNumId w:val="17"/>
  </w:num>
  <w:num w:numId="8">
    <w:abstractNumId w:val="10"/>
  </w:num>
  <w:num w:numId="9">
    <w:abstractNumId w:val="1"/>
  </w:num>
  <w:num w:numId="10">
    <w:abstractNumId w:val="1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2"/>
  </w:num>
  <w:num w:numId="14">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4"/>
  </w:num>
  <w:num w:numId="18">
    <w:abstractNumId w:val="0"/>
  </w:num>
  <w:num w:numId="19">
    <w:abstractNumId w:val="4"/>
  </w:num>
  <w:num w:numId="20">
    <w:abstractNumId w:val="15"/>
  </w:num>
  <w:num w:numId="21">
    <w:abstractNumId w:val="14"/>
  </w:num>
  <w:num w:numId="22">
    <w:abstractNumId w:val="16"/>
  </w:num>
  <w:num w:numId="23">
    <w:abstractNumId w:val="2"/>
  </w:num>
  <w:num w:numId="24">
    <w:abstractNumId w:val="8"/>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6"/>
  </w:num>
  <w:num w:numId="28">
    <w:abstractNumId w:val="6"/>
  </w:num>
  <w:num w:numId="29">
    <w:abstractNumId w:val="23"/>
  </w:num>
  <w:num w:numId="30">
    <w:abstractNumId w:val="25"/>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2"/>
    <w:lvlOverride w:ilvl="0">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0"/>
  <w:proofState w:spelling="clean" w:grammar="clean"/>
  <w:attachedTemplate r:id="rId1"/>
  <w:stylePaneFormatFilter w:val="9021"/>
  <w:stylePaneSortMethod w:val="0000"/>
  <w:documentProtection w:formatting="1" w:enforcement="0"/>
  <w:styleLockTheme/>
  <w:defaultTabStop w:val="720"/>
  <w:evenAndOddHeaders/>
  <w:drawingGridHorizontalSpacing w:val="110"/>
  <w:displayHorizontalDrawingGridEvery w:val="2"/>
  <w:characterSpacingControl w:val="doNotCompress"/>
  <w:hdrShapeDefaults>
    <o:shapedefaults v:ext="edit" spidmax="2138" fillcolor="none [3200]" strokecolor="none [3212]">
      <v:fill color="none [3200]"/>
      <v:stroke color="none [3212]" weight="0"/>
      <v:shadow type="perspective" color="none [1601]" opacity=".5" offset="1pt" offset2="-1pt"/>
      <o:colormru v:ext="edit" colors="black"/>
    </o:shapedefaults>
    <o:shapelayout v:ext="edit">
      <o:idmap v:ext="edit" data="2"/>
    </o:shapelayout>
  </w:hdrShapeDefaults>
  <w:footnotePr>
    <w:footnote w:id="-1"/>
    <w:footnote w:id="0"/>
    <w:footnote w:id="1"/>
  </w:footnotePr>
  <w:endnotePr>
    <w:pos w:val="sectEnd"/>
    <w:numFmt w:val="decimal"/>
    <w:endnote w:id="-1"/>
    <w:endnote w:id="0"/>
  </w:endnotePr>
  <w:compat/>
  <w:docVars>
    <w:docVar w:name="EN.InstantFormat" w:val="&lt;ENInstantFormat&gt;&lt;Enabled&gt;1&lt;/Enabled&gt;&lt;ScanUnformatted&gt;0&lt;/ScanUnformatted&gt;&lt;ScanChanges&gt;1&lt;/ScanChanges&gt;&lt;Suspended&gt;0&lt;/Suspended&gt;&lt;/ENInstantFormat&gt;"/>
    <w:docVar w:name="EN.Layout" w:val="&lt;ENLayout&gt;&lt;Style&gt;ICRC&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xwt9zxa6r5fesevwr5xzp97r95ev9wx9zpw&quot;&gt;ICRC Endnote Library&lt;record-ids&gt;&lt;item&gt;1&lt;/item&gt;&lt;item&gt;2&lt;/item&gt;&lt;item&gt;14&lt;/item&gt;&lt;item&gt;25&lt;/item&gt;&lt;item&gt;53&lt;/item&gt;&lt;item&gt;133&lt;/item&gt;&lt;item&gt;136&lt;/item&gt;&lt;item&gt;195&lt;/item&gt;&lt;item&gt;212&lt;/item&gt;&lt;item&gt;213&lt;/item&gt;&lt;item&gt;217&lt;/item&gt;&lt;item&gt;227&lt;/item&gt;&lt;item&gt;228&lt;/item&gt;&lt;item&gt;367&lt;/item&gt;&lt;item&gt;371&lt;/item&gt;&lt;item&gt;449&lt;/item&gt;&lt;item&gt;456&lt;/item&gt;&lt;item&gt;457&lt;/item&gt;&lt;item&gt;469&lt;/item&gt;&lt;item&gt;490&lt;/item&gt;&lt;item&gt;492&lt;/item&gt;&lt;item&gt;497&lt;/item&gt;&lt;item&gt;501&lt;/item&gt;&lt;item&gt;503&lt;/item&gt;&lt;item&gt;513&lt;/item&gt;&lt;item&gt;519&lt;/item&gt;&lt;item&gt;523&lt;/item&gt;&lt;item&gt;532&lt;/item&gt;&lt;item&gt;536&lt;/item&gt;&lt;item&gt;543&lt;/item&gt;&lt;item&gt;560&lt;/item&gt;&lt;item&gt;569&lt;/item&gt;&lt;item&gt;573&lt;/item&gt;&lt;item&gt;579&lt;/item&gt;&lt;item&gt;580&lt;/item&gt;&lt;item&gt;584&lt;/item&gt;&lt;item&gt;585&lt;/item&gt;&lt;item&gt;591&lt;/item&gt;&lt;item&gt;600&lt;/item&gt;&lt;item&gt;602&lt;/item&gt;&lt;item&gt;605&lt;/item&gt;&lt;item&gt;610&lt;/item&gt;&lt;item&gt;615&lt;/item&gt;&lt;item&gt;630&lt;/item&gt;&lt;item&gt;640&lt;/item&gt;&lt;item&gt;641&lt;/item&gt;&lt;item&gt;643&lt;/item&gt;&lt;item&gt;679&lt;/item&gt;&lt;item&gt;681&lt;/item&gt;&lt;item&gt;691&lt;/item&gt;&lt;item&gt;692&lt;/item&gt;&lt;item&gt;694&lt;/item&gt;&lt;item&gt;695&lt;/item&gt;&lt;item&gt;697&lt;/item&gt;&lt;item&gt;698&lt;/item&gt;&lt;item&gt;699&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24&lt;/item&gt;&lt;/record-ids&gt;&lt;/item&gt;&lt;/Libraries&gt;"/>
  </w:docVars>
  <w:rsids>
    <w:rsidRoot w:val="005123B8"/>
    <w:rsid w:val="0000003A"/>
    <w:rsid w:val="0000005F"/>
    <w:rsid w:val="00000086"/>
    <w:rsid w:val="0000019A"/>
    <w:rsid w:val="0000019F"/>
    <w:rsid w:val="00000594"/>
    <w:rsid w:val="00000646"/>
    <w:rsid w:val="00000798"/>
    <w:rsid w:val="000008FF"/>
    <w:rsid w:val="0000091B"/>
    <w:rsid w:val="0000092A"/>
    <w:rsid w:val="00000B8D"/>
    <w:rsid w:val="00000C99"/>
    <w:rsid w:val="00000CB8"/>
    <w:rsid w:val="00000CF1"/>
    <w:rsid w:val="00000E58"/>
    <w:rsid w:val="00000EEE"/>
    <w:rsid w:val="000010D0"/>
    <w:rsid w:val="00001196"/>
    <w:rsid w:val="00001248"/>
    <w:rsid w:val="000014DB"/>
    <w:rsid w:val="00001571"/>
    <w:rsid w:val="0000165D"/>
    <w:rsid w:val="00001706"/>
    <w:rsid w:val="00001719"/>
    <w:rsid w:val="00001961"/>
    <w:rsid w:val="000019D0"/>
    <w:rsid w:val="00001A64"/>
    <w:rsid w:val="00001B4C"/>
    <w:rsid w:val="00001B56"/>
    <w:rsid w:val="00001C65"/>
    <w:rsid w:val="00001DC3"/>
    <w:rsid w:val="00001E01"/>
    <w:rsid w:val="00001FB0"/>
    <w:rsid w:val="0000210F"/>
    <w:rsid w:val="00002137"/>
    <w:rsid w:val="0000220C"/>
    <w:rsid w:val="00002215"/>
    <w:rsid w:val="000023D0"/>
    <w:rsid w:val="0000240B"/>
    <w:rsid w:val="000025E5"/>
    <w:rsid w:val="0000266D"/>
    <w:rsid w:val="00002767"/>
    <w:rsid w:val="000028E1"/>
    <w:rsid w:val="00002A16"/>
    <w:rsid w:val="00002C07"/>
    <w:rsid w:val="00002CE1"/>
    <w:rsid w:val="00002F3E"/>
    <w:rsid w:val="00002F3F"/>
    <w:rsid w:val="000032D2"/>
    <w:rsid w:val="00003375"/>
    <w:rsid w:val="00003449"/>
    <w:rsid w:val="0000385D"/>
    <w:rsid w:val="000039C7"/>
    <w:rsid w:val="00003AA7"/>
    <w:rsid w:val="00003AD0"/>
    <w:rsid w:val="00003C22"/>
    <w:rsid w:val="00003C3C"/>
    <w:rsid w:val="00003C6F"/>
    <w:rsid w:val="00003DDD"/>
    <w:rsid w:val="00003E12"/>
    <w:rsid w:val="000040CD"/>
    <w:rsid w:val="00004112"/>
    <w:rsid w:val="000042B1"/>
    <w:rsid w:val="00004331"/>
    <w:rsid w:val="00004345"/>
    <w:rsid w:val="000044F9"/>
    <w:rsid w:val="0000455F"/>
    <w:rsid w:val="000045D1"/>
    <w:rsid w:val="0000462F"/>
    <w:rsid w:val="0000471C"/>
    <w:rsid w:val="00004B0B"/>
    <w:rsid w:val="00004B79"/>
    <w:rsid w:val="00004B81"/>
    <w:rsid w:val="00004E3A"/>
    <w:rsid w:val="00004F11"/>
    <w:rsid w:val="00004F1F"/>
    <w:rsid w:val="000050AA"/>
    <w:rsid w:val="00005116"/>
    <w:rsid w:val="00005127"/>
    <w:rsid w:val="000052D0"/>
    <w:rsid w:val="0000542D"/>
    <w:rsid w:val="00005554"/>
    <w:rsid w:val="0000567C"/>
    <w:rsid w:val="000057D1"/>
    <w:rsid w:val="00005AEE"/>
    <w:rsid w:val="00005B3E"/>
    <w:rsid w:val="00005B70"/>
    <w:rsid w:val="00005B7D"/>
    <w:rsid w:val="00005BA2"/>
    <w:rsid w:val="00005D62"/>
    <w:rsid w:val="00005E98"/>
    <w:rsid w:val="00006000"/>
    <w:rsid w:val="000061FA"/>
    <w:rsid w:val="000064A9"/>
    <w:rsid w:val="00006859"/>
    <w:rsid w:val="0000695B"/>
    <w:rsid w:val="00006A2C"/>
    <w:rsid w:val="00006A62"/>
    <w:rsid w:val="00006C61"/>
    <w:rsid w:val="00006D70"/>
    <w:rsid w:val="00006EA7"/>
    <w:rsid w:val="00007041"/>
    <w:rsid w:val="000070C2"/>
    <w:rsid w:val="0000726C"/>
    <w:rsid w:val="0000732B"/>
    <w:rsid w:val="000074E3"/>
    <w:rsid w:val="00007844"/>
    <w:rsid w:val="00007880"/>
    <w:rsid w:val="00007BEA"/>
    <w:rsid w:val="00007FB5"/>
    <w:rsid w:val="00010436"/>
    <w:rsid w:val="00010458"/>
    <w:rsid w:val="000106D8"/>
    <w:rsid w:val="00010857"/>
    <w:rsid w:val="00010A8E"/>
    <w:rsid w:val="00010AD0"/>
    <w:rsid w:val="00010B28"/>
    <w:rsid w:val="00011266"/>
    <w:rsid w:val="000112FF"/>
    <w:rsid w:val="000113AB"/>
    <w:rsid w:val="00011457"/>
    <w:rsid w:val="00011515"/>
    <w:rsid w:val="00011611"/>
    <w:rsid w:val="000116EA"/>
    <w:rsid w:val="00011A94"/>
    <w:rsid w:val="00011B91"/>
    <w:rsid w:val="00011BB5"/>
    <w:rsid w:val="00011DFB"/>
    <w:rsid w:val="00011E35"/>
    <w:rsid w:val="00012182"/>
    <w:rsid w:val="000125D0"/>
    <w:rsid w:val="00012870"/>
    <w:rsid w:val="00012AAB"/>
    <w:rsid w:val="00012AEE"/>
    <w:rsid w:val="00012CC1"/>
    <w:rsid w:val="00012D17"/>
    <w:rsid w:val="00012DF0"/>
    <w:rsid w:val="00012E87"/>
    <w:rsid w:val="00012EDE"/>
    <w:rsid w:val="00012F28"/>
    <w:rsid w:val="00012F43"/>
    <w:rsid w:val="00012F88"/>
    <w:rsid w:val="000130ED"/>
    <w:rsid w:val="0001321D"/>
    <w:rsid w:val="00013477"/>
    <w:rsid w:val="00013767"/>
    <w:rsid w:val="0001391F"/>
    <w:rsid w:val="00013B51"/>
    <w:rsid w:val="00013BA5"/>
    <w:rsid w:val="00013CC4"/>
    <w:rsid w:val="00013E0E"/>
    <w:rsid w:val="00013EBE"/>
    <w:rsid w:val="00013F00"/>
    <w:rsid w:val="00014150"/>
    <w:rsid w:val="000141CA"/>
    <w:rsid w:val="0001440E"/>
    <w:rsid w:val="00014453"/>
    <w:rsid w:val="00014476"/>
    <w:rsid w:val="00014665"/>
    <w:rsid w:val="00014771"/>
    <w:rsid w:val="00014B1C"/>
    <w:rsid w:val="00014D0B"/>
    <w:rsid w:val="00014D13"/>
    <w:rsid w:val="000151F3"/>
    <w:rsid w:val="0001532C"/>
    <w:rsid w:val="00015481"/>
    <w:rsid w:val="0001551E"/>
    <w:rsid w:val="000155B6"/>
    <w:rsid w:val="000155EA"/>
    <w:rsid w:val="0001566A"/>
    <w:rsid w:val="000158FC"/>
    <w:rsid w:val="00015A5F"/>
    <w:rsid w:val="00015D63"/>
    <w:rsid w:val="00015EBD"/>
    <w:rsid w:val="0001603E"/>
    <w:rsid w:val="0001604F"/>
    <w:rsid w:val="00016146"/>
    <w:rsid w:val="0001644E"/>
    <w:rsid w:val="0001660A"/>
    <w:rsid w:val="00016818"/>
    <w:rsid w:val="00016A55"/>
    <w:rsid w:val="00016A76"/>
    <w:rsid w:val="00016AF3"/>
    <w:rsid w:val="00016F25"/>
    <w:rsid w:val="00016FB1"/>
    <w:rsid w:val="0001742D"/>
    <w:rsid w:val="000174D7"/>
    <w:rsid w:val="0001776B"/>
    <w:rsid w:val="00017944"/>
    <w:rsid w:val="00017C31"/>
    <w:rsid w:val="00017EA3"/>
    <w:rsid w:val="00017F87"/>
    <w:rsid w:val="000201AB"/>
    <w:rsid w:val="0002044A"/>
    <w:rsid w:val="00020545"/>
    <w:rsid w:val="00020689"/>
    <w:rsid w:val="000206F9"/>
    <w:rsid w:val="00020D0B"/>
    <w:rsid w:val="00020E71"/>
    <w:rsid w:val="00020F0D"/>
    <w:rsid w:val="00020FF9"/>
    <w:rsid w:val="000210DB"/>
    <w:rsid w:val="000210E3"/>
    <w:rsid w:val="00021228"/>
    <w:rsid w:val="000212A6"/>
    <w:rsid w:val="0002137B"/>
    <w:rsid w:val="000214AA"/>
    <w:rsid w:val="00021984"/>
    <w:rsid w:val="00021CB1"/>
    <w:rsid w:val="00022038"/>
    <w:rsid w:val="00022261"/>
    <w:rsid w:val="0002235D"/>
    <w:rsid w:val="00022533"/>
    <w:rsid w:val="00022567"/>
    <w:rsid w:val="00022594"/>
    <w:rsid w:val="0002271B"/>
    <w:rsid w:val="0002280B"/>
    <w:rsid w:val="0002290B"/>
    <w:rsid w:val="00022960"/>
    <w:rsid w:val="000229DE"/>
    <w:rsid w:val="000229E6"/>
    <w:rsid w:val="00022CFE"/>
    <w:rsid w:val="00022D23"/>
    <w:rsid w:val="00022DBD"/>
    <w:rsid w:val="00023211"/>
    <w:rsid w:val="00023244"/>
    <w:rsid w:val="0002326B"/>
    <w:rsid w:val="000232DD"/>
    <w:rsid w:val="000232FB"/>
    <w:rsid w:val="0002347A"/>
    <w:rsid w:val="000234C6"/>
    <w:rsid w:val="000235DB"/>
    <w:rsid w:val="000236CD"/>
    <w:rsid w:val="00023AC7"/>
    <w:rsid w:val="00023D8C"/>
    <w:rsid w:val="00023EDB"/>
    <w:rsid w:val="000240B7"/>
    <w:rsid w:val="000240C2"/>
    <w:rsid w:val="0002438D"/>
    <w:rsid w:val="00024454"/>
    <w:rsid w:val="00024566"/>
    <w:rsid w:val="0002459B"/>
    <w:rsid w:val="00024A76"/>
    <w:rsid w:val="00024B1B"/>
    <w:rsid w:val="00024B97"/>
    <w:rsid w:val="00024C2B"/>
    <w:rsid w:val="00024CED"/>
    <w:rsid w:val="00024F42"/>
    <w:rsid w:val="0002512A"/>
    <w:rsid w:val="000253E1"/>
    <w:rsid w:val="00025534"/>
    <w:rsid w:val="00025809"/>
    <w:rsid w:val="000258A3"/>
    <w:rsid w:val="00025B1F"/>
    <w:rsid w:val="00025F2C"/>
    <w:rsid w:val="0002603C"/>
    <w:rsid w:val="00026318"/>
    <w:rsid w:val="00026426"/>
    <w:rsid w:val="0002648B"/>
    <w:rsid w:val="000264A8"/>
    <w:rsid w:val="000264FD"/>
    <w:rsid w:val="0002673A"/>
    <w:rsid w:val="000267A9"/>
    <w:rsid w:val="00026BC5"/>
    <w:rsid w:val="00026FE8"/>
    <w:rsid w:val="000270F3"/>
    <w:rsid w:val="000271A9"/>
    <w:rsid w:val="000271FD"/>
    <w:rsid w:val="000273BF"/>
    <w:rsid w:val="000274CD"/>
    <w:rsid w:val="0002766E"/>
    <w:rsid w:val="00027784"/>
    <w:rsid w:val="00027A14"/>
    <w:rsid w:val="00027C8D"/>
    <w:rsid w:val="00027D28"/>
    <w:rsid w:val="00027DFB"/>
    <w:rsid w:val="00027F53"/>
    <w:rsid w:val="000302BE"/>
    <w:rsid w:val="00030428"/>
    <w:rsid w:val="00030474"/>
    <w:rsid w:val="0003052F"/>
    <w:rsid w:val="00030590"/>
    <w:rsid w:val="0003062E"/>
    <w:rsid w:val="000307A1"/>
    <w:rsid w:val="00030A9B"/>
    <w:rsid w:val="00030BAA"/>
    <w:rsid w:val="00030D9D"/>
    <w:rsid w:val="00030F2C"/>
    <w:rsid w:val="00030F4B"/>
    <w:rsid w:val="000313D6"/>
    <w:rsid w:val="000314DD"/>
    <w:rsid w:val="00031730"/>
    <w:rsid w:val="000318F8"/>
    <w:rsid w:val="00031B28"/>
    <w:rsid w:val="00031BCC"/>
    <w:rsid w:val="00031D64"/>
    <w:rsid w:val="00031E16"/>
    <w:rsid w:val="00031ECB"/>
    <w:rsid w:val="00032001"/>
    <w:rsid w:val="000320B2"/>
    <w:rsid w:val="000323F1"/>
    <w:rsid w:val="00032439"/>
    <w:rsid w:val="0003262B"/>
    <w:rsid w:val="0003276A"/>
    <w:rsid w:val="000328D8"/>
    <w:rsid w:val="00032AA1"/>
    <w:rsid w:val="00032CED"/>
    <w:rsid w:val="00032DDF"/>
    <w:rsid w:val="00032E4A"/>
    <w:rsid w:val="00032E68"/>
    <w:rsid w:val="00032FB5"/>
    <w:rsid w:val="00033398"/>
    <w:rsid w:val="00033592"/>
    <w:rsid w:val="0003377C"/>
    <w:rsid w:val="000337FD"/>
    <w:rsid w:val="0003386F"/>
    <w:rsid w:val="000339C1"/>
    <w:rsid w:val="000339CA"/>
    <w:rsid w:val="00033C37"/>
    <w:rsid w:val="00033E03"/>
    <w:rsid w:val="000341B1"/>
    <w:rsid w:val="0003426C"/>
    <w:rsid w:val="000344C0"/>
    <w:rsid w:val="0003463D"/>
    <w:rsid w:val="00034649"/>
    <w:rsid w:val="000346B8"/>
    <w:rsid w:val="00034876"/>
    <w:rsid w:val="000348BC"/>
    <w:rsid w:val="00034CF7"/>
    <w:rsid w:val="00034E32"/>
    <w:rsid w:val="00034E5E"/>
    <w:rsid w:val="00034FC4"/>
    <w:rsid w:val="000350BB"/>
    <w:rsid w:val="00035499"/>
    <w:rsid w:val="0003560C"/>
    <w:rsid w:val="00035A44"/>
    <w:rsid w:val="00035A9E"/>
    <w:rsid w:val="00035C19"/>
    <w:rsid w:val="00035C38"/>
    <w:rsid w:val="00035CE5"/>
    <w:rsid w:val="00035FB2"/>
    <w:rsid w:val="0003608F"/>
    <w:rsid w:val="000360DB"/>
    <w:rsid w:val="00036289"/>
    <w:rsid w:val="000368C5"/>
    <w:rsid w:val="00036920"/>
    <w:rsid w:val="00036988"/>
    <w:rsid w:val="000369E5"/>
    <w:rsid w:val="00036CB6"/>
    <w:rsid w:val="0003706E"/>
    <w:rsid w:val="000372BB"/>
    <w:rsid w:val="000372FE"/>
    <w:rsid w:val="000373B0"/>
    <w:rsid w:val="0003745D"/>
    <w:rsid w:val="000374B1"/>
    <w:rsid w:val="0003760E"/>
    <w:rsid w:val="00037624"/>
    <w:rsid w:val="00037640"/>
    <w:rsid w:val="000376F6"/>
    <w:rsid w:val="000377B5"/>
    <w:rsid w:val="000377BF"/>
    <w:rsid w:val="000377E3"/>
    <w:rsid w:val="00037820"/>
    <w:rsid w:val="000378E3"/>
    <w:rsid w:val="0003799E"/>
    <w:rsid w:val="00037D3C"/>
    <w:rsid w:val="00037D50"/>
    <w:rsid w:val="00037E18"/>
    <w:rsid w:val="00037E55"/>
    <w:rsid w:val="00037E8B"/>
    <w:rsid w:val="00037EB4"/>
    <w:rsid w:val="00037FB0"/>
    <w:rsid w:val="00040071"/>
    <w:rsid w:val="00040097"/>
    <w:rsid w:val="0004055B"/>
    <w:rsid w:val="00040609"/>
    <w:rsid w:val="00040852"/>
    <w:rsid w:val="000408DB"/>
    <w:rsid w:val="00040925"/>
    <w:rsid w:val="00040C1F"/>
    <w:rsid w:val="00040DC1"/>
    <w:rsid w:val="00040E42"/>
    <w:rsid w:val="0004104A"/>
    <w:rsid w:val="00041065"/>
    <w:rsid w:val="000412E8"/>
    <w:rsid w:val="00041660"/>
    <w:rsid w:val="000418F1"/>
    <w:rsid w:val="00041988"/>
    <w:rsid w:val="00041A2B"/>
    <w:rsid w:val="00041B48"/>
    <w:rsid w:val="00041E43"/>
    <w:rsid w:val="00041ED4"/>
    <w:rsid w:val="000421E6"/>
    <w:rsid w:val="000422FB"/>
    <w:rsid w:val="000423E2"/>
    <w:rsid w:val="00042495"/>
    <w:rsid w:val="0004260D"/>
    <w:rsid w:val="0004260E"/>
    <w:rsid w:val="00042859"/>
    <w:rsid w:val="00042896"/>
    <w:rsid w:val="000428A8"/>
    <w:rsid w:val="00042ACE"/>
    <w:rsid w:val="00042D97"/>
    <w:rsid w:val="00042FA7"/>
    <w:rsid w:val="000430DF"/>
    <w:rsid w:val="00043249"/>
    <w:rsid w:val="00043276"/>
    <w:rsid w:val="00043481"/>
    <w:rsid w:val="000435B7"/>
    <w:rsid w:val="00043897"/>
    <w:rsid w:val="00043929"/>
    <w:rsid w:val="00043AC6"/>
    <w:rsid w:val="00043BA3"/>
    <w:rsid w:val="00043BCD"/>
    <w:rsid w:val="00043D38"/>
    <w:rsid w:val="00044333"/>
    <w:rsid w:val="0004440A"/>
    <w:rsid w:val="00044476"/>
    <w:rsid w:val="0004450B"/>
    <w:rsid w:val="000449A5"/>
    <w:rsid w:val="00044DD2"/>
    <w:rsid w:val="00044F7D"/>
    <w:rsid w:val="00045002"/>
    <w:rsid w:val="00045065"/>
    <w:rsid w:val="000450AE"/>
    <w:rsid w:val="00045325"/>
    <w:rsid w:val="0004554D"/>
    <w:rsid w:val="00045718"/>
    <w:rsid w:val="000457F4"/>
    <w:rsid w:val="00045809"/>
    <w:rsid w:val="00045924"/>
    <w:rsid w:val="00045942"/>
    <w:rsid w:val="00045D9E"/>
    <w:rsid w:val="00045E9B"/>
    <w:rsid w:val="00045F1E"/>
    <w:rsid w:val="000464FC"/>
    <w:rsid w:val="000465BA"/>
    <w:rsid w:val="000465EC"/>
    <w:rsid w:val="000466E7"/>
    <w:rsid w:val="00046A2E"/>
    <w:rsid w:val="00046B0F"/>
    <w:rsid w:val="00046B64"/>
    <w:rsid w:val="00046C59"/>
    <w:rsid w:val="00046CFC"/>
    <w:rsid w:val="00046E5C"/>
    <w:rsid w:val="00046E6A"/>
    <w:rsid w:val="00046FFE"/>
    <w:rsid w:val="000473E6"/>
    <w:rsid w:val="00047570"/>
    <w:rsid w:val="00047710"/>
    <w:rsid w:val="0004783F"/>
    <w:rsid w:val="000478B4"/>
    <w:rsid w:val="000479E8"/>
    <w:rsid w:val="00047A02"/>
    <w:rsid w:val="00047A76"/>
    <w:rsid w:val="00047D2C"/>
    <w:rsid w:val="00047F67"/>
    <w:rsid w:val="00050032"/>
    <w:rsid w:val="00050146"/>
    <w:rsid w:val="000501AB"/>
    <w:rsid w:val="000501B8"/>
    <w:rsid w:val="000504D2"/>
    <w:rsid w:val="000506C5"/>
    <w:rsid w:val="000506E8"/>
    <w:rsid w:val="00050803"/>
    <w:rsid w:val="00050A26"/>
    <w:rsid w:val="00050AFF"/>
    <w:rsid w:val="00050CDE"/>
    <w:rsid w:val="00050F70"/>
    <w:rsid w:val="000510E1"/>
    <w:rsid w:val="0005118B"/>
    <w:rsid w:val="00051325"/>
    <w:rsid w:val="000514CF"/>
    <w:rsid w:val="0005174A"/>
    <w:rsid w:val="00051B01"/>
    <w:rsid w:val="0005211F"/>
    <w:rsid w:val="0005234F"/>
    <w:rsid w:val="00052350"/>
    <w:rsid w:val="00052383"/>
    <w:rsid w:val="00052646"/>
    <w:rsid w:val="000526C9"/>
    <w:rsid w:val="000527F9"/>
    <w:rsid w:val="00052910"/>
    <w:rsid w:val="00052B34"/>
    <w:rsid w:val="00052D6E"/>
    <w:rsid w:val="00052E19"/>
    <w:rsid w:val="0005326C"/>
    <w:rsid w:val="000532AA"/>
    <w:rsid w:val="00053458"/>
    <w:rsid w:val="00053694"/>
    <w:rsid w:val="00053733"/>
    <w:rsid w:val="000537D0"/>
    <w:rsid w:val="0005383A"/>
    <w:rsid w:val="000538EC"/>
    <w:rsid w:val="00053A51"/>
    <w:rsid w:val="00053B4C"/>
    <w:rsid w:val="00053CC9"/>
    <w:rsid w:val="00053D5C"/>
    <w:rsid w:val="00053D9F"/>
    <w:rsid w:val="00053E26"/>
    <w:rsid w:val="00053F82"/>
    <w:rsid w:val="00054007"/>
    <w:rsid w:val="0005437B"/>
    <w:rsid w:val="000549A4"/>
    <w:rsid w:val="00054BE2"/>
    <w:rsid w:val="00054C1D"/>
    <w:rsid w:val="00054E41"/>
    <w:rsid w:val="00054E6C"/>
    <w:rsid w:val="00054EF0"/>
    <w:rsid w:val="00054F1A"/>
    <w:rsid w:val="00054F5F"/>
    <w:rsid w:val="00054FB4"/>
    <w:rsid w:val="0005510A"/>
    <w:rsid w:val="00055110"/>
    <w:rsid w:val="0005553E"/>
    <w:rsid w:val="00055DE3"/>
    <w:rsid w:val="00055E25"/>
    <w:rsid w:val="0005609F"/>
    <w:rsid w:val="00056526"/>
    <w:rsid w:val="0005682F"/>
    <w:rsid w:val="00056A97"/>
    <w:rsid w:val="00056C52"/>
    <w:rsid w:val="00056C65"/>
    <w:rsid w:val="00056D90"/>
    <w:rsid w:val="00056FF5"/>
    <w:rsid w:val="0005708E"/>
    <w:rsid w:val="0005714B"/>
    <w:rsid w:val="0005714C"/>
    <w:rsid w:val="000571A7"/>
    <w:rsid w:val="000575D4"/>
    <w:rsid w:val="00057644"/>
    <w:rsid w:val="000576DE"/>
    <w:rsid w:val="00057FCF"/>
    <w:rsid w:val="0006029A"/>
    <w:rsid w:val="00060305"/>
    <w:rsid w:val="0006051B"/>
    <w:rsid w:val="000605E7"/>
    <w:rsid w:val="000608A0"/>
    <w:rsid w:val="000608F8"/>
    <w:rsid w:val="00060A00"/>
    <w:rsid w:val="00060A67"/>
    <w:rsid w:val="00060B08"/>
    <w:rsid w:val="00060D25"/>
    <w:rsid w:val="00060F70"/>
    <w:rsid w:val="00061066"/>
    <w:rsid w:val="0006109E"/>
    <w:rsid w:val="0006118A"/>
    <w:rsid w:val="0006133B"/>
    <w:rsid w:val="000613A8"/>
    <w:rsid w:val="00061542"/>
    <w:rsid w:val="00061566"/>
    <w:rsid w:val="000615C7"/>
    <w:rsid w:val="00061817"/>
    <w:rsid w:val="000618E9"/>
    <w:rsid w:val="00061A43"/>
    <w:rsid w:val="00061B28"/>
    <w:rsid w:val="00061B34"/>
    <w:rsid w:val="00061B7F"/>
    <w:rsid w:val="00061B83"/>
    <w:rsid w:val="00061C62"/>
    <w:rsid w:val="00061C88"/>
    <w:rsid w:val="00061D30"/>
    <w:rsid w:val="00061E47"/>
    <w:rsid w:val="0006229D"/>
    <w:rsid w:val="000623CC"/>
    <w:rsid w:val="000623ED"/>
    <w:rsid w:val="0006273E"/>
    <w:rsid w:val="000627FD"/>
    <w:rsid w:val="00062A15"/>
    <w:rsid w:val="00062AC5"/>
    <w:rsid w:val="00062B04"/>
    <w:rsid w:val="00062FAE"/>
    <w:rsid w:val="0006302B"/>
    <w:rsid w:val="0006309C"/>
    <w:rsid w:val="00063108"/>
    <w:rsid w:val="00063283"/>
    <w:rsid w:val="00063330"/>
    <w:rsid w:val="00063627"/>
    <w:rsid w:val="0006376F"/>
    <w:rsid w:val="000638D2"/>
    <w:rsid w:val="0006394A"/>
    <w:rsid w:val="00063A1F"/>
    <w:rsid w:val="00063A81"/>
    <w:rsid w:val="00063D9D"/>
    <w:rsid w:val="00063E32"/>
    <w:rsid w:val="00063EA4"/>
    <w:rsid w:val="00063EB5"/>
    <w:rsid w:val="0006421A"/>
    <w:rsid w:val="00064291"/>
    <w:rsid w:val="00064460"/>
    <w:rsid w:val="000644CB"/>
    <w:rsid w:val="0006452C"/>
    <w:rsid w:val="00064678"/>
    <w:rsid w:val="0006477D"/>
    <w:rsid w:val="000648FD"/>
    <w:rsid w:val="00064D43"/>
    <w:rsid w:val="00065183"/>
    <w:rsid w:val="0006522C"/>
    <w:rsid w:val="00065578"/>
    <w:rsid w:val="0006558A"/>
    <w:rsid w:val="00065609"/>
    <w:rsid w:val="00065628"/>
    <w:rsid w:val="00065A86"/>
    <w:rsid w:val="00065CA6"/>
    <w:rsid w:val="00065D6E"/>
    <w:rsid w:val="00066052"/>
    <w:rsid w:val="0006609B"/>
    <w:rsid w:val="0006630E"/>
    <w:rsid w:val="0006662B"/>
    <w:rsid w:val="00066679"/>
    <w:rsid w:val="000667D7"/>
    <w:rsid w:val="000668F0"/>
    <w:rsid w:val="0006698E"/>
    <w:rsid w:val="00066C6B"/>
    <w:rsid w:val="00066CEA"/>
    <w:rsid w:val="00066E53"/>
    <w:rsid w:val="00066F06"/>
    <w:rsid w:val="00066F0E"/>
    <w:rsid w:val="00066FB3"/>
    <w:rsid w:val="0006723A"/>
    <w:rsid w:val="00067A3A"/>
    <w:rsid w:val="00067AF0"/>
    <w:rsid w:val="00067C5F"/>
    <w:rsid w:val="00067CF8"/>
    <w:rsid w:val="00067DD4"/>
    <w:rsid w:val="00067F52"/>
    <w:rsid w:val="0007003E"/>
    <w:rsid w:val="0007046B"/>
    <w:rsid w:val="00070530"/>
    <w:rsid w:val="0007054E"/>
    <w:rsid w:val="0007055A"/>
    <w:rsid w:val="00070729"/>
    <w:rsid w:val="0007080F"/>
    <w:rsid w:val="0007087A"/>
    <w:rsid w:val="00070A90"/>
    <w:rsid w:val="00070B08"/>
    <w:rsid w:val="00070E61"/>
    <w:rsid w:val="00071030"/>
    <w:rsid w:val="00071222"/>
    <w:rsid w:val="0007127B"/>
    <w:rsid w:val="0007138E"/>
    <w:rsid w:val="0007142E"/>
    <w:rsid w:val="00071656"/>
    <w:rsid w:val="000716E8"/>
    <w:rsid w:val="0007192C"/>
    <w:rsid w:val="0007194E"/>
    <w:rsid w:val="00071A1D"/>
    <w:rsid w:val="00071A9F"/>
    <w:rsid w:val="00071AC1"/>
    <w:rsid w:val="00071D3A"/>
    <w:rsid w:val="00071E33"/>
    <w:rsid w:val="00071EA3"/>
    <w:rsid w:val="00072029"/>
    <w:rsid w:val="0007209F"/>
    <w:rsid w:val="000721C4"/>
    <w:rsid w:val="00072257"/>
    <w:rsid w:val="00072281"/>
    <w:rsid w:val="000723C6"/>
    <w:rsid w:val="000726A0"/>
    <w:rsid w:val="00072736"/>
    <w:rsid w:val="000728BE"/>
    <w:rsid w:val="00072997"/>
    <w:rsid w:val="00072A8C"/>
    <w:rsid w:val="00072C3A"/>
    <w:rsid w:val="00073593"/>
    <w:rsid w:val="0007370F"/>
    <w:rsid w:val="00073991"/>
    <w:rsid w:val="000739AE"/>
    <w:rsid w:val="00073A5B"/>
    <w:rsid w:val="00073CC2"/>
    <w:rsid w:val="00073D58"/>
    <w:rsid w:val="00073E37"/>
    <w:rsid w:val="00073E45"/>
    <w:rsid w:val="00073F73"/>
    <w:rsid w:val="0007406C"/>
    <w:rsid w:val="000740A5"/>
    <w:rsid w:val="0007426A"/>
    <w:rsid w:val="000743D8"/>
    <w:rsid w:val="00074439"/>
    <w:rsid w:val="00074647"/>
    <w:rsid w:val="00074738"/>
    <w:rsid w:val="00074AC4"/>
    <w:rsid w:val="00074B05"/>
    <w:rsid w:val="00074C26"/>
    <w:rsid w:val="00074CA0"/>
    <w:rsid w:val="00074CD8"/>
    <w:rsid w:val="00074E24"/>
    <w:rsid w:val="00074F10"/>
    <w:rsid w:val="0007522A"/>
    <w:rsid w:val="000752C0"/>
    <w:rsid w:val="000754BA"/>
    <w:rsid w:val="000754D9"/>
    <w:rsid w:val="000755E9"/>
    <w:rsid w:val="00075617"/>
    <w:rsid w:val="00075765"/>
    <w:rsid w:val="00075868"/>
    <w:rsid w:val="00075FA9"/>
    <w:rsid w:val="000761DA"/>
    <w:rsid w:val="00076556"/>
    <w:rsid w:val="00076638"/>
    <w:rsid w:val="0007686C"/>
    <w:rsid w:val="00076C6B"/>
    <w:rsid w:val="00076C7B"/>
    <w:rsid w:val="00076CBA"/>
    <w:rsid w:val="00076D22"/>
    <w:rsid w:val="00076DAA"/>
    <w:rsid w:val="00076F86"/>
    <w:rsid w:val="00076FAB"/>
    <w:rsid w:val="00076FDF"/>
    <w:rsid w:val="000775F7"/>
    <w:rsid w:val="00077792"/>
    <w:rsid w:val="00077BA3"/>
    <w:rsid w:val="00077DFC"/>
    <w:rsid w:val="00077E77"/>
    <w:rsid w:val="00077F0A"/>
    <w:rsid w:val="00080161"/>
    <w:rsid w:val="00080197"/>
    <w:rsid w:val="00080284"/>
    <w:rsid w:val="00080677"/>
    <w:rsid w:val="0008076B"/>
    <w:rsid w:val="00080822"/>
    <w:rsid w:val="0008098F"/>
    <w:rsid w:val="000809BA"/>
    <w:rsid w:val="00080C73"/>
    <w:rsid w:val="00080ECD"/>
    <w:rsid w:val="00080F18"/>
    <w:rsid w:val="00081014"/>
    <w:rsid w:val="00081155"/>
    <w:rsid w:val="00081712"/>
    <w:rsid w:val="00081716"/>
    <w:rsid w:val="0008183F"/>
    <w:rsid w:val="00081D0E"/>
    <w:rsid w:val="00081E66"/>
    <w:rsid w:val="00081EAB"/>
    <w:rsid w:val="00081F46"/>
    <w:rsid w:val="000820D5"/>
    <w:rsid w:val="0008210C"/>
    <w:rsid w:val="00082211"/>
    <w:rsid w:val="000823D4"/>
    <w:rsid w:val="000824F6"/>
    <w:rsid w:val="000825E1"/>
    <w:rsid w:val="00082606"/>
    <w:rsid w:val="000826F9"/>
    <w:rsid w:val="00082895"/>
    <w:rsid w:val="000828CD"/>
    <w:rsid w:val="00082974"/>
    <w:rsid w:val="00082B1A"/>
    <w:rsid w:val="00082D1C"/>
    <w:rsid w:val="00082DD2"/>
    <w:rsid w:val="00082DFE"/>
    <w:rsid w:val="00082F80"/>
    <w:rsid w:val="000830BB"/>
    <w:rsid w:val="0008315B"/>
    <w:rsid w:val="00083224"/>
    <w:rsid w:val="00083390"/>
    <w:rsid w:val="0008339A"/>
    <w:rsid w:val="000835B9"/>
    <w:rsid w:val="000835F4"/>
    <w:rsid w:val="00083659"/>
    <w:rsid w:val="00083ACC"/>
    <w:rsid w:val="00083B10"/>
    <w:rsid w:val="00083B8E"/>
    <w:rsid w:val="00083E72"/>
    <w:rsid w:val="00083F05"/>
    <w:rsid w:val="000840EB"/>
    <w:rsid w:val="00084204"/>
    <w:rsid w:val="00084586"/>
    <w:rsid w:val="00084632"/>
    <w:rsid w:val="000846AB"/>
    <w:rsid w:val="00084703"/>
    <w:rsid w:val="0008472C"/>
    <w:rsid w:val="00084C95"/>
    <w:rsid w:val="00084D5B"/>
    <w:rsid w:val="00084E09"/>
    <w:rsid w:val="0008501B"/>
    <w:rsid w:val="00085490"/>
    <w:rsid w:val="0008579A"/>
    <w:rsid w:val="000857AF"/>
    <w:rsid w:val="00085860"/>
    <w:rsid w:val="00085A41"/>
    <w:rsid w:val="00085AB6"/>
    <w:rsid w:val="00085ACC"/>
    <w:rsid w:val="00085D96"/>
    <w:rsid w:val="00085E55"/>
    <w:rsid w:val="00086185"/>
    <w:rsid w:val="000863AD"/>
    <w:rsid w:val="0008673F"/>
    <w:rsid w:val="0008683B"/>
    <w:rsid w:val="000868E4"/>
    <w:rsid w:val="00086934"/>
    <w:rsid w:val="000869DB"/>
    <w:rsid w:val="00086CB0"/>
    <w:rsid w:val="00087096"/>
    <w:rsid w:val="00087176"/>
    <w:rsid w:val="0008753B"/>
    <w:rsid w:val="000875AD"/>
    <w:rsid w:val="00087679"/>
    <w:rsid w:val="0008773A"/>
    <w:rsid w:val="000878D9"/>
    <w:rsid w:val="00087A6B"/>
    <w:rsid w:val="00087AA5"/>
    <w:rsid w:val="00087ABE"/>
    <w:rsid w:val="00087B9F"/>
    <w:rsid w:val="00087C54"/>
    <w:rsid w:val="00087D65"/>
    <w:rsid w:val="00087F95"/>
    <w:rsid w:val="00087FDB"/>
    <w:rsid w:val="0009007F"/>
    <w:rsid w:val="0009025C"/>
    <w:rsid w:val="0009032A"/>
    <w:rsid w:val="00090BF3"/>
    <w:rsid w:val="00090D8C"/>
    <w:rsid w:val="00090F60"/>
    <w:rsid w:val="0009116B"/>
    <w:rsid w:val="00091331"/>
    <w:rsid w:val="000914F3"/>
    <w:rsid w:val="00091621"/>
    <w:rsid w:val="000916B1"/>
    <w:rsid w:val="0009197B"/>
    <w:rsid w:val="000919AD"/>
    <w:rsid w:val="00091A04"/>
    <w:rsid w:val="00091A1D"/>
    <w:rsid w:val="00091A4A"/>
    <w:rsid w:val="00091DF5"/>
    <w:rsid w:val="0009202C"/>
    <w:rsid w:val="00092349"/>
    <w:rsid w:val="000923F0"/>
    <w:rsid w:val="00092694"/>
    <w:rsid w:val="00092756"/>
    <w:rsid w:val="000927E1"/>
    <w:rsid w:val="00092930"/>
    <w:rsid w:val="00092B5C"/>
    <w:rsid w:val="00092CC5"/>
    <w:rsid w:val="00092D0D"/>
    <w:rsid w:val="00092D12"/>
    <w:rsid w:val="00092D73"/>
    <w:rsid w:val="00092E37"/>
    <w:rsid w:val="00092E49"/>
    <w:rsid w:val="00093078"/>
    <w:rsid w:val="0009307D"/>
    <w:rsid w:val="0009308C"/>
    <w:rsid w:val="000930DA"/>
    <w:rsid w:val="000931EB"/>
    <w:rsid w:val="00093382"/>
    <w:rsid w:val="000933C9"/>
    <w:rsid w:val="00093550"/>
    <w:rsid w:val="00093985"/>
    <w:rsid w:val="000939A7"/>
    <w:rsid w:val="00093C27"/>
    <w:rsid w:val="00093EDE"/>
    <w:rsid w:val="0009408D"/>
    <w:rsid w:val="000941B8"/>
    <w:rsid w:val="00094280"/>
    <w:rsid w:val="0009441A"/>
    <w:rsid w:val="00094450"/>
    <w:rsid w:val="000945C6"/>
    <w:rsid w:val="00094733"/>
    <w:rsid w:val="0009491A"/>
    <w:rsid w:val="00094AC3"/>
    <w:rsid w:val="00094D5F"/>
    <w:rsid w:val="00094EE2"/>
    <w:rsid w:val="00094F74"/>
    <w:rsid w:val="000950C9"/>
    <w:rsid w:val="00095611"/>
    <w:rsid w:val="000958D1"/>
    <w:rsid w:val="0009593B"/>
    <w:rsid w:val="00095A92"/>
    <w:rsid w:val="00095D94"/>
    <w:rsid w:val="00095EC1"/>
    <w:rsid w:val="00095FC6"/>
    <w:rsid w:val="00095FED"/>
    <w:rsid w:val="00096110"/>
    <w:rsid w:val="0009621D"/>
    <w:rsid w:val="000963B8"/>
    <w:rsid w:val="00096430"/>
    <w:rsid w:val="0009677E"/>
    <w:rsid w:val="00096977"/>
    <w:rsid w:val="00096B95"/>
    <w:rsid w:val="00096C0A"/>
    <w:rsid w:val="00096C1B"/>
    <w:rsid w:val="00096CDC"/>
    <w:rsid w:val="00096EE9"/>
    <w:rsid w:val="00096F84"/>
    <w:rsid w:val="00096FC7"/>
    <w:rsid w:val="000975D0"/>
    <w:rsid w:val="000976F3"/>
    <w:rsid w:val="000976FD"/>
    <w:rsid w:val="0009770D"/>
    <w:rsid w:val="0009777B"/>
    <w:rsid w:val="0009782A"/>
    <w:rsid w:val="000978A4"/>
    <w:rsid w:val="00097B40"/>
    <w:rsid w:val="00097D6D"/>
    <w:rsid w:val="00097FEB"/>
    <w:rsid w:val="000A0093"/>
    <w:rsid w:val="000A013B"/>
    <w:rsid w:val="000A01BD"/>
    <w:rsid w:val="000A01E9"/>
    <w:rsid w:val="000A04E8"/>
    <w:rsid w:val="000A073E"/>
    <w:rsid w:val="000A07CE"/>
    <w:rsid w:val="000A080B"/>
    <w:rsid w:val="000A080C"/>
    <w:rsid w:val="000A098B"/>
    <w:rsid w:val="000A0A38"/>
    <w:rsid w:val="000A0B9C"/>
    <w:rsid w:val="000A0CAD"/>
    <w:rsid w:val="000A0CBD"/>
    <w:rsid w:val="000A0D18"/>
    <w:rsid w:val="000A0EC5"/>
    <w:rsid w:val="000A0F17"/>
    <w:rsid w:val="000A148C"/>
    <w:rsid w:val="000A14EF"/>
    <w:rsid w:val="000A1523"/>
    <w:rsid w:val="000A1951"/>
    <w:rsid w:val="000A1E29"/>
    <w:rsid w:val="000A1F1A"/>
    <w:rsid w:val="000A207C"/>
    <w:rsid w:val="000A209F"/>
    <w:rsid w:val="000A20CA"/>
    <w:rsid w:val="000A22BD"/>
    <w:rsid w:val="000A231E"/>
    <w:rsid w:val="000A2525"/>
    <w:rsid w:val="000A25DD"/>
    <w:rsid w:val="000A260E"/>
    <w:rsid w:val="000A26BD"/>
    <w:rsid w:val="000A290D"/>
    <w:rsid w:val="000A29A8"/>
    <w:rsid w:val="000A2A37"/>
    <w:rsid w:val="000A2BC7"/>
    <w:rsid w:val="000A2CEA"/>
    <w:rsid w:val="000A3738"/>
    <w:rsid w:val="000A39D5"/>
    <w:rsid w:val="000A3C5E"/>
    <w:rsid w:val="000A3D3E"/>
    <w:rsid w:val="000A3F9C"/>
    <w:rsid w:val="000A402F"/>
    <w:rsid w:val="000A4145"/>
    <w:rsid w:val="000A4392"/>
    <w:rsid w:val="000A444E"/>
    <w:rsid w:val="000A480A"/>
    <w:rsid w:val="000A48D1"/>
    <w:rsid w:val="000A495D"/>
    <w:rsid w:val="000A4AC8"/>
    <w:rsid w:val="000A4C61"/>
    <w:rsid w:val="000A4D58"/>
    <w:rsid w:val="000A4F54"/>
    <w:rsid w:val="000A4F89"/>
    <w:rsid w:val="000A514F"/>
    <w:rsid w:val="000A5153"/>
    <w:rsid w:val="000A5313"/>
    <w:rsid w:val="000A5332"/>
    <w:rsid w:val="000A555F"/>
    <w:rsid w:val="000A55C5"/>
    <w:rsid w:val="000A5802"/>
    <w:rsid w:val="000A580C"/>
    <w:rsid w:val="000A596A"/>
    <w:rsid w:val="000A5B8E"/>
    <w:rsid w:val="000A5CE0"/>
    <w:rsid w:val="000A6017"/>
    <w:rsid w:val="000A616F"/>
    <w:rsid w:val="000A64DD"/>
    <w:rsid w:val="000A661C"/>
    <w:rsid w:val="000A674B"/>
    <w:rsid w:val="000A679F"/>
    <w:rsid w:val="000A694F"/>
    <w:rsid w:val="000A6990"/>
    <w:rsid w:val="000A6C73"/>
    <w:rsid w:val="000A6E61"/>
    <w:rsid w:val="000A6E89"/>
    <w:rsid w:val="000A7099"/>
    <w:rsid w:val="000A709B"/>
    <w:rsid w:val="000A71A5"/>
    <w:rsid w:val="000A71DF"/>
    <w:rsid w:val="000A7502"/>
    <w:rsid w:val="000A750C"/>
    <w:rsid w:val="000A76D0"/>
    <w:rsid w:val="000A778F"/>
    <w:rsid w:val="000A7837"/>
    <w:rsid w:val="000A787C"/>
    <w:rsid w:val="000A799F"/>
    <w:rsid w:val="000A7AB4"/>
    <w:rsid w:val="000A7ADF"/>
    <w:rsid w:val="000A7B37"/>
    <w:rsid w:val="000A7FEA"/>
    <w:rsid w:val="000B0027"/>
    <w:rsid w:val="000B0064"/>
    <w:rsid w:val="000B02A7"/>
    <w:rsid w:val="000B04F3"/>
    <w:rsid w:val="000B05DB"/>
    <w:rsid w:val="000B07D1"/>
    <w:rsid w:val="000B088A"/>
    <w:rsid w:val="000B09E4"/>
    <w:rsid w:val="000B0A57"/>
    <w:rsid w:val="000B0B93"/>
    <w:rsid w:val="000B0CF4"/>
    <w:rsid w:val="000B11AA"/>
    <w:rsid w:val="000B1253"/>
    <w:rsid w:val="000B127F"/>
    <w:rsid w:val="000B144B"/>
    <w:rsid w:val="000B158F"/>
    <w:rsid w:val="000B1616"/>
    <w:rsid w:val="000B161D"/>
    <w:rsid w:val="000B179B"/>
    <w:rsid w:val="000B1B5A"/>
    <w:rsid w:val="000B1E1B"/>
    <w:rsid w:val="000B1E48"/>
    <w:rsid w:val="000B2101"/>
    <w:rsid w:val="000B237D"/>
    <w:rsid w:val="000B23BA"/>
    <w:rsid w:val="000B2402"/>
    <w:rsid w:val="000B261E"/>
    <w:rsid w:val="000B27AE"/>
    <w:rsid w:val="000B27CA"/>
    <w:rsid w:val="000B2ADF"/>
    <w:rsid w:val="000B2BF1"/>
    <w:rsid w:val="000B2EB9"/>
    <w:rsid w:val="000B2ED4"/>
    <w:rsid w:val="000B31A2"/>
    <w:rsid w:val="000B328C"/>
    <w:rsid w:val="000B36B8"/>
    <w:rsid w:val="000B36C4"/>
    <w:rsid w:val="000B3A75"/>
    <w:rsid w:val="000B3DB8"/>
    <w:rsid w:val="000B3EB4"/>
    <w:rsid w:val="000B4015"/>
    <w:rsid w:val="000B4206"/>
    <w:rsid w:val="000B42A2"/>
    <w:rsid w:val="000B4394"/>
    <w:rsid w:val="000B4613"/>
    <w:rsid w:val="000B46DF"/>
    <w:rsid w:val="000B4AB0"/>
    <w:rsid w:val="000B4B69"/>
    <w:rsid w:val="000B4DB1"/>
    <w:rsid w:val="000B4DF6"/>
    <w:rsid w:val="000B4FA8"/>
    <w:rsid w:val="000B4FC4"/>
    <w:rsid w:val="000B50AE"/>
    <w:rsid w:val="000B515A"/>
    <w:rsid w:val="000B5302"/>
    <w:rsid w:val="000B5332"/>
    <w:rsid w:val="000B57C6"/>
    <w:rsid w:val="000B5995"/>
    <w:rsid w:val="000B5C90"/>
    <w:rsid w:val="000B5E06"/>
    <w:rsid w:val="000B5E6B"/>
    <w:rsid w:val="000B5ED4"/>
    <w:rsid w:val="000B6339"/>
    <w:rsid w:val="000B680A"/>
    <w:rsid w:val="000B6826"/>
    <w:rsid w:val="000B68F4"/>
    <w:rsid w:val="000B69A3"/>
    <w:rsid w:val="000B6A70"/>
    <w:rsid w:val="000B6B37"/>
    <w:rsid w:val="000B7103"/>
    <w:rsid w:val="000B7187"/>
    <w:rsid w:val="000B719B"/>
    <w:rsid w:val="000B7429"/>
    <w:rsid w:val="000B74A3"/>
    <w:rsid w:val="000B77E2"/>
    <w:rsid w:val="000B791F"/>
    <w:rsid w:val="000B7CA4"/>
    <w:rsid w:val="000B7DA0"/>
    <w:rsid w:val="000B7DB9"/>
    <w:rsid w:val="000B7ED5"/>
    <w:rsid w:val="000B7EE9"/>
    <w:rsid w:val="000C019D"/>
    <w:rsid w:val="000C01FB"/>
    <w:rsid w:val="000C0356"/>
    <w:rsid w:val="000C042D"/>
    <w:rsid w:val="000C04B3"/>
    <w:rsid w:val="000C05B0"/>
    <w:rsid w:val="000C0609"/>
    <w:rsid w:val="000C060F"/>
    <w:rsid w:val="000C065C"/>
    <w:rsid w:val="000C068F"/>
    <w:rsid w:val="000C08B4"/>
    <w:rsid w:val="000C0902"/>
    <w:rsid w:val="000C0C6A"/>
    <w:rsid w:val="000C0DD5"/>
    <w:rsid w:val="000C10FA"/>
    <w:rsid w:val="000C112D"/>
    <w:rsid w:val="000C1148"/>
    <w:rsid w:val="000C11EC"/>
    <w:rsid w:val="000C13A4"/>
    <w:rsid w:val="000C18AB"/>
    <w:rsid w:val="000C1A0D"/>
    <w:rsid w:val="000C1AEF"/>
    <w:rsid w:val="000C1AF8"/>
    <w:rsid w:val="000C1B86"/>
    <w:rsid w:val="000C1D30"/>
    <w:rsid w:val="000C1ED6"/>
    <w:rsid w:val="000C201B"/>
    <w:rsid w:val="000C2056"/>
    <w:rsid w:val="000C20ED"/>
    <w:rsid w:val="000C2162"/>
    <w:rsid w:val="000C21D1"/>
    <w:rsid w:val="000C2260"/>
    <w:rsid w:val="000C2383"/>
    <w:rsid w:val="000C2504"/>
    <w:rsid w:val="000C2A16"/>
    <w:rsid w:val="000C2AA4"/>
    <w:rsid w:val="000C30A8"/>
    <w:rsid w:val="000C3119"/>
    <w:rsid w:val="000C33DA"/>
    <w:rsid w:val="000C34B8"/>
    <w:rsid w:val="000C3567"/>
    <w:rsid w:val="000C369B"/>
    <w:rsid w:val="000C3881"/>
    <w:rsid w:val="000C39C3"/>
    <w:rsid w:val="000C3A1E"/>
    <w:rsid w:val="000C3C51"/>
    <w:rsid w:val="000C3DB1"/>
    <w:rsid w:val="000C4344"/>
    <w:rsid w:val="000C43F2"/>
    <w:rsid w:val="000C4410"/>
    <w:rsid w:val="000C445B"/>
    <w:rsid w:val="000C4516"/>
    <w:rsid w:val="000C477C"/>
    <w:rsid w:val="000C4956"/>
    <w:rsid w:val="000C49DA"/>
    <w:rsid w:val="000C4A8B"/>
    <w:rsid w:val="000C4C86"/>
    <w:rsid w:val="000C560D"/>
    <w:rsid w:val="000C5639"/>
    <w:rsid w:val="000C57DE"/>
    <w:rsid w:val="000C5A3D"/>
    <w:rsid w:val="000C5C51"/>
    <w:rsid w:val="000C5CB6"/>
    <w:rsid w:val="000C5D93"/>
    <w:rsid w:val="000C5DB0"/>
    <w:rsid w:val="000C5E97"/>
    <w:rsid w:val="000C606B"/>
    <w:rsid w:val="000C60EB"/>
    <w:rsid w:val="000C60FF"/>
    <w:rsid w:val="000C61AD"/>
    <w:rsid w:val="000C61D8"/>
    <w:rsid w:val="000C63EF"/>
    <w:rsid w:val="000C6436"/>
    <w:rsid w:val="000C65B4"/>
    <w:rsid w:val="000C66FB"/>
    <w:rsid w:val="000C672B"/>
    <w:rsid w:val="000C677C"/>
    <w:rsid w:val="000C6AAB"/>
    <w:rsid w:val="000C6FAB"/>
    <w:rsid w:val="000C724F"/>
    <w:rsid w:val="000C72C0"/>
    <w:rsid w:val="000C73BC"/>
    <w:rsid w:val="000C73C0"/>
    <w:rsid w:val="000C76FD"/>
    <w:rsid w:val="000C7805"/>
    <w:rsid w:val="000C7AB0"/>
    <w:rsid w:val="000C7CE2"/>
    <w:rsid w:val="000C7E62"/>
    <w:rsid w:val="000C7EBB"/>
    <w:rsid w:val="000C7EC8"/>
    <w:rsid w:val="000D00F9"/>
    <w:rsid w:val="000D0290"/>
    <w:rsid w:val="000D040E"/>
    <w:rsid w:val="000D044E"/>
    <w:rsid w:val="000D061D"/>
    <w:rsid w:val="000D063C"/>
    <w:rsid w:val="000D071D"/>
    <w:rsid w:val="000D0BBA"/>
    <w:rsid w:val="000D0BC4"/>
    <w:rsid w:val="000D0DC6"/>
    <w:rsid w:val="000D0DC9"/>
    <w:rsid w:val="000D0EAC"/>
    <w:rsid w:val="000D0EF2"/>
    <w:rsid w:val="000D0EF7"/>
    <w:rsid w:val="000D10F1"/>
    <w:rsid w:val="000D11C3"/>
    <w:rsid w:val="000D13F7"/>
    <w:rsid w:val="000D1693"/>
    <w:rsid w:val="000D178C"/>
    <w:rsid w:val="000D1843"/>
    <w:rsid w:val="000D1883"/>
    <w:rsid w:val="000D1982"/>
    <w:rsid w:val="000D1A63"/>
    <w:rsid w:val="000D1D2C"/>
    <w:rsid w:val="000D1F51"/>
    <w:rsid w:val="000D2000"/>
    <w:rsid w:val="000D20C2"/>
    <w:rsid w:val="000D2183"/>
    <w:rsid w:val="000D220A"/>
    <w:rsid w:val="000D2261"/>
    <w:rsid w:val="000D286F"/>
    <w:rsid w:val="000D2972"/>
    <w:rsid w:val="000D2B1E"/>
    <w:rsid w:val="000D2B3B"/>
    <w:rsid w:val="000D2C19"/>
    <w:rsid w:val="000D2CFF"/>
    <w:rsid w:val="000D2DA7"/>
    <w:rsid w:val="000D303F"/>
    <w:rsid w:val="000D3084"/>
    <w:rsid w:val="000D3290"/>
    <w:rsid w:val="000D32DE"/>
    <w:rsid w:val="000D32EB"/>
    <w:rsid w:val="000D3430"/>
    <w:rsid w:val="000D3461"/>
    <w:rsid w:val="000D3501"/>
    <w:rsid w:val="000D3593"/>
    <w:rsid w:val="000D365A"/>
    <w:rsid w:val="000D383B"/>
    <w:rsid w:val="000D3B00"/>
    <w:rsid w:val="000D3B0A"/>
    <w:rsid w:val="000D3EA1"/>
    <w:rsid w:val="000D3F62"/>
    <w:rsid w:val="000D4250"/>
    <w:rsid w:val="000D42EA"/>
    <w:rsid w:val="000D4435"/>
    <w:rsid w:val="000D451E"/>
    <w:rsid w:val="000D46DB"/>
    <w:rsid w:val="000D4892"/>
    <w:rsid w:val="000D48E9"/>
    <w:rsid w:val="000D4958"/>
    <w:rsid w:val="000D4C9D"/>
    <w:rsid w:val="000D4D4C"/>
    <w:rsid w:val="000D4DB9"/>
    <w:rsid w:val="000D4EE5"/>
    <w:rsid w:val="000D4F8A"/>
    <w:rsid w:val="000D527F"/>
    <w:rsid w:val="000D532B"/>
    <w:rsid w:val="000D537B"/>
    <w:rsid w:val="000D54E9"/>
    <w:rsid w:val="000D55FE"/>
    <w:rsid w:val="000D56D0"/>
    <w:rsid w:val="000D583B"/>
    <w:rsid w:val="000D598B"/>
    <w:rsid w:val="000D5BAE"/>
    <w:rsid w:val="000D5FEC"/>
    <w:rsid w:val="000D6030"/>
    <w:rsid w:val="000D6082"/>
    <w:rsid w:val="000D60EB"/>
    <w:rsid w:val="000D6161"/>
    <w:rsid w:val="000D61A4"/>
    <w:rsid w:val="000D637A"/>
    <w:rsid w:val="000D63A4"/>
    <w:rsid w:val="000D63CD"/>
    <w:rsid w:val="000D64B6"/>
    <w:rsid w:val="000D6645"/>
    <w:rsid w:val="000D6685"/>
    <w:rsid w:val="000D6782"/>
    <w:rsid w:val="000D68A5"/>
    <w:rsid w:val="000D69EE"/>
    <w:rsid w:val="000D6AF3"/>
    <w:rsid w:val="000D6C5E"/>
    <w:rsid w:val="000D6D2B"/>
    <w:rsid w:val="000D7251"/>
    <w:rsid w:val="000D7374"/>
    <w:rsid w:val="000D739E"/>
    <w:rsid w:val="000D7611"/>
    <w:rsid w:val="000D7901"/>
    <w:rsid w:val="000D7B01"/>
    <w:rsid w:val="000D7DED"/>
    <w:rsid w:val="000D7FBE"/>
    <w:rsid w:val="000E0304"/>
    <w:rsid w:val="000E034E"/>
    <w:rsid w:val="000E03DF"/>
    <w:rsid w:val="000E06BB"/>
    <w:rsid w:val="000E0802"/>
    <w:rsid w:val="000E0899"/>
    <w:rsid w:val="000E09A2"/>
    <w:rsid w:val="000E0B8E"/>
    <w:rsid w:val="000E0D09"/>
    <w:rsid w:val="000E0DC5"/>
    <w:rsid w:val="000E0F04"/>
    <w:rsid w:val="000E1078"/>
    <w:rsid w:val="000E11E9"/>
    <w:rsid w:val="000E130A"/>
    <w:rsid w:val="000E1471"/>
    <w:rsid w:val="000E14AF"/>
    <w:rsid w:val="000E16F7"/>
    <w:rsid w:val="000E177C"/>
    <w:rsid w:val="000E18C8"/>
    <w:rsid w:val="000E1C02"/>
    <w:rsid w:val="000E1C59"/>
    <w:rsid w:val="000E1CB7"/>
    <w:rsid w:val="000E200A"/>
    <w:rsid w:val="000E203A"/>
    <w:rsid w:val="000E2111"/>
    <w:rsid w:val="000E2134"/>
    <w:rsid w:val="000E2151"/>
    <w:rsid w:val="000E21D4"/>
    <w:rsid w:val="000E22CA"/>
    <w:rsid w:val="000E22D5"/>
    <w:rsid w:val="000E23D7"/>
    <w:rsid w:val="000E267B"/>
    <w:rsid w:val="000E26B9"/>
    <w:rsid w:val="000E2893"/>
    <w:rsid w:val="000E2A5D"/>
    <w:rsid w:val="000E2E75"/>
    <w:rsid w:val="000E2FF3"/>
    <w:rsid w:val="000E30DF"/>
    <w:rsid w:val="000E32C9"/>
    <w:rsid w:val="000E337E"/>
    <w:rsid w:val="000E3412"/>
    <w:rsid w:val="000E3612"/>
    <w:rsid w:val="000E387B"/>
    <w:rsid w:val="000E38FB"/>
    <w:rsid w:val="000E3A23"/>
    <w:rsid w:val="000E3CAF"/>
    <w:rsid w:val="000E3CF9"/>
    <w:rsid w:val="000E3D27"/>
    <w:rsid w:val="000E3F75"/>
    <w:rsid w:val="000E40BE"/>
    <w:rsid w:val="000E42A5"/>
    <w:rsid w:val="000E4351"/>
    <w:rsid w:val="000E443C"/>
    <w:rsid w:val="000E453E"/>
    <w:rsid w:val="000E4550"/>
    <w:rsid w:val="000E4554"/>
    <w:rsid w:val="000E45F0"/>
    <w:rsid w:val="000E4697"/>
    <w:rsid w:val="000E4AB8"/>
    <w:rsid w:val="000E4C2D"/>
    <w:rsid w:val="000E4FCB"/>
    <w:rsid w:val="000E501B"/>
    <w:rsid w:val="000E5311"/>
    <w:rsid w:val="000E55C8"/>
    <w:rsid w:val="000E5647"/>
    <w:rsid w:val="000E573D"/>
    <w:rsid w:val="000E5819"/>
    <w:rsid w:val="000E5A54"/>
    <w:rsid w:val="000E5B9A"/>
    <w:rsid w:val="000E5C56"/>
    <w:rsid w:val="000E6017"/>
    <w:rsid w:val="000E6530"/>
    <w:rsid w:val="000E661B"/>
    <w:rsid w:val="000E66E6"/>
    <w:rsid w:val="000E67D8"/>
    <w:rsid w:val="000E6852"/>
    <w:rsid w:val="000E6B59"/>
    <w:rsid w:val="000E6E97"/>
    <w:rsid w:val="000E70D0"/>
    <w:rsid w:val="000E72C0"/>
    <w:rsid w:val="000E75A0"/>
    <w:rsid w:val="000E76CB"/>
    <w:rsid w:val="000E76D9"/>
    <w:rsid w:val="000E781D"/>
    <w:rsid w:val="000E7BC1"/>
    <w:rsid w:val="000E7C32"/>
    <w:rsid w:val="000E7E43"/>
    <w:rsid w:val="000E7F21"/>
    <w:rsid w:val="000E7F42"/>
    <w:rsid w:val="000E7F71"/>
    <w:rsid w:val="000F0590"/>
    <w:rsid w:val="000F0B02"/>
    <w:rsid w:val="000F0C68"/>
    <w:rsid w:val="000F0CB7"/>
    <w:rsid w:val="000F0D08"/>
    <w:rsid w:val="000F0FA9"/>
    <w:rsid w:val="000F10AC"/>
    <w:rsid w:val="000F1160"/>
    <w:rsid w:val="000F11EC"/>
    <w:rsid w:val="000F13F8"/>
    <w:rsid w:val="000F17AD"/>
    <w:rsid w:val="000F19DF"/>
    <w:rsid w:val="000F1A69"/>
    <w:rsid w:val="000F1BAB"/>
    <w:rsid w:val="000F1CB7"/>
    <w:rsid w:val="000F1D1D"/>
    <w:rsid w:val="000F1F57"/>
    <w:rsid w:val="000F2107"/>
    <w:rsid w:val="000F2271"/>
    <w:rsid w:val="000F2329"/>
    <w:rsid w:val="000F27F2"/>
    <w:rsid w:val="000F297C"/>
    <w:rsid w:val="000F2ABB"/>
    <w:rsid w:val="000F2BBD"/>
    <w:rsid w:val="000F2CCD"/>
    <w:rsid w:val="000F2D4F"/>
    <w:rsid w:val="000F2DBF"/>
    <w:rsid w:val="000F2E31"/>
    <w:rsid w:val="000F2EE3"/>
    <w:rsid w:val="000F2FE7"/>
    <w:rsid w:val="000F2FEB"/>
    <w:rsid w:val="000F316A"/>
    <w:rsid w:val="000F32B7"/>
    <w:rsid w:val="000F3424"/>
    <w:rsid w:val="000F35B1"/>
    <w:rsid w:val="000F3653"/>
    <w:rsid w:val="000F397E"/>
    <w:rsid w:val="000F3B93"/>
    <w:rsid w:val="000F3BE3"/>
    <w:rsid w:val="000F3D46"/>
    <w:rsid w:val="000F3DE3"/>
    <w:rsid w:val="000F3E2B"/>
    <w:rsid w:val="000F3ED5"/>
    <w:rsid w:val="000F4085"/>
    <w:rsid w:val="000F417D"/>
    <w:rsid w:val="000F4181"/>
    <w:rsid w:val="000F4193"/>
    <w:rsid w:val="000F4213"/>
    <w:rsid w:val="000F434E"/>
    <w:rsid w:val="000F43AE"/>
    <w:rsid w:val="000F4530"/>
    <w:rsid w:val="000F4845"/>
    <w:rsid w:val="000F49B9"/>
    <w:rsid w:val="000F4A80"/>
    <w:rsid w:val="000F4ABB"/>
    <w:rsid w:val="000F4C0A"/>
    <w:rsid w:val="000F4C81"/>
    <w:rsid w:val="000F4CD0"/>
    <w:rsid w:val="000F4DAA"/>
    <w:rsid w:val="000F507F"/>
    <w:rsid w:val="000F51C4"/>
    <w:rsid w:val="000F53E8"/>
    <w:rsid w:val="000F544D"/>
    <w:rsid w:val="000F5764"/>
    <w:rsid w:val="000F57CB"/>
    <w:rsid w:val="000F5858"/>
    <w:rsid w:val="000F5B3F"/>
    <w:rsid w:val="000F5B95"/>
    <w:rsid w:val="000F5C4C"/>
    <w:rsid w:val="000F5D46"/>
    <w:rsid w:val="000F5DDA"/>
    <w:rsid w:val="000F60A0"/>
    <w:rsid w:val="000F6138"/>
    <w:rsid w:val="000F6161"/>
    <w:rsid w:val="000F61C1"/>
    <w:rsid w:val="000F625F"/>
    <w:rsid w:val="000F6349"/>
    <w:rsid w:val="000F6539"/>
    <w:rsid w:val="000F671D"/>
    <w:rsid w:val="000F6B5F"/>
    <w:rsid w:val="000F6BB3"/>
    <w:rsid w:val="000F6BC3"/>
    <w:rsid w:val="000F6C11"/>
    <w:rsid w:val="000F6D2F"/>
    <w:rsid w:val="000F6F0B"/>
    <w:rsid w:val="000F7212"/>
    <w:rsid w:val="000F74A9"/>
    <w:rsid w:val="000F76CF"/>
    <w:rsid w:val="000F76DA"/>
    <w:rsid w:val="000F7F7E"/>
    <w:rsid w:val="0010007A"/>
    <w:rsid w:val="001001F2"/>
    <w:rsid w:val="0010024A"/>
    <w:rsid w:val="001002A3"/>
    <w:rsid w:val="001002DA"/>
    <w:rsid w:val="001003CB"/>
    <w:rsid w:val="0010061F"/>
    <w:rsid w:val="0010062A"/>
    <w:rsid w:val="001006A7"/>
    <w:rsid w:val="001006FD"/>
    <w:rsid w:val="001008D2"/>
    <w:rsid w:val="00100A79"/>
    <w:rsid w:val="00100B9A"/>
    <w:rsid w:val="00100D42"/>
    <w:rsid w:val="00100FD5"/>
    <w:rsid w:val="0010109A"/>
    <w:rsid w:val="0010111A"/>
    <w:rsid w:val="001012E7"/>
    <w:rsid w:val="0010143F"/>
    <w:rsid w:val="00101524"/>
    <w:rsid w:val="001016FB"/>
    <w:rsid w:val="00101792"/>
    <w:rsid w:val="001017F3"/>
    <w:rsid w:val="0010192A"/>
    <w:rsid w:val="00101AB8"/>
    <w:rsid w:val="00101B44"/>
    <w:rsid w:val="00101BCC"/>
    <w:rsid w:val="00101C00"/>
    <w:rsid w:val="00101D4B"/>
    <w:rsid w:val="00102214"/>
    <w:rsid w:val="001024AE"/>
    <w:rsid w:val="00102589"/>
    <w:rsid w:val="00102698"/>
    <w:rsid w:val="00102733"/>
    <w:rsid w:val="00102806"/>
    <w:rsid w:val="001028E2"/>
    <w:rsid w:val="00102B33"/>
    <w:rsid w:val="00102E55"/>
    <w:rsid w:val="00103090"/>
    <w:rsid w:val="00103188"/>
    <w:rsid w:val="0010327D"/>
    <w:rsid w:val="0010341D"/>
    <w:rsid w:val="0010357E"/>
    <w:rsid w:val="00103677"/>
    <w:rsid w:val="00103877"/>
    <w:rsid w:val="00103B7F"/>
    <w:rsid w:val="00103D01"/>
    <w:rsid w:val="00103E5C"/>
    <w:rsid w:val="00103E5D"/>
    <w:rsid w:val="00103E99"/>
    <w:rsid w:val="00103F47"/>
    <w:rsid w:val="00103F5A"/>
    <w:rsid w:val="00103F8F"/>
    <w:rsid w:val="001040BF"/>
    <w:rsid w:val="00104147"/>
    <w:rsid w:val="0010423D"/>
    <w:rsid w:val="001044F5"/>
    <w:rsid w:val="00104528"/>
    <w:rsid w:val="0010453B"/>
    <w:rsid w:val="001046DD"/>
    <w:rsid w:val="0010472E"/>
    <w:rsid w:val="00104738"/>
    <w:rsid w:val="00104ACC"/>
    <w:rsid w:val="00104CA5"/>
    <w:rsid w:val="00104E77"/>
    <w:rsid w:val="00104F77"/>
    <w:rsid w:val="0010510E"/>
    <w:rsid w:val="00105273"/>
    <w:rsid w:val="00105380"/>
    <w:rsid w:val="001053C6"/>
    <w:rsid w:val="00105855"/>
    <w:rsid w:val="0010591F"/>
    <w:rsid w:val="00105D45"/>
    <w:rsid w:val="00105D96"/>
    <w:rsid w:val="00106052"/>
    <w:rsid w:val="00106136"/>
    <w:rsid w:val="0010627D"/>
    <w:rsid w:val="001062AF"/>
    <w:rsid w:val="00106A08"/>
    <w:rsid w:val="00106BC9"/>
    <w:rsid w:val="00106E21"/>
    <w:rsid w:val="00107073"/>
    <w:rsid w:val="00107264"/>
    <w:rsid w:val="0010740E"/>
    <w:rsid w:val="0010747B"/>
    <w:rsid w:val="001074A0"/>
    <w:rsid w:val="00107A5A"/>
    <w:rsid w:val="00107B43"/>
    <w:rsid w:val="00107F26"/>
    <w:rsid w:val="00107F4E"/>
    <w:rsid w:val="00110529"/>
    <w:rsid w:val="001106C8"/>
    <w:rsid w:val="001109CC"/>
    <w:rsid w:val="001109D6"/>
    <w:rsid w:val="00110A13"/>
    <w:rsid w:val="00110AEF"/>
    <w:rsid w:val="00110BEC"/>
    <w:rsid w:val="00110BFE"/>
    <w:rsid w:val="00110C9A"/>
    <w:rsid w:val="00110CFA"/>
    <w:rsid w:val="00110D1C"/>
    <w:rsid w:val="00110D21"/>
    <w:rsid w:val="00111069"/>
    <w:rsid w:val="00111081"/>
    <w:rsid w:val="00111099"/>
    <w:rsid w:val="00111120"/>
    <w:rsid w:val="00111421"/>
    <w:rsid w:val="001115B4"/>
    <w:rsid w:val="001117BA"/>
    <w:rsid w:val="00111803"/>
    <w:rsid w:val="0011181C"/>
    <w:rsid w:val="00111A0A"/>
    <w:rsid w:val="00111A7E"/>
    <w:rsid w:val="00111AD9"/>
    <w:rsid w:val="00111B37"/>
    <w:rsid w:val="00111CAD"/>
    <w:rsid w:val="00111DAC"/>
    <w:rsid w:val="00111E00"/>
    <w:rsid w:val="00111E94"/>
    <w:rsid w:val="00111FD5"/>
    <w:rsid w:val="0011206E"/>
    <w:rsid w:val="00112195"/>
    <w:rsid w:val="00112254"/>
    <w:rsid w:val="0011237D"/>
    <w:rsid w:val="001123B1"/>
    <w:rsid w:val="00112666"/>
    <w:rsid w:val="00112BA6"/>
    <w:rsid w:val="00112BE4"/>
    <w:rsid w:val="00112E94"/>
    <w:rsid w:val="0011313E"/>
    <w:rsid w:val="0011333A"/>
    <w:rsid w:val="001133C6"/>
    <w:rsid w:val="001133D1"/>
    <w:rsid w:val="00113408"/>
    <w:rsid w:val="00113791"/>
    <w:rsid w:val="001138A7"/>
    <w:rsid w:val="00113AE8"/>
    <w:rsid w:val="00113E28"/>
    <w:rsid w:val="00114000"/>
    <w:rsid w:val="001140DE"/>
    <w:rsid w:val="0011431F"/>
    <w:rsid w:val="00114372"/>
    <w:rsid w:val="00114470"/>
    <w:rsid w:val="0011474E"/>
    <w:rsid w:val="0011475E"/>
    <w:rsid w:val="0011481F"/>
    <w:rsid w:val="00114A63"/>
    <w:rsid w:val="00114C30"/>
    <w:rsid w:val="0011530A"/>
    <w:rsid w:val="00115323"/>
    <w:rsid w:val="00115425"/>
    <w:rsid w:val="0011557A"/>
    <w:rsid w:val="00115922"/>
    <w:rsid w:val="00115B6D"/>
    <w:rsid w:val="00115C0B"/>
    <w:rsid w:val="00115DBC"/>
    <w:rsid w:val="00115DDF"/>
    <w:rsid w:val="00116155"/>
    <w:rsid w:val="00116408"/>
    <w:rsid w:val="0011640A"/>
    <w:rsid w:val="00116E97"/>
    <w:rsid w:val="00117061"/>
    <w:rsid w:val="00117078"/>
    <w:rsid w:val="00117131"/>
    <w:rsid w:val="001173F1"/>
    <w:rsid w:val="0011745A"/>
    <w:rsid w:val="00117474"/>
    <w:rsid w:val="00117497"/>
    <w:rsid w:val="001174D1"/>
    <w:rsid w:val="001175D3"/>
    <w:rsid w:val="0011778F"/>
    <w:rsid w:val="00117B03"/>
    <w:rsid w:val="00117C40"/>
    <w:rsid w:val="00117F08"/>
    <w:rsid w:val="00117F38"/>
    <w:rsid w:val="00117F9A"/>
    <w:rsid w:val="00120491"/>
    <w:rsid w:val="00120672"/>
    <w:rsid w:val="001207BB"/>
    <w:rsid w:val="001207EA"/>
    <w:rsid w:val="0012088E"/>
    <w:rsid w:val="00120A8E"/>
    <w:rsid w:val="00120BB3"/>
    <w:rsid w:val="00120D19"/>
    <w:rsid w:val="00120D7A"/>
    <w:rsid w:val="00120DEC"/>
    <w:rsid w:val="00120E55"/>
    <w:rsid w:val="00120F77"/>
    <w:rsid w:val="00121060"/>
    <w:rsid w:val="00121233"/>
    <w:rsid w:val="00121458"/>
    <w:rsid w:val="00121552"/>
    <w:rsid w:val="001217A2"/>
    <w:rsid w:val="00121A83"/>
    <w:rsid w:val="00121EE2"/>
    <w:rsid w:val="001220DB"/>
    <w:rsid w:val="001222FD"/>
    <w:rsid w:val="0012237C"/>
    <w:rsid w:val="00122442"/>
    <w:rsid w:val="001225BD"/>
    <w:rsid w:val="00122816"/>
    <w:rsid w:val="001228B8"/>
    <w:rsid w:val="00122AA5"/>
    <w:rsid w:val="00122B17"/>
    <w:rsid w:val="00122B33"/>
    <w:rsid w:val="00122B7E"/>
    <w:rsid w:val="00122C8C"/>
    <w:rsid w:val="00122C8F"/>
    <w:rsid w:val="00122EB2"/>
    <w:rsid w:val="00122F2D"/>
    <w:rsid w:val="00122FA2"/>
    <w:rsid w:val="001233BA"/>
    <w:rsid w:val="0012350D"/>
    <w:rsid w:val="00123604"/>
    <w:rsid w:val="001236BF"/>
    <w:rsid w:val="0012381F"/>
    <w:rsid w:val="00123832"/>
    <w:rsid w:val="00123962"/>
    <w:rsid w:val="00123AB0"/>
    <w:rsid w:val="00123AC4"/>
    <w:rsid w:val="00123D02"/>
    <w:rsid w:val="00123D4D"/>
    <w:rsid w:val="00123D6E"/>
    <w:rsid w:val="00123EE7"/>
    <w:rsid w:val="00123F58"/>
    <w:rsid w:val="001241DC"/>
    <w:rsid w:val="00124349"/>
    <w:rsid w:val="001243B7"/>
    <w:rsid w:val="001244AA"/>
    <w:rsid w:val="0012460E"/>
    <w:rsid w:val="001247E3"/>
    <w:rsid w:val="0012485E"/>
    <w:rsid w:val="001249EF"/>
    <w:rsid w:val="00124C54"/>
    <w:rsid w:val="00124DB6"/>
    <w:rsid w:val="00124E51"/>
    <w:rsid w:val="00124ED1"/>
    <w:rsid w:val="001251F1"/>
    <w:rsid w:val="001252B0"/>
    <w:rsid w:val="00125383"/>
    <w:rsid w:val="0012570D"/>
    <w:rsid w:val="00125783"/>
    <w:rsid w:val="0012587E"/>
    <w:rsid w:val="001259B6"/>
    <w:rsid w:val="00125A79"/>
    <w:rsid w:val="00125C2F"/>
    <w:rsid w:val="00125C39"/>
    <w:rsid w:val="00125DDC"/>
    <w:rsid w:val="00126091"/>
    <w:rsid w:val="0012620E"/>
    <w:rsid w:val="001262AE"/>
    <w:rsid w:val="0012632C"/>
    <w:rsid w:val="00126612"/>
    <w:rsid w:val="00126644"/>
    <w:rsid w:val="00126A1F"/>
    <w:rsid w:val="00126A95"/>
    <w:rsid w:val="00126A97"/>
    <w:rsid w:val="001270C6"/>
    <w:rsid w:val="00127175"/>
    <w:rsid w:val="001277D2"/>
    <w:rsid w:val="0012787E"/>
    <w:rsid w:val="0012795E"/>
    <w:rsid w:val="00127B14"/>
    <w:rsid w:val="00127B54"/>
    <w:rsid w:val="00127D57"/>
    <w:rsid w:val="00127D67"/>
    <w:rsid w:val="00127EA2"/>
    <w:rsid w:val="00127EA7"/>
    <w:rsid w:val="00127F9F"/>
    <w:rsid w:val="00130025"/>
    <w:rsid w:val="0013003C"/>
    <w:rsid w:val="0013030D"/>
    <w:rsid w:val="001303DC"/>
    <w:rsid w:val="00130422"/>
    <w:rsid w:val="001304C1"/>
    <w:rsid w:val="0013058E"/>
    <w:rsid w:val="001307EC"/>
    <w:rsid w:val="001308BA"/>
    <w:rsid w:val="001308E2"/>
    <w:rsid w:val="001308FC"/>
    <w:rsid w:val="00130B1F"/>
    <w:rsid w:val="0013119C"/>
    <w:rsid w:val="00131768"/>
    <w:rsid w:val="001319F5"/>
    <w:rsid w:val="00131D22"/>
    <w:rsid w:val="001321A7"/>
    <w:rsid w:val="0013223F"/>
    <w:rsid w:val="0013234F"/>
    <w:rsid w:val="0013254D"/>
    <w:rsid w:val="00132913"/>
    <w:rsid w:val="00132A5A"/>
    <w:rsid w:val="00132B17"/>
    <w:rsid w:val="00132BA4"/>
    <w:rsid w:val="00132D37"/>
    <w:rsid w:val="00132DE4"/>
    <w:rsid w:val="00132DFB"/>
    <w:rsid w:val="00132EA2"/>
    <w:rsid w:val="00132F0C"/>
    <w:rsid w:val="00132FC7"/>
    <w:rsid w:val="00133026"/>
    <w:rsid w:val="00133089"/>
    <w:rsid w:val="00133157"/>
    <w:rsid w:val="001331B0"/>
    <w:rsid w:val="001332D9"/>
    <w:rsid w:val="0013344F"/>
    <w:rsid w:val="00133665"/>
    <w:rsid w:val="0013377C"/>
    <w:rsid w:val="00133C63"/>
    <w:rsid w:val="00133C7B"/>
    <w:rsid w:val="00133D16"/>
    <w:rsid w:val="00133D41"/>
    <w:rsid w:val="00133E1A"/>
    <w:rsid w:val="00133E43"/>
    <w:rsid w:val="00133F69"/>
    <w:rsid w:val="00133F8F"/>
    <w:rsid w:val="0013413B"/>
    <w:rsid w:val="00134395"/>
    <w:rsid w:val="00134440"/>
    <w:rsid w:val="001344CF"/>
    <w:rsid w:val="0013457C"/>
    <w:rsid w:val="001346C6"/>
    <w:rsid w:val="0013476F"/>
    <w:rsid w:val="001347A1"/>
    <w:rsid w:val="001348A2"/>
    <w:rsid w:val="00134BDD"/>
    <w:rsid w:val="00134C2D"/>
    <w:rsid w:val="00134DDD"/>
    <w:rsid w:val="00134F95"/>
    <w:rsid w:val="0013505D"/>
    <w:rsid w:val="00135080"/>
    <w:rsid w:val="001351BF"/>
    <w:rsid w:val="00135247"/>
    <w:rsid w:val="00135343"/>
    <w:rsid w:val="001356C9"/>
    <w:rsid w:val="001357B2"/>
    <w:rsid w:val="00135A16"/>
    <w:rsid w:val="00135CE7"/>
    <w:rsid w:val="00135EDD"/>
    <w:rsid w:val="00136048"/>
    <w:rsid w:val="00136276"/>
    <w:rsid w:val="001362F7"/>
    <w:rsid w:val="0013651C"/>
    <w:rsid w:val="0013686A"/>
    <w:rsid w:val="001368A6"/>
    <w:rsid w:val="00136900"/>
    <w:rsid w:val="001369C9"/>
    <w:rsid w:val="00136A9C"/>
    <w:rsid w:val="00136B89"/>
    <w:rsid w:val="00137082"/>
    <w:rsid w:val="00137159"/>
    <w:rsid w:val="001371F9"/>
    <w:rsid w:val="0013756B"/>
    <w:rsid w:val="00137590"/>
    <w:rsid w:val="00137676"/>
    <w:rsid w:val="001378FE"/>
    <w:rsid w:val="00137969"/>
    <w:rsid w:val="00137AF4"/>
    <w:rsid w:val="00137C07"/>
    <w:rsid w:val="00137EE9"/>
    <w:rsid w:val="00140061"/>
    <w:rsid w:val="00140213"/>
    <w:rsid w:val="001402D1"/>
    <w:rsid w:val="001402DF"/>
    <w:rsid w:val="001403A2"/>
    <w:rsid w:val="0014047D"/>
    <w:rsid w:val="00140489"/>
    <w:rsid w:val="001407A0"/>
    <w:rsid w:val="001407ED"/>
    <w:rsid w:val="001409D6"/>
    <w:rsid w:val="00140ABF"/>
    <w:rsid w:val="00140D7B"/>
    <w:rsid w:val="00140EA0"/>
    <w:rsid w:val="00140FA2"/>
    <w:rsid w:val="001410AD"/>
    <w:rsid w:val="0014110B"/>
    <w:rsid w:val="001411B4"/>
    <w:rsid w:val="001411DB"/>
    <w:rsid w:val="0014136D"/>
    <w:rsid w:val="001415DB"/>
    <w:rsid w:val="00141643"/>
    <w:rsid w:val="0014168A"/>
    <w:rsid w:val="001416A0"/>
    <w:rsid w:val="00141728"/>
    <w:rsid w:val="00141855"/>
    <w:rsid w:val="001419E9"/>
    <w:rsid w:val="00141A32"/>
    <w:rsid w:val="00141AF6"/>
    <w:rsid w:val="00141DD0"/>
    <w:rsid w:val="00141E51"/>
    <w:rsid w:val="00141E92"/>
    <w:rsid w:val="00142021"/>
    <w:rsid w:val="00142246"/>
    <w:rsid w:val="0014233C"/>
    <w:rsid w:val="00142670"/>
    <w:rsid w:val="001427E3"/>
    <w:rsid w:val="00142B67"/>
    <w:rsid w:val="00142C09"/>
    <w:rsid w:val="00142E0A"/>
    <w:rsid w:val="0014303E"/>
    <w:rsid w:val="00143138"/>
    <w:rsid w:val="0014314A"/>
    <w:rsid w:val="001432C1"/>
    <w:rsid w:val="001433A9"/>
    <w:rsid w:val="001433DD"/>
    <w:rsid w:val="001433F6"/>
    <w:rsid w:val="001434DB"/>
    <w:rsid w:val="0014355E"/>
    <w:rsid w:val="00143DF2"/>
    <w:rsid w:val="00143E02"/>
    <w:rsid w:val="00143E18"/>
    <w:rsid w:val="00143F61"/>
    <w:rsid w:val="00143FEF"/>
    <w:rsid w:val="00144238"/>
    <w:rsid w:val="0014439A"/>
    <w:rsid w:val="001443E5"/>
    <w:rsid w:val="00144711"/>
    <w:rsid w:val="00144964"/>
    <w:rsid w:val="00144B7B"/>
    <w:rsid w:val="00144BC3"/>
    <w:rsid w:val="00144C8A"/>
    <w:rsid w:val="00144D07"/>
    <w:rsid w:val="0014500B"/>
    <w:rsid w:val="00145027"/>
    <w:rsid w:val="001450F3"/>
    <w:rsid w:val="00145296"/>
    <w:rsid w:val="001452C0"/>
    <w:rsid w:val="001452C5"/>
    <w:rsid w:val="0014542D"/>
    <w:rsid w:val="0014552A"/>
    <w:rsid w:val="001457B3"/>
    <w:rsid w:val="001457C0"/>
    <w:rsid w:val="0014599D"/>
    <w:rsid w:val="00145A41"/>
    <w:rsid w:val="00145D48"/>
    <w:rsid w:val="001463D0"/>
    <w:rsid w:val="001463E2"/>
    <w:rsid w:val="00146478"/>
    <w:rsid w:val="0014674C"/>
    <w:rsid w:val="00146819"/>
    <w:rsid w:val="00146ABA"/>
    <w:rsid w:val="00146AC9"/>
    <w:rsid w:val="00146B34"/>
    <w:rsid w:val="00146B8C"/>
    <w:rsid w:val="00146CAC"/>
    <w:rsid w:val="00146EB8"/>
    <w:rsid w:val="0014719E"/>
    <w:rsid w:val="0014727A"/>
    <w:rsid w:val="00147499"/>
    <w:rsid w:val="001476C8"/>
    <w:rsid w:val="00147754"/>
    <w:rsid w:val="00147829"/>
    <w:rsid w:val="001479D4"/>
    <w:rsid w:val="00147B85"/>
    <w:rsid w:val="00147BB3"/>
    <w:rsid w:val="00147BE1"/>
    <w:rsid w:val="00147D83"/>
    <w:rsid w:val="00150004"/>
    <w:rsid w:val="0015008C"/>
    <w:rsid w:val="001500D0"/>
    <w:rsid w:val="0015012B"/>
    <w:rsid w:val="001505C5"/>
    <w:rsid w:val="001507E6"/>
    <w:rsid w:val="00150925"/>
    <w:rsid w:val="00150AE3"/>
    <w:rsid w:val="00150C5D"/>
    <w:rsid w:val="00150EAD"/>
    <w:rsid w:val="00150F46"/>
    <w:rsid w:val="00150F82"/>
    <w:rsid w:val="00151022"/>
    <w:rsid w:val="0015118E"/>
    <w:rsid w:val="0015127C"/>
    <w:rsid w:val="0015130A"/>
    <w:rsid w:val="0015135E"/>
    <w:rsid w:val="00151399"/>
    <w:rsid w:val="0015142E"/>
    <w:rsid w:val="00151510"/>
    <w:rsid w:val="0015153F"/>
    <w:rsid w:val="001515C0"/>
    <w:rsid w:val="0015174A"/>
    <w:rsid w:val="001517FC"/>
    <w:rsid w:val="00151A14"/>
    <w:rsid w:val="00151A4C"/>
    <w:rsid w:val="00151AC6"/>
    <w:rsid w:val="00151D20"/>
    <w:rsid w:val="00151D21"/>
    <w:rsid w:val="00151DDF"/>
    <w:rsid w:val="00152032"/>
    <w:rsid w:val="001523D2"/>
    <w:rsid w:val="001523F3"/>
    <w:rsid w:val="00152AB0"/>
    <w:rsid w:val="00152C56"/>
    <w:rsid w:val="00152C6D"/>
    <w:rsid w:val="00152CCC"/>
    <w:rsid w:val="00152D05"/>
    <w:rsid w:val="00152D53"/>
    <w:rsid w:val="00152ED1"/>
    <w:rsid w:val="00153061"/>
    <w:rsid w:val="001530A5"/>
    <w:rsid w:val="001533EC"/>
    <w:rsid w:val="00153431"/>
    <w:rsid w:val="001534C3"/>
    <w:rsid w:val="001534E5"/>
    <w:rsid w:val="00153703"/>
    <w:rsid w:val="00153877"/>
    <w:rsid w:val="00153C4A"/>
    <w:rsid w:val="00153CB8"/>
    <w:rsid w:val="001543A0"/>
    <w:rsid w:val="00154560"/>
    <w:rsid w:val="00154747"/>
    <w:rsid w:val="001547AF"/>
    <w:rsid w:val="001547B1"/>
    <w:rsid w:val="0015484B"/>
    <w:rsid w:val="00154966"/>
    <w:rsid w:val="0015498F"/>
    <w:rsid w:val="001549A8"/>
    <w:rsid w:val="00154C26"/>
    <w:rsid w:val="00154CA4"/>
    <w:rsid w:val="00154DB5"/>
    <w:rsid w:val="00154F4E"/>
    <w:rsid w:val="00155032"/>
    <w:rsid w:val="001550EE"/>
    <w:rsid w:val="001551B7"/>
    <w:rsid w:val="001551F1"/>
    <w:rsid w:val="00155273"/>
    <w:rsid w:val="001552E9"/>
    <w:rsid w:val="001553C6"/>
    <w:rsid w:val="0015544F"/>
    <w:rsid w:val="0015573A"/>
    <w:rsid w:val="0015588C"/>
    <w:rsid w:val="00155AA3"/>
    <w:rsid w:val="00155C98"/>
    <w:rsid w:val="00155D0B"/>
    <w:rsid w:val="00155D3C"/>
    <w:rsid w:val="00155DAD"/>
    <w:rsid w:val="00155DCB"/>
    <w:rsid w:val="00155F67"/>
    <w:rsid w:val="00156031"/>
    <w:rsid w:val="00156142"/>
    <w:rsid w:val="00156354"/>
    <w:rsid w:val="001563AA"/>
    <w:rsid w:val="00156510"/>
    <w:rsid w:val="00156556"/>
    <w:rsid w:val="00156678"/>
    <w:rsid w:val="0015668E"/>
    <w:rsid w:val="00156B50"/>
    <w:rsid w:val="00156F18"/>
    <w:rsid w:val="00156FF7"/>
    <w:rsid w:val="00157510"/>
    <w:rsid w:val="001575CD"/>
    <w:rsid w:val="0015767D"/>
    <w:rsid w:val="00157B42"/>
    <w:rsid w:val="00157E59"/>
    <w:rsid w:val="001600A9"/>
    <w:rsid w:val="001601C7"/>
    <w:rsid w:val="001601CB"/>
    <w:rsid w:val="00160514"/>
    <w:rsid w:val="0016085E"/>
    <w:rsid w:val="00160930"/>
    <w:rsid w:val="001609AB"/>
    <w:rsid w:val="001609BA"/>
    <w:rsid w:val="001609C8"/>
    <w:rsid w:val="00160ADA"/>
    <w:rsid w:val="00160BC0"/>
    <w:rsid w:val="00160C00"/>
    <w:rsid w:val="00160C87"/>
    <w:rsid w:val="00160CFE"/>
    <w:rsid w:val="00161025"/>
    <w:rsid w:val="001615ED"/>
    <w:rsid w:val="00161683"/>
    <w:rsid w:val="001618A8"/>
    <w:rsid w:val="001619A8"/>
    <w:rsid w:val="00161B77"/>
    <w:rsid w:val="00161BD1"/>
    <w:rsid w:val="00161CB1"/>
    <w:rsid w:val="00161CD1"/>
    <w:rsid w:val="001620C1"/>
    <w:rsid w:val="0016218F"/>
    <w:rsid w:val="00162202"/>
    <w:rsid w:val="001624E2"/>
    <w:rsid w:val="001626BE"/>
    <w:rsid w:val="0016282D"/>
    <w:rsid w:val="001629E4"/>
    <w:rsid w:val="00162A6C"/>
    <w:rsid w:val="00162BDC"/>
    <w:rsid w:val="001634B7"/>
    <w:rsid w:val="001634E0"/>
    <w:rsid w:val="00163558"/>
    <w:rsid w:val="00163636"/>
    <w:rsid w:val="001636B7"/>
    <w:rsid w:val="00163BA2"/>
    <w:rsid w:val="00163CD7"/>
    <w:rsid w:val="00163D59"/>
    <w:rsid w:val="00163DE6"/>
    <w:rsid w:val="001640B1"/>
    <w:rsid w:val="00164261"/>
    <w:rsid w:val="001644FD"/>
    <w:rsid w:val="001645F1"/>
    <w:rsid w:val="00164655"/>
    <w:rsid w:val="0016479D"/>
    <w:rsid w:val="0016495B"/>
    <w:rsid w:val="00164F24"/>
    <w:rsid w:val="00165131"/>
    <w:rsid w:val="0016528A"/>
    <w:rsid w:val="001653AB"/>
    <w:rsid w:val="001653F7"/>
    <w:rsid w:val="00165659"/>
    <w:rsid w:val="00165699"/>
    <w:rsid w:val="001656C6"/>
    <w:rsid w:val="0016580F"/>
    <w:rsid w:val="001658D4"/>
    <w:rsid w:val="00165960"/>
    <w:rsid w:val="00165DCD"/>
    <w:rsid w:val="00165EAE"/>
    <w:rsid w:val="00166016"/>
    <w:rsid w:val="001660E5"/>
    <w:rsid w:val="001661B7"/>
    <w:rsid w:val="0016635B"/>
    <w:rsid w:val="001663B1"/>
    <w:rsid w:val="00166419"/>
    <w:rsid w:val="001668ED"/>
    <w:rsid w:val="0016690D"/>
    <w:rsid w:val="0016694D"/>
    <w:rsid w:val="00166B18"/>
    <w:rsid w:val="00166C87"/>
    <w:rsid w:val="00166EB8"/>
    <w:rsid w:val="00166EEE"/>
    <w:rsid w:val="00166FF9"/>
    <w:rsid w:val="0016742B"/>
    <w:rsid w:val="00167521"/>
    <w:rsid w:val="001675AB"/>
    <w:rsid w:val="0016768F"/>
    <w:rsid w:val="001676D9"/>
    <w:rsid w:val="001677D0"/>
    <w:rsid w:val="00167AD9"/>
    <w:rsid w:val="00167B8B"/>
    <w:rsid w:val="00167BE8"/>
    <w:rsid w:val="00167E43"/>
    <w:rsid w:val="00167E53"/>
    <w:rsid w:val="00167E7E"/>
    <w:rsid w:val="0017022E"/>
    <w:rsid w:val="001702FD"/>
    <w:rsid w:val="001703F7"/>
    <w:rsid w:val="001705C7"/>
    <w:rsid w:val="00170614"/>
    <w:rsid w:val="00170748"/>
    <w:rsid w:val="00170B10"/>
    <w:rsid w:val="00170B63"/>
    <w:rsid w:val="00170B78"/>
    <w:rsid w:val="00170DD0"/>
    <w:rsid w:val="00170DDB"/>
    <w:rsid w:val="00170FE2"/>
    <w:rsid w:val="0017118F"/>
    <w:rsid w:val="001711C9"/>
    <w:rsid w:val="001711E8"/>
    <w:rsid w:val="0017147C"/>
    <w:rsid w:val="001714C4"/>
    <w:rsid w:val="001717E2"/>
    <w:rsid w:val="00171A2F"/>
    <w:rsid w:val="00171A41"/>
    <w:rsid w:val="00171F1C"/>
    <w:rsid w:val="00172056"/>
    <w:rsid w:val="0017227B"/>
    <w:rsid w:val="0017236D"/>
    <w:rsid w:val="00172539"/>
    <w:rsid w:val="001725F1"/>
    <w:rsid w:val="001725FD"/>
    <w:rsid w:val="00172686"/>
    <w:rsid w:val="0017279D"/>
    <w:rsid w:val="001729C8"/>
    <w:rsid w:val="00172A20"/>
    <w:rsid w:val="00172A90"/>
    <w:rsid w:val="00172AE8"/>
    <w:rsid w:val="00172B06"/>
    <w:rsid w:val="00172B31"/>
    <w:rsid w:val="00172BCF"/>
    <w:rsid w:val="00172ED7"/>
    <w:rsid w:val="0017321D"/>
    <w:rsid w:val="001733F9"/>
    <w:rsid w:val="00173418"/>
    <w:rsid w:val="001735EB"/>
    <w:rsid w:val="00173676"/>
    <w:rsid w:val="001736E2"/>
    <w:rsid w:val="00173957"/>
    <w:rsid w:val="001739E7"/>
    <w:rsid w:val="00173A27"/>
    <w:rsid w:val="00173C4D"/>
    <w:rsid w:val="00173CDB"/>
    <w:rsid w:val="001741A2"/>
    <w:rsid w:val="001742AF"/>
    <w:rsid w:val="0017432D"/>
    <w:rsid w:val="00174390"/>
    <w:rsid w:val="0017442F"/>
    <w:rsid w:val="00174506"/>
    <w:rsid w:val="0017451B"/>
    <w:rsid w:val="00174668"/>
    <w:rsid w:val="001746CC"/>
    <w:rsid w:val="00174C9B"/>
    <w:rsid w:val="00174DD6"/>
    <w:rsid w:val="00175205"/>
    <w:rsid w:val="0017537A"/>
    <w:rsid w:val="0017539A"/>
    <w:rsid w:val="001753DE"/>
    <w:rsid w:val="00175605"/>
    <w:rsid w:val="001757BA"/>
    <w:rsid w:val="001757D3"/>
    <w:rsid w:val="0017590F"/>
    <w:rsid w:val="00175AD4"/>
    <w:rsid w:val="00175D54"/>
    <w:rsid w:val="00175DAE"/>
    <w:rsid w:val="00175F35"/>
    <w:rsid w:val="001760A3"/>
    <w:rsid w:val="00176905"/>
    <w:rsid w:val="00176907"/>
    <w:rsid w:val="001769BC"/>
    <w:rsid w:val="00176AB3"/>
    <w:rsid w:val="00176C47"/>
    <w:rsid w:val="00176DE7"/>
    <w:rsid w:val="00176E0E"/>
    <w:rsid w:val="001770BC"/>
    <w:rsid w:val="001771E0"/>
    <w:rsid w:val="0017729B"/>
    <w:rsid w:val="0017765C"/>
    <w:rsid w:val="00177781"/>
    <w:rsid w:val="00177900"/>
    <w:rsid w:val="001779E1"/>
    <w:rsid w:val="001779F5"/>
    <w:rsid w:val="00177A3F"/>
    <w:rsid w:val="00177A51"/>
    <w:rsid w:val="00177B91"/>
    <w:rsid w:val="00177DB5"/>
    <w:rsid w:val="00177ED5"/>
    <w:rsid w:val="00177ED9"/>
    <w:rsid w:val="0018001A"/>
    <w:rsid w:val="001802E5"/>
    <w:rsid w:val="001804AD"/>
    <w:rsid w:val="00180535"/>
    <w:rsid w:val="00180541"/>
    <w:rsid w:val="00180624"/>
    <w:rsid w:val="00180637"/>
    <w:rsid w:val="00180709"/>
    <w:rsid w:val="00180766"/>
    <w:rsid w:val="00180902"/>
    <w:rsid w:val="00180A18"/>
    <w:rsid w:val="00180B1C"/>
    <w:rsid w:val="00180C3C"/>
    <w:rsid w:val="00180D3D"/>
    <w:rsid w:val="00180DDD"/>
    <w:rsid w:val="00180EB8"/>
    <w:rsid w:val="0018111C"/>
    <w:rsid w:val="00181322"/>
    <w:rsid w:val="0018132C"/>
    <w:rsid w:val="001814DF"/>
    <w:rsid w:val="0018159D"/>
    <w:rsid w:val="001816BF"/>
    <w:rsid w:val="00181717"/>
    <w:rsid w:val="0018176B"/>
    <w:rsid w:val="001817F4"/>
    <w:rsid w:val="00181816"/>
    <w:rsid w:val="001818AD"/>
    <w:rsid w:val="0018191E"/>
    <w:rsid w:val="001819BA"/>
    <w:rsid w:val="00181AF3"/>
    <w:rsid w:val="00181C2A"/>
    <w:rsid w:val="00181DE5"/>
    <w:rsid w:val="00182010"/>
    <w:rsid w:val="0018219D"/>
    <w:rsid w:val="001822B6"/>
    <w:rsid w:val="001822C4"/>
    <w:rsid w:val="00182863"/>
    <w:rsid w:val="00182A40"/>
    <w:rsid w:val="00182C88"/>
    <w:rsid w:val="00182CB4"/>
    <w:rsid w:val="00182D19"/>
    <w:rsid w:val="00182E39"/>
    <w:rsid w:val="0018300E"/>
    <w:rsid w:val="0018305F"/>
    <w:rsid w:val="00183318"/>
    <w:rsid w:val="00183327"/>
    <w:rsid w:val="00183384"/>
    <w:rsid w:val="001835BF"/>
    <w:rsid w:val="0018371E"/>
    <w:rsid w:val="00183984"/>
    <w:rsid w:val="001839CD"/>
    <w:rsid w:val="00183C1B"/>
    <w:rsid w:val="00183E58"/>
    <w:rsid w:val="00183F27"/>
    <w:rsid w:val="0018402E"/>
    <w:rsid w:val="001840E8"/>
    <w:rsid w:val="00184176"/>
    <w:rsid w:val="00184193"/>
    <w:rsid w:val="00184353"/>
    <w:rsid w:val="0018467B"/>
    <w:rsid w:val="001846D2"/>
    <w:rsid w:val="0018497E"/>
    <w:rsid w:val="001849AD"/>
    <w:rsid w:val="00184C47"/>
    <w:rsid w:val="00184D28"/>
    <w:rsid w:val="00184E93"/>
    <w:rsid w:val="00185034"/>
    <w:rsid w:val="001852F1"/>
    <w:rsid w:val="00185327"/>
    <w:rsid w:val="00185372"/>
    <w:rsid w:val="0018574C"/>
    <w:rsid w:val="00185861"/>
    <w:rsid w:val="00185872"/>
    <w:rsid w:val="0018593A"/>
    <w:rsid w:val="00185A20"/>
    <w:rsid w:val="00185AC6"/>
    <w:rsid w:val="00185B19"/>
    <w:rsid w:val="00185F9D"/>
    <w:rsid w:val="00186228"/>
    <w:rsid w:val="00186255"/>
    <w:rsid w:val="00186573"/>
    <w:rsid w:val="001865F7"/>
    <w:rsid w:val="001867FD"/>
    <w:rsid w:val="00186B93"/>
    <w:rsid w:val="00186C4D"/>
    <w:rsid w:val="001870D4"/>
    <w:rsid w:val="001870D8"/>
    <w:rsid w:val="00187138"/>
    <w:rsid w:val="001871C6"/>
    <w:rsid w:val="00187235"/>
    <w:rsid w:val="00187599"/>
    <w:rsid w:val="00187731"/>
    <w:rsid w:val="00187784"/>
    <w:rsid w:val="001878D8"/>
    <w:rsid w:val="00187961"/>
    <w:rsid w:val="00187A8F"/>
    <w:rsid w:val="00187CF5"/>
    <w:rsid w:val="00187E13"/>
    <w:rsid w:val="00190015"/>
    <w:rsid w:val="00190268"/>
    <w:rsid w:val="0019040B"/>
    <w:rsid w:val="0019046E"/>
    <w:rsid w:val="00190552"/>
    <w:rsid w:val="00190580"/>
    <w:rsid w:val="001905EC"/>
    <w:rsid w:val="001907B6"/>
    <w:rsid w:val="00190836"/>
    <w:rsid w:val="0019083F"/>
    <w:rsid w:val="001908D6"/>
    <w:rsid w:val="00190956"/>
    <w:rsid w:val="00190CC1"/>
    <w:rsid w:val="00190E84"/>
    <w:rsid w:val="0019103A"/>
    <w:rsid w:val="001910C1"/>
    <w:rsid w:val="001912CE"/>
    <w:rsid w:val="001913EA"/>
    <w:rsid w:val="0019173D"/>
    <w:rsid w:val="001917BC"/>
    <w:rsid w:val="001917CE"/>
    <w:rsid w:val="001918A3"/>
    <w:rsid w:val="00191D8F"/>
    <w:rsid w:val="00191E39"/>
    <w:rsid w:val="00191E6D"/>
    <w:rsid w:val="00191F95"/>
    <w:rsid w:val="00192061"/>
    <w:rsid w:val="00192096"/>
    <w:rsid w:val="00192119"/>
    <w:rsid w:val="00192452"/>
    <w:rsid w:val="00192453"/>
    <w:rsid w:val="0019273A"/>
    <w:rsid w:val="001927A6"/>
    <w:rsid w:val="00192A20"/>
    <w:rsid w:val="00192C08"/>
    <w:rsid w:val="00192DAE"/>
    <w:rsid w:val="00192DD2"/>
    <w:rsid w:val="00192E10"/>
    <w:rsid w:val="00192E7B"/>
    <w:rsid w:val="00192F6C"/>
    <w:rsid w:val="00192F9F"/>
    <w:rsid w:val="001930F5"/>
    <w:rsid w:val="001931E7"/>
    <w:rsid w:val="0019327B"/>
    <w:rsid w:val="001934BD"/>
    <w:rsid w:val="00193825"/>
    <w:rsid w:val="001938DC"/>
    <w:rsid w:val="00193ABA"/>
    <w:rsid w:val="00193BE5"/>
    <w:rsid w:val="00193C3D"/>
    <w:rsid w:val="00193C6D"/>
    <w:rsid w:val="00193CFA"/>
    <w:rsid w:val="00193D16"/>
    <w:rsid w:val="00193D1B"/>
    <w:rsid w:val="0019410C"/>
    <w:rsid w:val="001942B4"/>
    <w:rsid w:val="00194384"/>
    <w:rsid w:val="00194769"/>
    <w:rsid w:val="00194BB6"/>
    <w:rsid w:val="00194E45"/>
    <w:rsid w:val="00194E96"/>
    <w:rsid w:val="00194F2D"/>
    <w:rsid w:val="00194FE6"/>
    <w:rsid w:val="001950AE"/>
    <w:rsid w:val="00195302"/>
    <w:rsid w:val="00195318"/>
    <w:rsid w:val="00195680"/>
    <w:rsid w:val="0019568A"/>
    <w:rsid w:val="001956F8"/>
    <w:rsid w:val="00195981"/>
    <w:rsid w:val="00195BDA"/>
    <w:rsid w:val="00195CA0"/>
    <w:rsid w:val="00195D7C"/>
    <w:rsid w:val="00195EBE"/>
    <w:rsid w:val="00195F19"/>
    <w:rsid w:val="00195F46"/>
    <w:rsid w:val="00196101"/>
    <w:rsid w:val="001961A5"/>
    <w:rsid w:val="001962C7"/>
    <w:rsid w:val="00196696"/>
    <w:rsid w:val="0019686E"/>
    <w:rsid w:val="00196967"/>
    <w:rsid w:val="001969B9"/>
    <w:rsid w:val="00196A28"/>
    <w:rsid w:val="00196B16"/>
    <w:rsid w:val="00196BF6"/>
    <w:rsid w:val="00196D0B"/>
    <w:rsid w:val="001972BE"/>
    <w:rsid w:val="0019768F"/>
    <w:rsid w:val="00197728"/>
    <w:rsid w:val="0019781A"/>
    <w:rsid w:val="00197D46"/>
    <w:rsid w:val="001A001B"/>
    <w:rsid w:val="001A00B0"/>
    <w:rsid w:val="001A0127"/>
    <w:rsid w:val="001A0165"/>
    <w:rsid w:val="001A0346"/>
    <w:rsid w:val="001A043D"/>
    <w:rsid w:val="001A0506"/>
    <w:rsid w:val="001A05C6"/>
    <w:rsid w:val="001A06A1"/>
    <w:rsid w:val="001A06CD"/>
    <w:rsid w:val="001A07B2"/>
    <w:rsid w:val="001A0900"/>
    <w:rsid w:val="001A0A7F"/>
    <w:rsid w:val="001A0AD6"/>
    <w:rsid w:val="001A0BA3"/>
    <w:rsid w:val="001A0C30"/>
    <w:rsid w:val="001A0C3A"/>
    <w:rsid w:val="001A0DB5"/>
    <w:rsid w:val="001A0E4B"/>
    <w:rsid w:val="001A0EBC"/>
    <w:rsid w:val="001A13D8"/>
    <w:rsid w:val="001A13F1"/>
    <w:rsid w:val="001A14CD"/>
    <w:rsid w:val="001A14FB"/>
    <w:rsid w:val="001A1504"/>
    <w:rsid w:val="001A153D"/>
    <w:rsid w:val="001A15AE"/>
    <w:rsid w:val="001A1624"/>
    <w:rsid w:val="001A17B5"/>
    <w:rsid w:val="001A17DF"/>
    <w:rsid w:val="001A1B78"/>
    <w:rsid w:val="001A1E13"/>
    <w:rsid w:val="001A1FB7"/>
    <w:rsid w:val="001A20F4"/>
    <w:rsid w:val="001A22CA"/>
    <w:rsid w:val="001A255C"/>
    <w:rsid w:val="001A2731"/>
    <w:rsid w:val="001A278A"/>
    <w:rsid w:val="001A2A54"/>
    <w:rsid w:val="001A2DA7"/>
    <w:rsid w:val="001A2DDF"/>
    <w:rsid w:val="001A301B"/>
    <w:rsid w:val="001A31AF"/>
    <w:rsid w:val="001A3303"/>
    <w:rsid w:val="001A3563"/>
    <w:rsid w:val="001A39EF"/>
    <w:rsid w:val="001A3B0E"/>
    <w:rsid w:val="001A3C05"/>
    <w:rsid w:val="001A3C87"/>
    <w:rsid w:val="001A3DBB"/>
    <w:rsid w:val="001A3F7C"/>
    <w:rsid w:val="001A4068"/>
    <w:rsid w:val="001A4137"/>
    <w:rsid w:val="001A4200"/>
    <w:rsid w:val="001A438A"/>
    <w:rsid w:val="001A43EA"/>
    <w:rsid w:val="001A46C1"/>
    <w:rsid w:val="001A4C30"/>
    <w:rsid w:val="001A4DE7"/>
    <w:rsid w:val="001A4EBD"/>
    <w:rsid w:val="001A504A"/>
    <w:rsid w:val="001A5127"/>
    <w:rsid w:val="001A535B"/>
    <w:rsid w:val="001A5377"/>
    <w:rsid w:val="001A5777"/>
    <w:rsid w:val="001A5979"/>
    <w:rsid w:val="001A5A03"/>
    <w:rsid w:val="001A5B03"/>
    <w:rsid w:val="001A5B2A"/>
    <w:rsid w:val="001A5C5A"/>
    <w:rsid w:val="001A6192"/>
    <w:rsid w:val="001A61BC"/>
    <w:rsid w:val="001A63D1"/>
    <w:rsid w:val="001A6426"/>
    <w:rsid w:val="001A64B1"/>
    <w:rsid w:val="001A6B26"/>
    <w:rsid w:val="001A6D2E"/>
    <w:rsid w:val="001A6E51"/>
    <w:rsid w:val="001A6E63"/>
    <w:rsid w:val="001A71BC"/>
    <w:rsid w:val="001A7705"/>
    <w:rsid w:val="001A773E"/>
    <w:rsid w:val="001A7C1E"/>
    <w:rsid w:val="001A7C26"/>
    <w:rsid w:val="001A7C60"/>
    <w:rsid w:val="001A7D05"/>
    <w:rsid w:val="001A7F72"/>
    <w:rsid w:val="001B0019"/>
    <w:rsid w:val="001B018F"/>
    <w:rsid w:val="001B01D5"/>
    <w:rsid w:val="001B0346"/>
    <w:rsid w:val="001B03CC"/>
    <w:rsid w:val="001B0454"/>
    <w:rsid w:val="001B04E4"/>
    <w:rsid w:val="001B0507"/>
    <w:rsid w:val="001B056D"/>
    <w:rsid w:val="001B08A1"/>
    <w:rsid w:val="001B08EC"/>
    <w:rsid w:val="001B116C"/>
    <w:rsid w:val="001B1322"/>
    <w:rsid w:val="001B13A4"/>
    <w:rsid w:val="001B1646"/>
    <w:rsid w:val="001B1677"/>
    <w:rsid w:val="001B1D4B"/>
    <w:rsid w:val="001B1D63"/>
    <w:rsid w:val="001B1E70"/>
    <w:rsid w:val="001B22F0"/>
    <w:rsid w:val="001B244F"/>
    <w:rsid w:val="001B2674"/>
    <w:rsid w:val="001B26F5"/>
    <w:rsid w:val="001B2891"/>
    <w:rsid w:val="001B2988"/>
    <w:rsid w:val="001B2BD0"/>
    <w:rsid w:val="001B2DC2"/>
    <w:rsid w:val="001B2DE1"/>
    <w:rsid w:val="001B2F92"/>
    <w:rsid w:val="001B3495"/>
    <w:rsid w:val="001B35A0"/>
    <w:rsid w:val="001B37A3"/>
    <w:rsid w:val="001B3A17"/>
    <w:rsid w:val="001B3ACB"/>
    <w:rsid w:val="001B3B90"/>
    <w:rsid w:val="001B3BF7"/>
    <w:rsid w:val="001B3CCD"/>
    <w:rsid w:val="001B3DDF"/>
    <w:rsid w:val="001B3F4E"/>
    <w:rsid w:val="001B3FF5"/>
    <w:rsid w:val="001B4066"/>
    <w:rsid w:val="001B41D6"/>
    <w:rsid w:val="001B42E4"/>
    <w:rsid w:val="001B4B36"/>
    <w:rsid w:val="001B4E70"/>
    <w:rsid w:val="001B4FEA"/>
    <w:rsid w:val="001B53C0"/>
    <w:rsid w:val="001B544F"/>
    <w:rsid w:val="001B55C5"/>
    <w:rsid w:val="001B5682"/>
    <w:rsid w:val="001B56EA"/>
    <w:rsid w:val="001B5798"/>
    <w:rsid w:val="001B58F8"/>
    <w:rsid w:val="001B5D3D"/>
    <w:rsid w:val="001B5F85"/>
    <w:rsid w:val="001B61E3"/>
    <w:rsid w:val="001B6248"/>
    <w:rsid w:val="001B6430"/>
    <w:rsid w:val="001B6594"/>
    <w:rsid w:val="001B659D"/>
    <w:rsid w:val="001B6609"/>
    <w:rsid w:val="001B67CC"/>
    <w:rsid w:val="001B6AA1"/>
    <w:rsid w:val="001B6ACC"/>
    <w:rsid w:val="001B6AEC"/>
    <w:rsid w:val="001B6B0C"/>
    <w:rsid w:val="001B6CD3"/>
    <w:rsid w:val="001B6E32"/>
    <w:rsid w:val="001B70F0"/>
    <w:rsid w:val="001B7170"/>
    <w:rsid w:val="001B7233"/>
    <w:rsid w:val="001B726D"/>
    <w:rsid w:val="001B72B3"/>
    <w:rsid w:val="001B73BE"/>
    <w:rsid w:val="001B748D"/>
    <w:rsid w:val="001B7589"/>
    <w:rsid w:val="001B769C"/>
    <w:rsid w:val="001B77FE"/>
    <w:rsid w:val="001B78E7"/>
    <w:rsid w:val="001B7CCE"/>
    <w:rsid w:val="001B7E38"/>
    <w:rsid w:val="001B7E3B"/>
    <w:rsid w:val="001B7F1F"/>
    <w:rsid w:val="001B7F45"/>
    <w:rsid w:val="001B7F4E"/>
    <w:rsid w:val="001C00BE"/>
    <w:rsid w:val="001C02B1"/>
    <w:rsid w:val="001C035D"/>
    <w:rsid w:val="001C04CA"/>
    <w:rsid w:val="001C05F4"/>
    <w:rsid w:val="001C06E8"/>
    <w:rsid w:val="001C08E7"/>
    <w:rsid w:val="001C0A7C"/>
    <w:rsid w:val="001C0D39"/>
    <w:rsid w:val="001C0E53"/>
    <w:rsid w:val="001C116A"/>
    <w:rsid w:val="001C11EC"/>
    <w:rsid w:val="001C128E"/>
    <w:rsid w:val="001C12EB"/>
    <w:rsid w:val="001C132C"/>
    <w:rsid w:val="001C13BC"/>
    <w:rsid w:val="001C13BE"/>
    <w:rsid w:val="001C142D"/>
    <w:rsid w:val="001C1440"/>
    <w:rsid w:val="001C14D0"/>
    <w:rsid w:val="001C15BD"/>
    <w:rsid w:val="001C1636"/>
    <w:rsid w:val="001C1681"/>
    <w:rsid w:val="001C1773"/>
    <w:rsid w:val="001C1BF9"/>
    <w:rsid w:val="001C1E20"/>
    <w:rsid w:val="001C1EDD"/>
    <w:rsid w:val="001C1EF9"/>
    <w:rsid w:val="001C1F31"/>
    <w:rsid w:val="001C20C0"/>
    <w:rsid w:val="001C210D"/>
    <w:rsid w:val="001C26BB"/>
    <w:rsid w:val="001C2707"/>
    <w:rsid w:val="001C287A"/>
    <w:rsid w:val="001C2A7D"/>
    <w:rsid w:val="001C2BC5"/>
    <w:rsid w:val="001C2D7C"/>
    <w:rsid w:val="001C3580"/>
    <w:rsid w:val="001C38FB"/>
    <w:rsid w:val="001C39EC"/>
    <w:rsid w:val="001C3ABD"/>
    <w:rsid w:val="001C3E2A"/>
    <w:rsid w:val="001C3F4F"/>
    <w:rsid w:val="001C428C"/>
    <w:rsid w:val="001C4295"/>
    <w:rsid w:val="001C4320"/>
    <w:rsid w:val="001C46D9"/>
    <w:rsid w:val="001C47F0"/>
    <w:rsid w:val="001C47F5"/>
    <w:rsid w:val="001C485E"/>
    <w:rsid w:val="001C486C"/>
    <w:rsid w:val="001C496E"/>
    <w:rsid w:val="001C4A8E"/>
    <w:rsid w:val="001C4D9A"/>
    <w:rsid w:val="001C4FA4"/>
    <w:rsid w:val="001C4FFB"/>
    <w:rsid w:val="001C5336"/>
    <w:rsid w:val="001C5517"/>
    <w:rsid w:val="001C5553"/>
    <w:rsid w:val="001C5629"/>
    <w:rsid w:val="001C5754"/>
    <w:rsid w:val="001C5AAF"/>
    <w:rsid w:val="001C5B08"/>
    <w:rsid w:val="001C5C6E"/>
    <w:rsid w:val="001C5D02"/>
    <w:rsid w:val="001C5E00"/>
    <w:rsid w:val="001C5E66"/>
    <w:rsid w:val="001C60BB"/>
    <w:rsid w:val="001C61CF"/>
    <w:rsid w:val="001C6404"/>
    <w:rsid w:val="001C645A"/>
    <w:rsid w:val="001C6B55"/>
    <w:rsid w:val="001C6C4D"/>
    <w:rsid w:val="001C6D2D"/>
    <w:rsid w:val="001C6EDC"/>
    <w:rsid w:val="001C6FBD"/>
    <w:rsid w:val="001C7064"/>
    <w:rsid w:val="001C720D"/>
    <w:rsid w:val="001C726A"/>
    <w:rsid w:val="001C737A"/>
    <w:rsid w:val="001C7465"/>
    <w:rsid w:val="001C762E"/>
    <w:rsid w:val="001C7882"/>
    <w:rsid w:val="001C7946"/>
    <w:rsid w:val="001C7995"/>
    <w:rsid w:val="001C7F2A"/>
    <w:rsid w:val="001D00F7"/>
    <w:rsid w:val="001D0404"/>
    <w:rsid w:val="001D0AF9"/>
    <w:rsid w:val="001D0C24"/>
    <w:rsid w:val="001D0E5D"/>
    <w:rsid w:val="001D0F02"/>
    <w:rsid w:val="001D115F"/>
    <w:rsid w:val="001D120E"/>
    <w:rsid w:val="001D12BB"/>
    <w:rsid w:val="001D1317"/>
    <w:rsid w:val="001D140E"/>
    <w:rsid w:val="001D1520"/>
    <w:rsid w:val="001D18C8"/>
    <w:rsid w:val="001D1DC1"/>
    <w:rsid w:val="001D2088"/>
    <w:rsid w:val="001D20BE"/>
    <w:rsid w:val="001D20D0"/>
    <w:rsid w:val="001D266E"/>
    <w:rsid w:val="001D291A"/>
    <w:rsid w:val="001D2973"/>
    <w:rsid w:val="001D2CBB"/>
    <w:rsid w:val="001D2D9D"/>
    <w:rsid w:val="001D2FB6"/>
    <w:rsid w:val="001D300C"/>
    <w:rsid w:val="001D30CC"/>
    <w:rsid w:val="001D31A4"/>
    <w:rsid w:val="001D33FD"/>
    <w:rsid w:val="001D34A1"/>
    <w:rsid w:val="001D35E6"/>
    <w:rsid w:val="001D369C"/>
    <w:rsid w:val="001D36B8"/>
    <w:rsid w:val="001D36C6"/>
    <w:rsid w:val="001D3741"/>
    <w:rsid w:val="001D3795"/>
    <w:rsid w:val="001D3995"/>
    <w:rsid w:val="001D3A61"/>
    <w:rsid w:val="001D3A79"/>
    <w:rsid w:val="001D3C37"/>
    <w:rsid w:val="001D3FFA"/>
    <w:rsid w:val="001D43C1"/>
    <w:rsid w:val="001D4459"/>
    <w:rsid w:val="001D4539"/>
    <w:rsid w:val="001D46FC"/>
    <w:rsid w:val="001D4719"/>
    <w:rsid w:val="001D47A8"/>
    <w:rsid w:val="001D4A81"/>
    <w:rsid w:val="001D4D43"/>
    <w:rsid w:val="001D4E1D"/>
    <w:rsid w:val="001D4F1D"/>
    <w:rsid w:val="001D4F87"/>
    <w:rsid w:val="001D5238"/>
    <w:rsid w:val="001D525C"/>
    <w:rsid w:val="001D52F3"/>
    <w:rsid w:val="001D5470"/>
    <w:rsid w:val="001D5690"/>
    <w:rsid w:val="001D5752"/>
    <w:rsid w:val="001D57A3"/>
    <w:rsid w:val="001D57CD"/>
    <w:rsid w:val="001D5879"/>
    <w:rsid w:val="001D5D3D"/>
    <w:rsid w:val="001D5DB6"/>
    <w:rsid w:val="001D5E1C"/>
    <w:rsid w:val="001D5FB2"/>
    <w:rsid w:val="001D6206"/>
    <w:rsid w:val="001D620D"/>
    <w:rsid w:val="001D64D5"/>
    <w:rsid w:val="001D67CC"/>
    <w:rsid w:val="001D67CF"/>
    <w:rsid w:val="001D69BB"/>
    <w:rsid w:val="001D6D0A"/>
    <w:rsid w:val="001D6D6A"/>
    <w:rsid w:val="001D70C9"/>
    <w:rsid w:val="001D71B8"/>
    <w:rsid w:val="001D7B3C"/>
    <w:rsid w:val="001D7CD3"/>
    <w:rsid w:val="001D7DC5"/>
    <w:rsid w:val="001E0068"/>
    <w:rsid w:val="001E00B6"/>
    <w:rsid w:val="001E0166"/>
    <w:rsid w:val="001E02E8"/>
    <w:rsid w:val="001E0350"/>
    <w:rsid w:val="001E03C9"/>
    <w:rsid w:val="001E0507"/>
    <w:rsid w:val="001E081B"/>
    <w:rsid w:val="001E0959"/>
    <w:rsid w:val="001E0C0A"/>
    <w:rsid w:val="001E0E42"/>
    <w:rsid w:val="001E124B"/>
    <w:rsid w:val="001E12A6"/>
    <w:rsid w:val="001E1305"/>
    <w:rsid w:val="001E15A5"/>
    <w:rsid w:val="001E19CA"/>
    <w:rsid w:val="001E1A17"/>
    <w:rsid w:val="001E1CFE"/>
    <w:rsid w:val="001E1D74"/>
    <w:rsid w:val="001E1FBB"/>
    <w:rsid w:val="001E22F2"/>
    <w:rsid w:val="001E231B"/>
    <w:rsid w:val="001E2386"/>
    <w:rsid w:val="001E258F"/>
    <w:rsid w:val="001E2608"/>
    <w:rsid w:val="001E2B8B"/>
    <w:rsid w:val="001E2BF6"/>
    <w:rsid w:val="001E2C1C"/>
    <w:rsid w:val="001E2C70"/>
    <w:rsid w:val="001E2C7D"/>
    <w:rsid w:val="001E2CBE"/>
    <w:rsid w:val="001E2DA4"/>
    <w:rsid w:val="001E2DC9"/>
    <w:rsid w:val="001E2EEE"/>
    <w:rsid w:val="001E2EF1"/>
    <w:rsid w:val="001E2F34"/>
    <w:rsid w:val="001E2F5D"/>
    <w:rsid w:val="001E3246"/>
    <w:rsid w:val="001E32CE"/>
    <w:rsid w:val="001E33EE"/>
    <w:rsid w:val="001E3700"/>
    <w:rsid w:val="001E3780"/>
    <w:rsid w:val="001E39AC"/>
    <w:rsid w:val="001E39B8"/>
    <w:rsid w:val="001E3B01"/>
    <w:rsid w:val="001E3C89"/>
    <w:rsid w:val="001E3E55"/>
    <w:rsid w:val="001E3EA5"/>
    <w:rsid w:val="001E3FE6"/>
    <w:rsid w:val="001E412E"/>
    <w:rsid w:val="001E436C"/>
    <w:rsid w:val="001E456E"/>
    <w:rsid w:val="001E45D0"/>
    <w:rsid w:val="001E4A72"/>
    <w:rsid w:val="001E4AAA"/>
    <w:rsid w:val="001E4AF3"/>
    <w:rsid w:val="001E4BF3"/>
    <w:rsid w:val="001E4C29"/>
    <w:rsid w:val="001E4C81"/>
    <w:rsid w:val="001E4D73"/>
    <w:rsid w:val="001E4ED4"/>
    <w:rsid w:val="001E4F21"/>
    <w:rsid w:val="001E4FE9"/>
    <w:rsid w:val="001E53E2"/>
    <w:rsid w:val="001E54A8"/>
    <w:rsid w:val="001E55CE"/>
    <w:rsid w:val="001E5B49"/>
    <w:rsid w:val="001E613D"/>
    <w:rsid w:val="001E6818"/>
    <w:rsid w:val="001E6AE1"/>
    <w:rsid w:val="001E6B59"/>
    <w:rsid w:val="001E6E3F"/>
    <w:rsid w:val="001E6E48"/>
    <w:rsid w:val="001E6FA1"/>
    <w:rsid w:val="001E702F"/>
    <w:rsid w:val="001E7174"/>
    <w:rsid w:val="001E7355"/>
    <w:rsid w:val="001E75EF"/>
    <w:rsid w:val="001E7A2D"/>
    <w:rsid w:val="001E7E4C"/>
    <w:rsid w:val="001E7E94"/>
    <w:rsid w:val="001E7FAE"/>
    <w:rsid w:val="001E7FC6"/>
    <w:rsid w:val="001F014B"/>
    <w:rsid w:val="001F039F"/>
    <w:rsid w:val="001F03B4"/>
    <w:rsid w:val="001F049C"/>
    <w:rsid w:val="001F049F"/>
    <w:rsid w:val="001F0888"/>
    <w:rsid w:val="001F0980"/>
    <w:rsid w:val="001F0D0F"/>
    <w:rsid w:val="001F0DFC"/>
    <w:rsid w:val="001F12C3"/>
    <w:rsid w:val="001F1657"/>
    <w:rsid w:val="001F16E0"/>
    <w:rsid w:val="001F17B6"/>
    <w:rsid w:val="001F17BB"/>
    <w:rsid w:val="001F186A"/>
    <w:rsid w:val="001F18BB"/>
    <w:rsid w:val="001F19EB"/>
    <w:rsid w:val="001F1A95"/>
    <w:rsid w:val="001F1B7C"/>
    <w:rsid w:val="001F1EB3"/>
    <w:rsid w:val="001F1EEC"/>
    <w:rsid w:val="001F1EF3"/>
    <w:rsid w:val="001F1FDD"/>
    <w:rsid w:val="001F208D"/>
    <w:rsid w:val="001F230C"/>
    <w:rsid w:val="001F2414"/>
    <w:rsid w:val="001F2539"/>
    <w:rsid w:val="001F2579"/>
    <w:rsid w:val="001F262F"/>
    <w:rsid w:val="001F26CD"/>
    <w:rsid w:val="001F291B"/>
    <w:rsid w:val="001F2A33"/>
    <w:rsid w:val="001F2A34"/>
    <w:rsid w:val="001F2ACE"/>
    <w:rsid w:val="001F2B10"/>
    <w:rsid w:val="001F2D79"/>
    <w:rsid w:val="001F2E7C"/>
    <w:rsid w:val="001F3321"/>
    <w:rsid w:val="001F34AA"/>
    <w:rsid w:val="001F3578"/>
    <w:rsid w:val="001F360E"/>
    <w:rsid w:val="001F37E2"/>
    <w:rsid w:val="001F3824"/>
    <w:rsid w:val="001F3A54"/>
    <w:rsid w:val="001F3CC9"/>
    <w:rsid w:val="001F3D6A"/>
    <w:rsid w:val="001F3F4F"/>
    <w:rsid w:val="001F40E3"/>
    <w:rsid w:val="001F4654"/>
    <w:rsid w:val="001F4690"/>
    <w:rsid w:val="001F471E"/>
    <w:rsid w:val="001F47A0"/>
    <w:rsid w:val="001F4885"/>
    <w:rsid w:val="001F48E7"/>
    <w:rsid w:val="001F4B0B"/>
    <w:rsid w:val="001F4BFD"/>
    <w:rsid w:val="001F5115"/>
    <w:rsid w:val="001F5143"/>
    <w:rsid w:val="001F5212"/>
    <w:rsid w:val="001F52EB"/>
    <w:rsid w:val="001F54B3"/>
    <w:rsid w:val="001F5AAF"/>
    <w:rsid w:val="001F5AC1"/>
    <w:rsid w:val="001F5AEC"/>
    <w:rsid w:val="001F5D1C"/>
    <w:rsid w:val="001F5DDF"/>
    <w:rsid w:val="001F5DF4"/>
    <w:rsid w:val="001F5F78"/>
    <w:rsid w:val="001F606A"/>
    <w:rsid w:val="001F6092"/>
    <w:rsid w:val="001F61FC"/>
    <w:rsid w:val="001F62EF"/>
    <w:rsid w:val="001F63CA"/>
    <w:rsid w:val="001F6673"/>
    <w:rsid w:val="001F68EC"/>
    <w:rsid w:val="001F6988"/>
    <w:rsid w:val="001F6B2B"/>
    <w:rsid w:val="001F6CBF"/>
    <w:rsid w:val="001F6D9D"/>
    <w:rsid w:val="001F6DD1"/>
    <w:rsid w:val="001F6E3B"/>
    <w:rsid w:val="001F6E9D"/>
    <w:rsid w:val="001F7045"/>
    <w:rsid w:val="001F7528"/>
    <w:rsid w:val="001F75E3"/>
    <w:rsid w:val="001F782C"/>
    <w:rsid w:val="001F78CD"/>
    <w:rsid w:val="001F79D4"/>
    <w:rsid w:val="001F79D9"/>
    <w:rsid w:val="001F7A67"/>
    <w:rsid w:val="001F7B10"/>
    <w:rsid w:val="001F7D6B"/>
    <w:rsid w:val="0020022F"/>
    <w:rsid w:val="00200358"/>
    <w:rsid w:val="002003BF"/>
    <w:rsid w:val="002003C4"/>
    <w:rsid w:val="002008AD"/>
    <w:rsid w:val="0020094E"/>
    <w:rsid w:val="00200B9C"/>
    <w:rsid w:val="00200CD1"/>
    <w:rsid w:val="00200DDF"/>
    <w:rsid w:val="00201038"/>
    <w:rsid w:val="002010A5"/>
    <w:rsid w:val="002010FB"/>
    <w:rsid w:val="00201419"/>
    <w:rsid w:val="0020196D"/>
    <w:rsid w:val="0020199F"/>
    <w:rsid w:val="00201A12"/>
    <w:rsid w:val="00201C0B"/>
    <w:rsid w:val="00201C57"/>
    <w:rsid w:val="00201E53"/>
    <w:rsid w:val="00201E94"/>
    <w:rsid w:val="00201EC8"/>
    <w:rsid w:val="002021BD"/>
    <w:rsid w:val="00202293"/>
    <w:rsid w:val="00202446"/>
    <w:rsid w:val="00202A97"/>
    <w:rsid w:val="00202AE3"/>
    <w:rsid w:val="00202B4A"/>
    <w:rsid w:val="00202BEA"/>
    <w:rsid w:val="00202C9D"/>
    <w:rsid w:val="00202D89"/>
    <w:rsid w:val="00202E56"/>
    <w:rsid w:val="00202EC1"/>
    <w:rsid w:val="00202F0C"/>
    <w:rsid w:val="00202F8B"/>
    <w:rsid w:val="0020307A"/>
    <w:rsid w:val="0020322C"/>
    <w:rsid w:val="00203236"/>
    <w:rsid w:val="00203866"/>
    <w:rsid w:val="002038D6"/>
    <w:rsid w:val="002038FC"/>
    <w:rsid w:val="00203995"/>
    <w:rsid w:val="00203B9C"/>
    <w:rsid w:val="00203BE9"/>
    <w:rsid w:val="00203D8B"/>
    <w:rsid w:val="00203DD7"/>
    <w:rsid w:val="00203E7F"/>
    <w:rsid w:val="00204037"/>
    <w:rsid w:val="002040AB"/>
    <w:rsid w:val="00204102"/>
    <w:rsid w:val="002046B6"/>
    <w:rsid w:val="00204A3B"/>
    <w:rsid w:val="00205220"/>
    <w:rsid w:val="00205248"/>
    <w:rsid w:val="00205457"/>
    <w:rsid w:val="00205485"/>
    <w:rsid w:val="00205504"/>
    <w:rsid w:val="0020573F"/>
    <w:rsid w:val="00205BE5"/>
    <w:rsid w:val="00205C9F"/>
    <w:rsid w:val="00205CA0"/>
    <w:rsid w:val="00205DBA"/>
    <w:rsid w:val="00205ED4"/>
    <w:rsid w:val="00205F4D"/>
    <w:rsid w:val="00206127"/>
    <w:rsid w:val="00206219"/>
    <w:rsid w:val="0020622B"/>
    <w:rsid w:val="00206261"/>
    <w:rsid w:val="002062DF"/>
    <w:rsid w:val="00206427"/>
    <w:rsid w:val="00206469"/>
    <w:rsid w:val="002065BA"/>
    <w:rsid w:val="002066EA"/>
    <w:rsid w:val="00206766"/>
    <w:rsid w:val="00206871"/>
    <w:rsid w:val="00206886"/>
    <w:rsid w:val="00206C3F"/>
    <w:rsid w:val="00206C60"/>
    <w:rsid w:val="00206F60"/>
    <w:rsid w:val="00206FB4"/>
    <w:rsid w:val="0020700A"/>
    <w:rsid w:val="002072DB"/>
    <w:rsid w:val="0020730B"/>
    <w:rsid w:val="0020758D"/>
    <w:rsid w:val="0020763A"/>
    <w:rsid w:val="002076E2"/>
    <w:rsid w:val="00207BE0"/>
    <w:rsid w:val="00207C1A"/>
    <w:rsid w:val="00207F22"/>
    <w:rsid w:val="002101E2"/>
    <w:rsid w:val="00210202"/>
    <w:rsid w:val="0021058E"/>
    <w:rsid w:val="002107CA"/>
    <w:rsid w:val="002107FB"/>
    <w:rsid w:val="00210849"/>
    <w:rsid w:val="00210942"/>
    <w:rsid w:val="00210B1B"/>
    <w:rsid w:val="00210B71"/>
    <w:rsid w:val="00210E42"/>
    <w:rsid w:val="00210E5C"/>
    <w:rsid w:val="00210EA2"/>
    <w:rsid w:val="0021105B"/>
    <w:rsid w:val="0021120D"/>
    <w:rsid w:val="002113D9"/>
    <w:rsid w:val="002113F5"/>
    <w:rsid w:val="002115CF"/>
    <w:rsid w:val="0021168E"/>
    <w:rsid w:val="00211964"/>
    <w:rsid w:val="00211A23"/>
    <w:rsid w:val="00211D7F"/>
    <w:rsid w:val="00211EE6"/>
    <w:rsid w:val="00211FF5"/>
    <w:rsid w:val="0021209D"/>
    <w:rsid w:val="002127B0"/>
    <w:rsid w:val="002127BE"/>
    <w:rsid w:val="0021282C"/>
    <w:rsid w:val="00212879"/>
    <w:rsid w:val="002128BA"/>
    <w:rsid w:val="00212943"/>
    <w:rsid w:val="00212A90"/>
    <w:rsid w:val="00212B9B"/>
    <w:rsid w:val="00212BC7"/>
    <w:rsid w:val="00212CBD"/>
    <w:rsid w:val="00212D5A"/>
    <w:rsid w:val="00212DBA"/>
    <w:rsid w:val="00212DF7"/>
    <w:rsid w:val="00212E06"/>
    <w:rsid w:val="002131AC"/>
    <w:rsid w:val="0021353B"/>
    <w:rsid w:val="002135F4"/>
    <w:rsid w:val="002139CC"/>
    <w:rsid w:val="00213BEC"/>
    <w:rsid w:val="00214096"/>
    <w:rsid w:val="002141CE"/>
    <w:rsid w:val="002142A4"/>
    <w:rsid w:val="002142FF"/>
    <w:rsid w:val="0021438F"/>
    <w:rsid w:val="0021453E"/>
    <w:rsid w:val="002145A8"/>
    <w:rsid w:val="00214D39"/>
    <w:rsid w:val="00214DD3"/>
    <w:rsid w:val="002150AD"/>
    <w:rsid w:val="00215160"/>
    <w:rsid w:val="00215239"/>
    <w:rsid w:val="00215298"/>
    <w:rsid w:val="00215522"/>
    <w:rsid w:val="0021560F"/>
    <w:rsid w:val="00215A9B"/>
    <w:rsid w:val="00215B0A"/>
    <w:rsid w:val="00215D37"/>
    <w:rsid w:val="00215DB2"/>
    <w:rsid w:val="00215DF7"/>
    <w:rsid w:val="00215E7E"/>
    <w:rsid w:val="00215FF7"/>
    <w:rsid w:val="00216063"/>
    <w:rsid w:val="00216100"/>
    <w:rsid w:val="002161AF"/>
    <w:rsid w:val="002161CD"/>
    <w:rsid w:val="0021646E"/>
    <w:rsid w:val="0021653A"/>
    <w:rsid w:val="002166F8"/>
    <w:rsid w:val="0021678B"/>
    <w:rsid w:val="00216807"/>
    <w:rsid w:val="00216A2E"/>
    <w:rsid w:val="0021723F"/>
    <w:rsid w:val="0021738E"/>
    <w:rsid w:val="002175B1"/>
    <w:rsid w:val="0021761F"/>
    <w:rsid w:val="002177E6"/>
    <w:rsid w:val="00217904"/>
    <w:rsid w:val="0021791B"/>
    <w:rsid w:val="0021792D"/>
    <w:rsid w:val="00217968"/>
    <w:rsid w:val="00217A60"/>
    <w:rsid w:val="00217B87"/>
    <w:rsid w:val="00217BC8"/>
    <w:rsid w:val="00220302"/>
    <w:rsid w:val="0022078D"/>
    <w:rsid w:val="002209AE"/>
    <w:rsid w:val="00220A04"/>
    <w:rsid w:val="00220BAD"/>
    <w:rsid w:val="00220C85"/>
    <w:rsid w:val="00220CBC"/>
    <w:rsid w:val="00220EE7"/>
    <w:rsid w:val="00221039"/>
    <w:rsid w:val="0022116A"/>
    <w:rsid w:val="002212C3"/>
    <w:rsid w:val="0022147A"/>
    <w:rsid w:val="00221493"/>
    <w:rsid w:val="0022149B"/>
    <w:rsid w:val="002215AF"/>
    <w:rsid w:val="00221640"/>
    <w:rsid w:val="00221B7D"/>
    <w:rsid w:val="00221BAD"/>
    <w:rsid w:val="00221BFA"/>
    <w:rsid w:val="00221E9F"/>
    <w:rsid w:val="00222132"/>
    <w:rsid w:val="002221EB"/>
    <w:rsid w:val="0022241D"/>
    <w:rsid w:val="00222497"/>
    <w:rsid w:val="002228E8"/>
    <w:rsid w:val="002228F6"/>
    <w:rsid w:val="00222B97"/>
    <w:rsid w:val="00222BB2"/>
    <w:rsid w:val="00222C82"/>
    <w:rsid w:val="00222D32"/>
    <w:rsid w:val="00222ED3"/>
    <w:rsid w:val="00223172"/>
    <w:rsid w:val="00223188"/>
    <w:rsid w:val="0022351F"/>
    <w:rsid w:val="0022356E"/>
    <w:rsid w:val="002235B6"/>
    <w:rsid w:val="002235D9"/>
    <w:rsid w:val="00223601"/>
    <w:rsid w:val="00223621"/>
    <w:rsid w:val="00223890"/>
    <w:rsid w:val="002239F2"/>
    <w:rsid w:val="00223A92"/>
    <w:rsid w:val="00223AC3"/>
    <w:rsid w:val="00223D2F"/>
    <w:rsid w:val="0022401D"/>
    <w:rsid w:val="002245B1"/>
    <w:rsid w:val="002245F4"/>
    <w:rsid w:val="00224754"/>
    <w:rsid w:val="0022493A"/>
    <w:rsid w:val="00224C97"/>
    <w:rsid w:val="00224CFC"/>
    <w:rsid w:val="00225507"/>
    <w:rsid w:val="0022560D"/>
    <w:rsid w:val="00225793"/>
    <w:rsid w:val="00225B20"/>
    <w:rsid w:val="00225B97"/>
    <w:rsid w:val="00225C2D"/>
    <w:rsid w:val="0022607D"/>
    <w:rsid w:val="0022623A"/>
    <w:rsid w:val="0022644F"/>
    <w:rsid w:val="002265AC"/>
    <w:rsid w:val="00226A9C"/>
    <w:rsid w:val="00226C30"/>
    <w:rsid w:val="00226E32"/>
    <w:rsid w:val="002270C3"/>
    <w:rsid w:val="0022710F"/>
    <w:rsid w:val="00227195"/>
    <w:rsid w:val="002271DE"/>
    <w:rsid w:val="00227210"/>
    <w:rsid w:val="00227221"/>
    <w:rsid w:val="00227244"/>
    <w:rsid w:val="0022733A"/>
    <w:rsid w:val="002278EF"/>
    <w:rsid w:val="002279BD"/>
    <w:rsid w:val="00227C37"/>
    <w:rsid w:val="00227D58"/>
    <w:rsid w:val="00227E18"/>
    <w:rsid w:val="00227E2D"/>
    <w:rsid w:val="00227ED0"/>
    <w:rsid w:val="00227F41"/>
    <w:rsid w:val="00227F51"/>
    <w:rsid w:val="00230038"/>
    <w:rsid w:val="002302FE"/>
    <w:rsid w:val="00230356"/>
    <w:rsid w:val="00230458"/>
    <w:rsid w:val="002305F5"/>
    <w:rsid w:val="0023092E"/>
    <w:rsid w:val="00230988"/>
    <w:rsid w:val="00230B78"/>
    <w:rsid w:val="00230B8C"/>
    <w:rsid w:val="00230D04"/>
    <w:rsid w:val="00230D51"/>
    <w:rsid w:val="00230EB7"/>
    <w:rsid w:val="00230EBD"/>
    <w:rsid w:val="00231100"/>
    <w:rsid w:val="002311DE"/>
    <w:rsid w:val="0023135B"/>
    <w:rsid w:val="0023146E"/>
    <w:rsid w:val="002315DA"/>
    <w:rsid w:val="00231686"/>
    <w:rsid w:val="002316F6"/>
    <w:rsid w:val="002317C7"/>
    <w:rsid w:val="00231851"/>
    <w:rsid w:val="0023189E"/>
    <w:rsid w:val="00231A27"/>
    <w:rsid w:val="00231A8B"/>
    <w:rsid w:val="00231BB8"/>
    <w:rsid w:val="00232002"/>
    <w:rsid w:val="0023200A"/>
    <w:rsid w:val="0023223E"/>
    <w:rsid w:val="00232466"/>
    <w:rsid w:val="00232626"/>
    <w:rsid w:val="0023271D"/>
    <w:rsid w:val="0023282B"/>
    <w:rsid w:val="002328E3"/>
    <w:rsid w:val="002329CB"/>
    <w:rsid w:val="00232AE4"/>
    <w:rsid w:val="00232CFD"/>
    <w:rsid w:val="00232F05"/>
    <w:rsid w:val="00233062"/>
    <w:rsid w:val="0023321E"/>
    <w:rsid w:val="002332AE"/>
    <w:rsid w:val="0023343A"/>
    <w:rsid w:val="00233761"/>
    <w:rsid w:val="00233798"/>
    <w:rsid w:val="002337F2"/>
    <w:rsid w:val="002338AA"/>
    <w:rsid w:val="00233AB1"/>
    <w:rsid w:val="00233DCA"/>
    <w:rsid w:val="00233DED"/>
    <w:rsid w:val="00233E79"/>
    <w:rsid w:val="00234015"/>
    <w:rsid w:val="00234223"/>
    <w:rsid w:val="002343B6"/>
    <w:rsid w:val="00234618"/>
    <w:rsid w:val="00234645"/>
    <w:rsid w:val="00234701"/>
    <w:rsid w:val="00234821"/>
    <w:rsid w:val="00234860"/>
    <w:rsid w:val="00234CE8"/>
    <w:rsid w:val="00234E09"/>
    <w:rsid w:val="002353F3"/>
    <w:rsid w:val="0023559C"/>
    <w:rsid w:val="00235862"/>
    <w:rsid w:val="00235954"/>
    <w:rsid w:val="00235968"/>
    <w:rsid w:val="00235A45"/>
    <w:rsid w:val="00235AF2"/>
    <w:rsid w:val="00235DFE"/>
    <w:rsid w:val="00235F0B"/>
    <w:rsid w:val="00235F5C"/>
    <w:rsid w:val="00235FCF"/>
    <w:rsid w:val="00235FEF"/>
    <w:rsid w:val="00235FFD"/>
    <w:rsid w:val="00236203"/>
    <w:rsid w:val="0023672B"/>
    <w:rsid w:val="00236777"/>
    <w:rsid w:val="00236981"/>
    <w:rsid w:val="002369DC"/>
    <w:rsid w:val="00236B54"/>
    <w:rsid w:val="00236C95"/>
    <w:rsid w:val="002370E6"/>
    <w:rsid w:val="00237560"/>
    <w:rsid w:val="00237604"/>
    <w:rsid w:val="002378DC"/>
    <w:rsid w:val="0023792D"/>
    <w:rsid w:val="00237945"/>
    <w:rsid w:val="00237C2B"/>
    <w:rsid w:val="00240095"/>
    <w:rsid w:val="002403AB"/>
    <w:rsid w:val="0024051F"/>
    <w:rsid w:val="00240660"/>
    <w:rsid w:val="00240729"/>
    <w:rsid w:val="00240AE4"/>
    <w:rsid w:val="00240B3D"/>
    <w:rsid w:val="00240B4D"/>
    <w:rsid w:val="00240BA9"/>
    <w:rsid w:val="00240BD3"/>
    <w:rsid w:val="002410BD"/>
    <w:rsid w:val="0024113F"/>
    <w:rsid w:val="002412BC"/>
    <w:rsid w:val="002412BD"/>
    <w:rsid w:val="00241446"/>
    <w:rsid w:val="0024179C"/>
    <w:rsid w:val="002418A0"/>
    <w:rsid w:val="00241ADB"/>
    <w:rsid w:val="00241D1C"/>
    <w:rsid w:val="00241F37"/>
    <w:rsid w:val="0024240C"/>
    <w:rsid w:val="0024254F"/>
    <w:rsid w:val="002425F1"/>
    <w:rsid w:val="00242741"/>
    <w:rsid w:val="0024289E"/>
    <w:rsid w:val="00242EEA"/>
    <w:rsid w:val="00242F20"/>
    <w:rsid w:val="00242F99"/>
    <w:rsid w:val="00242FF8"/>
    <w:rsid w:val="0024303D"/>
    <w:rsid w:val="0024309E"/>
    <w:rsid w:val="0024315E"/>
    <w:rsid w:val="002431BD"/>
    <w:rsid w:val="002431C1"/>
    <w:rsid w:val="002431EB"/>
    <w:rsid w:val="00243289"/>
    <w:rsid w:val="002432E6"/>
    <w:rsid w:val="00243352"/>
    <w:rsid w:val="00243649"/>
    <w:rsid w:val="00243746"/>
    <w:rsid w:val="0024384D"/>
    <w:rsid w:val="0024388B"/>
    <w:rsid w:val="002439C7"/>
    <w:rsid w:val="00243A55"/>
    <w:rsid w:val="00243D4C"/>
    <w:rsid w:val="00243EFD"/>
    <w:rsid w:val="00244339"/>
    <w:rsid w:val="00244356"/>
    <w:rsid w:val="00244396"/>
    <w:rsid w:val="002443C6"/>
    <w:rsid w:val="0024457E"/>
    <w:rsid w:val="00244634"/>
    <w:rsid w:val="002446E5"/>
    <w:rsid w:val="00244811"/>
    <w:rsid w:val="002448F7"/>
    <w:rsid w:val="00244EE4"/>
    <w:rsid w:val="00244F43"/>
    <w:rsid w:val="00244FC1"/>
    <w:rsid w:val="0024535A"/>
    <w:rsid w:val="00245425"/>
    <w:rsid w:val="002457BC"/>
    <w:rsid w:val="00245833"/>
    <w:rsid w:val="0024585B"/>
    <w:rsid w:val="00245C4C"/>
    <w:rsid w:val="00245C76"/>
    <w:rsid w:val="00245E25"/>
    <w:rsid w:val="00246035"/>
    <w:rsid w:val="002460CD"/>
    <w:rsid w:val="00246129"/>
    <w:rsid w:val="002462E9"/>
    <w:rsid w:val="00246463"/>
    <w:rsid w:val="00246473"/>
    <w:rsid w:val="0024650C"/>
    <w:rsid w:val="002465C1"/>
    <w:rsid w:val="002466F6"/>
    <w:rsid w:val="00246740"/>
    <w:rsid w:val="00246775"/>
    <w:rsid w:val="00246AB2"/>
    <w:rsid w:val="00246DB3"/>
    <w:rsid w:val="00246DD2"/>
    <w:rsid w:val="002473AB"/>
    <w:rsid w:val="002476A7"/>
    <w:rsid w:val="0024777E"/>
    <w:rsid w:val="00247B04"/>
    <w:rsid w:val="00247B10"/>
    <w:rsid w:val="00247B55"/>
    <w:rsid w:val="00247BA8"/>
    <w:rsid w:val="00247CAF"/>
    <w:rsid w:val="00247D78"/>
    <w:rsid w:val="00247E55"/>
    <w:rsid w:val="002501CD"/>
    <w:rsid w:val="002503E4"/>
    <w:rsid w:val="0025043B"/>
    <w:rsid w:val="002504CA"/>
    <w:rsid w:val="00250667"/>
    <w:rsid w:val="002506D6"/>
    <w:rsid w:val="00250A7D"/>
    <w:rsid w:val="00250BB6"/>
    <w:rsid w:val="00250C2E"/>
    <w:rsid w:val="00250D7E"/>
    <w:rsid w:val="00250F78"/>
    <w:rsid w:val="00250F95"/>
    <w:rsid w:val="0025119B"/>
    <w:rsid w:val="00251353"/>
    <w:rsid w:val="002515CE"/>
    <w:rsid w:val="002516E1"/>
    <w:rsid w:val="002517AC"/>
    <w:rsid w:val="00251890"/>
    <w:rsid w:val="002519AA"/>
    <w:rsid w:val="00251AE3"/>
    <w:rsid w:val="00251B29"/>
    <w:rsid w:val="00251BD3"/>
    <w:rsid w:val="00251BF1"/>
    <w:rsid w:val="00251D3D"/>
    <w:rsid w:val="00251EED"/>
    <w:rsid w:val="00252079"/>
    <w:rsid w:val="002520C0"/>
    <w:rsid w:val="002520E2"/>
    <w:rsid w:val="0025211B"/>
    <w:rsid w:val="0025211D"/>
    <w:rsid w:val="002524FF"/>
    <w:rsid w:val="00252538"/>
    <w:rsid w:val="00252890"/>
    <w:rsid w:val="00252CF3"/>
    <w:rsid w:val="00252E00"/>
    <w:rsid w:val="00253028"/>
    <w:rsid w:val="002534A5"/>
    <w:rsid w:val="00253748"/>
    <w:rsid w:val="00253A2F"/>
    <w:rsid w:val="00253B56"/>
    <w:rsid w:val="00253E4D"/>
    <w:rsid w:val="00253E67"/>
    <w:rsid w:val="00253FD2"/>
    <w:rsid w:val="00254020"/>
    <w:rsid w:val="00254167"/>
    <w:rsid w:val="00254337"/>
    <w:rsid w:val="0025434B"/>
    <w:rsid w:val="00254565"/>
    <w:rsid w:val="00254661"/>
    <w:rsid w:val="0025489F"/>
    <w:rsid w:val="002548BA"/>
    <w:rsid w:val="002549D9"/>
    <w:rsid w:val="002549FF"/>
    <w:rsid w:val="00254AB1"/>
    <w:rsid w:val="00254FD7"/>
    <w:rsid w:val="00255391"/>
    <w:rsid w:val="002553DF"/>
    <w:rsid w:val="002555E0"/>
    <w:rsid w:val="002557AE"/>
    <w:rsid w:val="002557C2"/>
    <w:rsid w:val="00255844"/>
    <w:rsid w:val="00255A6C"/>
    <w:rsid w:val="00255A86"/>
    <w:rsid w:val="00255C85"/>
    <w:rsid w:val="00255CDC"/>
    <w:rsid w:val="00255D0B"/>
    <w:rsid w:val="00255DD8"/>
    <w:rsid w:val="00255E60"/>
    <w:rsid w:val="00255F06"/>
    <w:rsid w:val="00256127"/>
    <w:rsid w:val="00256163"/>
    <w:rsid w:val="00256397"/>
    <w:rsid w:val="002564DB"/>
    <w:rsid w:val="002564F5"/>
    <w:rsid w:val="002565A3"/>
    <w:rsid w:val="00256899"/>
    <w:rsid w:val="00256E31"/>
    <w:rsid w:val="002571BD"/>
    <w:rsid w:val="0025721D"/>
    <w:rsid w:val="00257246"/>
    <w:rsid w:val="00257254"/>
    <w:rsid w:val="00257489"/>
    <w:rsid w:val="0025760B"/>
    <w:rsid w:val="00257749"/>
    <w:rsid w:val="002577ED"/>
    <w:rsid w:val="002579CA"/>
    <w:rsid w:val="00257B34"/>
    <w:rsid w:val="00257C27"/>
    <w:rsid w:val="00257D79"/>
    <w:rsid w:val="00257EE1"/>
    <w:rsid w:val="00260050"/>
    <w:rsid w:val="002602DA"/>
    <w:rsid w:val="00260456"/>
    <w:rsid w:val="002604AA"/>
    <w:rsid w:val="00260744"/>
    <w:rsid w:val="00260A3A"/>
    <w:rsid w:val="00260A8B"/>
    <w:rsid w:val="00260B2D"/>
    <w:rsid w:val="00260FAB"/>
    <w:rsid w:val="0026108B"/>
    <w:rsid w:val="00261392"/>
    <w:rsid w:val="00261404"/>
    <w:rsid w:val="002615FB"/>
    <w:rsid w:val="00261620"/>
    <w:rsid w:val="0026164C"/>
    <w:rsid w:val="0026168E"/>
    <w:rsid w:val="002616ED"/>
    <w:rsid w:val="00261DA7"/>
    <w:rsid w:val="00261DF1"/>
    <w:rsid w:val="00261E72"/>
    <w:rsid w:val="00261ECC"/>
    <w:rsid w:val="00261EFB"/>
    <w:rsid w:val="00262069"/>
    <w:rsid w:val="002622CE"/>
    <w:rsid w:val="002623AB"/>
    <w:rsid w:val="00262527"/>
    <w:rsid w:val="002626E2"/>
    <w:rsid w:val="0026270B"/>
    <w:rsid w:val="00262899"/>
    <w:rsid w:val="00262A6D"/>
    <w:rsid w:val="00262A6F"/>
    <w:rsid w:val="00262AA7"/>
    <w:rsid w:val="00262DB6"/>
    <w:rsid w:val="00262EC9"/>
    <w:rsid w:val="00262FB2"/>
    <w:rsid w:val="002630A5"/>
    <w:rsid w:val="002635C9"/>
    <w:rsid w:val="00263651"/>
    <w:rsid w:val="002636D7"/>
    <w:rsid w:val="0026370B"/>
    <w:rsid w:val="00263720"/>
    <w:rsid w:val="002637F9"/>
    <w:rsid w:val="002638E9"/>
    <w:rsid w:val="0026391A"/>
    <w:rsid w:val="00263C15"/>
    <w:rsid w:val="00263EE8"/>
    <w:rsid w:val="002645CC"/>
    <w:rsid w:val="002648D4"/>
    <w:rsid w:val="00264A5C"/>
    <w:rsid w:val="00264B33"/>
    <w:rsid w:val="00264B66"/>
    <w:rsid w:val="00264C2F"/>
    <w:rsid w:val="00264C3E"/>
    <w:rsid w:val="00264E1E"/>
    <w:rsid w:val="00265070"/>
    <w:rsid w:val="00265121"/>
    <w:rsid w:val="00265184"/>
    <w:rsid w:val="00265220"/>
    <w:rsid w:val="00265369"/>
    <w:rsid w:val="002656C7"/>
    <w:rsid w:val="00265945"/>
    <w:rsid w:val="0026597A"/>
    <w:rsid w:val="00265998"/>
    <w:rsid w:val="002659A3"/>
    <w:rsid w:val="002659C4"/>
    <w:rsid w:val="00265B2D"/>
    <w:rsid w:val="00265BC7"/>
    <w:rsid w:val="00265C78"/>
    <w:rsid w:val="00265CD6"/>
    <w:rsid w:val="00265CE4"/>
    <w:rsid w:val="00265D45"/>
    <w:rsid w:val="00265DFC"/>
    <w:rsid w:val="00265E76"/>
    <w:rsid w:val="00265E7D"/>
    <w:rsid w:val="00265F49"/>
    <w:rsid w:val="002661C6"/>
    <w:rsid w:val="0026624B"/>
    <w:rsid w:val="00266698"/>
    <w:rsid w:val="002667EB"/>
    <w:rsid w:val="00266888"/>
    <w:rsid w:val="00266978"/>
    <w:rsid w:val="00266C2B"/>
    <w:rsid w:val="00266D2C"/>
    <w:rsid w:val="00266E54"/>
    <w:rsid w:val="00266F5A"/>
    <w:rsid w:val="00267168"/>
    <w:rsid w:val="00267209"/>
    <w:rsid w:val="00267482"/>
    <w:rsid w:val="002675AA"/>
    <w:rsid w:val="002675D7"/>
    <w:rsid w:val="00267888"/>
    <w:rsid w:val="002678B3"/>
    <w:rsid w:val="00267982"/>
    <w:rsid w:val="002679E9"/>
    <w:rsid w:val="00267E22"/>
    <w:rsid w:val="0027005C"/>
    <w:rsid w:val="002705CC"/>
    <w:rsid w:val="002706F8"/>
    <w:rsid w:val="002707B2"/>
    <w:rsid w:val="0027083D"/>
    <w:rsid w:val="00270A30"/>
    <w:rsid w:val="00270A38"/>
    <w:rsid w:val="00270C58"/>
    <w:rsid w:val="00270D46"/>
    <w:rsid w:val="00270DD5"/>
    <w:rsid w:val="00270E97"/>
    <w:rsid w:val="00271169"/>
    <w:rsid w:val="002711B7"/>
    <w:rsid w:val="002711D2"/>
    <w:rsid w:val="00271271"/>
    <w:rsid w:val="002714B3"/>
    <w:rsid w:val="00271690"/>
    <w:rsid w:val="002716AA"/>
    <w:rsid w:val="002716DF"/>
    <w:rsid w:val="002718DF"/>
    <w:rsid w:val="00271946"/>
    <w:rsid w:val="00271A77"/>
    <w:rsid w:val="00271CE7"/>
    <w:rsid w:val="00271D4B"/>
    <w:rsid w:val="00271DAF"/>
    <w:rsid w:val="00271DD9"/>
    <w:rsid w:val="00271DFF"/>
    <w:rsid w:val="00271FDA"/>
    <w:rsid w:val="0027203C"/>
    <w:rsid w:val="00272155"/>
    <w:rsid w:val="0027227F"/>
    <w:rsid w:val="00272326"/>
    <w:rsid w:val="0027237B"/>
    <w:rsid w:val="002723AB"/>
    <w:rsid w:val="002723F9"/>
    <w:rsid w:val="00272519"/>
    <w:rsid w:val="00272660"/>
    <w:rsid w:val="002726B9"/>
    <w:rsid w:val="00272744"/>
    <w:rsid w:val="0027276A"/>
    <w:rsid w:val="00272891"/>
    <w:rsid w:val="0027289E"/>
    <w:rsid w:val="00272A9C"/>
    <w:rsid w:val="00272B45"/>
    <w:rsid w:val="00272B9E"/>
    <w:rsid w:val="00272C5D"/>
    <w:rsid w:val="00272D13"/>
    <w:rsid w:val="00272EBE"/>
    <w:rsid w:val="00273397"/>
    <w:rsid w:val="00273475"/>
    <w:rsid w:val="00273571"/>
    <w:rsid w:val="00273680"/>
    <w:rsid w:val="002739A4"/>
    <w:rsid w:val="00273BAB"/>
    <w:rsid w:val="00273C6C"/>
    <w:rsid w:val="00273E60"/>
    <w:rsid w:val="002741AE"/>
    <w:rsid w:val="0027420E"/>
    <w:rsid w:val="002743D0"/>
    <w:rsid w:val="00274690"/>
    <w:rsid w:val="00274887"/>
    <w:rsid w:val="002749C2"/>
    <w:rsid w:val="00274ADD"/>
    <w:rsid w:val="00274C39"/>
    <w:rsid w:val="00274C53"/>
    <w:rsid w:val="00274DE5"/>
    <w:rsid w:val="00274E38"/>
    <w:rsid w:val="00274E54"/>
    <w:rsid w:val="0027528E"/>
    <w:rsid w:val="0027529A"/>
    <w:rsid w:val="00275338"/>
    <w:rsid w:val="0027542B"/>
    <w:rsid w:val="00275571"/>
    <w:rsid w:val="00275A62"/>
    <w:rsid w:val="00275C05"/>
    <w:rsid w:val="00275C3B"/>
    <w:rsid w:val="00275C7E"/>
    <w:rsid w:val="00275CC1"/>
    <w:rsid w:val="00275D93"/>
    <w:rsid w:val="0027615C"/>
    <w:rsid w:val="00276191"/>
    <w:rsid w:val="002762AA"/>
    <w:rsid w:val="002762D1"/>
    <w:rsid w:val="002763D9"/>
    <w:rsid w:val="00276458"/>
    <w:rsid w:val="00276525"/>
    <w:rsid w:val="002767C6"/>
    <w:rsid w:val="0027688F"/>
    <w:rsid w:val="00276A76"/>
    <w:rsid w:val="00276AFF"/>
    <w:rsid w:val="00276D3E"/>
    <w:rsid w:val="00276ED8"/>
    <w:rsid w:val="002771A7"/>
    <w:rsid w:val="002773C1"/>
    <w:rsid w:val="0027766D"/>
    <w:rsid w:val="002777BF"/>
    <w:rsid w:val="002778A8"/>
    <w:rsid w:val="00277A0E"/>
    <w:rsid w:val="00277B0F"/>
    <w:rsid w:val="00277B4E"/>
    <w:rsid w:val="00277E61"/>
    <w:rsid w:val="00277E91"/>
    <w:rsid w:val="00277ED3"/>
    <w:rsid w:val="0028001C"/>
    <w:rsid w:val="0028033F"/>
    <w:rsid w:val="00280368"/>
    <w:rsid w:val="002804B7"/>
    <w:rsid w:val="002804D3"/>
    <w:rsid w:val="00280518"/>
    <w:rsid w:val="002805D5"/>
    <w:rsid w:val="002806E6"/>
    <w:rsid w:val="00280832"/>
    <w:rsid w:val="002808A9"/>
    <w:rsid w:val="00280AFD"/>
    <w:rsid w:val="00280C4A"/>
    <w:rsid w:val="00280DA6"/>
    <w:rsid w:val="00280E0F"/>
    <w:rsid w:val="00280EB4"/>
    <w:rsid w:val="00280FEB"/>
    <w:rsid w:val="002810D2"/>
    <w:rsid w:val="00281135"/>
    <w:rsid w:val="00281155"/>
    <w:rsid w:val="002811A0"/>
    <w:rsid w:val="002811DD"/>
    <w:rsid w:val="002817D6"/>
    <w:rsid w:val="0028189F"/>
    <w:rsid w:val="002819A5"/>
    <w:rsid w:val="00281BBD"/>
    <w:rsid w:val="00281CCC"/>
    <w:rsid w:val="00281DE7"/>
    <w:rsid w:val="00281E60"/>
    <w:rsid w:val="0028238A"/>
    <w:rsid w:val="00282982"/>
    <w:rsid w:val="00282C04"/>
    <w:rsid w:val="00282F79"/>
    <w:rsid w:val="00282FDC"/>
    <w:rsid w:val="00283056"/>
    <w:rsid w:val="0028329F"/>
    <w:rsid w:val="00283652"/>
    <w:rsid w:val="0028381B"/>
    <w:rsid w:val="0028396C"/>
    <w:rsid w:val="00283C79"/>
    <w:rsid w:val="00283D68"/>
    <w:rsid w:val="00284404"/>
    <w:rsid w:val="002848C0"/>
    <w:rsid w:val="002849BD"/>
    <w:rsid w:val="00284AEB"/>
    <w:rsid w:val="00284BF8"/>
    <w:rsid w:val="00285085"/>
    <w:rsid w:val="0028513C"/>
    <w:rsid w:val="002852E9"/>
    <w:rsid w:val="002853D3"/>
    <w:rsid w:val="002854FD"/>
    <w:rsid w:val="002857F7"/>
    <w:rsid w:val="00285C57"/>
    <w:rsid w:val="00285CD6"/>
    <w:rsid w:val="002860A4"/>
    <w:rsid w:val="002860EA"/>
    <w:rsid w:val="002866E3"/>
    <w:rsid w:val="002867A6"/>
    <w:rsid w:val="002867BE"/>
    <w:rsid w:val="00286817"/>
    <w:rsid w:val="002869BE"/>
    <w:rsid w:val="002869E5"/>
    <w:rsid w:val="00286D81"/>
    <w:rsid w:val="00286E77"/>
    <w:rsid w:val="00286E9E"/>
    <w:rsid w:val="00286F17"/>
    <w:rsid w:val="00286FA6"/>
    <w:rsid w:val="00286FC2"/>
    <w:rsid w:val="00286FD6"/>
    <w:rsid w:val="00287094"/>
    <w:rsid w:val="002871A7"/>
    <w:rsid w:val="0028725F"/>
    <w:rsid w:val="002874B4"/>
    <w:rsid w:val="0028751F"/>
    <w:rsid w:val="00287569"/>
    <w:rsid w:val="00287744"/>
    <w:rsid w:val="00287869"/>
    <w:rsid w:val="002878E6"/>
    <w:rsid w:val="00287980"/>
    <w:rsid w:val="00287A40"/>
    <w:rsid w:val="00287BB3"/>
    <w:rsid w:val="00287E3A"/>
    <w:rsid w:val="00290072"/>
    <w:rsid w:val="002900A3"/>
    <w:rsid w:val="00290240"/>
    <w:rsid w:val="0029042F"/>
    <w:rsid w:val="0029069C"/>
    <w:rsid w:val="002906DF"/>
    <w:rsid w:val="002906EB"/>
    <w:rsid w:val="00290845"/>
    <w:rsid w:val="00290A2D"/>
    <w:rsid w:val="00290A5B"/>
    <w:rsid w:val="00290AB2"/>
    <w:rsid w:val="00290B90"/>
    <w:rsid w:val="00290C8E"/>
    <w:rsid w:val="00290F79"/>
    <w:rsid w:val="00290FE5"/>
    <w:rsid w:val="00290FE9"/>
    <w:rsid w:val="00291193"/>
    <w:rsid w:val="00291417"/>
    <w:rsid w:val="0029141B"/>
    <w:rsid w:val="0029145B"/>
    <w:rsid w:val="002915CE"/>
    <w:rsid w:val="00291724"/>
    <w:rsid w:val="00291975"/>
    <w:rsid w:val="00291991"/>
    <w:rsid w:val="00291BE7"/>
    <w:rsid w:val="00291CB4"/>
    <w:rsid w:val="00291E35"/>
    <w:rsid w:val="00291F3E"/>
    <w:rsid w:val="00292029"/>
    <w:rsid w:val="00292106"/>
    <w:rsid w:val="0029251A"/>
    <w:rsid w:val="0029261D"/>
    <w:rsid w:val="002926D8"/>
    <w:rsid w:val="00292930"/>
    <w:rsid w:val="00292A67"/>
    <w:rsid w:val="00292B97"/>
    <w:rsid w:val="00292C7C"/>
    <w:rsid w:val="00292F03"/>
    <w:rsid w:val="00292F36"/>
    <w:rsid w:val="00292F98"/>
    <w:rsid w:val="00292F9F"/>
    <w:rsid w:val="0029309D"/>
    <w:rsid w:val="002930AC"/>
    <w:rsid w:val="0029317E"/>
    <w:rsid w:val="00293268"/>
    <w:rsid w:val="0029363E"/>
    <w:rsid w:val="00293677"/>
    <w:rsid w:val="0029384C"/>
    <w:rsid w:val="00293854"/>
    <w:rsid w:val="00293A5D"/>
    <w:rsid w:val="00293AEA"/>
    <w:rsid w:val="00293B00"/>
    <w:rsid w:val="00293F70"/>
    <w:rsid w:val="00294079"/>
    <w:rsid w:val="002941BF"/>
    <w:rsid w:val="00294365"/>
    <w:rsid w:val="00294472"/>
    <w:rsid w:val="0029460B"/>
    <w:rsid w:val="002946A9"/>
    <w:rsid w:val="002947C1"/>
    <w:rsid w:val="00294993"/>
    <w:rsid w:val="00294994"/>
    <w:rsid w:val="00294998"/>
    <w:rsid w:val="00294A95"/>
    <w:rsid w:val="00294B56"/>
    <w:rsid w:val="00294F3F"/>
    <w:rsid w:val="0029502D"/>
    <w:rsid w:val="002950CD"/>
    <w:rsid w:val="0029535A"/>
    <w:rsid w:val="0029537F"/>
    <w:rsid w:val="002953AA"/>
    <w:rsid w:val="002953BF"/>
    <w:rsid w:val="0029560C"/>
    <w:rsid w:val="0029561B"/>
    <w:rsid w:val="00295922"/>
    <w:rsid w:val="00295A6E"/>
    <w:rsid w:val="00295E5C"/>
    <w:rsid w:val="00295E7F"/>
    <w:rsid w:val="00296232"/>
    <w:rsid w:val="002962E1"/>
    <w:rsid w:val="002963FF"/>
    <w:rsid w:val="0029674A"/>
    <w:rsid w:val="0029676D"/>
    <w:rsid w:val="0029680B"/>
    <w:rsid w:val="00296A43"/>
    <w:rsid w:val="00296ACC"/>
    <w:rsid w:val="00296C63"/>
    <w:rsid w:val="00296C6F"/>
    <w:rsid w:val="00296D28"/>
    <w:rsid w:val="00296D52"/>
    <w:rsid w:val="002970D4"/>
    <w:rsid w:val="00297366"/>
    <w:rsid w:val="0029737C"/>
    <w:rsid w:val="0029751F"/>
    <w:rsid w:val="00297725"/>
    <w:rsid w:val="00297B37"/>
    <w:rsid w:val="00297FB0"/>
    <w:rsid w:val="002A007F"/>
    <w:rsid w:val="002A0080"/>
    <w:rsid w:val="002A00F9"/>
    <w:rsid w:val="002A0232"/>
    <w:rsid w:val="002A025F"/>
    <w:rsid w:val="002A0331"/>
    <w:rsid w:val="002A044D"/>
    <w:rsid w:val="002A05FB"/>
    <w:rsid w:val="002A06BC"/>
    <w:rsid w:val="002A073C"/>
    <w:rsid w:val="002A09F5"/>
    <w:rsid w:val="002A0A55"/>
    <w:rsid w:val="002A0A58"/>
    <w:rsid w:val="002A0C04"/>
    <w:rsid w:val="002A0D4A"/>
    <w:rsid w:val="002A0E98"/>
    <w:rsid w:val="002A0EB7"/>
    <w:rsid w:val="002A11EE"/>
    <w:rsid w:val="002A1371"/>
    <w:rsid w:val="002A1573"/>
    <w:rsid w:val="002A158C"/>
    <w:rsid w:val="002A1619"/>
    <w:rsid w:val="002A16CC"/>
    <w:rsid w:val="002A16E7"/>
    <w:rsid w:val="002A17E3"/>
    <w:rsid w:val="002A17F4"/>
    <w:rsid w:val="002A1912"/>
    <w:rsid w:val="002A1C7C"/>
    <w:rsid w:val="002A1D03"/>
    <w:rsid w:val="002A1D20"/>
    <w:rsid w:val="002A1EF7"/>
    <w:rsid w:val="002A1F50"/>
    <w:rsid w:val="002A221F"/>
    <w:rsid w:val="002A2548"/>
    <w:rsid w:val="002A277C"/>
    <w:rsid w:val="002A29AA"/>
    <w:rsid w:val="002A2D5E"/>
    <w:rsid w:val="002A2D96"/>
    <w:rsid w:val="002A2F1E"/>
    <w:rsid w:val="002A2F90"/>
    <w:rsid w:val="002A30F4"/>
    <w:rsid w:val="002A323E"/>
    <w:rsid w:val="002A3270"/>
    <w:rsid w:val="002A33DC"/>
    <w:rsid w:val="002A39C7"/>
    <w:rsid w:val="002A3ABE"/>
    <w:rsid w:val="002A3C7F"/>
    <w:rsid w:val="002A3E58"/>
    <w:rsid w:val="002A3E5F"/>
    <w:rsid w:val="002A4072"/>
    <w:rsid w:val="002A4467"/>
    <w:rsid w:val="002A44B9"/>
    <w:rsid w:val="002A45C7"/>
    <w:rsid w:val="002A4743"/>
    <w:rsid w:val="002A49DF"/>
    <w:rsid w:val="002A4A1C"/>
    <w:rsid w:val="002A4C21"/>
    <w:rsid w:val="002A4F74"/>
    <w:rsid w:val="002A50C3"/>
    <w:rsid w:val="002A50D0"/>
    <w:rsid w:val="002A52A4"/>
    <w:rsid w:val="002A52AD"/>
    <w:rsid w:val="002A5500"/>
    <w:rsid w:val="002A572E"/>
    <w:rsid w:val="002A59B3"/>
    <w:rsid w:val="002A59E0"/>
    <w:rsid w:val="002A59E2"/>
    <w:rsid w:val="002A5B38"/>
    <w:rsid w:val="002A5D35"/>
    <w:rsid w:val="002A5F0E"/>
    <w:rsid w:val="002A5F39"/>
    <w:rsid w:val="002A5F47"/>
    <w:rsid w:val="002A60DD"/>
    <w:rsid w:val="002A6570"/>
    <w:rsid w:val="002A66F4"/>
    <w:rsid w:val="002A6854"/>
    <w:rsid w:val="002A686B"/>
    <w:rsid w:val="002A68D3"/>
    <w:rsid w:val="002A6955"/>
    <w:rsid w:val="002A6B23"/>
    <w:rsid w:val="002A6DE0"/>
    <w:rsid w:val="002A6E51"/>
    <w:rsid w:val="002A73A6"/>
    <w:rsid w:val="002A7763"/>
    <w:rsid w:val="002A79B9"/>
    <w:rsid w:val="002A7A00"/>
    <w:rsid w:val="002A7A13"/>
    <w:rsid w:val="002A7AB3"/>
    <w:rsid w:val="002A7CD8"/>
    <w:rsid w:val="002A7DAB"/>
    <w:rsid w:val="002A7DB0"/>
    <w:rsid w:val="002A7F43"/>
    <w:rsid w:val="002A7F90"/>
    <w:rsid w:val="002A7F9E"/>
    <w:rsid w:val="002B00D1"/>
    <w:rsid w:val="002B041B"/>
    <w:rsid w:val="002B0422"/>
    <w:rsid w:val="002B042D"/>
    <w:rsid w:val="002B05C7"/>
    <w:rsid w:val="002B0651"/>
    <w:rsid w:val="002B0752"/>
    <w:rsid w:val="002B08FD"/>
    <w:rsid w:val="002B0A16"/>
    <w:rsid w:val="002B0AC1"/>
    <w:rsid w:val="002B0AD8"/>
    <w:rsid w:val="002B0D4A"/>
    <w:rsid w:val="002B0D5D"/>
    <w:rsid w:val="002B0FD9"/>
    <w:rsid w:val="002B106D"/>
    <w:rsid w:val="002B1381"/>
    <w:rsid w:val="002B1521"/>
    <w:rsid w:val="002B15AE"/>
    <w:rsid w:val="002B1732"/>
    <w:rsid w:val="002B176D"/>
    <w:rsid w:val="002B189D"/>
    <w:rsid w:val="002B18C9"/>
    <w:rsid w:val="002B1D72"/>
    <w:rsid w:val="002B1E6B"/>
    <w:rsid w:val="002B2171"/>
    <w:rsid w:val="002B21DA"/>
    <w:rsid w:val="002B2224"/>
    <w:rsid w:val="002B2257"/>
    <w:rsid w:val="002B2433"/>
    <w:rsid w:val="002B24F4"/>
    <w:rsid w:val="002B2533"/>
    <w:rsid w:val="002B25B7"/>
    <w:rsid w:val="002B2699"/>
    <w:rsid w:val="002B298F"/>
    <w:rsid w:val="002B29CE"/>
    <w:rsid w:val="002B2A31"/>
    <w:rsid w:val="002B2A74"/>
    <w:rsid w:val="002B2C9E"/>
    <w:rsid w:val="002B2D49"/>
    <w:rsid w:val="002B2D69"/>
    <w:rsid w:val="002B2DA8"/>
    <w:rsid w:val="002B2E4D"/>
    <w:rsid w:val="002B2F2F"/>
    <w:rsid w:val="002B3037"/>
    <w:rsid w:val="002B3134"/>
    <w:rsid w:val="002B314C"/>
    <w:rsid w:val="002B35CF"/>
    <w:rsid w:val="002B35F6"/>
    <w:rsid w:val="002B370A"/>
    <w:rsid w:val="002B386F"/>
    <w:rsid w:val="002B38A7"/>
    <w:rsid w:val="002B3CB6"/>
    <w:rsid w:val="002B3CE5"/>
    <w:rsid w:val="002B3D16"/>
    <w:rsid w:val="002B40DB"/>
    <w:rsid w:val="002B4348"/>
    <w:rsid w:val="002B43F0"/>
    <w:rsid w:val="002B440F"/>
    <w:rsid w:val="002B47AA"/>
    <w:rsid w:val="002B4900"/>
    <w:rsid w:val="002B4E09"/>
    <w:rsid w:val="002B4F85"/>
    <w:rsid w:val="002B501D"/>
    <w:rsid w:val="002B50EC"/>
    <w:rsid w:val="002B5184"/>
    <w:rsid w:val="002B51BC"/>
    <w:rsid w:val="002B51EC"/>
    <w:rsid w:val="002B527A"/>
    <w:rsid w:val="002B535F"/>
    <w:rsid w:val="002B53CE"/>
    <w:rsid w:val="002B54AB"/>
    <w:rsid w:val="002B553A"/>
    <w:rsid w:val="002B56C1"/>
    <w:rsid w:val="002B5842"/>
    <w:rsid w:val="002B5A6A"/>
    <w:rsid w:val="002B5D07"/>
    <w:rsid w:val="002B5D10"/>
    <w:rsid w:val="002B5D87"/>
    <w:rsid w:val="002B5DA4"/>
    <w:rsid w:val="002B5E29"/>
    <w:rsid w:val="002B5E76"/>
    <w:rsid w:val="002B5FB6"/>
    <w:rsid w:val="002B6072"/>
    <w:rsid w:val="002B6136"/>
    <w:rsid w:val="002B6327"/>
    <w:rsid w:val="002B6478"/>
    <w:rsid w:val="002B6510"/>
    <w:rsid w:val="002B6543"/>
    <w:rsid w:val="002B6640"/>
    <w:rsid w:val="002B6655"/>
    <w:rsid w:val="002B66A6"/>
    <w:rsid w:val="002B6726"/>
    <w:rsid w:val="002B6982"/>
    <w:rsid w:val="002B6B76"/>
    <w:rsid w:val="002B6B91"/>
    <w:rsid w:val="002B6DA8"/>
    <w:rsid w:val="002B6E54"/>
    <w:rsid w:val="002B725D"/>
    <w:rsid w:val="002B7454"/>
    <w:rsid w:val="002B74FF"/>
    <w:rsid w:val="002B76CB"/>
    <w:rsid w:val="002B7770"/>
    <w:rsid w:val="002B783D"/>
    <w:rsid w:val="002B79D1"/>
    <w:rsid w:val="002B7CBD"/>
    <w:rsid w:val="002B7CFB"/>
    <w:rsid w:val="002B7DDE"/>
    <w:rsid w:val="002B7E7E"/>
    <w:rsid w:val="002C00F8"/>
    <w:rsid w:val="002C023B"/>
    <w:rsid w:val="002C0757"/>
    <w:rsid w:val="002C0907"/>
    <w:rsid w:val="002C0939"/>
    <w:rsid w:val="002C0985"/>
    <w:rsid w:val="002C0B27"/>
    <w:rsid w:val="002C0C52"/>
    <w:rsid w:val="002C0C7C"/>
    <w:rsid w:val="002C0E61"/>
    <w:rsid w:val="002C0EDC"/>
    <w:rsid w:val="002C0EEC"/>
    <w:rsid w:val="002C1096"/>
    <w:rsid w:val="002C10C7"/>
    <w:rsid w:val="002C110E"/>
    <w:rsid w:val="002C139E"/>
    <w:rsid w:val="002C13B6"/>
    <w:rsid w:val="002C17B6"/>
    <w:rsid w:val="002C1C47"/>
    <w:rsid w:val="002C1E0D"/>
    <w:rsid w:val="002C1FD4"/>
    <w:rsid w:val="002C228B"/>
    <w:rsid w:val="002C2367"/>
    <w:rsid w:val="002C23B4"/>
    <w:rsid w:val="002C245C"/>
    <w:rsid w:val="002C26D2"/>
    <w:rsid w:val="002C2761"/>
    <w:rsid w:val="002C2879"/>
    <w:rsid w:val="002C2A7F"/>
    <w:rsid w:val="002C2BD5"/>
    <w:rsid w:val="002C2BE2"/>
    <w:rsid w:val="002C355B"/>
    <w:rsid w:val="002C36C8"/>
    <w:rsid w:val="002C385C"/>
    <w:rsid w:val="002C38DD"/>
    <w:rsid w:val="002C38E5"/>
    <w:rsid w:val="002C3ADA"/>
    <w:rsid w:val="002C3CB8"/>
    <w:rsid w:val="002C3D6B"/>
    <w:rsid w:val="002C3FE9"/>
    <w:rsid w:val="002C43A2"/>
    <w:rsid w:val="002C471C"/>
    <w:rsid w:val="002C486A"/>
    <w:rsid w:val="002C4984"/>
    <w:rsid w:val="002C4A8D"/>
    <w:rsid w:val="002C4BA8"/>
    <w:rsid w:val="002C4CAB"/>
    <w:rsid w:val="002C523C"/>
    <w:rsid w:val="002C54BB"/>
    <w:rsid w:val="002C54C4"/>
    <w:rsid w:val="002C54CA"/>
    <w:rsid w:val="002C56F2"/>
    <w:rsid w:val="002C5707"/>
    <w:rsid w:val="002C576B"/>
    <w:rsid w:val="002C5A28"/>
    <w:rsid w:val="002C5DC4"/>
    <w:rsid w:val="002C5DD1"/>
    <w:rsid w:val="002C605A"/>
    <w:rsid w:val="002C635F"/>
    <w:rsid w:val="002C63D5"/>
    <w:rsid w:val="002C64A9"/>
    <w:rsid w:val="002C64D1"/>
    <w:rsid w:val="002C64D6"/>
    <w:rsid w:val="002C6834"/>
    <w:rsid w:val="002C6C0E"/>
    <w:rsid w:val="002C6D00"/>
    <w:rsid w:val="002C6D65"/>
    <w:rsid w:val="002C6F3D"/>
    <w:rsid w:val="002C7067"/>
    <w:rsid w:val="002C7542"/>
    <w:rsid w:val="002C769B"/>
    <w:rsid w:val="002C7781"/>
    <w:rsid w:val="002C7854"/>
    <w:rsid w:val="002C7B4B"/>
    <w:rsid w:val="002C7DFA"/>
    <w:rsid w:val="002C7E34"/>
    <w:rsid w:val="002C7EE2"/>
    <w:rsid w:val="002D01E7"/>
    <w:rsid w:val="002D0327"/>
    <w:rsid w:val="002D0395"/>
    <w:rsid w:val="002D07E4"/>
    <w:rsid w:val="002D08FB"/>
    <w:rsid w:val="002D0934"/>
    <w:rsid w:val="002D0938"/>
    <w:rsid w:val="002D095C"/>
    <w:rsid w:val="002D09E3"/>
    <w:rsid w:val="002D0A31"/>
    <w:rsid w:val="002D0AE5"/>
    <w:rsid w:val="002D0B84"/>
    <w:rsid w:val="002D0BD8"/>
    <w:rsid w:val="002D0C64"/>
    <w:rsid w:val="002D0CCE"/>
    <w:rsid w:val="002D0DC6"/>
    <w:rsid w:val="002D0EBF"/>
    <w:rsid w:val="002D112A"/>
    <w:rsid w:val="002D1308"/>
    <w:rsid w:val="002D14B9"/>
    <w:rsid w:val="002D15E1"/>
    <w:rsid w:val="002D1703"/>
    <w:rsid w:val="002D1941"/>
    <w:rsid w:val="002D1956"/>
    <w:rsid w:val="002D1AF5"/>
    <w:rsid w:val="002D1BEB"/>
    <w:rsid w:val="002D1E69"/>
    <w:rsid w:val="002D1FDB"/>
    <w:rsid w:val="002D2021"/>
    <w:rsid w:val="002D20FD"/>
    <w:rsid w:val="002D22AA"/>
    <w:rsid w:val="002D234A"/>
    <w:rsid w:val="002D23D9"/>
    <w:rsid w:val="002D257A"/>
    <w:rsid w:val="002D25F0"/>
    <w:rsid w:val="002D264C"/>
    <w:rsid w:val="002D26F5"/>
    <w:rsid w:val="002D29A8"/>
    <w:rsid w:val="002D2A46"/>
    <w:rsid w:val="002D2A6F"/>
    <w:rsid w:val="002D2D52"/>
    <w:rsid w:val="002D2D7B"/>
    <w:rsid w:val="002D2D7E"/>
    <w:rsid w:val="002D2E04"/>
    <w:rsid w:val="002D2E4C"/>
    <w:rsid w:val="002D301C"/>
    <w:rsid w:val="002D35D9"/>
    <w:rsid w:val="002D3672"/>
    <w:rsid w:val="002D36CD"/>
    <w:rsid w:val="002D3916"/>
    <w:rsid w:val="002D3BF2"/>
    <w:rsid w:val="002D3D91"/>
    <w:rsid w:val="002D3DC4"/>
    <w:rsid w:val="002D3F0C"/>
    <w:rsid w:val="002D3F3F"/>
    <w:rsid w:val="002D3FA4"/>
    <w:rsid w:val="002D4002"/>
    <w:rsid w:val="002D422F"/>
    <w:rsid w:val="002D438A"/>
    <w:rsid w:val="002D4447"/>
    <w:rsid w:val="002D4499"/>
    <w:rsid w:val="002D4697"/>
    <w:rsid w:val="002D4701"/>
    <w:rsid w:val="002D4824"/>
    <w:rsid w:val="002D499A"/>
    <w:rsid w:val="002D4A68"/>
    <w:rsid w:val="002D4A89"/>
    <w:rsid w:val="002D4B8D"/>
    <w:rsid w:val="002D4B8F"/>
    <w:rsid w:val="002D4C70"/>
    <w:rsid w:val="002D4E07"/>
    <w:rsid w:val="002D4E15"/>
    <w:rsid w:val="002D4EB5"/>
    <w:rsid w:val="002D5017"/>
    <w:rsid w:val="002D501F"/>
    <w:rsid w:val="002D51E4"/>
    <w:rsid w:val="002D5209"/>
    <w:rsid w:val="002D5269"/>
    <w:rsid w:val="002D5297"/>
    <w:rsid w:val="002D52C1"/>
    <w:rsid w:val="002D5464"/>
    <w:rsid w:val="002D55CE"/>
    <w:rsid w:val="002D5646"/>
    <w:rsid w:val="002D568A"/>
    <w:rsid w:val="002D5AB7"/>
    <w:rsid w:val="002D5B5E"/>
    <w:rsid w:val="002D5DAA"/>
    <w:rsid w:val="002D5DE5"/>
    <w:rsid w:val="002D6037"/>
    <w:rsid w:val="002D6297"/>
    <w:rsid w:val="002D633F"/>
    <w:rsid w:val="002D6392"/>
    <w:rsid w:val="002D64D2"/>
    <w:rsid w:val="002D66B8"/>
    <w:rsid w:val="002D66C7"/>
    <w:rsid w:val="002D6D19"/>
    <w:rsid w:val="002D6E01"/>
    <w:rsid w:val="002D7239"/>
    <w:rsid w:val="002D7340"/>
    <w:rsid w:val="002D73DE"/>
    <w:rsid w:val="002D76EA"/>
    <w:rsid w:val="002D7766"/>
    <w:rsid w:val="002D7A9A"/>
    <w:rsid w:val="002D7DED"/>
    <w:rsid w:val="002D7E3D"/>
    <w:rsid w:val="002E0024"/>
    <w:rsid w:val="002E022B"/>
    <w:rsid w:val="002E02AB"/>
    <w:rsid w:val="002E04EA"/>
    <w:rsid w:val="002E052A"/>
    <w:rsid w:val="002E0584"/>
    <w:rsid w:val="002E06A9"/>
    <w:rsid w:val="002E071D"/>
    <w:rsid w:val="002E07E5"/>
    <w:rsid w:val="002E08C3"/>
    <w:rsid w:val="002E08F6"/>
    <w:rsid w:val="002E0B15"/>
    <w:rsid w:val="002E0EDA"/>
    <w:rsid w:val="002E0F2F"/>
    <w:rsid w:val="002E1090"/>
    <w:rsid w:val="002E10A9"/>
    <w:rsid w:val="002E1269"/>
    <w:rsid w:val="002E138A"/>
    <w:rsid w:val="002E13F1"/>
    <w:rsid w:val="002E140B"/>
    <w:rsid w:val="002E14DA"/>
    <w:rsid w:val="002E1783"/>
    <w:rsid w:val="002E1966"/>
    <w:rsid w:val="002E1AC6"/>
    <w:rsid w:val="002E1C91"/>
    <w:rsid w:val="002E1DF1"/>
    <w:rsid w:val="002E25FB"/>
    <w:rsid w:val="002E26E7"/>
    <w:rsid w:val="002E276D"/>
    <w:rsid w:val="002E2BA5"/>
    <w:rsid w:val="002E2BE7"/>
    <w:rsid w:val="002E2BF0"/>
    <w:rsid w:val="002E2D10"/>
    <w:rsid w:val="002E2FD3"/>
    <w:rsid w:val="002E30F4"/>
    <w:rsid w:val="002E3578"/>
    <w:rsid w:val="002E35B8"/>
    <w:rsid w:val="002E3721"/>
    <w:rsid w:val="002E37A8"/>
    <w:rsid w:val="002E383B"/>
    <w:rsid w:val="002E3997"/>
    <w:rsid w:val="002E3A8A"/>
    <w:rsid w:val="002E3B58"/>
    <w:rsid w:val="002E3D01"/>
    <w:rsid w:val="002E401D"/>
    <w:rsid w:val="002E4083"/>
    <w:rsid w:val="002E417F"/>
    <w:rsid w:val="002E432A"/>
    <w:rsid w:val="002E44EC"/>
    <w:rsid w:val="002E4678"/>
    <w:rsid w:val="002E4A3E"/>
    <w:rsid w:val="002E4A61"/>
    <w:rsid w:val="002E4B2E"/>
    <w:rsid w:val="002E4B6A"/>
    <w:rsid w:val="002E4B82"/>
    <w:rsid w:val="002E4C7C"/>
    <w:rsid w:val="002E5189"/>
    <w:rsid w:val="002E52CD"/>
    <w:rsid w:val="002E52D2"/>
    <w:rsid w:val="002E5349"/>
    <w:rsid w:val="002E56B1"/>
    <w:rsid w:val="002E57A6"/>
    <w:rsid w:val="002E5C0C"/>
    <w:rsid w:val="002E5C89"/>
    <w:rsid w:val="002E5EE4"/>
    <w:rsid w:val="002E5F11"/>
    <w:rsid w:val="002E6083"/>
    <w:rsid w:val="002E6337"/>
    <w:rsid w:val="002E6343"/>
    <w:rsid w:val="002E6441"/>
    <w:rsid w:val="002E64DA"/>
    <w:rsid w:val="002E691E"/>
    <w:rsid w:val="002E695B"/>
    <w:rsid w:val="002E6ACE"/>
    <w:rsid w:val="002E6D83"/>
    <w:rsid w:val="002E6E01"/>
    <w:rsid w:val="002E6FEA"/>
    <w:rsid w:val="002E72CE"/>
    <w:rsid w:val="002E73B9"/>
    <w:rsid w:val="002E73F4"/>
    <w:rsid w:val="002E746C"/>
    <w:rsid w:val="002E74AE"/>
    <w:rsid w:val="002E7588"/>
    <w:rsid w:val="002E7606"/>
    <w:rsid w:val="002E7696"/>
    <w:rsid w:val="002E7840"/>
    <w:rsid w:val="002E7857"/>
    <w:rsid w:val="002E78E5"/>
    <w:rsid w:val="002E793D"/>
    <w:rsid w:val="002E7C85"/>
    <w:rsid w:val="002E7CB8"/>
    <w:rsid w:val="002E7DBB"/>
    <w:rsid w:val="002E7DBF"/>
    <w:rsid w:val="002E7E16"/>
    <w:rsid w:val="002E7EE2"/>
    <w:rsid w:val="002E7F46"/>
    <w:rsid w:val="002F008A"/>
    <w:rsid w:val="002F06BC"/>
    <w:rsid w:val="002F07E6"/>
    <w:rsid w:val="002F0840"/>
    <w:rsid w:val="002F08B7"/>
    <w:rsid w:val="002F08D4"/>
    <w:rsid w:val="002F091E"/>
    <w:rsid w:val="002F0949"/>
    <w:rsid w:val="002F0AD3"/>
    <w:rsid w:val="002F0B58"/>
    <w:rsid w:val="002F0D1B"/>
    <w:rsid w:val="002F0D81"/>
    <w:rsid w:val="002F0E61"/>
    <w:rsid w:val="002F1040"/>
    <w:rsid w:val="002F12AA"/>
    <w:rsid w:val="002F142E"/>
    <w:rsid w:val="002F152E"/>
    <w:rsid w:val="002F1749"/>
    <w:rsid w:val="002F18DF"/>
    <w:rsid w:val="002F1C9A"/>
    <w:rsid w:val="002F1EB3"/>
    <w:rsid w:val="002F1EBF"/>
    <w:rsid w:val="002F1F65"/>
    <w:rsid w:val="002F2181"/>
    <w:rsid w:val="002F221E"/>
    <w:rsid w:val="002F22B0"/>
    <w:rsid w:val="002F270C"/>
    <w:rsid w:val="002F27B2"/>
    <w:rsid w:val="002F2C89"/>
    <w:rsid w:val="002F31A6"/>
    <w:rsid w:val="002F3203"/>
    <w:rsid w:val="002F33FE"/>
    <w:rsid w:val="002F3469"/>
    <w:rsid w:val="002F3577"/>
    <w:rsid w:val="002F358F"/>
    <w:rsid w:val="002F3748"/>
    <w:rsid w:val="002F3968"/>
    <w:rsid w:val="002F3A80"/>
    <w:rsid w:val="002F3AF4"/>
    <w:rsid w:val="002F3C0D"/>
    <w:rsid w:val="002F3C8A"/>
    <w:rsid w:val="002F3D03"/>
    <w:rsid w:val="002F3F41"/>
    <w:rsid w:val="002F4252"/>
    <w:rsid w:val="002F4518"/>
    <w:rsid w:val="002F4553"/>
    <w:rsid w:val="002F45C1"/>
    <w:rsid w:val="002F45FD"/>
    <w:rsid w:val="002F48C4"/>
    <w:rsid w:val="002F4B26"/>
    <w:rsid w:val="002F4EF6"/>
    <w:rsid w:val="002F4F2B"/>
    <w:rsid w:val="002F4FE2"/>
    <w:rsid w:val="002F5198"/>
    <w:rsid w:val="002F5228"/>
    <w:rsid w:val="002F528A"/>
    <w:rsid w:val="002F5322"/>
    <w:rsid w:val="002F54EF"/>
    <w:rsid w:val="002F55FE"/>
    <w:rsid w:val="002F5A3F"/>
    <w:rsid w:val="002F5C5B"/>
    <w:rsid w:val="002F5CFD"/>
    <w:rsid w:val="002F5D64"/>
    <w:rsid w:val="002F5D6F"/>
    <w:rsid w:val="002F6168"/>
    <w:rsid w:val="002F620E"/>
    <w:rsid w:val="002F63EE"/>
    <w:rsid w:val="002F640B"/>
    <w:rsid w:val="002F6697"/>
    <w:rsid w:val="002F670F"/>
    <w:rsid w:val="002F6889"/>
    <w:rsid w:val="002F69E4"/>
    <w:rsid w:val="002F6A9B"/>
    <w:rsid w:val="002F6E22"/>
    <w:rsid w:val="002F6E7D"/>
    <w:rsid w:val="002F6F49"/>
    <w:rsid w:val="002F721E"/>
    <w:rsid w:val="002F726C"/>
    <w:rsid w:val="002F7299"/>
    <w:rsid w:val="002F73D1"/>
    <w:rsid w:val="002F7671"/>
    <w:rsid w:val="002F76A9"/>
    <w:rsid w:val="002F7810"/>
    <w:rsid w:val="002F7B93"/>
    <w:rsid w:val="002F7D2B"/>
    <w:rsid w:val="002F7F07"/>
    <w:rsid w:val="002F7F30"/>
    <w:rsid w:val="002F7F32"/>
    <w:rsid w:val="00300156"/>
    <w:rsid w:val="00300318"/>
    <w:rsid w:val="003006F3"/>
    <w:rsid w:val="00300733"/>
    <w:rsid w:val="00300ACE"/>
    <w:rsid w:val="00300C26"/>
    <w:rsid w:val="00300CC0"/>
    <w:rsid w:val="00300E0B"/>
    <w:rsid w:val="003016D7"/>
    <w:rsid w:val="0030171B"/>
    <w:rsid w:val="00301875"/>
    <w:rsid w:val="00301A7C"/>
    <w:rsid w:val="00301B9A"/>
    <w:rsid w:val="00301E4F"/>
    <w:rsid w:val="00302002"/>
    <w:rsid w:val="00302065"/>
    <w:rsid w:val="00302131"/>
    <w:rsid w:val="0030236E"/>
    <w:rsid w:val="00302383"/>
    <w:rsid w:val="00302647"/>
    <w:rsid w:val="00302A33"/>
    <w:rsid w:val="00302A8D"/>
    <w:rsid w:val="00302A95"/>
    <w:rsid w:val="00302AE8"/>
    <w:rsid w:val="00302D13"/>
    <w:rsid w:val="00302FA4"/>
    <w:rsid w:val="00302FA7"/>
    <w:rsid w:val="00303073"/>
    <w:rsid w:val="00303096"/>
    <w:rsid w:val="003036D5"/>
    <w:rsid w:val="0030370F"/>
    <w:rsid w:val="00303AA2"/>
    <w:rsid w:val="00303AC8"/>
    <w:rsid w:val="00303DC4"/>
    <w:rsid w:val="00303F05"/>
    <w:rsid w:val="00304120"/>
    <w:rsid w:val="003042C2"/>
    <w:rsid w:val="003043AB"/>
    <w:rsid w:val="003046B9"/>
    <w:rsid w:val="003046E5"/>
    <w:rsid w:val="003047E6"/>
    <w:rsid w:val="00304DC2"/>
    <w:rsid w:val="00304DDD"/>
    <w:rsid w:val="0030504B"/>
    <w:rsid w:val="003050B0"/>
    <w:rsid w:val="00305294"/>
    <w:rsid w:val="00305348"/>
    <w:rsid w:val="00305375"/>
    <w:rsid w:val="00305478"/>
    <w:rsid w:val="00305649"/>
    <w:rsid w:val="00305672"/>
    <w:rsid w:val="003056DA"/>
    <w:rsid w:val="00305853"/>
    <w:rsid w:val="003058F4"/>
    <w:rsid w:val="00305906"/>
    <w:rsid w:val="00305938"/>
    <w:rsid w:val="00305A91"/>
    <w:rsid w:val="00305B2A"/>
    <w:rsid w:val="00305C6F"/>
    <w:rsid w:val="00305D67"/>
    <w:rsid w:val="00305F0B"/>
    <w:rsid w:val="00305F3E"/>
    <w:rsid w:val="00305F6D"/>
    <w:rsid w:val="00306610"/>
    <w:rsid w:val="0030670D"/>
    <w:rsid w:val="00306A12"/>
    <w:rsid w:val="00307131"/>
    <w:rsid w:val="003071C6"/>
    <w:rsid w:val="0030754E"/>
    <w:rsid w:val="003075D0"/>
    <w:rsid w:val="00307821"/>
    <w:rsid w:val="00307B3D"/>
    <w:rsid w:val="00307C75"/>
    <w:rsid w:val="00307E0B"/>
    <w:rsid w:val="00307ECB"/>
    <w:rsid w:val="003101C5"/>
    <w:rsid w:val="0031048E"/>
    <w:rsid w:val="00310652"/>
    <w:rsid w:val="0031068D"/>
    <w:rsid w:val="00310698"/>
    <w:rsid w:val="003107ED"/>
    <w:rsid w:val="00310821"/>
    <w:rsid w:val="00310834"/>
    <w:rsid w:val="00310ADC"/>
    <w:rsid w:val="00310B0D"/>
    <w:rsid w:val="00310C19"/>
    <w:rsid w:val="00310D5A"/>
    <w:rsid w:val="00310F43"/>
    <w:rsid w:val="003110ED"/>
    <w:rsid w:val="0031124D"/>
    <w:rsid w:val="00311455"/>
    <w:rsid w:val="003114F0"/>
    <w:rsid w:val="00311654"/>
    <w:rsid w:val="00311705"/>
    <w:rsid w:val="00311769"/>
    <w:rsid w:val="003117C9"/>
    <w:rsid w:val="00311C1E"/>
    <w:rsid w:val="00311CC0"/>
    <w:rsid w:val="00311D5F"/>
    <w:rsid w:val="003125AE"/>
    <w:rsid w:val="003125BD"/>
    <w:rsid w:val="00312714"/>
    <w:rsid w:val="003127C1"/>
    <w:rsid w:val="003128C5"/>
    <w:rsid w:val="00312ADC"/>
    <w:rsid w:val="00312B51"/>
    <w:rsid w:val="00312BC6"/>
    <w:rsid w:val="00312C68"/>
    <w:rsid w:val="00312CB0"/>
    <w:rsid w:val="00312CFB"/>
    <w:rsid w:val="00313482"/>
    <w:rsid w:val="003135A9"/>
    <w:rsid w:val="0031381F"/>
    <w:rsid w:val="00313A98"/>
    <w:rsid w:val="00313C59"/>
    <w:rsid w:val="00313C73"/>
    <w:rsid w:val="0031409F"/>
    <w:rsid w:val="0031426B"/>
    <w:rsid w:val="0031462D"/>
    <w:rsid w:val="0031476F"/>
    <w:rsid w:val="00314A3B"/>
    <w:rsid w:val="00314CA7"/>
    <w:rsid w:val="00314DB0"/>
    <w:rsid w:val="00314DFB"/>
    <w:rsid w:val="0031506B"/>
    <w:rsid w:val="003150D0"/>
    <w:rsid w:val="003150EE"/>
    <w:rsid w:val="00315307"/>
    <w:rsid w:val="00315443"/>
    <w:rsid w:val="00315452"/>
    <w:rsid w:val="00315B44"/>
    <w:rsid w:val="00315DBC"/>
    <w:rsid w:val="00315DF4"/>
    <w:rsid w:val="00316084"/>
    <w:rsid w:val="003162A0"/>
    <w:rsid w:val="00316549"/>
    <w:rsid w:val="0031657D"/>
    <w:rsid w:val="003167AC"/>
    <w:rsid w:val="00316811"/>
    <w:rsid w:val="00316AA5"/>
    <w:rsid w:val="00316C7C"/>
    <w:rsid w:val="00316EB5"/>
    <w:rsid w:val="0031720E"/>
    <w:rsid w:val="00317210"/>
    <w:rsid w:val="003172D1"/>
    <w:rsid w:val="00317402"/>
    <w:rsid w:val="0031750B"/>
    <w:rsid w:val="00317586"/>
    <w:rsid w:val="003176B5"/>
    <w:rsid w:val="003178D0"/>
    <w:rsid w:val="00317B65"/>
    <w:rsid w:val="00317B8F"/>
    <w:rsid w:val="00317D53"/>
    <w:rsid w:val="00317D85"/>
    <w:rsid w:val="00317FF9"/>
    <w:rsid w:val="003202D0"/>
    <w:rsid w:val="00320401"/>
    <w:rsid w:val="00320550"/>
    <w:rsid w:val="00320731"/>
    <w:rsid w:val="00320C98"/>
    <w:rsid w:val="00320D56"/>
    <w:rsid w:val="00320F0B"/>
    <w:rsid w:val="00321031"/>
    <w:rsid w:val="0032127C"/>
    <w:rsid w:val="003214DA"/>
    <w:rsid w:val="003215EB"/>
    <w:rsid w:val="003216B4"/>
    <w:rsid w:val="003216C5"/>
    <w:rsid w:val="003217ED"/>
    <w:rsid w:val="00321823"/>
    <w:rsid w:val="003218A9"/>
    <w:rsid w:val="00321DFB"/>
    <w:rsid w:val="00321E3F"/>
    <w:rsid w:val="00321E6D"/>
    <w:rsid w:val="00321FF0"/>
    <w:rsid w:val="0032217D"/>
    <w:rsid w:val="003221A5"/>
    <w:rsid w:val="00322262"/>
    <w:rsid w:val="003222E8"/>
    <w:rsid w:val="003224D2"/>
    <w:rsid w:val="0032259D"/>
    <w:rsid w:val="003225C4"/>
    <w:rsid w:val="00322656"/>
    <w:rsid w:val="00322709"/>
    <w:rsid w:val="00322A8F"/>
    <w:rsid w:val="00322A98"/>
    <w:rsid w:val="00322C8E"/>
    <w:rsid w:val="00322CB1"/>
    <w:rsid w:val="00322D3E"/>
    <w:rsid w:val="003230D3"/>
    <w:rsid w:val="003230E6"/>
    <w:rsid w:val="003231E5"/>
    <w:rsid w:val="003232E2"/>
    <w:rsid w:val="003233D5"/>
    <w:rsid w:val="003234DE"/>
    <w:rsid w:val="00323745"/>
    <w:rsid w:val="00323946"/>
    <w:rsid w:val="003239A6"/>
    <w:rsid w:val="003239DD"/>
    <w:rsid w:val="00323A40"/>
    <w:rsid w:val="00323AF0"/>
    <w:rsid w:val="00323BBD"/>
    <w:rsid w:val="00323BD7"/>
    <w:rsid w:val="00323CE0"/>
    <w:rsid w:val="00323DC5"/>
    <w:rsid w:val="00323EAC"/>
    <w:rsid w:val="00323F1A"/>
    <w:rsid w:val="00323F2B"/>
    <w:rsid w:val="00323F8E"/>
    <w:rsid w:val="00323FEF"/>
    <w:rsid w:val="0032440B"/>
    <w:rsid w:val="00324761"/>
    <w:rsid w:val="00324923"/>
    <w:rsid w:val="00324C75"/>
    <w:rsid w:val="00324CE2"/>
    <w:rsid w:val="00324D1E"/>
    <w:rsid w:val="00324ECA"/>
    <w:rsid w:val="00324FA4"/>
    <w:rsid w:val="00325291"/>
    <w:rsid w:val="0032587B"/>
    <w:rsid w:val="00325C60"/>
    <w:rsid w:val="00326137"/>
    <w:rsid w:val="00326303"/>
    <w:rsid w:val="00326382"/>
    <w:rsid w:val="003263BD"/>
    <w:rsid w:val="003263F5"/>
    <w:rsid w:val="003264B4"/>
    <w:rsid w:val="003265A2"/>
    <w:rsid w:val="00326608"/>
    <w:rsid w:val="0032664E"/>
    <w:rsid w:val="0032664F"/>
    <w:rsid w:val="00326747"/>
    <w:rsid w:val="00326A54"/>
    <w:rsid w:val="00326A91"/>
    <w:rsid w:val="00326B41"/>
    <w:rsid w:val="00326BA5"/>
    <w:rsid w:val="00326CEA"/>
    <w:rsid w:val="00326F85"/>
    <w:rsid w:val="00326FE2"/>
    <w:rsid w:val="003271F5"/>
    <w:rsid w:val="003274AC"/>
    <w:rsid w:val="003276A2"/>
    <w:rsid w:val="003277E1"/>
    <w:rsid w:val="00327A78"/>
    <w:rsid w:val="00327D65"/>
    <w:rsid w:val="00327E6F"/>
    <w:rsid w:val="00330086"/>
    <w:rsid w:val="003300D3"/>
    <w:rsid w:val="003301A9"/>
    <w:rsid w:val="00330269"/>
    <w:rsid w:val="003302A2"/>
    <w:rsid w:val="003303B4"/>
    <w:rsid w:val="003303F7"/>
    <w:rsid w:val="00330748"/>
    <w:rsid w:val="0033081E"/>
    <w:rsid w:val="00330981"/>
    <w:rsid w:val="00330A05"/>
    <w:rsid w:val="00330AA0"/>
    <w:rsid w:val="00330B78"/>
    <w:rsid w:val="00330BED"/>
    <w:rsid w:val="00330CCD"/>
    <w:rsid w:val="00330F28"/>
    <w:rsid w:val="00330F68"/>
    <w:rsid w:val="00331070"/>
    <w:rsid w:val="0033108E"/>
    <w:rsid w:val="00331264"/>
    <w:rsid w:val="003312BE"/>
    <w:rsid w:val="003314C5"/>
    <w:rsid w:val="003315E4"/>
    <w:rsid w:val="003315EE"/>
    <w:rsid w:val="00331625"/>
    <w:rsid w:val="0033179F"/>
    <w:rsid w:val="003319F8"/>
    <w:rsid w:val="00331AB9"/>
    <w:rsid w:val="00331F0D"/>
    <w:rsid w:val="00332008"/>
    <w:rsid w:val="0033211F"/>
    <w:rsid w:val="003323F1"/>
    <w:rsid w:val="00332445"/>
    <w:rsid w:val="0033254C"/>
    <w:rsid w:val="0033262D"/>
    <w:rsid w:val="003327AB"/>
    <w:rsid w:val="00332A5F"/>
    <w:rsid w:val="00332B16"/>
    <w:rsid w:val="00332D22"/>
    <w:rsid w:val="003330F8"/>
    <w:rsid w:val="00333168"/>
    <w:rsid w:val="003331F2"/>
    <w:rsid w:val="0033356D"/>
    <w:rsid w:val="003335FF"/>
    <w:rsid w:val="0033374C"/>
    <w:rsid w:val="0033388A"/>
    <w:rsid w:val="003338F6"/>
    <w:rsid w:val="00333C7F"/>
    <w:rsid w:val="00333DA2"/>
    <w:rsid w:val="00334032"/>
    <w:rsid w:val="003340F0"/>
    <w:rsid w:val="0033423C"/>
    <w:rsid w:val="00334276"/>
    <w:rsid w:val="003344C6"/>
    <w:rsid w:val="003345F1"/>
    <w:rsid w:val="003347B6"/>
    <w:rsid w:val="00334863"/>
    <w:rsid w:val="00334DD0"/>
    <w:rsid w:val="00334DF5"/>
    <w:rsid w:val="00334DF8"/>
    <w:rsid w:val="0033509A"/>
    <w:rsid w:val="00335104"/>
    <w:rsid w:val="00335258"/>
    <w:rsid w:val="003352E4"/>
    <w:rsid w:val="0033530F"/>
    <w:rsid w:val="003353C5"/>
    <w:rsid w:val="003354EA"/>
    <w:rsid w:val="003354EE"/>
    <w:rsid w:val="00335887"/>
    <w:rsid w:val="00335B24"/>
    <w:rsid w:val="00335BBD"/>
    <w:rsid w:val="00336207"/>
    <w:rsid w:val="00336481"/>
    <w:rsid w:val="003364EE"/>
    <w:rsid w:val="003364F9"/>
    <w:rsid w:val="003367F0"/>
    <w:rsid w:val="003367FF"/>
    <w:rsid w:val="00336BF0"/>
    <w:rsid w:val="00336D23"/>
    <w:rsid w:val="00336D32"/>
    <w:rsid w:val="00336D5C"/>
    <w:rsid w:val="00336D87"/>
    <w:rsid w:val="00336DEC"/>
    <w:rsid w:val="003370EE"/>
    <w:rsid w:val="003373E1"/>
    <w:rsid w:val="00337791"/>
    <w:rsid w:val="003379DF"/>
    <w:rsid w:val="00337A16"/>
    <w:rsid w:val="00337DAE"/>
    <w:rsid w:val="00337DB0"/>
    <w:rsid w:val="00337E1A"/>
    <w:rsid w:val="00337E3A"/>
    <w:rsid w:val="00337FFB"/>
    <w:rsid w:val="00340083"/>
    <w:rsid w:val="00340111"/>
    <w:rsid w:val="00340183"/>
    <w:rsid w:val="003402BD"/>
    <w:rsid w:val="0034039D"/>
    <w:rsid w:val="00340413"/>
    <w:rsid w:val="00340462"/>
    <w:rsid w:val="00340922"/>
    <w:rsid w:val="00340D22"/>
    <w:rsid w:val="00340F55"/>
    <w:rsid w:val="00341008"/>
    <w:rsid w:val="0034109D"/>
    <w:rsid w:val="003411AC"/>
    <w:rsid w:val="00341230"/>
    <w:rsid w:val="00341242"/>
    <w:rsid w:val="003412B8"/>
    <w:rsid w:val="00341367"/>
    <w:rsid w:val="0034138A"/>
    <w:rsid w:val="003415AF"/>
    <w:rsid w:val="00341899"/>
    <w:rsid w:val="00341B2C"/>
    <w:rsid w:val="00341BA6"/>
    <w:rsid w:val="00341D59"/>
    <w:rsid w:val="00341DD9"/>
    <w:rsid w:val="00341FB1"/>
    <w:rsid w:val="00342344"/>
    <w:rsid w:val="003423F2"/>
    <w:rsid w:val="00342450"/>
    <w:rsid w:val="003426B7"/>
    <w:rsid w:val="003427D4"/>
    <w:rsid w:val="003429FB"/>
    <w:rsid w:val="00342E06"/>
    <w:rsid w:val="00342E5B"/>
    <w:rsid w:val="0034303C"/>
    <w:rsid w:val="0034306A"/>
    <w:rsid w:val="0034311C"/>
    <w:rsid w:val="00343232"/>
    <w:rsid w:val="003434F2"/>
    <w:rsid w:val="00343719"/>
    <w:rsid w:val="0034391A"/>
    <w:rsid w:val="00343BB2"/>
    <w:rsid w:val="00343E41"/>
    <w:rsid w:val="00343E55"/>
    <w:rsid w:val="00343EA9"/>
    <w:rsid w:val="00344069"/>
    <w:rsid w:val="003443A2"/>
    <w:rsid w:val="003443A8"/>
    <w:rsid w:val="00344494"/>
    <w:rsid w:val="003444F7"/>
    <w:rsid w:val="0034453A"/>
    <w:rsid w:val="003446DD"/>
    <w:rsid w:val="0034484A"/>
    <w:rsid w:val="003448AA"/>
    <w:rsid w:val="003448E9"/>
    <w:rsid w:val="00344BE2"/>
    <w:rsid w:val="00344ED5"/>
    <w:rsid w:val="00344ED6"/>
    <w:rsid w:val="00344FAC"/>
    <w:rsid w:val="003450C1"/>
    <w:rsid w:val="003453ED"/>
    <w:rsid w:val="003454F4"/>
    <w:rsid w:val="00345771"/>
    <w:rsid w:val="00345B13"/>
    <w:rsid w:val="00345B21"/>
    <w:rsid w:val="00345CA2"/>
    <w:rsid w:val="00345CC9"/>
    <w:rsid w:val="00345E27"/>
    <w:rsid w:val="00345E47"/>
    <w:rsid w:val="003460A3"/>
    <w:rsid w:val="0034618C"/>
    <w:rsid w:val="003461E9"/>
    <w:rsid w:val="00346411"/>
    <w:rsid w:val="0034654F"/>
    <w:rsid w:val="00346789"/>
    <w:rsid w:val="003467FF"/>
    <w:rsid w:val="003468DE"/>
    <w:rsid w:val="00346A11"/>
    <w:rsid w:val="00346B41"/>
    <w:rsid w:val="00346B42"/>
    <w:rsid w:val="00346D27"/>
    <w:rsid w:val="00346D91"/>
    <w:rsid w:val="0034700A"/>
    <w:rsid w:val="00347314"/>
    <w:rsid w:val="003474D0"/>
    <w:rsid w:val="003475EC"/>
    <w:rsid w:val="0034760A"/>
    <w:rsid w:val="00347831"/>
    <w:rsid w:val="00347885"/>
    <w:rsid w:val="003478C5"/>
    <w:rsid w:val="0034792F"/>
    <w:rsid w:val="00347B08"/>
    <w:rsid w:val="00347B43"/>
    <w:rsid w:val="00347CE3"/>
    <w:rsid w:val="00347EC1"/>
    <w:rsid w:val="003500B8"/>
    <w:rsid w:val="003500EE"/>
    <w:rsid w:val="0035019D"/>
    <w:rsid w:val="00350244"/>
    <w:rsid w:val="0035038D"/>
    <w:rsid w:val="00350401"/>
    <w:rsid w:val="003504A4"/>
    <w:rsid w:val="00350523"/>
    <w:rsid w:val="00350768"/>
    <w:rsid w:val="0035078A"/>
    <w:rsid w:val="00350A5D"/>
    <w:rsid w:val="00350B53"/>
    <w:rsid w:val="00350B88"/>
    <w:rsid w:val="00350C16"/>
    <w:rsid w:val="00350C73"/>
    <w:rsid w:val="00350F79"/>
    <w:rsid w:val="00350FCE"/>
    <w:rsid w:val="00351190"/>
    <w:rsid w:val="00351225"/>
    <w:rsid w:val="003513BA"/>
    <w:rsid w:val="00351401"/>
    <w:rsid w:val="0035141D"/>
    <w:rsid w:val="00351580"/>
    <w:rsid w:val="00351751"/>
    <w:rsid w:val="00351B59"/>
    <w:rsid w:val="00351C5C"/>
    <w:rsid w:val="00351CD6"/>
    <w:rsid w:val="00351DA3"/>
    <w:rsid w:val="00351FD3"/>
    <w:rsid w:val="0035206A"/>
    <w:rsid w:val="00352121"/>
    <w:rsid w:val="0035258D"/>
    <w:rsid w:val="00352648"/>
    <w:rsid w:val="0035279C"/>
    <w:rsid w:val="003528CD"/>
    <w:rsid w:val="0035290C"/>
    <w:rsid w:val="00352C16"/>
    <w:rsid w:val="00352DB4"/>
    <w:rsid w:val="00353001"/>
    <w:rsid w:val="00353175"/>
    <w:rsid w:val="0035328B"/>
    <w:rsid w:val="003533FC"/>
    <w:rsid w:val="0035350D"/>
    <w:rsid w:val="003538A1"/>
    <w:rsid w:val="00353908"/>
    <w:rsid w:val="00353CF2"/>
    <w:rsid w:val="00353DA1"/>
    <w:rsid w:val="00353DCD"/>
    <w:rsid w:val="00354131"/>
    <w:rsid w:val="00354136"/>
    <w:rsid w:val="00354191"/>
    <w:rsid w:val="00354192"/>
    <w:rsid w:val="00354231"/>
    <w:rsid w:val="00354369"/>
    <w:rsid w:val="00354428"/>
    <w:rsid w:val="00354575"/>
    <w:rsid w:val="00354BB5"/>
    <w:rsid w:val="00354DBD"/>
    <w:rsid w:val="003551A7"/>
    <w:rsid w:val="0035521A"/>
    <w:rsid w:val="0035523A"/>
    <w:rsid w:val="00355538"/>
    <w:rsid w:val="0035553A"/>
    <w:rsid w:val="00355554"/>
    <w:rsid w:val="0035555B"/>
    <w:rsid w:val="0035566D"/>
    <w:rsid w:val="00355935"/>
    <w:rsid w:val="00355AB2"/>
    <w:rsid w:val="00355CE5"/>
    <w:rsid w:val="00355F61"/>
    <w:rsid w:val="00355F62"/>
    <w:rsid w:val="00356032"/>
    <w:rsid w:val="0035623B"/>
    <w:rsid w:val="003562AE"/>
    <w:rsid w:val="00356571"/>
    <w:rsid w:val="00356699"/>
    <w:rsid w:val="0035676F"/>
    <w:rsid w:val="00356C53"/>
    <w:rsid w:val="00356C81"/>
    <w:rsid w:val="00356CA5"/>
    <w:rsid w:val="00356CA9"/>
    <w:rsid w:val="00356CEE"/>
    <w:rsid w:val="00356D88"/>
    <w:rsid w:val="00356E9E"/>
    <w:rsid w:val="00356EC1"/>
    <w:rsid w:val="00356ECB"/>
    <w:rsid w:val="00356F29"/>
    <w:rsid w:val="00356FD2"/>
    <w:rsid w:val="003571AA"/>
    <w:rsid w:val="00357211"/>
    <w:rsid w:val="0035728F"/>
    <w:rsid w:val="003573F0"/>
    <w:rsid w:val="00357527"/>
    <w:rsid w:val="003575C5"/>
    <w:rsid w:val="003575C7"/>
    <w:rsid w:val="00357674"/>
    <w:rsid w:val="003579F5"/>
    <w:rsid w:val="00357B04"/>
    <w:rsid w:val="00357C56"/>
    <w:rsid w:val="00357DEA"/>
    <w:rsid w:val="00360098"/>
    <w:rsid w:val="00360186"/>
    <w:rsid w:val="00360398"/>
    <w:rsid w:val="003603C5"/>
    <w:rsid w:val="00360AB8"/>
    <w:rsid w:val="00360ADD"/>
    <w:rsid w:val="00360C33"/>
    <w:rsid w:val="00361276"/>
    <w:rsid w:val="00361493"/>
    <w:rsid w:val="003619B3"/>
    <w:rsid w:val="00361A95"/>
    <w:rsid w:val="00361ADA"/>
    <w:rsid w:val="00361B2D"/>
    <w:rsid w:val="00361D44"/>
    <w:rsid w:val="00361D7B"/>
    <w:rsid w:val="00361E31"/>
    <w:rsid w:val="00361FC0"/>
    <w:rsid w:val="003621A2"/>
    <w:rsid w:val="003621A5"/>
    <w:rsid w:val="0036248C"/>
    <w:rsid w:val="0036296D"/>
    <w:rsid w:val="0036298B"/>
    <w:rsid w:val="00362A11"/>
    <w:rsid w:val="00362A2E"/>
    <w:rsid w:val="00362CDB"/>
    <w:rsid w:val="00362CE6"/>
    <w:rsid w:val="00362EA9"/>
    <w:rsid w:val="00362EDF"/>
    <w:rsid w:val="003637B7"/>
    <w:rsid w:val="003637C0"/>
    <w:rsid w:val="003637E0"/>
    <w:rsid w:val="003638F9"/>
    <w:rsid w:val="00363A77"/>
    <w:rsid w:val="00363ACA"/>
    <w:rsid w:val="00363BD0"/>
    <w:rsid w:val="00363BEA"/>
    <w:rsid w:val="00363C34"/>
    <w:rsid w:val="003641C9"/>
    <w:rsid w:val="0036424F"/>
    <w:rsid w:val="00364304"/>
    <w:rsid w:val="003644BE"/>
    <w:rsid w:val="00364608"/>
    <w:rsid w:val="0036468B"/>
    <w:rsid w:val="00364849"/>
    <w:rsid w:val="00364886"/>
    <w:rsid w:val="003648AE"/>
    <w:rsid w:val="00364926"/>
    <w:rsid w:val="00364969"/>
    <w:rsid w:val="00365087"/>
    <w:rsid w:val="0036518A"/>
    <w:rsid w:val="003655CC"/>
    <w:rsid w:val="00365817"/>
    <w:rsid w:val="00365975"/>
    <w:rsid w:val="00365A81"/>
    <w:rsid w:val="00365B09"/>
    <w:rsid w:val="00365C35"/>
    <w:rsid w:val="00365D70"/>
    <w:rsid w:val="00365E29"/>
    <w:rsid w:val="00365F34"/>
    <w:rsid w:val="00365F38"/>
    <w:rsid w:val="0036606B"/>
    <w:rsid w:val="0036622B"/>
    <w:rsid w:val="003663F3"/>
    <w:rsid w:val="003664C9"/>
    <w:rsid w:val="003665D7"/>
    <w:rsid w:val="003665FB"/>
    <w:rsid w:val="0036682F"/>
    <w:rsid w:val="00366A15"/>
    <w:rsid w:val="00366D65"/>
    <w:rsid w:val="00366E08"/>
    <w:rsid w:val="00366ED9"/>
    <w:rsid w:val="003670FD"/>
    <w:rsid w:val="003671CF"/>
    <w:rsid w:val="00367440"/>
    <w:rsid w:val="0036756A"/>
    <w:rsid w:val="003675D6"/>
    <w:rsid w:val="00367698"/>
    <w:rsid w:val="0036790F"/>
    <w:rsid w:val="00367A87"/>
    <w:rsid w:val="00367BDB"/>
    <w:rsid w:val="00367BDC"/>
    <w:rsid w:val="00370132"/>
    <w:rsid w:val="003702F8"/>
    <w:rsid w:val="00370304"/>
    <w:rsid w:val="0037036D"/>
    <w:rsid w:val="00370523"/>
    <w:rsid w:val="0037054D"/>
    <w:rsid w:val="003705D4"/>
    <w:rsid w:val="003706C9"/>
    <w:rsid w:val="00370734"/>
    <w:rsid w:val="003707E6"/>
    <w:rsid w:val="003707FA"/>
    <w:rsid w:val="00370C12"/>
    <w:rsid w:val="00370D1A"/>
    <w:rsid w:val="00370F3B"/>
    <w:rsid w:val="00371266"/>
    <w:rsid w:val="003715D6"/>
    <w:rsid w:val="0037166D"/>
    <w:rsid w:val="00371A70"/>
    <w:rsid w:val="00371B22"/>
    <w:rsid w:val="00371BB6"/>
    <w:rsid w:val="00371DBB"/>
    <w:rsid w:val="003721B4"/>
    <w:rsid w:val="0037220F"/>
    <w:rsid w:val="003723D4"/>
    <w:rsid w:val="003724C5"/>
    <w:rsid w:val="0037258B"/>
    <w:rsid w:val="0037269A"/>
    <w:rsid w:val="0037279C"/>
    <w:rsid w:val="00372808"/>
    <w:rsid w:val="0037296B"/>
    <w:rsid w:val="003729B6"/>
    <w:rsid w:val="00372A06"/>
    <w:rsid w:val="00372FE8"/>
    <w:rsid w:val="0037301B"/>
    <w:rsid w:val="00373125"/>
    <w:rsid w:val="00373268"/>
    <w:rsid w:val="003733CC"/>
    <w:rsid w:val="003734F0"/>
    <w:rsid w:val="00373966"/>
    <w:rsid w:val="00373BFA"/>
    <w:rsid w:val="00373E59"/>
    <w:rsid w:val="00373F6F"/>
    <w:rsid w:val="00374200"/>
    <w:rsid w:val="00374532"/>
    <w:rsid w:val="0037467B"/>
    <w:rsid w:val="00374869"/>
    <w:rsid w:val="003748E2"/>
    <w:rsid w:val="00374941"/>
    <w:rsid w:val="003749B1"/>
    <w:rsid w:val="00374AC0"/>
    <w:rsid w:val="00374AC9"/>
    <w:rsid w:val="00374B27"/>
    <w:rsid w:val="00374CAF"/>
    <w:rsid w:val="00374DFE"/>
    <w:rsid w:val="00374FCA"/>
    <w:rsid w:val="00374FD3"/>
    <w:rsid w:val="003752A5"/>
    <w:rsid w:val="00375354"/>
    <w:rsid w:val="00375361"/>
    <w:rsid w:val="003753C0"/>
    <w:rsid w:val="0037548D"/>
    <w:rsid w:val="00375570"/>
    <w:rsid w:val="0037568B"/>
    <w:rsid w:val="00375824"/>
    <w:rsid w:val="00375871"/>
    <w:rsid w:val="003758A6"/>
    <w:rsid w:val="00375A3E"/>
    <w:rsid w:val="00375B41"/>
    <w:rsid w:val="00375C23"/>
    <w:rsid w:val="00375D67"/>
    <w:rsid w:val="00375E68"/>
    <w:rsid w:val="00375F2D"/>
    <w:rsid w:val="00375FCC"/>
    <w:rsid w:val="00376154"/>
    <w:rsid w:val="00376258"/>
    <w:rsid w:val="003762B1"/>
    <w:rsid w:val="00376390"/>
    <w:rsid w:val="00376391"/>
    <w:rsid w:val="00376596"/>
    <w:rsid w:val="00376709"/>
    <w:rsid w:val="00376D47"/>
    <w:rsid w:val="00376E8E"/>
    <w:rsid w:val="00376F2F"/>
    <w:rsid w:val="00377291"/>
    <w:rsid w:val="00377838"/>
    <w:rsid w:val="00377D0D"/>
    <w:rsid w:val="00377EE8"/>
    <w:rsid w:val="00377F8E"/>
    <w:rsid w:val="00377FB2"/>
    <w:rsid w:val="00380067"/>
    <w:rsid w:val="003800AB"/>
    <w:rsid w:val="003803B4"/>
    <w:rsid w:val="0038045E"/>
    <w:rsid w:val="003805CE"/>
    <w:rsid w:val="003805FC"/>
    <w:rsid w:val="003807CD"/>
    <w:rsid w:val="00380ABE"/>
    <w:rsid w:val="00380C02"/>
    <w:rsid w:val="00380C7A"/>
    <w:rsid w:val="00380D5D"/>
    <w:rsid w:val="00380E71"/>
    <w:rsid w:val="003810F1"/>
    <w:rsid w:val="00381185"/>
    <w:rsid w:val="00381331"/>
    <w:rsid w:val="0038136E"/>
    <w:rsid w:val="003816FC"/>
    <w:rsid w:val="00381760"/>
    <w:rsid w:val="003819B5"/>
    <w:rsid w:val="00381D70"/>
    <w:rsid w:val="00381DBD"/>
    <w:rsid w:val="00381EEC"/>
    <w:rsid w:val="00381F79"/>
    <w:rsid w:val="0038219F"/>
    <w:rsid w:val="00382613"/>
    <w:rsid w:val="0038261C"/>
    <w:rsid w:val="003827FA"/>
    <w:rsid w:val="00382871"/>
    <w:rsid w:val="003828AE"/>
    <w:rsid w:val="003829ED"/>
    <w:rsid w:val="00382A17"/>
    <w:rsid w:val="00382A5A"/>
    <w:rsid w:val="00382C3B"/>
    <w:rsid w:val="00382DE4"/>
    <w:rsid w:val="00382F8F"/>
    <w:rsid w:val="00382FD1"/>
    <w:rsid w:val="00382FE3"/>
    <w:rsid w:val="00382FE4"/>
    <w:rsid w:val="00383059"/>
    <w:rsid w:val="00383114"/>
    <w:rsid w:val="0038311C"/>
    <w:rsid w:val="003831E0"/>
    <w:rsid w:val="0038321C"/>
    <w:rsid w:val="003832AF"/>
    <w:rsid w:val="003833A1"/>
    <w:rsid w:val="003836D1"/>
    <w:rsid w:val="003837D5"/>
    <w:rsid w:val="00383AD0"/>
    <w:rsid w:val="00383AFF"/>
    <w:rsid w:val="00383CD9"/>
    <w:rsid w:val="00383D43"/>
    <w:rsid w:val="00383DA1"/>
    <w:rsid w:val="00383DD1"/>
    <w:rsid w:val="00383E33"/>
    <w:rsid w:val="0038402F"/>
    <w:rsid w:val="00384301"/>
    <w:rsid w:val="0038441B"/>
    <w:rsid w:val="00384537"/>
    <w:rsid w:val="00384568"/>
    <w:rsid w:val="003846F6"/>
    <w:rsid w:val="003848EE"/>
    <w:rsid w:val="003849B6"/>
    <w:rsid w:val="00384DCF"/>
    <w:rsid w:val="00385016"/>
    <w:rsid w:val="00385199"/>
    <w:rsid w:val="003855EC"/>
    <w:rsid w:val="003856E3"/>
    <w:rsid w:val="0038574E"/>
    <w:rsid w:val="00385861"/>
    <w:rsid w:val="00385B04"/>
    <w:rsid w:val="00385D0E"/>
    <w:rsid w:val="00385D6D"/>
    <w:rsid w:val="00386056"/>
    <w:rsid w:val="003860BE"/>
    <w:rsid w:val="00386247"/>
    <w:rsid w:val="00386426"/>
    <w:rsid w:val="003864EB"/>
    <w:rsid w:val="003864F5"/>
    <w:rsid w:val="003865A5"/>
    <w:rsid w:val="003865AA"/>
    <w:rsid w:val="00386600"/>
    <w:rsid w:val="0038670A"/>
    <w:rsid w:val="0038692A"/>
    <w:rsid w:val="00386956"/>
    <w:rsid w:val="00386DF9"/>
    <w:rsid w:val="00386EAF"/>
    <w:rsid w:val="00386F20"/>
    <w:rsid w:val="00386FDF"/>
    <w:rsid w:val="00386FE5"/>
    <w:rsid w:val="00387132"/>
    <w:rsid w:val="00387215"/>
    <w:rsid w:val="00387230"/>
    <w:rsid w:val="00387282"/>
    <w:rsid w:val="003875C5"/>
    <w:rsid w:val="00387671"/>
    <w:rsid w:val="00387739"/>
    <w:rsid w:val="00387765"/>
    <w:rsid w:val="0038790C"/>
    <w:rsid w:val="00387980"/>
    <w:rsid w:val="00387AAF"/>
    <w:rsid w:val="00387C44"/>
    <w:rsid w:val="00387C53"/>
    <w:rsid w:val="00387D04"/>
    <w:rsid w:val="00387D93"/>
    <w:rsid w:val="0039003D"/>
    <w:rsid w:val="00390332"/>
    <w:rsid w:val="0039042E"/>
    <w:rsid w:val="0039048E"/>
    <w:rsid w:val="003905F8"/>
    <w:rsid w:val="00390899"/>
    <w:rsid w:val="00390965"/>
    <w:rsid w:val="003909E9"/>
    <w:rsid w:val="00390ADD"/>
    <w:rsid w:val="00390C1A"/>
    <w:rsid w:val="00390CC8"/>
    <w:rsid w:val="00390DD7"/>
    <w:rsid w:val="00390F11"/>
    <w:rsid w:val="00391215"/>
    <w:rsid w:val="00391232"/>
    <w:rsid w:val="0039128C"/>
    <w:rsid w:val="00391311"/>
    <w:rsid w:val="0039136C"/>
    <w:rsid w:val="00391395"/>
    <w:rsid w:val="003913E5"/>
    <w:rsid w:val="0039188B"/>
    <w:rsid w:val="003918F3"/>
    <w:rsid w:val="0039191C"/>
    <w:rsid w:val="0039193F"/>
    <w:rsid w:val="00391AE0"/>
    <w:rsid w:val="00391E55"/>
    <w:rsid w:val="00392031"/>
    <w:rsid w:val="00392034"/>
    <w:rsid w:val="0039221E"/>
    <w:rsid w:val="003922DA"/>
    <w:rsid w:val="0039238E"/>
    <w:rsid w:val="003927EE"/>
    <w:rsid w:val="00392A47"/>
    <w:rsid w:val="00392A9B"/>
    <w:rsid w:val="00392C83"/>
    <w:rsid w:val="00392C92"/>
    <w:rsid w:val="00392DF2"/>
    <w:rsid w:val="00392EAC"/>
    <w:rsid w:val="00392EE5"/>
    <w:rsid w:val="00392FE7"/>
    <w:rsid w:val="003930F9"/>
    <w:rsid w:val="00393109"/>
    <w:rsid w:val="00393131"/>
    <w:rsid w:val="00393275"/>
    <w:rsid w:val="00393493"/>
    <w:rsid w:val="00393680"/>
    <w:rsid w:val="00393824"/>
    <w:rsid w:val="00393D58"/>
    <w:rsid w:val="00393DCD"/>
    <w:rsid w:val="00393E26"/>
    <w:rsid w:val="00393FD5"/>
    <w:rsid w:val="00393FEF"/>
    <w:rsid w:val="00394109"/>
    <w:rsid w:val="0039464D"/>
    <w:rsid w:val="00394732"/>
    <w:rsid w:val="0039473C"/>
    <w:rsid w:val="0039478A"/>
    <w:rsid w:val="003949E2"/>
    <w:rsid w:val="00394B46"/>
    <w:rsid w:val="00394C45"/>
    <w:rsid w:val="00394F69"/>
    <w:rsid w:val="00395078"/>
    <w:rsid w:val="00395119"/>
    <w:rsid w:val="00395164"/>
    <w:rsid w:val="003951EF"/>
    <w:rsid w:val="00395282"/>
    <w:rsid w:val="00395328"/>
    <w:rsid w:val="003953C1"/>
    <w:rsid w:val="0039557E"/>
    <w:rsid w:val="003955F6"/>
    <w:rsid w:val="0039574F"/>
    <w:rsid w:val="003959DD"/>
    <w:rsid w:val="00395C56"/>
    <w:rsid w:val="00395CD5"/>
    <w:rsid w:val="00395F5C"/>
    <w:rsid w:val="00395F91"/>
    <w:rsid w:val="00395FE8"/>
    <w:rsid w:val="00396726"/>
    <w:rsid w:val="00396905"/>
    <w:rsid w:val="003969BE"/>
    <w:rsid w:val="003969F9"/>
    <w:rsid w:val="00396CF4"/>
    <w:rsid w:val="00397072"/>
    <w:rsid w:val="00397168"/>
    <w:rsid w:val="00397336"/>
    <w:rsid w:val="00397497"/>
    <w:rsid w:val="003974F5"/>
    <w:rsid w:val="00397748"/>
    <w:rsid w:val="0039788E"/>
    <w:rsid w:val="003979D3"/>
    <w:rsid w:val="00397CC1"/>
    <w:rsid w:val="00397D20"/>
    <w:rsid w:val="00397E73"/>
    <w:rsid w:val="00397EAE"/>
    <w:rsid w:val="00397F1C"/>
    <w:rsid w:val="003A013F"/>
    <w:rsid w:val="003A037D"/>
    <w:rsid w:val="003A049B"/>
    <w:rsid w:val="003A0B93"/>
    <w:rsid w:val="003A0C6A"/>
    <w:rsid w:val="003A0D97"/>
    <w:rsid w:val="003A0DCA"/>
    <w:rsid w:val="003A0DCC"/>
    <w:rsid w:val="003A0F87"/>
    <w:rsid w:val="003A0FCD"/>
    <w:rsid w:val="003A10CB"/>
    <w:rsid w:val="003A10DE"/>
    <w:rsid w:val="003A1288"/>
    <w:rsid w:val="003A16A1"/>
    <w:rsid w:val="003A16CD"/>
    <w:rsid w:val="003A1C18"/>
    <w:rsid w:val="003A2290"/>
    <w:rsid w:val="003A27B9"/>
    <w:rsid w:val="003A2926"/>
    <w:rsid w:val="003A2A71"/>
    <w:rsid w:val="003A2BDB"/>
    <w:rsid w:val="003A2F5B"/>
    <w:rsid w:val="003A31E3"/>
    <w:rsid w:val="003A3535"/>
    <w:rsid w:val="003A37DA"/>
    <w:rsid w:val="003A38E5"/>
    <w:rsid w:val="003A3ACD"/>
    <w:rsid w:val="003A3AEE"/>
    <w:rsid w:val="003A3D91"/>
    <w:rsid w:val="003A3E8A"/>
    <w:rsid w:val="003A3EB7"/>
    <w:rsid w:val="003A406E"/>
    <w:rsid w:val="003A4199"/>
    <w:rsid w:val="003A43ED"/>
    <w:rsid w:val="003A458F"/>
    <w:rsid w:val="003A459E"/>
    <w:rsid w:val="003A4836"/>
    <w:rsid w:val="003A4924"/>
    <w:rsid w:val="003A4A1A"/>
    <w:rsid w:val="003A4A41"/>
    <w:rsid w:val="003A4E49"/>
    <w:rsid w:val="003A5099"/>
    <w:rsid w:val="003A5199"/>
    <w:rsid w:val="003A52BD"/>
    <w:rsid w:val="003A56A7"/>
    <w:rsid w:val="003A56E4"/>
    <w:rsid w:val="003A587F"/>
    <w:rsid w:val="003A592A"/>
    <w:rsid w:val="003A5B09"/>
    <w:rsid w:val="003A5BEE"/>
    <w:rsid w:val="003A5E23"/>
    <w:rsid w:val="003A6070"/>
    <w:rsid w:val="003A6235"/>
    <w:rsid w:val="003A63AD"/>
    <w:rsid w:val="003A63CD"/>
    <w:rsid w:val="003A63F7"/>
    <w:rsid w:val="003A6486"/>
    <w:rsid w:val="003A66B1"/>
    <w:rsid w:val="003A6AFC"/>
    <w:rsid w:val="003A6E66"/>
    <w:rsid w:val="003A6EA7"/>
    <w:rsid w:val="003A6F8E"/>
    <w:rsid w:val="003A72E3"/>
    <w:rsid w:val="003A73C3"/>
    <w:rsid w:val="003A740F"/>
    <w:rsid w:val="003A758E"/>
    <w:rsid w:val="003A76B1"/>
    <w:rsid w:val="003A7BC5"/>
    <w:rsid w:val="003A7BE2"/>
    <w:rsid w:val="003A7D92"/>
    <w:rsid w:val="003A7E52"/>
    <w:rsid w:val="003A7F9C"/>
    <w:rsid w:val="003B00A7"/>
    <w:rsid w:val="003B0149"/>
    <w:rsid w:val="003B0559"/>
    <w:rsid w:val="003B06E0"/>
    <w:rsid w:val="003B09BD"/>
    <w:rsid w:val="003B0D96"/>
    <w:rsid w:val="003B0DD8"/>
    <w:rsid w:val="003B0EC0"/>
    <w:rsid w:val="003B0EC5"/>
    <w:rsid w:val="003B1052"/>
    <w:rsid w:val="003B1397"/>
    <w:rsid w:val="003B141C"/>
    <w:rsid w:val="003B16D1"/>
    <w:rsid w:val="003B190C"/>
    <w:rsid w:val="003B1C7C"/>
    <w:rsid w:val="003B1D19"/>
    <w:rsid w:val="003B1EC0"/>
    <w:rsid w:val="003B2630"/>
    <w:rsid w:val="003B2701"/>
    <w:rsid w:val="003B2A06"/>
    <w:rsid w:val="003B2A91"/>
    <w:rsid w:val="003B2C22"/>
    <w:rsid w:val="003B2CA1"/>
    <w:rsid w:val="003B2D3E"/>
    <w:rsid w:val="003B2D6C"/>
    <w:rsid w:val="003B2E4E"/>
    <w:rsid w:val="003B2E8C"/>
    <w:rsid w:val="003B2ED4"/>
    <w:rsid w:val="003B2FF8"/>
    <w:rsid w:val="003B314C"/>
    <w:rsid w:val="003B329F"/>
    <w:rsid w:val="003B33D2"/>
    <w:rsid w:val="003B3496"/>
    <w:rsid w:val="003B35AC"/>
    <w:rsid w:val="003B3606"/>
    <w:rsid w:val="003B3787"/>
    <w:rsid w:val="003B37CF"/>
    <w:rsid w:val="003B38FA"/>
    <w:rsid w:val="003B395F"/>
    <w:rsid w:val="003B3B14"/>
    <w:rsid w:val="003B3BC7"/>
    <w:rsid w:val="003B3C7E"/>
    <w:rsid w:val="003B3CE8"/>
    <w:rsid w:val="003B4041"/>
    <w:rsid w:val="003B4277"/>
    <w:rsid w:val="003B45EC"/>
    <w:rsid w:val="003B4601"/>
    <w:rsid w:val="003B49C7"/>
    <w:rsid w:val="003B4A05"/>
    <w:rsid w:val="003B4A6C"/>
    <w:rsid w:val="003B5024"/>
    <w:rsid w:val="003B5185"/>
    <w:rsid w:val="003B51F9"/>
    <w:rsid w:val="003B5207"/>
    <w:rsid w:val="003B5256"/>
    <w:rsid w:val="003B53F7"/>
    <w:rsid w:val="003B5606"/>
    <w:rsid w:val="003B5651"/>
    <w:rsid w:val="003B5688"/>
    <w:rsid w:val="003B5B6F"/>
    <w:rsid w:val="003B5B98"/>
    <w:rsid w:val="003B5C14"/>
    <w:rsid w:val="003B5DA4"/>
    <w:rsid w:val="003B607A"/>
    <w:rsid w:val="003B612A"/>
    <w:rsid w:val="003B61FA"/>
    <w:rsid w:val="003B6286"/>
    <w:rsid w:val="003B6385"/>
    <w:rsid w:val="003B66FF"/>
    <w:rsid w:val="003B6A61"/>
    <w:rsid w:val="003B6A7F"/>
    <w:rsid w:val="003B6C33"/>
    <w:rsid w:val="003B6E26"/>
    <w:rsid w:val="003B6ED7"/>
    <w:rsid w:val="003B716A"/>
    <w:rsid w:val="003B734E"/>
    <w:rsid w:val="003B73A8"/>
    <w:rsid w:val="003B76A9"/>
    <w:rsid w:val="003B76C4"/>
    <w:rsid w:val="003B78AC"/>
    <w:rsid w:val="003B7947"/>
    <w:rsid w:val="003B7AC5"/>
    <w:rsid w:val="003B7B7C"/>
    <w:rsid w:val="003B7CE0"/>
    <w:rsid w:val="003B7DFF"/>
    <w:rsid w:val="003B7F0E"/>
    <w:rsid w:val="003C00DF"/>
    <w:rsid w:val="003C0271"/>
    <w:rsid w:val="003C03B8"/>
    <w:rsid w:val="003C05AF"/>
    <w:rsid w:val="003C0657"/>
    <w:rsid w:val="003C081B"/>
    <w:rsid w:val="003C08A2"/>
    <w:rsid w:val="003C08BA"/>
    <w:rsid w:val="003C0AF4"/>
    <w:rsid w:val="003C0B23"/>
    <w:rsid w:val="003C0C3D"/>
    <w:rsid w:val="003C0C74"/>
    <w:rsid w:val="003C0C82"/>
    <w:rsid w:val="003C0D76"/>
    <w:rsid w:val="003C1047"/>
    <w:rsid w:val="003C113C"/>
    <w:rsid w:val="003C11E4"/>
    <w:rsid w:val="003C174C"/>
    <w:rsid w:val="003C17AB"/>
    <w:rsid w:val="003C187D"/>
    <w:rsid w:val="003C1911"/>
    <w:rsid w:val="003C19B3"/>
    <w:rsid w:val="003C1B24"/>
    <w:rsid w:val="003C1B3D"/>
    <w:rsid w:val="003C1D23"/>
    <w:rsid w:val="003C1E2A"/>
    <w:rsid w:val="003C1F54"/>
    <w:rsid w:val="003C231E"/>
    <w:rsid w:val="003C23BE"/>
    <w:rsid w:val="003C2432"/>
    <w:rsid w:val="003C2451"/>
    <w:rsid w:val="003C2465"/>
    <w:rsid w:val="003C2537"/>
    <w:rsid w:val="003C26F0"/>
    <w:rsid w:val="003C297A"/>
    <w:rsid w:val="003C299A"/>
    <w:rsid w:val="003C2A86"/>
    <w:rsid w:val="003C2AE7"/>
    <w:rsid w:val="003C2CB7"/>
    <w:rsid w:val="003C2D18"/>
    <w:rsid w:val="003C2DB8"/>
    <w:rsid w:val="003C2E44"/>
    <w:rsid w:val="003C2F63"/>
    <w:rsid w:val="003C306C"/>
    <w:rsid w:val="003C307E"/>
    <w:rsid w:val="003C31BD"/>
    <w:rsid w:val="003C322D"/>
    <w:rsid w:val="003C33CE"/>
    <w:rsid w:val="003C34E8"/>
    <w:rsid w:val="003C3622"/>
    <w:rsid w:val="003C368B"/>
    <w:rsid w:val="003C3B57"/>
    <w:rsid w:val="003C3BCB"/>
    <w:rsid w:val="003C3C58"/>
    <w:rsid w:val="003C3D33"/>
    <w:rsid w:val="003C3DB3"/>
    <w:rsid w:val="003C3E1C"/>
    <w:rsid w:val="003C3F7C"/>
    <w:rsid w:val="003C3F9A"/>
    <w:rsid w:val="003C443D"/>
    <w:rsid w:val="003C4672"/>
    <w:rsid w:val="003C47A6"/>
    <w:rsid w:val="003C47DE"/>
    <w:rsid w:val="003C47FB"/>
    <w:rsid w:val="003C4862"/>
    <w:rsid w:val="003C4870"/>
    <w:rsid w:val="003C48FB"/>
    <w:rsid w:val="003C49C5"/>
    <w:rsid w:val="003C4A22"/>
    <w:rsid w:val="003C4C63"/>
    <w:rsid w:val="003C4D05"/>
    <w:rsid w:val="003C4D68"/>
    <w:rsid w:val="003C4F32"/>
    <w:rsid w:val="003C5150"/>
    <w:rsid w:val="003C51C9"/>
    <w:rsid w:val="003C52DA"/>
    <w:rsid w:val="003C53CD"/>
    <w:rsid w:val="003C5403"/>
    <w:rsid w:val="003C544E"/>
    <w:rsid w:val="003C5621"/>
    <w:rsid w:val="003C5849"/>
    <w:rsid w:val="003C58AE"/>
    <w:rsid w:val="003C58E0"/>
    <w:rsid w:val="003C595B"/>
    <w:rsid w:val="003C59EE"/>
    <w:rsid w:val="003C5A4F"/>
    <w:rsid w:val="003C5C62"/>
    <w:rsid w:val="003C5CB7"/>
    <w:rsid w:val="003C5D06"/>
    <w:rsid w:val="003C5DC9"/>
    <w:rsid w:val="003C6084"/>
    <w:rsid w:val="003C612A"/>
    <w:rsid w:val="003C6249"/>
    <w:rsid w:val="003C636E"/>
    <w:rsid w:val="003C63F6"/>
    <w:rsid w:val="003C662B"/>
    <w:rsid w:val="003C68CE"/>
    <w:rsid w:val="003C68F8"/>
    <w:rsid w:val="003C6A15"/>
    <w:rsid w:val="003C6D82"/>
    <w:rsid w:val="003C6EC9"/>
    <w:rsid w:val="003C6F6F"/>
    <w:rsid w:val="003C6F98"/>
    <w:rsid w:val="003C740B"/>
    <w:rsid w:val="003C743E"/>
    <w:rsid w:val="003C7632"/>
    <w:rsid w:val="003C77EA"/>
    <w:rsid w:val="003C7A3A"/>
    <w:rsid w:val="003C7B93"/>
    <w:rsid w:val="003C7C3B"/>
    <w:rsid w:val="003C7C79"/>
    <w:rsid w:val="003C7D1C"/>
    <w:rsid w:val="003C7D32"/>
    <w:rsid w:val="003C7D4D"/>
    <w:rsid w:val="003D0125"/>
    <w:rsid w:val="003D024D"/>
    <w:rsid w:val="003D07DA"/>
    <w:rsid w:val="003D07F1"/>
    <w:rsid w:val="003D08E2"/>
    <w:rsid w:val="003D0936"/>
    <w:rsid w:val="003D097E"/>
    <w:rsid w:val="003D0A57"/>
    <w:rsid w:val="003D0AFD"/>
    <w:rsid w:val="003D0C9B"/>
    <w:rsid w:val="003D0D99"/>
    <w:rsid w:val="003D0DF0"/>
    <w:rsid w:val="003D0E67"/>
    <w:rsid w:val="003D1024"/>
    <w:rsid w:val="003D1059"/>
    <w:rsid w:val="003D10BD"/>
    <w:rsid w:val="003D10CA"/>
    <w:rsid w:val="003D142E"/>
    <w:rsid w:val="003D1754"/>
    <w:rsid w:val="003D193F"/>
    <w:rsid w:val="003D1B8B"/>
    <w:rsid w:val="003D1D7D"/>
    <w:rsid w:val="003D1DB5"/>
    <w:rsid w:val="003D1F63"/>
    <w:rsid w:val="003D22B6"/>
    <w:rsid w:val="003D23E3"/>
    <w:rsid w:val="003D24AD"/>
    <w:rsid w:val="003D25B1"/>
    <w:rsid w:val="003D271D"/>
    <w:rsid w:val="003D29CF"/>
    <w:rsid w:val="003D29FC"/>
    <w:rsid w:val="003D2A3C"/>
    <w:rsid w:val="003D2B3A"/>
    <w:rsid w:val="003D2BD9"/>
    <w:rsid w:val="003D2D93"/>
    <w:rsid w:val="003D2F9E"/>
    <w:rsid w:val="003D3136"/>
    <w:rsid w:val="003D3193"/>
    <w:rsid w:val="003D321F"/>
    <w:rsid w:val="003D3225"/>
    <w:rsid w:val="003D33D8"/>
    <w:rsid w:val="003D347A"/>
    <w:rsid w:val="003D3718"/>
    <w:rsid w:val="003D3823"/>
    <w:rsid w:val="003D3877"/>
    <w:rsid w:val="003D388B"/>
    <w:rsid w:val="003D3B35"/>
    <w:rsid w:val="003D3B84"/>
    <w:rsid w:val="003D3BD2"/>
    <w:rsid w:val="003D3CD8"/>
    <w:rsid w:val="003D3E9F"/>
    <w:rsid w:val="003D3FE1"/>
    <w:rsid w:val="003D4075"/>
    <w:rsid w:val="003D4194"/>
    <w:rsid w:val="003D428A"/>
    <w:rsid w:val="003D430F"/>
    <w:rsid w:val="003D43A6"/>
    <w:rsid w:val="003D43DE"/>
    <w:rsid w:val="003D4498"/>
    <w:rsid w:val="003D482C"/>
    <w:rsid w:val="003D4886"/>
    <w:rsid w:val="003D4A2F"/>
    <w:rsid w:val="003D4A6B"/>
    <w:rsid w:val="003D4B9D"/>
    <w:rsid w:val="003D4CD1"/>
    <w:rsid w:val="003D4CE2"/>
    <w:rsid w:val="003D4D59"/>
    <w:rsid w:val="003D5110"/>
    <w:rsid w:val="003D55A0"/>
    <w:rsid w:val="003D55C7"/>
    <w:rsid w:val="003D57AF"/>
    <w:rsid w:val="003D5A82"/>
    <w:rsid w:val="003D5D5F"/>
    <w:rsid w:val="003D609B"/>
    <w:rsid w:val="003D6291"/>
    <w:rsid w:val="003D6341"/>
    <w:rsid w:val="003D6406"/>
    <w:rsid w:val="003D65FF"/>
    <w:rsid w:val="003D662C"/>
    <w:rsid w:val="003D697A"/>
    <w:rsid w:val="003D6A30"/>
    <w:rsid w:val="003D6DC5"/>
    <w:rsid w:val="003D704E"/>
    <w:rsid w:val="003D70C4"/>
    <w:rsid w:val="003D714C"/>
    <w:rsid w:val="003D7533"/>
    <w:rsid w:val="003D75D2"/>
    <w:rsid w:val="003D79E3"/>
    <w:rsid w:val="003D7A42"/>
    <w:rsid w:val="003D7A68"/>
    <w:rsid w:val="003D7B29"/>
    <w:rsid w:val="003D7D47"/>
    <w:rsid w:val="003D7D5D"/>
    <w:rsid w:val="003D7D8D"/>
    <w:rsid w:val="003D7F17"/>
    <w:rsid w:val="003E00AE"/>
    <w:rsid w:val="003E0204"/>
    <w:rsid w:val="003E024D"/>
    <w:rsid w:val="003E04FB"/>
    <w:rsid w:val="003E08EE"/>
    <w:rsid w:val="003E0918"/>
    <w:rsid w:val="003E0A1A"/>
    <w:rsid w:val="003E0A53"/>
    <w:rsid w:val="003E0BA4"/>
    <w:rsid w:val="003E0D0E"/>
    <w:rsid w:val="003E0D11"/>
    <w:rsid w:val="003E0E1A"/>
    <w:rsid w:val="003E1165"/>
    <w:rsid w:val="003E11F0"/>
    <w:rsid w:val="003E1362"/>
    <w:rsid w:val="003E14F2"/>
    <w:rsid w:val="003E152E"/>
    <w:rsid w:val="003E16A3"/>
    <w:rsid w:val="003E16D3"/>
    <w:rsid w:val="003E1786"/>
    <w:rsid w:val="003E1800"/>
    <w:rsid w:val="003E18C9"/>
    <w:rsid w:val="003E197C"/>
    <w:rsid w:val="003E1B01"/>
    <w:rsid w:val="003E1B3D"/>
    <w:rsid w:val="003E1B4F"/>
    <w:rsid w:val="003E1C8B"/>
    <w:rsid w:val="003E1EBF"/>
    <w:rsid w:val="003E2026"/>
    <w:rsid w:val="003E20EB"/>
    <w:rsid w:val="003E2145"/>
    <w:rsid w:val="003E263D"/>
    <w:rsid w:val="003E27C0"/>
    <w:rsid w:val="003E2ACC"/>
    <w:rsid w:val="003E305B"/>
    <w:rsid w:val="003E3170"/>
    <w:rsid w:val="003E321B"/>
    <w:rsid w:val="003E35E5"/>
    <w:rsid w:val="003E37F3"/>
    <w:rsid w:val="003E3936"/>
    <w:rsid w:val="003E3AAC"/>
    <w:rsid w:val="003E3B1A"/>
    <w:rsid w:val="003E3B21"/>
    <w:rsid w:val="003E3B5E"/>
    <w:rsid w:val="003E3E25"/>
    <w:rsid w:val="003E3FA3"/>
    <w:rsid w:val="003E4014"/>
    <w:rsid w:val="003E40D6"/>
    <w:rsid w:val="003E44E1"/>
    <w:rsid w:val="003E4511"/>
    <w:rsid w:val="003E46CC"/>
    <w:rsid w:val="003E46ED"/>
    <w:rsid w:val="003E49DA"/>
    <w:rsid w:val="003E4B07"/>
    <w:rsid w:val="003E4E1D"/>
    <w:rsid w:val="003E4E77"/>
    <w:rsid w:val="003E52D0"/>
    <w:rsid w:val="003E52F0"/>
    <w:rsid w:val="003E5312"/>
    <w:rsid w:val="003E555C"/>
    <w:rsid w:val="003E5610"/>
    <w:rsid w:val="003E5831"/>
    <w:rsid w:val="003E5B5C"/>
    <w:rsid w:val="003E5BD0"/>
    <w:rsid w:val="003E5E12"/>
    <w:rsid w:val="003E5EE3"/>
    <w:rsid w:val="003E60CB"/>
    <w:rsid w:val="003E60F7"/>
    <w:rsid w:val="003E6110"/>
    <w:rsid w:val="003E61AC"/>
    <w:rsid w:val="003E63B9"/>
    <w:rsid w:val="003E63D1"/>
    <w:rsid w:val="003E63E5"/>
    <w:rsid w:val="003E6460"/>
    <w:rsid w:val="003E652A"/>
    <w:rsid w:val="003E65D8"/>
    <w:rsid w:val="003E660B"/>
    <w:rsid w:val="003E6667"/>
    <w:rsid w:val="003E673A"/>
    <w:rsid w:val="003E6B19"/>
    <w:rsid w:val="003E713C"/>
    <w:rsid w:val="003E727B"/>
    <w:rsid w:val="003E74AE"/>
    <w:rsid w:val="003E761A"/>
    <w:rsid w:val="003E76FB"/>
    <w:rsid w:val="003E7749"/>
    <w:rsid w:val="003E7A05"/>
    <w:rsid w:val="003E7B7E"/>
    <w:rsid w:val="003E7C74"/>
    <w:rsid w:val="003E7E82"/>
    <w:rsid w:val="003E7EE5"/>
    <w:rsid w:val="003F009A"/>
    <w:rsid w:val="003F00B3"/>
    <w:rsid w:val="003F0277"/>
    <w:rsid w:val="003F02E9"/>
    <w:rsid w:val="003F0448"/>
    <w:rsid w:val="003F05C1"/>
    <w:rsid w:val="003F0718"/>
    <w:rsid w:val="003F0889"/>
    <w:rsid w:val="003F0A75"/>
    <w:rsid w:val="003F0BAF"/>
    <w:rsid w:val="003F0D21"/>
    <w:rsid w:val="003F0D99"/>
    <w:rsid w:val="003F0F32"/>
    <w:rsid w:val="003F11A2"/>
    <w:rsid w:val="003F11BD"/>
    <w:rsid w:val="003F1254"/>
    <w:rsid w:val="003F12DB"/>
    <w:rsid w:val="003F14ED"/>
    <w:rsid w:val="003F1770"/>
    <w:rsid w:val="003F1780"/>
    <w:rsid w:val="003F17A6"/>
    <w:rsid w:val="003F19FA"/>
    <w:rsid w:val="003F1E25"/>
    <w:rsid w:val="003F1F10"/>
    <w:rsid w:val="003F1F42"/>
    <w:rsid w:val="003F210A"/>
    <w:rsid w:val="003F21B1"/>
    <w:rsid w:val="003F21B8"/>
    <w:rsid w:val="003F22F5"/>
    <w:rsid w:val="003F2575"/>
    <w:rsid w:val="003F25ED"/>
    <w:rsid w:val="003F2605"/>
    <w:rsid w:val="003F27C4"/>
    <w:rsid w:val="003F2899"/>
    <w:rsid w:val="003F29D0"/>
    <w:rsid w:val="003F2E54"/>
    <w:rsid w:val="003F30CE"/>
    <w:rsid w:val="003F30E9"/>
    <w:rsid w:val="003F33E6"/>
    <w:rsid w:val="003F3405"/>
    <w:rsid w:val="003F35A2"/>
    <w:rsid w:val="003F3687"/>
    <w:rsid w:val="003F36E7"/>
    <w:rsid w:val="003F3888"/>
    <w:rsid w:val="003F3E74"/>
    <w:rsid w:val="003F3E7A"/>
    <w:rsid w:val="003F3EE5"/>
    <w:rsid w:val="003F3F05"/>
    <w:rsid w:val="003F3F37"/>
    <w:rsid w:val="003F3F40"/>
    <w:rsid w:val="003F4057"/>
    <w:rsid w:val="003F4140"/>
    <w:rsid w:val="003F4192"/>
    <w:rsid w:val="003F4490"/>
    <w:rsid w:val="003F44FF"/>
    <w:rsid w:val="003F45D4"/>
    <w:rsid w:val="003F4698"/>
    <w:rsid w:val="003F48E4"/>
    <w:rsid w:val="003F4C4A"/>
    <w:rsid w:val="003F4E03"/>
    <w:rsid w:val="003F4E0A"/>
    <w:rsid w:val="003F4FD7"/>
    <w:rsid w:val="003F51DE"/>
    <w:rsid w:val="003F56D4"/>
    <w:rsid w:val="003F574F"/>
    <w:rsid w:val="003F5A2A"/>
    <w:rsid w:val="003F5C05"/>
    <w:rsid w:val="003F5E0F"/>
    <w:rsid w:val="003F5E3A"/>
    <w:rsid w:val="003F5F26"/>
    <w:rsid w:val="003F61B7"/>
    <w:rsid w:val="003F651C"/>
    <w:rsid w:val="003F6598"/>
    <w:rsid w:val="003F674F"/>
    <w:rsid w:val="003F6886"/>
    <w:rsid w:val="003F68AB"/>
    <w:rsid w:val="003F68E7"/>
    <w:rsid w:val="003F6927"/>
    <w:rsid w:val="003F6C38"/>
    <w:rsid w:val="003F6C9A"/>
    <w:rsid w:val="003F6CE2"/>
    <w:rsid w:val="003F6D63"/>
    <w:rsid w:val="003F7058"/>
    <w:rsid w:val="003F75DF"/>
    <w:rsid w:val="003F7733"/>
    <w:rsid w:val="003F7A15"/>
    <w:rsid w:val="003F7AFE"/>
    <w:rsid w:val="003F7B2B"/>
    <w:rsid w:val="003F7CBF"/>
    <w:rsid w:val="003F7F82"/>
    <w:rsid w:val="00400066"/>
    <w:rsid w:val="00400171"/>
    <w:rsid w:val="004001A9"/>
    <w:rsid w:val="004001AF"/>
    <w:rsid w:val="00400378"/>
    <w:rsid w:val="00400684"/>
    <w:rsid w:val="00400695"/>
    <w:rsid w:val="00400764"/>
    <w:rsid w:val="00400C95"/>
    <w:rsid w:val="00400CED"/>
    <w:rsid w:val="00400DE2"/>
    <w:rsid w:val="004010B4"/>
    <w:rsid w:val="00401147"/>
    <w:rsid w:val="00401164"/>
    <w:rsid w:val="0040150F"/>
    <w:rsid w:val="00401675"/>
    <w:rsid w:val="004017C4"/>
    <w:rsid w:val="0040185A"/>
    <w:rsid w:val="00401864"/>
    <w:rsid w:val="004018F6"/>
    <w:rsid w:val="00401AFD"/>
    <w:rsid w:val="00401B0E"/>
    <w:rsid w:val="00401E2A"/>
    <w:rsid w:val="00401E60"/>
    <w:rsid w:val="0040209E"/>
    <w:rsid w:val="0040252A"/>
    <w:rsid w:val="004026AB"/>
    <w:rsid w:val="00402717"/>
    <w:rsid w:val="00402939"/>
    <w:rsid w:val="00402AC9"/>
    <w:rsid w:val="00402B12"/>
    <w:rsid w:val="00402C71"/>
    <w:rsid w:val="00402D7A"/>
    <w:rsid w:val="00402DB6"/>
    <w:rsid w:val="00403347"/>
    <w:rsid w:val="0040356A"/>
    <w:rsid w:val="0040361B"/>
    <w:rsid w:val="00403760"/>
    <w:rsid w:val="004037EA"/>
    <w:rsid w:val="004037FA"/>
    <w:rsid w:val="00403884"/>
    <w:rsid w:val="00403895"/>
    <w:rsid w:val="00403BE4"/>
    <w:rsid w:val="00403D42"/>
    <w:rsid w:val="00403EE6"/>
    <w:rsid w:val="00403FD5"/>
    <w:rsid w:val="004041B8"/>
    <w:rsid w:val="004043DF"/>
    <w:rsid w:val="0040454F"/>
    <w:rsid w:val="004045D3"/>
    <w:rsid w:val="004046D1"/>
    <w:rsid w:val="004047DA"/>
    <w:rsid w:val="0040480B"/>
    <w:rsid w:val="00404913"/>
    <w:rsid w:val="00404B81"/>
    <w:rsid w:val="00404FEF"/>
    <w:rsid w:val="00404FF0"/>
    <w:rsid w:val="004051B1"/>
    <w:rsid w:val="00405CFB"/>
    <w:rsid w:val="0040618F"/>
    <w:rsid w:val="00406278"/>
    <w:rsid w:val="00406375"/>
    <w:rsid w:val="00406486"/>
    <w:rsid w:val="0040669E"/>
    <w:rsid w:val="00406724"/>
    <w:rsid w:val="00406A8E"/>
    <w:rsid w:val="00406F41"/>
    <w:rsid w:val="00407271"/>
    <w:rsid w:val="004075F7"/>
    <w:rsid w:val="00407710"/>
    <w:rsid w:val="0040778A"/>
    <w:rsid w:val="004077A2"/>
    <w:rsid w:val="00407E7D"/>
    <w:rsid w:val="00407E85"/>
    <w:rsid w:val="00407FE3"/>
    <w:rsid w:val="00410143"/>
    <w:rsid w:val="00410246"/>
    <w:rsid w:val="004102F0"/>
    <w:rsid w:val="0041032E"/>
    <w:rsid w:val="00410627"/>
    <w:rsid w:val="0041071B"/>
    <w:rsid w:val="004107BD"/>
    <w:rsid w:val="004107E2"/>
    <w:rsid w:val="00410815"/>
    <w:rsid w:val="004108A8"/>
    <w:rsid w:val="00410B02"/>
    <w:rsid w:val="00410CE9"/>
    <w:rsid w:val="00410D6F"/>
    <w:rsid w:val="00410F1A"/>
    <w:rsid w:val="00410FA8"/>
    <w:rsid w:val="004111A0"/>
    <w:rsid w:val="0041133A"/>
    <w:rsid w:val="004118C8"/>
    <w:rsid w:val="0041191B"/>
    <w:rsid w:val="00411D5D"/>
    <w:rsid w:val="00411F49"/>
    <w:rsid w:val="004120FE"/>
    <w:rsid w:val="004121A2"/>
    <w:rsid w:val="004121EE"/>
    <w:rsid w:val="0041229A"/>
    <w:rsid w:val="0041260A"/>
    <w:rsid w:val="00412723"/>
    <w:rsid w:val="004127A0"/>
    <w:rsid w:val="004127B8"/>
    <w:rsid w:val="00412A78"/>
    <w:rsid w:val="00412A86"/>
    <w:rsid w:val="00413159"/>
    <w:rsid w:val="00413667"/>
    <w:rsid w:val="00413790"/>
    <w:rsid w:val="004137CF"/>
    <w:rsid w:val="00413909"/>
    <w:rsid w:val="0041394E"/>
    <w:rsid w:val="0041398E"/>
    <w:rsid w:val="00413A4E"/>
    <w:rsid w:val="00413CCE"/>
    <w:rsid w:val="00413D1A"/>
    <w:rsid w:val="00413D9C"/>
    <w:rsid w:val="00413ECA"/>
    <w:rsid w:val="00413ED8"/>
    <w:rsid w:val="0041421B"/>
    <w:rsid w:val="004142EB"/>
    <w:rsid w:val="00414597"/>
    <w:rsid w:val="00414903"/>
    <w:rsid w:val="00414ACC"/>
    <w:rsid w:val="00414C15"/>
    <w:rsid w:val="00414CD2"/>
    <w:rsid w:val="00414D39"/>
    <w:rsid w:val="00414E16"/>
    <w:rsid w:val="00415071"/>
    <w:rsid w:val="00415278"/>
    <w:rsid w:val="0041551B"/>
    <w:rsid w:val="00415701"/>
    <w:rsid w:val="00415A81"/>
    <w:rsid w:val="00415D0F"/>
    <w:rsid w:val="004161FE"/>
    <w:rsid w:val="00416327"/>
    <w:rsid w:val="0041632B"/>
    <w:rsid w:val="0041638C"/>
    <w:rsid w:val="004163FB"/>
    <w:rsid w:val="004165E9"/>
    <w:rsid w:val="00416717"/>
    <w:rsid w:val="004167DA"/>
    <w:rsid w:val="004169EE"/>
    <w:rsid w:val="00416A6A"/>
    <w:rsid w:val="00416AF6"/>
    <w:rsid w:val="00416B10"/>
    <w:rsid w:val="00416D3A"/>
    <w:rsid w:val="004176CF"/>
    <w:rsid w:val="004176E5"/>
    <w:rsid w:val="0041773D"/>
    <w:rsid w:val="004178EB"/>
    <w:rsid w:val="00417997"/>
    <w:rsid w:val="00417B5B"/>
    <w:rsid w:val="00417B81"/>
    <w:rsid w:val="00417C4F"/>
    <w:rsid w:val="00417DC8"/>
    <w:rsid w:val="00417F22"/>
    <w:rsid w:val="0042004E"/>
    <w:rsid w:val="00420649"/>
    <w:rsid w:val="00420739"/>
    <w:rsid w:val="004207EE"/>
    <w:rsid w:val="0042087A"/>
    <w:rsid w:val="00420934"/>
    <w:rsid w:val="004209B8"/>
    <w:rsid w:val="00420B13"/>
    <w:rsid w:val="00420E42"/>
    <w:rsid w:val="00420EC6"/>
    <w:rsid w:val="00420FBE"/>
    <w:rsid w:val="00421093"/>
    <w:rsid w:val="00421299"/>
    <w:rsid w:val="004212DF"/>
    <w:rsid w:val="0042131E"/>
    <w:rsid w:val="0042138E"/>
    <w:rsid w:val="004214ED"/>
    <w:rsid w:val="00421565"/>
    <w:rsid w:val="0042180B"/>
    <w:rsid w:val="00421811"/>
    <w:rsid w:val="0042189C"/>
    <w:rsid w:val="004219C2"/>
    <w:rsid w:val="00421AC7"/>
    <w:rsid w:val="00421DA5"/>
    <w:rsid w:val="00421E9D"/>
    <w:rsid w:val="00421FF6"/>
    <w:rsid w:val="00422036"/>
    <w:rsid w:val="004220EB"/>
    <w:rsid w:val="004220F2"/>
    <w:rsid w:val="0042211B"/>
    <w:rsid w:val="00422292"/>
    <w:rsid w:val="004222ED"/>
    <w:rsid w:val="004226E9"/>
    <w:rsid w:val="00422738"/>
    <w:rsid w:val="004229DF"/>
    <w:rsid w:val="00422C76"/>
    <w:rsid w:val="00422CF8"/>
    <w:rsid w:val="00422E5A"/>
    <w:rsid w:val="00422E68"/>
    <w:rsid w:val="00422ED4"/>
    <w:rsid w:val="0042322D"/>
    <w:rsid w:val="00423294"/>
    <w:rsid w:val="004232B3"/>
    <w:rsid w:val="004236AC"/>
    <w:rsid w:val="004237AA"/>
    <w:rsid w:val="00423A86"/>
    <w:rsid w:val="00423D9B"/>
    <w:rsid w:val="00423DD2"/>
    <w:rsid w:val="00423DFF"/>
    <w:rsid w:val="00423FFA"/>
    <w:rsid w:val="00424050"/>
    <w:rsid w:val="00424133"/>
    <w:rsid w:val="00424176"/>
    <w:rsid w:val="00424209"/>
    <w:rsid w:val="004243A5"/>
    <w:rsid w:val="00424487"/>
    <w:rsid w:val="00424528"/>
    <w:rsid w:val="00424542"/>
    <w:rsid w:val="00424925"/>
    <w:rsid w:val="00424A85"/>
    <w:rsid w:val="00424AC4"/>
    <w:rsid w:val="00424AD7"/>
    <w:rsid w:val="00424B36"/>
    <w:rsid w:val="00424C12"/>
    <w:rsid w:val="00424C5A"/>
    <w:rsid w:val="00424ED3"/>
    <w:rsid w:val="00424F26"/>
    <w:rsid w:val="00425010"/>
    <w:rsid w:val="004250A7"/>
    <w:rsid w:val="00425156"/>
    <w:rsid w:val="0042523A"/>
    <w:rsid w:val="004254B2"/>
    <w:rsid w:val="00425782"/>
    <w:rsid w:val="004257C1"/>
    <w:rsid w:val="004257ED"/>
    <w:rsid w:val="00425A33"/>
    <w:rsid w:val="00425A41"/>
    <w:rsid w:val="00425AE7"/>
    <w:rsid w:val="00425B6D"/>
    <w:rsid w:val="00425D02"/>
    <w:rsid w:val="00425E5B"/>
    <w:rsid w:val="00425EBF"/>
    <w:rsid w:val="00425F97"/>
    <w:rsid w:val="00425FF6"/>
    <w:rsid w:val="00426135"/>
    <w:rsid w:val="0042613A"/>
    <w:rsid w:val="0042628A"/>
    <w:rsid w:val="00426335"/>
    <w:rsid w:val="00426B58"/>
    <w:rsid w:val="00426C35"/>
    <w:rsid w:val="00426D0F"/>
    <w:rsid w:val="00427141"/>
    <w:rsid w:val="00427393"/>
    <w:rsid w:val="004273EA"/>
    <w:rsid w:val="00427402"/>
    <w:rsid w:val="00427413"/>
    <w:rsid w:val="0042760D"/>
    <w:rsid w:val="00427753"/>
    <w:rsid w:val="004277DC"/>
    <w:rsid w:val="00427997"/>
    <w:rsid w:val="00427B9B"/>
    <w:rsid w:val="00427CA4"/>
    <w:rsid w:val="00427DA6"/>
    <w:rsid w:val="00427E02"/>
    <w:rsid w:val="00430171"/>
    <w:rsid w:val="004302AF"/>
    <w:rsid w:val="004302CD"/>
    <w:rsid w:val="004304D2"/>
    <w:rsid w:val="004305F7"/>
    <w:rsid w:val="00430870"/>
    <w:rsid w:val="00430A28"/>
    <w:rsid w:val="00430A7C"/>
    <w:rsid w:val="00430C0F"/>
    <w:rsid w:val="00430F32"/>
    <w:rsid w:val="004310D8"/>
    <w:rsid w:val="00431147"/>
    <w:rsid w:val="00431189"/>
    <w:rsid w:val="004311FC"/>
    <w:rsid w:val="00431254"/>
    <w:rsid w:val="004312D7"/>
    <w:rsid w:val="004313D4"/>
    <w:rsid w:val="0043159F"/>
    <w:rsid w:val="004315EB"/>
    <w:rsid w:val="004316AA"/>
    <w:rsid w:val="004316CD"/>
    <w:rsid w:val="00431783"/>
    <w:rsid w:val="00431792"/>
    <w:rsid w:val="00431BCB"/>
    <w:rsid w:val="00431C1F"/>
    <w:rsid w:val="00431D33"/>
    <w:rsid w:val="0043212D"/>
    <w:rsid w:val="004324FF"/>
    <w:rsid w:val="004326BA"/>
    <w:rsid w:val="0043270F"/>
    <w:rsid w:val="004329B6"/>
    <w:rsid w:val="00432C22"/>
    <w:rsid w:val="00432D91"/>
    <w:rsid w:val="00432DB8"/>
    <w:rsid w:val="00432F74"/>
    <w:rsid w:val="00433078"/>
    <w:rsid w:val="004330A0"/>
    <w:rsid w:val="00433129"/>
    <w:rsid w:val="00433215"/>
    <w:rsid w:val="004333ED"/>
    <w:rsid w:val="00433699"/>
    <w:rsid w:val="0043385D"/>
    <w:rsid w:val="0043386D"/>
    <w:rsid w:val="00433963"/>
    <w:rsid w:val="00433A06"/>
    <w:rsid w:val="00434189"/>
    <w:rsid w:val="00434667"/>
    <w:rsid w:val="00434700"/>
    <w:rsid w:val="0043472B"/>
    <w:rsid w:val="004348CB"/>
    <w:rsid w:val="00434993"/>
    <w:rsid w:val="00434B2C"/>
    <w:rsid w:val="00434CF1"/>
    <w:rsid w:val="00434D3F"/>
    <w:rsid w:val="00434E27"/>
    <w:rsid w:val="00434EC5"/>
    <w:rsid w:val="0043506D"/>
    <w:rsid w:val="0043510A"/>
    <w:rsid w:val="00435193"/>
    <w:rsid w:val="00435234"/>
    <w:rsid w:val="004352A6"/>
    <w:rsid w:val="00435371"/>
    <w:rsid w:val="0043551B"/>
    <w:rsid w:val="00435547"/>
    <w:rsid w:val="004357D8"/>
    <w:rsid w:val="004358EB"/>
    <w:rsid w:val="00435976"/>
    <w:rsid w:val="00435DA4"/>
    <w:rsid w:val="0043604B"/>
    <w:rsid w:val="00436144"/>
    <w:rsid w:val="004361AA"/>
    <w:rsid w:val="004362F3"/>
    <w:rsid w:val="0043630C"/>
    <w:rsid w:val="0043651B"/>
    <w:rsid w:val="0043673D"/>
    <w:rsid w:val="004367A0"/>
    <w:rsid w:val="00436A41"/>
    <w:rsid w:val="00436B5B"/>
    <w:rsid w:val="00436D79"/>
    <w:rsid w:val="00436EE4"/>
    <w:rsid w:val="0043704B"/>
    <w:rsid w:val="004370F8"/>
    <w:rsid w:val="0043725F"/>
    <w:rsid w:val="00437276"/>
    <w:rsid w:val="00437630"/>
    <w:rsid w:val="004376FA"/>
    <w:rsid w:val="004377E8"/>
    <w:rsid w:val="00437823"/>
    <w:rsid w:val="004378ED"/>
    <w:rsid w:val="00437EE0"/>
    <w:rsid w:val="00437EF5"/>
    <w:rsid w:val="00440037"/>
    <w:rsid w:val="00440366"/>
    <w:rsid w:val="004403AE"/>
    <w:rsid w:val="004405F5"/>
    <w:rsid w:val="004406BE"/>
    <w:rsid w:val="004408C2"/>
    <w:rsid w:val="004408C7"/>
    <w:rsid w:val="0044091A"/>
    <w:rsid w:val="004409E2"/>
    <w:rsid w:val="00440A8D"/>
    <w:rsid w:val="00440AD6"/>
    <w:rsid w:val="00440CE7"/>
    <w:rsid w:val="00440DEF"/>
    <w:rsid w:val="00440F09"/>
    <w:rsid w:val="00440F18"/>
    <w:rsid w:val="004410E5"/>
    <w:rsid w:val="004410FD"/>
    <w:rsid w:val="00441432"/>
    <w:rsid w:val="0044143E"/>
    <w:rsid w:val="004415AA"/>
    <w:rsid w:val="004417BC"/>
    <w:rsid w:val="0044188E"/>
    <w:rsid w:val="00441999"/>
    <w:rsid w:val="00441AAC"/>
    <w:rsid w:val="00441AEE"/>
    <w:rsid w:val="00441DCE"/>
    <w:rsid w:val="00441F1E"/>
    <w:rsid w:val="0044200C"/>
    <w:rsid w:val="00442125"/>
    <w:rsid w:val="00442127"/>
    <w:rsid w:val="004422AE"/>
    <w:rsid w:val="0044236D"/>
    <w:rsid w:val="004423FC"/>
    <w:rsid w:val="004424B1"/>
    <w:rsid w:val="00442526"/>
    <w:rsid w:val="00442643"/>
    <w:rsid w:val="00442750"/>
    <w:rsid w:val="004428A2"/>
    <w:rsid w:val="00442A02"/>
    <w:rsid w:val="00442CE5"/>
    <w:rsid w:val="00442EB7"/>
    <w:rsid w:val="00442F9B"/>
    <w:rsid w:val="004431A4"/>
    <w:rsid w:val="00443227"/>
    <w:rsid w:val="004434F0"/>
    <w:rsid w:val="004436C5"/>
    <w:rsid w:val="0044384D"/>
    <w:rsid w:val="00443937"/>
    <w:rsid w:val="00443B16"/>
    <w:rsid w:val="00443E4E"/>
    <w:rsid w:val="00444071"/>
    <w:rsid w:val="00444299"/>
    <w:rsid w:val="00444461"/>
    <w:rsid w:val="004444B1"/>
    <w:rsid w:val="004445AD"/>
    <w:rsid w:val="00444627"/>
    <w:rsid w:val="00444872"/>
    <w:rsid w:val="00444966"/>
    <w:rsid w:val="00444BBF"/>
    <w:rsid w:val="00444BD4"/>
    <w:rsid w:val="00444E4F"/>
    <w:rsid w:val="0044507E"/>
    <w:rsid w:val="004450EA"/>
    <w:rsid w:val="004452CC"/>
    <w:rsid w:val="00445347"/>
    <w:rsid w:val="0044536D"/>
    <w:rsid w:val="00445465"/>
    <w:rsid w:val="00445808"/>
    <w:rsid w:val="00445B52"/>
    <w:rsid w:val="00445D76"/>
    <w:rsid w:val="00445F3A"/>
    <w:rsid w:val="00446016"/>
    <w:rsid w:val="00446039"/>
    <w:rsid w:val="00446189"/>
    <w:rsid w:val="004462BE"/>
    <w:rsid w:val="004463B5"/>
    <w:rsid w:val="00446816"/>
    <w:rsid w:val="004469C9"/>
    <w:rsid w:val="00446D28"/>
    <w:rsid w:val="00446DB0"/>
    <w:rsid w:val="004470B4"/>
    <w:rsid w:val="004472AF"/>
    <w:rsid w:val="00447655"/>
    <w:rsid w:val="00447A66"/>
    <w:rsid w:val="00447D3A"/>
    <w:rsid w:val="00447D4B"/>
    <w:rsid w:val="00447EC7"/>
    <w:rsid w:val="00447ED0"/>
    <w:rsid w:val="00450064"/>
    <w:rsid w:val="004502AB"/>
    <w:rsid w:val="00450463"/>
    <w:rsid w:val="00450765"/>
    <w:rsid w:val="00450845"/>
    <w:rsid w:val="00450BF2"/>
    <w:rsid w:val="00450C44"/>
    <w:rsid w:val="00450D54"/>
    <w:rsid w:val="00450E0A"/>
    <w:rsid w:val="004511D2"/>
    <w:rsid w:val="0045120F"/>
    <w:rsid w:val="004512A4"/>
    <w:rsid w:val="0045157D"/>
    <w:rsid w:val="00451600"/>
    <w:rsid w:val="004517BA"/>
    <w:rsid w:val="004518DB"/>
    <w:rsid w:val="004519EC"/>
    <w:rsid w:val="00451B41"/>
    <w:rsid w:val="00451C07"/>
    <w:rsid w:val="00451CE6"/>
    <w:rsid w:val="00451EB7"/>
    <w:rsid w:val="00451F0A"/>
    <w:rsid w:val="00451F76"/>
    <w:rsid w:val="00451FB8"/>
    <w:rsid w:val="004521C4"/>
    <w:rsid w:val="0045223D"/>
    <w:rsid w:val="00452397"/>
    <w:rsid w:val="00452398"/>
    <w:rsid w:val="004525AD"/>
    <w:rsid w:val="004529C5"/>
    <w:rsid w:val="00452AAC"/>
    <w:rsid w:val="00452E62"/>
    <w:rsid w:val="00452EE4"/>
    <w:rsid w:val="00452F36"/>
    <w:rsid w:val="0045307B"/>
    <w:rsid w:val="0045325D"/>
    <w:rsid w:val="004537DB"/>
    <w:rsid w:val="004537F7"/>
    <w:rsid w:val="00453AD7"/>
    <w:rsid w:val="00453CB9"/>
    <w:rsid w:val="00453D50"/>
    <w:rsid w:val="00453E0A"/>
    <w:rsid w:val="004541EB"/>
    <w:rsid w:val="00454575"/>
    <w:rsid w:val="004545C5"/>
    <w:rsid w:val="00454843"/>
    <w:rsid w:val="00454919"/>
    <w:rsid w:val="004549CA"/>
    <w:rsid w:val="004549FD"/>
    <w:rsid w:val="00454C5B"/>
    <w:rsid w:val="00454CFC"/>
    <w:rsid w:val="00454E01"/>
    <w:rsid w:val="00455318"/>
    <w:rsid w:val="0045532E"/>
    <w:rsid w:val="00455437"/>
    <w:rsid w:val="00455930"/>
    <w:rsid w:val="00455AC3"/>
    <w:rsid w:val="00455B27"/>
    <w:rsid w:val="00455B4C"/>
    <w:rsid w:val="00455E0B"/>
    <w:rsid w:val="00455E33"/>
    <w:rsid w:val="0045600C"/>
    <w:rsid w:val="00456079"/>
    <w:rsid w:val="00456449"/>
    <w:rsid w:val="00456698"/>
    <w:rsid w:val="004566A3"/>
    <w:rsid w:val="004567AB"/>
    <w:rsid w:val="0045695E"/>
    <w:rsid w:val="00456A13"/>
    <w:rsid w:val="00456C7B"/>
    <w:rsid w:val="00456D5B"/>
    <w:rsid w:val="00456F65"/>
    <w:rsid w:val="00456FEB"/>
    <w:rsid w:val="0045700E"/>
    <w:rsid w:val="00457109"/>
    <w:rsid w:val="0045725D"/>
    <w:rsid w:val="00457318"/>
    <w:rsid w:val="00457584"/>
    <w:rsid w:val="004575F9"/>
    <w:rsid w:val="00457779"/>
    <w:rsid w:val="0045779B"/>
    <w:rsid w:val="00457910"/>
    <w:rsid w:val="0045798D"/>
    <w:rsid w:val="004579C1"/>
    <w:rsid w:val="00457A28"/>
    <w:rsid w:val="00457CB9"/>
    <w:rsid w:val="00457EC6"/>
    <w:rsid w:val="004601AA"/>
    <w:rsid w:val="004602DC"/>
    <w:rsid w:val="004602FD"/>
    <w:rsid w:val="0046043B"/>
    <w:rsid w:val="004604F7"/>
    <w:rsid w:val="00460901"/>
    <w:rsid w:val="0046095F"/>
    <w:rsid w:val="00460B7C"/>
    <w:rsid w:val="00460CFD"/>
    <w:rsid w:val="00460E69"/>
    <w:rsid w:val="00460E78"/>
    <w:rsid w:val="00460F9A"/>
    <w:rsid w:val="00461165"/>
    <w:rsid w:val="004612FF"/>
    <w:rsid w:val="00461610"/>
    <w:rsid w:val="00461741"/>
    <w:rsid w:val="00461817"/>
    <w:rsid w:val="00461862"/>
    <w:rsid w:val="004618A0"/>
    <w:rsid w:val="00461A73"/>
    <w:rsid w:val="00461B88"/>
    <w:rsid w:val="00461F09"/>
    <w:rsid w:val="00461FB6"/>
    <w:rsid w:val="0046201B"/>
    <w:rsid w:val="004621AE"/>
    <w:rsid w:val="00462290"/>
    <w:rsid w:val="00462449"/>
    <w:rsid w:val="00462C14"/>
    <w:rsid w:val="00462D11"/>
    <w:rsid w:val="004631E1"/>
    <w:rsid w:val="004633BA"/>
    <w:rsid w:val="004636B1"/>
    <w:rsid w:val="00463809"/>
    <w:rsid w:val="0046397B"/>
    <w:rsid w:val="00463B0D"/>
    <w:rsid w:val="00463BA6"/>
    <w:rsid w:val="00463C1F"/>
    <w:rsid w:val="00463D99"/>
    <w:rsid w:val="00463DAE"/>
    <w:rsid w:val="00463FA3"/>
    <w:rsid w:val="00463FFE"/>
    <w:rsid w:val="00464209"/>
    <w:rsid w:val="0046425E"/>
    <w:rsid w:val="004642DE"/>
    <w:rsid w:val="00464961"/>
    <w:rsid w:val="00464ADB"/>
    <w:rsid w:val="00464B44"/>
    <w:rsid w:val="00464BC3"/>
    <w:rsid w:val="00464DD9"/>
    <w:rsid w:val="00464EF4"/>
    <w:rsid w:val="00465047"/>
    <w:rsid w:val="004654DC"/>
    <w:rsid w:val="004657E9"/>
    <w:rsid w:val="00465979"/>
    <w:rsid w:val="00465AA1"/>
    <w:rsid w:val="00465B9F"/>
    <w:rsid w:val="00465BE6"/>
    <w:rsid w:val="00465C1B"/>
    <w:rsid w:val="00465FEB"/>
    <w:rsid w:val="00465FF4"/>
    <w:rsid w:val="0046623A"/>
    <w:rsid w:val="004662F4"/>
    <w:rsid w:val="004665CB"/>
    <w:rsid w:val="00466620"/>
    <w:rsid w:val="004667B1"/>
    <w:rsid w:val="004667E5"/>
    <w:rsid w:val="00466888"/>
    <w:rsid w:val="00466A0C"/>
    <w:rsid w:val="00466E18"/>
    <w:rsid w:val="00467117"/>
    <w:rsid w:val="00467251"/>
    <w:rsid w:val="004672AF"/>
    <w:rsid w:val="0046732C"/>
    <w:rsid w:val="004674DE"/>
    <w:rsid w:val="00467604"/>
    <w:rsid w:val="004676DB"/>
    <w:rsid w:val="004676F6"/>
    <w:rsid w:val="00467704"/>
    <w:rsid w:val="00467786"/>
    <w:rsid w:val="004677F0"/>
    <w:rsid w:val="0046792B"/>
    <w:rsid w:val="00467B6B"/>
    <w:rsid w:val="00467B7B"/>
    <w:rsid w:val="00467BCD"/>
    <w:rsid w:val="00467E13"/>
    <w:rsid w:val="00467E4D"/>
    <w:rsid w:val="00467EEA"/>
    <w:rsid w:val="00467F1B"/>
    <w:rsid w:val="0047007F"/>
    <w:rsid w:val="0047038F"/>
    <w:rsid w:val="00470428"/>
    <w:rsid w:val="0047060B"/>
    <w:rsid w:val="00470669"/>
    <w:rsid w:val="004706B8"/>
    <w:rsid w:val="00470819"/>
    <w:rsid w:val="0047081D"/>
    <w:rsid w:val="004708C7"/>
    <w:rsid w:val="00470AF1"/>
    <w:rsid w:val="00470B8E"/>
    <w:rsid w:val="00470B9B"/>
    <w:rsid w:val="00470C3F"/>
    <w:rsid w:val="00470E17"/>
    <w:rsid w:val="00470E96"/>
    <w:rsid w:val="00470F15"/>
    <w:rsid w:val="00471075"/>
    <w:rsid w:val="00471110"/>
    <w:rsid w:val="00471174"/>
    <w:rsid w:val="004712CC"/>
    <w:rsid w:val="00471737"/>
    <w:rsid w:val="0047198D"/>
    <w:rsid w:val="00471995"/>
    <w:rsid w:val="00471B28"/>
    <w:rsid w:val="00471D48"/>
    <w:rsid w:val="00471D64"/>
    <w:rsid w:val="004722CD"/>
    <w:rsid w:val="00472371"/>
    <w:rsid w:val="004723D2"/>
    <w:rsid w:val="00472695"/>
    <w:rsid w:val="00472B23"/>
    <w:rsid w:val="00472BA0"/>
    <w:rsid w:val="00472BB6"/>
    <w:rsid w:val="00472BF9"/>
    <w:rsid w:val="00472E66"/>
    <w:rsid w:val="004732DB"/>
    <w:rsid w:val="00473369"/>
    <w:rsid w:val="004736C9"/>
    <w:rsid w:val="004736E2"/>
    <w:rsid w:val="00473721"/>
    <w:rsid w:val="0047375C"/>
    <w:rsid w:val="0047377A"/>
    <w:rsid w:val="0047395C"/>
    <w:rsid w:val="004739DA"/>
    <w:rsid w:val="00473AF3"/>
    <w:rsid w:val="00473C35"/>
    <w:rsid w:val="00473FE6"/>
    <w:rsid w:val="00474137"/>
    <w:rsid w:val="00474257"/>
    <w:rsid w:val="0047426B"/>
    <w:rsid w:val="004744AB"/>
    <w:rsid w:val="004745C5"/>
    <w:rsid w:val="0047476A"/>
    <w:rsid w:val="00474935"/>
    <w:rsid w:val="00474B7B"/>
    <w:rsid w:val="00474BDD"/>
    <w:rsid w:val="00474D21"/>
    <w:rsid w:val="00474ECC"/>
    <w:rsid w:val="004751EA"/>
    <w:rsid w:val="004752B6"/>
    <w:rsid w:val="00475318"/>
    <w:rsid w:val="004754A2"/>
    <w:rsid w:val="004755C2"/>
    <w:rsid w:val="004756A8"/>
    <w:rsid w:val="00475DE5"/>
    <w:rsid w:val="00476205"/>
    <w:rsid w:val="00476334"/>
    <w:rsid w:val="0047657A"/>
    <w:rsid w:val="00476641"/>
    <w:rsid w:val="00476E71"/>
    <w:rsid w:val="00477110"/>
    <w:rsid w:val="004771A3"/>
    <w:rsid w:val="004773FE"/>
    <w:rsid w:val="00477542"/>
    <w:rsid w:val="00477598"/>
    <w:rsid w:val="004775D0"/>
    <w:rsid w:val="0047771C"/>
    <w:rsid w:val="0047799D"/>
    <w:rsid w:val="00477F8B"/>
    <w:rsid w:val="00480012"/>
    <w:rsid w:val="0048018D"/>
    <w:rsid w:val="004804E3"/>
    <w:rsid w:val="00480692"/>
    <w:rsid w:val="00480932"/>
    <w:rsid w:val="00480AF8"/>
    <w:rsid w:val="00480B94"/>
    <w:rsid w:val="00480D18"/>
    <w:rsid w:val="0048110B"/>
    <w:rsid w:val="00481201"/>
    <w:rsid w:val="0048120B"/>
    <w:rsid w:val="0048131C"/>
    <w:rsid w:val="00481422"/>
    <w:rsid w:val="00481525"/>
    <w:rsid w:val="0048160D"/>
    <w:rsid w:val="004816F8"/>
    <w:rsid w:val="00481711"/>
    <w:rsid w:val="0048176B"/>
    <w:rsid w:val="004817D1"/>
    <w:rsid w:val="004817E5"/>
    <w:rsid w:val="00481AE4"/>
    <w:rsid w:val="00481CD7"/>
    <w:rsid w:val="00481D16"/>
    <w:rsid w:val="00481D2F"/>
    <w:rsid w:val="00481DBA"/>
    <w:rsid w:val="00481EEF"/>
    <w:rsid w:val="00482009"/>
    <w:rsid w:val="0048224C"/>
    <w:rsid w:val="004823BD"/>
    <w:rsid w:val="0048258D"/>
    <w:rsid w:val="004825C9"/>
    <w:rsid w:val="004825D5"/>
    <w:rsid w:val="00482646"/>
    <w:rsid w:val="00482701"/>
    <w:rsid w:val="00482DCC"/>
    <w:rsid w:val="00482E3F"/>
    <w:rsid w:val="00482E7B"/>
    <w:rsid w:val="00483038"/>
    <w:rsid w:val="004834C5"/>
    <w:rsid w:val="00483542"/>
    <w:rsid w:val="00483581"/>
    <w:rsid w:val="00483645"/>
    <w:rsid w:val="004836BF"/>
    <w:rsid w:val="004836ED"/>
    <w:rsid w:val="0048391B"/>
    <w:rsid w:val="004839E9"/>
    <w:rsid w:val="00483DE1"/>
    <w:rsid w:val="004840BC"/>
    <w:rsid w:val="00484211"/>
    <w:rsid w:val="00484298"/>
    <w:rsid w:val="004842AC"/>
    <w:rsid w:val="0048439A"/>
    <w:rsid w:val="004848AD"/>
    <w:rsid w:val="00484B17"/>
    <w:rsid w:val="00484D22"/>
    <w:rsid w:val="00484D91"/>
    <w:rsid w:val="00484EB9"/>
    <w:rsid w:val="00484EBE"/>
    <w:rsid w:val="00484F3B"/>
    <w:rsid w:val="00485142"/>
    <w:rsid w:val="004851E9"/>
    <w:rsid w:val="004857CE"/>
    <w:rsid w:val="0048584F"/>
    <w:rsid w:val="004858AA"/>
    <w:rsid w:val="00485907"/>
    <w:rsid w:val="00485BDE"/>
    <w:rsid w:val="00485C09"/>
    <w:rsid w:val="00485D8D"/>
    <w:rsid w:val="00485D9F"/>
    <w:rsid w:val="00485DAD"/>
    <w:rsid w:val="00485E54"/>
    <w:rsid w:val="00485EE4"/>
    <w:rsid w:val="00485FDA"/>
    <w:rsid w:val="00486050"/>
    <w:rsid w:val="0048615F"/>
    <w:rsid w:val="00486432"/>
    <w:rsid w:val="00486547"/>
    <w:rsid w:val="004866D7"/>
    <w:rsid w:val="00486700"/>
    <w:rsid w:val="004867CB"/>
    <w:rsid w:val="00486AD7"/>
    <w:rsid w:val="00486CF6"/>
    <w:rsid w:val="00486E3E"/>
    <w:rsid w:val="0048727A"/>
    <w:rsid w:val="004872DE"/>
    <w:rsid w:val="004872DF"/>
    <w:rsid w:val="00487380"/>
    <w:rsid w:val="004873CC"/>
    <w:rsid w:val="00487443"/>
    <w:rsid w:val="004875CD"/>
    <w:rsid w:val="004875FF"/>
    <w:rsid w:val="004876AA"/>
    <w:rsid w:val="00487B8B"/>
    <w:rsid w:val="00487C90"/>
    <w:rsid w:val="00487FE9"/>
    <w:rsid w:val="00490014"/>
    <w:rsid w:val="0049015F"/>
    <w:rsid w:val="004901AA"/>
    <w:rsid w:val="0049024F"/>
    <w:rsid w:val="00490461"/>
    <w:rsid w:val="00490701"/>
    <w:rsid w:val="004907F3"/>
    <w:rsid w:val="00490948"/>
    <w:rsid w:val="00490B87"/>
    <w:rsid w:val="00490C8B"/>
    <w:rsid w:val="00490D0F"/>
    <w:rsid w:val="00490EBC"/>
    <w:rsid w:val="00491066"/>
    <w:rsid w:val="00491284"/>
    <w:rsid w:val="004913EB"/>
    <w:rsid w:val="0049168A"/>
    <w:rsid w:val="00491726"/>
    <w:rsid w:val="00491738"/>
    <w:rsid w:val="004917DE"/>
    <w:rsid w:val="004918D4"/>
    <w:rsid w:val="00491B32"/>
    <w:rsid w:val="00491C0A"/>
    <w:rsid w:val="00492403"/>
    <w:rsid w:val="0049242A"/>
    <w:rsid w:val="004925D7"/>
    <w:rsid w:val="004928A1"/>
    <w:rsid w:val="00492989"/>
    <w:rsid w:val="00492AAA"/>
    <w:rsid w:val="00492AAC"/>
    <w:rsid w:val="00492B88"/>
    <w:rsid w:val="00492FEF"/>
    <w:rsid w:val="00493077"/>
    <w:rsid w:val="0049313F"/>
    <w:rsid w:val="00493639"/>
    <w:rsid w:val="0049378C"/>
    <w:rsid w:val="0049383B"/>
    <w:rsid w:val="0049384F"/>
    <w:rsid w:val="00493941"/>
    <w:rsid w:val="00493B2E"/>
    <w:rsid w:val="00493DC1"/>
    <w:rsid w:val="00494173"/>
    <w:rsid w:val="00494843"/>
    <w:rsid w:val="004949D3"/>
    <w:rsid w:val="00494B1D"/>
    <w:rsid w:val="00494DBD"/>
    <w:rsid w:val="00494DC3"/>
    <w:rsid w:val="00494DC5"/>
    <w:rsid w:val="00494E17"/>
    <w:rsid w:val="00494ECD"/>
    <w:rsid w:val="00494F1F"/>
    <w:rsid w:val="004950F3"/>
    <w:rsid w:val="00495177"/>
    <w:rsid w:val="0049523A"/>
    <w:rsid w:val="00495250"/>
    <w:rsid w:val="0049535A"/>
    <w:rsid w:val="004953FA"/>
    <w:rsid w:val="004954F7"/>
    <w:rsid w:val="00495696"/>
    <w:rsid w:val="004956F7"/>
    <w:rsid w:val="0049598E"/>
    <w:rsid w:val="004959D7"/>
    <w:rsid w:val="004959F5"/>
    <w:rsid w:val="00495A87"/>
    <w:rsid w:val="00495B37"/>
    <w:rsid w:val="00495C33"/>
    <w:rsid w:val="00495DF1"/>
    <w:rsid w:val="00495E01"/>
    <w:rsid w:val="00495E85"/>
    <w:rsid w:val="00495EEE"/>
    <w:rsid w:val="00495F05"/>
    <w:rsid w:val="00495FB1"/>
    <w:rsid w:val="00496142"/>
    <w:rsid w:val="004966DB"/>
    <w:rsid w:val="004966FD"/>
    <w:rsid w:val="00496743"/>
    <w:rsid w:val="00496875"/>
    <w:rsid w:val="00496A49"/>
    <w:rsid w:val="00496CB2"/>
    <w:rsid w:val="00496CD3"/>
    <w:rsid w:val="00496D0F"/>
    <w:rsid w:val="00496E92"/>
    <w:rsid w:val="004970EF"/>
    <w:rsid w:val="0049712F"/>
    <w:rsid w:val="004971B8"/>
    <w:rsid w:val="0049729B"/>
    <w:rsid w:val="00497651"/>
    <w:rsid w:val="00497B98"/>
    <w:rsid w:val="00497BC9"/>
    <w:rsid w:val="004A005A"/>
    <w:rsid w:val="004A00F0"/>
    <w:rsid w:val="004A01BB"/>
    <w:rsid w:val="004A03B7"/>
    <w:rsid w:val="004A0460"/>
    <w:rsid w:val="004A07C8"/>
    <w:rsid w:val="004A08A9"/>
    <w:rsid w:val="004A0AA3"/>
    <w:rsid w:val="004A0DB9"/>
    <w:rsid w:val="004A0EBE"/>
    <w:rsid w:val="004A0F09"/>
    <w:rsid w:val="004A1001"/>
    <w:rsid w:val="004A1030"/>
    <w:rsid w:val="004A11F0"/>
    <w:rsid w:val="004A123F"/>
    <w:rsid w:val="004A13B6"/>
    <w:rsid w:val="004A1626"/>
    <w:rsid w:val="004A164D"/>
    <w:rsid w:val="004A1881"/>
    <w:rsid w:val="004A1898"/>
    <w:rsid w:val="004A195C"/>
    <w:rsid w:val="004A1A39"/>
    <w:rsid w:val="004A1A62"/>
    <w:rsid w:val="004A1AD9"/>
    <w:rsid w:val="004A1ADB"/>
    <w:rsid w:val="004A1C61"/>
    <w:rsid w:val="004A1E23"/>
    <w:rsid w:val="004A1E6C"/>
    <w:rsid w:val="004A1E96"/>
    <w:rsid w:val="004A1EF9"/>
    <w:rsid w:val="004A1F8E"/>
    <w:rsid w:val="004A209F"/>
    <w:rsid w:val="004A20C5"/>
    <w:rsid w:val="004A223A"/>
    <w:rsid w:val="004A228C"/>
    <w:rsid w:val="004A22C5"/>
    <w:rsid w:val="004A2443"/>
    <w:rsid w:val="004A25B2"/>
    <w:rsid w:val="004A283B"/>
    <w:rsid w:val="004A2CD5"/>
    <w:rsid w:val="004A2DA3"/>
    <w:rsid w:val="004A3170"/>
    <w:rsid w:val="004A31B6"/>
    <w:rsid w:val="004A3409"/>
    <w:rsid w:val="004A3459"/>
    <w:rsid w:val="004A34EA"/>
    <w:rsid w:val="004A3527"/>
    <w:rsid w:val="004A39A2"/>
    <w:rsid w:val="004A39CE"/>
    <w:rsid w:val="004A3ABB"/>
    <w:rsid w:val="004A3B58"/>
    <w:rsid w:val="004A4198"/>
    <w:rsid w:val="004A431D"/>
    <w:rsid w:val="004A4359"/>
    <w:rsid w:val="004A43EE"/>
    <w:rsid w:val="004A448E"/>
    <w:rsid w:val="004A44C4"/>
    <w:rsid w:val="004A4705"/>
    <w:rsid w:val="004A474D"/>
    <w:rsid w:val="004A47FD"/>
    <w:rsid w:val="004A4B10"/>
    <w:rsid w:val="004A4BB4"/>
    <w:rsid w:val="004A4C33"/>
    <w:rsid w:val="004A4E12"/>
    <w:rsid w:val="004A4E3A"/>
    <w:rsid w:val="004A51F0"/>
    <w:rsid w:val="004A54CD"/>
    <w:rsid w:val="004A54D8"/>
    <w:rsid w:val="004A556F"/>
    <w:rsid w:val="004A55A5"/>
    <w:rsid w:val="004A5719"/>
    <w:rsid w:val="004A58F1"/>
    <w:rsid w:val="004A5970"/>
    <w:rsid w:val="004A5999"/>
    <w:rsid w:val="004A5C56"/>
    <w:rsid w:val="004A5CDE"/>
    <w:rsid w:val="004A5FE3"/>
    <w:rsid w:val="004A61D4"/>
    <w:rsid w:val="004A6271"/>
    <w:rsid w:val="004A655D"/>
    <w:rsid w:val="004A66E2"/>
    <w:rsid w:val="004A67BE"/>
    <w:rsid w:val="004A6877"/>
    <w:rsid w:val="004A6903"/>
    <w:rsid w:val="004A699F"/>
    <w:rsid w:val="004A6BDB"/>
    <w:rsid w:val="004A6E26"/>
    <w:rsid w:val="004A6E4F"/>
    <w:rsid w:val="004A6FFD"/>
    <w:rsid w:val="004A7044"/>
    <w:rsid w:val="004A709F"/>
    <w:rsid w:val="004A726C"/>
    <w:rsid w:val="004A76A9"/>
    <w:rsid w:val="004A76FD"/>
    <w:rsid w:val="004A7C57"/>
    <w:rsid w:val="004A7D6C"/>
    <w:rsid w:val="004A7E3A"/>
    <w:rsid w:val="004A7E43"/>
    <w:rsid w:val="004B014D"/>
    <w:rsid w:val="004B0235"/>
    <w:rsid w:val="004B035D"/>
    <w:rsid w:val="004B041C"/>
    <w:rsid w:val="004B08FD"/>
    <w:rsid w:val="004B0E7D"/>
    <w:rsid w:val="004B0E9D"/>
    <w:rsid w:val="004B0F2F"/>
    <w:rsid w:val="004B0F43"/>
    <w:rsid w:val="004B1015"/>
    <w:rsid w:val="004B104B"/>
    <w:rsid w:val="004B10CD"/>
    <w:rsid w:val="004B11D5"/>
    <w:rsid w:val="004B1315"/>
    <w:rsid w:val="004B1408"/>
    <w:rsid w:val="004B1468"/>
    <w:rsid w:val="004B14F2"/>
    <w:rsid w:val="004B15A5"/>
    <w:rsid w:val="004B15B3"/>
    <w:rsid w:val="004B17D4"/>
    <w:rsid w:val="004B1AF2"/>
    <w:rsid w:val="004B1BB1"/>
    <w:rsid w:val="004B1CA0"/>
    <w:rsid w:val="004B1DC5"/>
    <w:rsid w:val="004B1E2F"/>
    <w:rsid w:val="004B1F19"/>
    <w:rsid w:val="004B2110"/>
    <w:rsid w:val="004B243A"/>
    <w:rsid w:val="004B2451"/>
    <w:rsid w:val="004B2530"/>
    <w:rsid w:val="004B261F"/>
    <w:rsid w:val="004B29F9"/>
    <w:rsid w:val="004B2B54"/>
    <w:rsid w:val="004B2BA9"/>
    <w:rsid w:val="004B2CA4"/>
    <w:rsid w:val="004B2D57"/>
    <w:rsid w:val="004B2DCD"/>
    <w:rsid w:val="004B384F"/>
    <w:rsid w:val="004B3989"/>
    <w:rsid w:val="004B3A09"/>
    <w:rsid w:val="004B3A5D"/>
    <w:rsid w:val="004B3A7C"/>
    <w:rsid w:val="004B3A86"/>
    <w:rsid w:val="004B3C58"/>
    <w:rsid w:val="004B3CDE"/>
    <w:rsid w:val="004B3E31"/>
    <w:rsid w:val="004B3F1E"/>
    <w:rsid w:val="004B4113"/>
    <w:rsid w:val="004B428E"/>
    <w:rsid w:val="004B4641"/>
    <w:rsid w:val="004B4734"/>
    <w:rsid w:val="004B4808"/>
    <w:rsid w:val="004B4B06"/>
    <w:rsid w:val="004B4DDD"/>
    <w:rsid w:val="004B4F9A"/>
    <w:rsid w:val="004B50E4"/>
    <w:rsid w:val="004B5366"/>
    <w:rsid w:val="004B53A5"/>
    <w:rsid w:val="004B5489"/>
    <w:rsid w:val="004B5500"/>
    <w:rsid w:val="004B5635"/>
    <w:rsid w:val="004B57EA"/>
    <w:rsid w:val="004B5AC1"/>
    <w:rsid w:val="004B5ACA"/>
    <w:rsid w:val="004B5AED"/>
    <w:rsid w:val="004B5B2E"/>
    <w:rsid w:val="004B5B78"/>
    <w:rsid w:val="004B5C53"/>
    <w:rsid w:val="004B65C3"/>
    <w:rsid w:val="004B6752"/>
    <w:rsid w:val="004B6784"/>
    <w:rsid w:val="004B67FB"/>
    <w:rsid w:val="004B683A"/>
    <w:rsid w:val="004B6980"/>
    <w:rsid w:val="004B6BC3"/>
    <w:rsid w:val="004B6CC7"/>
    <w:rsid w:val="004B6E74"/>
    <w:rsid w:val="004B6FF3"/>
    <w:rsid w:val="004B7008"/>
    <w:rsid w:val="004B719F"/>
    <w:rsid w:val="004B7518"/>
    <w:rsid w:val="004B75AA"/>
    <w:rsid w:val="004B75E9"/>
    <w:rsid w:val="004B75F5"/>
    <w:rsid w:val="004B7616"/>
    <w:rsid w:val="004B761A"/>
    <w:rsid w:val="004B7655"/>
    <w:rsid w:val="004B76A2"/>
    <w:rsid w:val="004B7763"/>
    <w:rsid w:val="004B7846"/>
    <w:rsid w:val="004B792F"/>
    <w:rsid w:val="004B7AC7"/>
    <w:rsid w:val="004B7B13"/>
    <w:rsid w:val="004B7F6C"/>
    <w:rsid w:val="004C002D"/>
    <w:rsid w:val="004C014C"/>
    <w:rsid w:val="004C0204"/>
    <w:rsid w:val="004C029B"/>
    <w:rsid w:val="004C038B"/>
    <w:rsid w:val="004C0498"/>
    <w:rsid w:val="004C054C"/>
    <w:rsid w:val="004C0566"/>
    <w:rsid w:val="004C05F2"/>
    <w:rsid w:val="004C06FF"/>
    <w:rsid w:val="004C0711"/>
    <w:rsid w:val="004C091E"/>
    <w:rsid w:val="004C0966"/>
    <w:rsid w:val="004C09E6"/>
    <w:rsid w:val="004C0A27"/>
    <w:rsid w:val="004C0C4D"/>
    <w:rsid w:val="004C0CCD"/>
    <w:rsid w:val="004C10AE"/>
    <w:rsid w:val="004C1363"/>
    <w:rsid w:val="004C154F"/>
    <w:rsid w:val="004C16CF"/>
    <w:rsid w:val="004C1990"/>
    <w:rsid w:val="004C2013"/>
    <w:rsid w:val="004C21C5"/>
    <w:rsid w:val="004C22FB"/>
    <w:rsid w:val="004C272A"/>
    <w:rsid w:val="004C2C43"/>
    <w:rsid w:val="004C2C90"/>
    <w:rsid w:val="004C2D4E"/>
    <w:rsid w:val="004C2E45"/>
    <w:rsid w:val="004C2F3F"/>
    <w:rsid w:val="004C31EB"/>
    <w:rsid w:val="004C37BD"/>
    <w:rsid w:val="004C3936"/>
    <w:rsid w:val="004C3BA9"/>
    <w:rsid w:val="004C3C43"/>
    <w:rsid w:val="004C3CCE"/>
    <w:rsid w:val="004C3CDB"/>
    <w:rsid w:val="004C3D54"/>
    <w:rsid w:val="004C3DFE"/>
    <w:rsid w:val="004C3E9E"/>
    <w:rsid w:val="004C42A2"/>
    <w:rsid w:val="004C4445"/>
    <w:rsid w:val="004C4502"/>
    <w:rsid w:val="004C4565"/>
    <w:rsid w:val="004C463B"/>
    <w:rsid w:val="004C46AD"/>
    <w:rsid w:val="004C46B7"/>
    <w:rsid w:val="004C46F4"/>
    <w:rsid w:val="004C476D"/>
    <w:rsid w:val="004C486D"/>
    <w:rsid w:val="004C4885"/>
    <w:rsid w:val="004C54DD"/>
    <w:rsid w:val="004C564C"/>
    <w:rsid w:val="004C56F0"/>
    <w:rsid w:val="004C590D"/>
    <w:rsid w:val="004C591F"/>
    <w:rsid w:val="004C5AF5"/>
    <w:rsid w:val="004C5B61"/>
    <w:rsid w:val="004C5C14"/>
    <w:rsid w:val="004C5CB4"/>
    <w:rsid w:val="004C5CB9"/>
    <w:rsid w:val="004C5CE2"/>
    <w:rsid w:val="004C5D2F"/>
    <w:rsid w:val="004C5D58"/>
    <w:rsid w:val="004C6031"/>
    <w:rsid w:val="004C6461"/>
    <w:rsid w:val="004C652A"/>
    <w:rsid w:val="004C66B5"/>
    <w:rsid w:val="004C69D7"/>
    <w:rsid w:val="004C6B77"/>
    <w:rsid w:val="004C6DBD"/>
    <w:rsid w:val="004C6E7C"/>
    <w:rsid w:val="004C708D"/>
    <w:rsid w:val="004C71FC"/>
    <w:rsid w:val="004C7309"/>
    <w:rsid w:val="004C7599"/>
    <w:rsid w:val="004C7629"/>
    <w:rsid w:val="004C775C"/>
    <w:rsid w:val="004C77D0"/>
    <w:rsid w:val="004C7962"/>
    <w:rsid w:val="004C797C"/>
    <w:rsid w:val="004C7A07"/>
    <w:rsid w:val="004C7BC5"/>
    <w:rsid w:val="004C7D8C"/>
    <w:rsid w:val="004C7F30"/>
    <w:rsid w:val="004D0152"/>
    <w:rsid w:val="004D0384"/>
    <w:rsid w:val="004D078D"/>
    <w:rsid w:val="004D08A5"/>
    <w:rsid w:val="004D0C52"/>
    <w:rsid w:val="004D0F02"/>
    <w:rsid w:val="004D106A"/>
    <w:rsid w:val="004D108A"/>
    <w:rsid w:val="004D117B"/>
    <w:rsid w:val="004D1235"/>
    <w:rsid w:val="004D12B2"/>
    <w:rsid w:val="004D1385"/>
    <w:rsid w:val="004D1486"/>
    <w:rsid w:val="004D14D4"/>
    <w:rsid w:val="004D14F3"/>
    <w:rsid w:val="004D166E"/>
    <w:rsid w:val="004D17AB"/>
    <w:rsid w:val="004D17FC"/>
    <w:rsid w:val="004D1862"/>
    <w:rsid w:val="004D1B7B"/>
    <w:rsid w:val="004D1CFD"/>
    <w:rsid w:val="004D1DDE"/>
    <w:rsid w:val="004D1F0A"/>
    <w:rsid w:val="004D1F5F"/>
    <w:rsid w:val="004D2184"/>
    <w:rsid w:val="004D21FA"/>
    <w:rsid w:val="004D265C"/>
    <w:rsid w:val="004D3176"/>
    <w:rsid w:val="004D32A1"/>
    <w:rsid w:val="004D3419"/>
    <w:rsid w:val="004D37BD"/>
    <w:rsid w:val="004D38BB"/>
    <w:rsid w:val="004D3952"/>
    <w:rsid w:val="004D3A6F"/>
    <w:rsid w:val="004D3A91"/>
    <w:rsid w:val="004D3AE4"/>
    <w:rsid w:val="004D3B20"/>
    <w:rsid w:val="004D3BB5"/>
    <w:rsid w:val="004D3DCA"/>
    <w:rsid w:val="004D4013"/>
    <w:rsid w:val="004D435F"/>
    <w:rsid w:val="004D45C7"/>
    <w:rsid w:val="004D463F"/>
    <w:rsid w:val="004D464F"/>
    <w:rsid w:val="004D4694"/>
    <w:rsid w:val="004D4941"/>
    <w:rsid w:val="004D49DB"/>
    <w:rsid w:val="004D4ABC"/>
    <w:rsid w:val="004D4B73"/>
    <w:rsid w:val="004D51EF"/>
    <w:rsid w:val="004D522C"/>
    <w:rsid w:val="004D54A1"/>
    <w:rsid w:val="004D54EE"/>
    <w:rsid w:val="004D554D"/>
    <w:rsid w:val="004D5721"/>
    <w:rsid w:val="004D5C17"/>
    <w:rsid w:val="004D5CA2"/>
    <w:rsid w:val="004D5CDA"/>
    <w:rsid w:val="004D5DA3"/>
    <w:rsid w:val="004D5E21"/>
    <w:rsid w:val="004D6068"/>
    <w:rsid w:val="004D62F1"/>
    <w:rsid w:val="004D6408"/>
    <w:rsid w:val="004D6817"/>
    <w:rsid w:val="004D694D"/>
    <w:rsid w:val="004D69DD"/>
    <w:rsid w:val="004D6A40"/>
    <w:rsid w:val="004D6AC9"/>
    <w:rsid w:val="004D6E47"/>
    <w:rsid w:val="004D7073"/>
    <w:rsid w:val="004D7357"/>
    <w:rsid w:val="004D73ED"/>
    <w:rsid w:val="004D74CF"/>
    <w:rsid w:val="004D769C"/>
    <w:rsid w:val="004D76AA"/>
    <w:rsid w:val="004D7742"/>
    <w:rsid w:val="004D7887"/>
    <w:rsid w:val="004D790A"/>
    <w:rsid w:val="004D7932"/>
    <w:rsid w:val="004D7B21"/>
    <w:rsid w:val="004D7BBC"/>
    <w:rsid w:val="004D7CB0"/>
    <w:rsid w:val="004D7E45"/>
    <w:rsid w:val="004E0010"/>
    <w:rsid w:val="004E014F"/>
    <w:rsid w:val="004E024F"/>
    <w:rsid w:val="004E0A03"/>
    <w:rsid w:val="004E0A24"/>
    <w:rsid w:val="004E0DF7"/>
    <w:rsid w:val="004E0E7C"/>
    <w:rsid w:val="004E11FB"/>
    <w:rsid w:val="004E12D6"/>
    <w:rsid w:val="004E1426"/>
    <w:rsid w:val="004E1571"/>
    <w:rsid w:val="004E15AB"/>
    <w:rsid w:val="004E169B"/>
    <w:rsid w:val="004E16B6"/>
    <w:rsid w:val="004E189B"/>
    <w:rsid w:val="004E1907"/>
    <w:rsid w:val="004E19A1"/>
    <w:rsid w:val="004E19A8"/>
    <w:rsid w:val="004E1A3B"/>
    <w:rsid w:val="004E1A70"/>
    <w:rsid w:val="004E1B97"/>
    <w:rsid w:val="004E1E78"/>
    <w:rsid w:val="004E20A8"/>
    <w:rsid w:val="004E252E"/>
    <w:rsid w:val="004E2854"/>
    <w:rsid w:val="004E285E"/>
    <w:rsid w:val="004E2A8F"/>
    <w:rsid w:val="004E2AD9"/>
    <w:rsid w:val="004E2BBD"/>
    <w:rsid w:val="004E2C42"/>
    <w:rsid w:val="004E2D2B"/>
    <w:rsid w:val="004E2E6B"/>
    <w:rsid w:val="004E2F2C"/>
    <w:rsid w:val="004E2F42"/>
    <w:rsid w:val="004E3223"/>
    <w:rsid w:val="004E345D"/>
    <w:rsid w:val="004E34F4"/>
    <w:rsid w:val="004E3649"/>
    <w:rsid w:val="004E390B"/>
    <w:rsid w:val="004E3AA6"/>
    <w:rsid w:val="004E3BF6"/>
    <w:rsid w:val="004E3CB0"/>
    <w:rsid w:val="004E4194"/>
    <w:rsid w:val="004E42A9"/>
    <w:rsid w:val="004E43B0"/>
    <w:rsid w:val="004E43E0"/>
    <w:rsid w:val="004E47D4"/>
    <w:rsid w:val="004E48F5"/>
    <w:rsid w:val="004E4C0C"/>
    <w:rsid w:val="004E4C24"/>
    <w:rsid w:val="004E4DFE"/>
    <w:rsid w:val="004E4F22"/>
    <w:rsid w:val="004E52AF"/>
    <w:rsid w:val="004E53A1"/>
    <w:rsid w:val="004E562E"/>
    <w:rsid w:val="004E5735"/>
    <w:rsid w:val="004E58FE"/>
    <w:rsid w:val="004E59CF"/>
    <w:rsid w:val="004E5A20"/>
    <w:rsid w:val="004E5AB7"/>
    <w:rsid w:val="004E5C07"/>
    <w:rsid w:val="004E5DC3"/>
    <w:rsid w:val="004E5EDA"/>
    <w:rsid w:val="004E6106"/>
    <w:rsid w:val="004E62A9"/>
    <w:rsid w:val="004E62BA"/>
    <w:rsid w:val="004E6349"/>
    <w:rsid w:val="004E63CB"/>
    <w:rsid w:val="004E63D7"/>
    <w:rsid w:val="004E65BA"/>
    <w:rsid w:val="004E6616"/>
    <w:rsid w:val="004E6774"/>
    <w:rsid w:val="004E6899"/>
    <w:rsid w:val="004E6A8C"/>
    <w:rsid w:val="004E6ACB"/>
    <w:rsid w:val="004E6B49"/>
    <w:rsid w:val="004E6BF4"/>
    <w:rsid w:val="004E6C55"/>
    <w:rsid w:val="004E6F22"/>
    <w:rsid w:val="004E6FE1"/>
    <w:rsid w:val="004E7062"/>
    <w:rsid w:val="004E7183"/>
    <w:rsid w:val="004E73EF"/>
    <w:rsid w:val="004E755B"/>
    <w:rsid w:val="004E771B"/>
    <w:rsid w:val="004E77B3"/>
    <w:rsid w:val="004E7CD9"/>
    <w:rsid w:val="004E7D22"/>
    <w:rsid w:val="004E7DB9"/>
    <w:rsid w:val="004F00B6"/>
    <w:rsid w:val="004F016C"/>
    <w:rsid w:val="004F03AA"/>
    <w:rsid w:val="004F061F"/>
    <w:rsid w:val="004F0D87"/>
    <w:rsid w:val="004F0E3F"/>
    <w:rsid w:val="004F0F18"/>
    <w:rsid w:val="004F12E3"/>
    <w:rsid w:val="004F13D4"/>
    <w:rsid w:val="004F1473"/>
    <w:rsid w:val="004F14A6"/>
    <w:rsid w:val="004F151D"/>
    <w:rsid w:val="004F15B5"/>
    <w:rsid w:val="004F178A"/>
    <w:rsid w:val="004F18B9"/>
    <w:rsid w:val="004F18FE"/>
    <w:rsid w:val="004F1B25"/>
    <w:rsid w:val="004F1DF7"/>
    <w:rsid w:val="004F1E56"/>
    <w:rsid w:val="004F2160"/>
    <w:rsid w:val="004F2305"/>
    <w:rsid w:val="004F24F7"/>
    <w:rsid w:val="004F2625"/>
    <w:rsid w:val="004F2861"/>
    <w:rsid w:val="004F286D"/>
    <w:rsid w:val="004F299B"/>
    <w:rsid w:val="004F2B64"/>
    <w:rsid w:val="004F2DB1"/>
    <w:rsid w:val="004F2DC1"/>
    <w:rsid w:val="004F2E0C"/>
    <w:rsid w:val="004F2F39"/>
    <w:rsid w:val="004F2F4E"/>
    <w:rsid w:val="004F2F51"/>
    <w:rsid w:val="004F30FF"/>
    <w:rsid w:val="004F312F"/>
    <w:rsid w:val="004F313D"/>
    <w:rsid w:val="004F32C7"/>
    <w:rsid w:val="004F32CE"/>
    <w:rsid w:val="004F3319"/>
    <w:rsid w:val="004F35C6"/>
    <w:rsid w:val="004F35EB"/>
    <w:rsid w:val="004F3884"/>
    <w:rsid w:val="004F38D8"/>
    <w:rsid w:val="004F3BCA"/>
    <w:rsid w:val="004F3BE4"/>
    <w:rsid w:val="004F3CC2"/>
    <w:rsid w:val="004F3E09"/>
    <w:rsid w:val="004F3E6F"/>
    <w:rsid w:val="004F3EE4"/>
    <w:rsid w:val="004F41F0"/>
    <w:rsid w:val="004F446D"/>
    <w:rsid w:val="004F447D"/>
    <w:rsid w:val="004F44EE"/>
    <w:rsid w:val="004F45A7"/>
    <w:rsid w:val="004F47EE"/>
    <w:rsid w:val="004F48B9"/>
    <w:rsid w:val="004F48D0"/>
    <w:rsid w:val="004F4AA2"/>
    <w:rsid w:val="004F4AAB"/>
    <w:rsid w:val="004F4AB1"/>
    <w:rsid w:val="004F4DE8"/>
    <w:rsid w:val="004F4E80"/>
    <w:rsid w:val="004F51D3"/>
    <w:rsid w:val="004F54F4"/>
    <w:rsid w:val="004F589D"/>
    <w:rsid w:val="004F59FC"/>
    <w:rsid w:val="004F5B65"/>
    <w:rsid w:val="004F5D9C"/>
    <w:rsid w:val="004F5F8F"/>
    <w:rsid w:val="004F6005"/>
    <w:rsid w:val="004F6379"/>
    <w:rsid w:val="004F64C7"/>
    <w:rsid w:val="004F6542"/>
    <w:rsid w:val="004F658A"/>
    <w:rsid w:val="004F6639"/>
    <w:rsid w:val="004F69C3"/>
    <w:rsid w:val="004F6B39"/>
    <w:rsid w:val="004F6B4F"/>
    <w:rsid w:val="004F6CCB"/>
    <w:rsid w:val="004F6E6E"/>
    <w:rsid w:val="004F6EA0"/>
    <w:rsid w:val="004F7058"/>
    <w:rsid w:val="004F766E"/>
    <w:rsid w:val="004F77F2"/>
    <w:rsid w:val="004F781A"/>
    <w:rsid w:val="004F7837"/>
    <w:rsid w:val="004F789B"/>
    <w:rsid w:val="004F7973"/>
    <w:rsid w:val="004F7A47"/>
    <w:rsid w:val="004F7AB0"/>
    <w:rsid w:val="004F7AC3"/>
    <w:rsid w:val="004F7C3A"/>
    <w:rsid w:val="004F7CAE"/>
    <w:rsid w:val="004F7F8A"/>
    <w:rsid w:val="005001D3"/>
    <w:rsid w:val="0050045C"/>
    <w:rsid w:val="00500760"/>
    <w:rsid w:val="00500E9A"/>
    <w:rsid w:val="00500F03"/>
    <w:rsid w:val="00501100"/>
    <w:rsid w:val="00501140"/>
    <w:rsid w:val="0050142D"/>
    <w:rsid w:val="00501489"/>
    <w:rsid w:val="005014FA"/>
    <w:rsid w:val="00501544"/>
    <w:rsid w:val="0050156B"/>
    <w:rsid w:val="0050160D"/>
    <w:rsid w:val="00501628"/>
    <w:rsid w:val="005016FC"/>
    <w:rsid w:val="0050177F"/>
    <w:rsid w:val="005017C8"/>
    <w:rsid w:val="005019E1"/>
    <w:rsid w:val="00501A5E"/>
    <w:rsid w:val="00501A78"/>
    <w:rsid w:val="00501B67"/>
    <w:rsid w:val="00501D5A"/>
    <w:rsid w:val="00501FF2"/>
    <w:rsid w:val="005020D9"/>
    <w:rsid w:val="00502456"/>
    <w:rsid w:val="005025A2"/>
    <w:rsid w:val="00502904"/>
    <w:rsid w:val="005029AF"/>
    <w:rsid w:val="005029FC"/>
    <w:rsid w:val="00502B00"/>
    <w:rsid w:val="00502D80"/>
    <w:rsid w:val="00502F3C"/>
    <w:rsid w:val="00502F44"/>
    <w:rsid w:val="00502F60"/>
    <w:rsid w:val="00502FFF"/>
    <w:rsid w:val="005030D3"/>
    <w:rsid w:val="00503210"/>
    <w:rsid w:val="00503239"/>
    <w:rsid w:val="005034A7"/>
    <w:rsid w:val="0050371C"/>
    <w:rsid w:val="00503863"/>
    <w:rsid w:val="0050399C"/>
    <w:rsid w:val="00503A05"/>
    <w:rsid w:val="00503B55"/>
    <w:rsid w:val="00503DEA"/>
    <w:rsid w:val="00503DEF"/>
    <w:rsid w:val="00503EA2"/>
    <w:rsid w:val="00503F88"/>
    <w:rsid w:val="00504469"/>
    <w:rsid w:val="005044B1"/>
    <w:rsid w:val="005044E3"/>
    <w:rsid w:val="0050450E"/>
    <w:rsid w:val="0050462E"/>
    <w:rsid w:val="00504648"/>
    <w:rsid w:val="00504687"/>
    <w:rsid w:val="0050472E"/>
    <w:rsid w:val="005047C7"/>
    <w:rsid w:val="005048EB"/>
    <w:rsid w:val="00504AA5"/>
    <w:rsid w:val="00504B29"/>
    <w:rsid w:val="00504C8C"/>
    <w:rsid w:val="00504DBD"/>
    <w:rsid w:val="00504E5E"/>
    <w:rsid w:val="00504FF4"/>
    <w:rsid w:val="00505201"/>
    <w:rsid w:val="00505518"/>
    <w:rsid w:val="00505553"/>
    <w:rsid w:val="00505608"/>
    <w:rsid w:val="0050564E"/>
    <w:rsid w:val="00505BB4"/>
    <w:rsid w:val="00505D7B"/>
    <w:rsid w:val="00505F5F"/>
    <w:rsid w:val="00506289"/>
    <w:rsid w:val="005064B8"/>
    <w:rsid w:val="005064C7"/>
    <w:rsid w:val="005066E8"/>
    <w:rsid w:val="005068FF"/>
    <w:rsid w:val="00506905"/>
    <w:rsid w:val="005069F3"/>
    <w:rsid w:val="00506A21"/>
    <w:rsid w:val="00506BA4"/>
    <w:rsid w:val="00506BAC"/>
    <w:rsid w:val="00506F72"/>
    <w:rsid w:val="00507346"/>
    <w:rsid w:val="0050744D"/>
    <w:rsid w:val="00507583"/>
    <w:rsid w:val="005078E7"/>
    <w:rsid w:val="005079AD"/>
    <w:rsid w:val="00507B88"/>
    <w:rsid w:val="00507CD5"/>
    <w:rsid w:val="00507D29"/>
    <w:rsid w:val="00507DBE"/>
    <w:rsid w:val="00507DE9"/>
    <w:rsid w:val="00507E5B"/>
    <w:rsid w:val="00507F35"/>
    <w:rsid w:val="00507FC6"/>
    <w:rsid w:val="0051020A"/>
    <w:rsid w:val="00510238"/>
    <w:rsid w:val="0051033D"/>
    <w:rsid w:val="00510371"/>
    <w:rsid w:val="0051037D"/>
    <w:rsid w:val="0051039F"/>
    <w:rsid w:val="005103CD"/>
    <w:rsid w:val="005104A4"/>
    <w:rsid w:val="005105D7"/>
    <w:rsid w:val="005109A1"/>
    <w:rsid w:val="00510B8E"/>
    <w:rsid w:val="00510BED"/>
    <w:rsid w:val="00510C4D"/>
    <w:rsid w:val="00510CC9"/>
    <w:rsid w:val="00510D15"/>
    <w:rsid w:val="00510D41"/>
    <w:rsid w:val="00510E63"/>
    <w:rsid w:val="00510EB1"/>
    <w:rsid w:val="00511184"/>
    <w:rsid w:val="00511226"/>
    <w:rsid w:val="00511359"/>
    <w:rsid w:val="005113AC"/>
    <w:rsid w:val="00511622"/>
    <w:rsid w:val="0051163D"/>
    <w:rsid w:val="00511A1C"/>
    <w:rsid w:val="00511C6C"/>
    <w:rsid w:val="00511CB8"/>
    <w:rsid w:val="00511D1E"/>
    <w:rsid w:val="005120CE"/>
    <w:rsid w:val="005122F7"/>
    <w:rsid w:val="00512375"/>
    <w:rsid w:val="005123B8"/>
    <w:rsid w:val="005124AE"/>
    <w:rsid w:val="005125D4"/>
    <w:rsid w:val="0051283C"/>
    <w:rsid w:val="00512DF2"/>
    <w:rsid w:val="00512ECA"/>
    <w:rsid w:val="00513318"/>
    <w:rsid w:val="00513373"/>
    <w:rsid w:val="00513762"/>
    <w:rsid w:val="00513D78"/>
    <w:rsid w:val="00513DD4"/>
    <w:rsid w:val="00513E30"/>
    <w:rsid w:val="00514316"/>
    <w:rsid w:val="00514388"/>
    <w:rsid w:val="00514520"/>
    <w:rsid w:val="0051452C"/>
    <w:rsid w:val="005147CE"/>
    <w:rsid w:val="005147EA"/>
    <w:rsid w:val="0051491D"/>
    <w:rsid w:val="00514B37"/>
    <w:rsid w:val="00514C5E"/>
    <w:rsid w:val="00514E8B"/>
    <w:rsid w:val="00514E9D"/>
    <w:rsid w:val="005153E1"/>
    <w:rsid w:val="00515491"/>
    <w:rsid w:val="005155A9"/>
    <w:rsid w:val="00515676"/>
    <w:rsid w:val="0051580C"/>
    <w:rsid w:val="00515A6E"/>
    <w:rsid w:val="00515B42"/>
    <w:rsid w:val="00515BA1"/>
    <w:rsid w:val="00515BFA"/>
    <w:rsid w:val="00515D83"/>
    <w:rsid w:val="0051675F"/>
    <w:rsid w:val="00516780"/>
    <w:rsid w:val="00516951"/>
    <w:rsid w:val="00516B24"/>
    <w:rsid w:val="00516B66"/>
    <w:rsid w:val="00516B8F"/>
    <w:rsid w:val="00516DEA"/>
    <w:rsid w:val="00516E82"/>
    <w:rsid w:val="00516F26"/>
    <w:rsid w:val="00516FD9"/>
    <w:rsid w:val="0051729D"/>
    <w:rsid w:val="005172A0"/>
    <w:rsid w:val="00517383"/>
    <w:rsid w:val="0051740A"/>
    <w:rsid w:val="005175BC"/>
    <w:rsid w:val="00517681"/>
    <w:rsid w:val="0051774A"/>
    <w:rsid w:val="0051792A"/>
    <w:rsid w:val="00517B37"/>
    <w:rsid w:val="00517C8C"/>
    <w:rsid w:val="00517CB3"/>
    <w:rsid w:val="00517D41"/>
    <w:rsid w:val="00517EDE"/>
    <w:rsid w:val="00517EF4"/>
    <w:rsid w:val="00517F24"/>
    <w:rsid w:val="00517F7F"/>
    <w:rsid w:val="005200C0"/>
    <w:rsid w:val="0052021E"/>
    <w:rsid w:val="0052032B"/>
    <w:rsid w:val="00520360"/>
    <w:rsid w:val="005204F3"/>
    <w:rsid w:val="00520519"/>
    <w:rsid w:val="0052052C"/>
    <w:rsid w:val="005205D7"/>
    <w:rsid w:val="00520718"/>
    <w:rsid w:val="005207F6"/>
    <w:rsid w:val="00520861"/>
    <w:rsid w:val="005208A6"/>
    <w:rsid w:val="00520EB5"/>
    <w:rsid w:val="0052101C"/>
    <w:rsid w:val="00521136"/>
    <w:rsid w:val="00521181"/>
    <w:rsid w:val="005211BB"/>
    <w:rsid w:val="005211BF"/>
    <w:rsid w:val="0052128A"/>
    <w:rsid w:val="00521375"/>
    <w:rsid w:val="00521664"/>
    <w:rsid w:val="005218F5"/>
    <w:rsid w:val="00521C2C"/>
    <w:rsid w:val="00521C9C"/>
    <w:rsid w:val="00521D60"/>
    <w:rsid w:val="00521ED1"/>
    <w:rsid w:val="0052234B"/>
    <w:rsid w:val="00522375"/>
    <w:rsid w:val="005224B3"/>
    <w:rsid w:val="005226F2"/>
    <w:rsid w:val="005226F9"/>
    <w:rsid w:val="00522756"/>
    <w:rsid w:val="00522A31"/>
    <w:rsid w:val="00522B3B"/>
    <w:rsid w:val="00522BA9"/>
    <w:rsid w:val="00522BB3"/>
    <w:rsid w:val="00522E72"/>
    <w:rsid w:val="00522FB8"/>
    <w:rsid w:val="00522FDB"/>
    <w:rsid w:val="00523134"/>
    <w:rsid w:val="00523157"/>
    <w:rsid w:val="00523314"/>
    <w:rsid w:val="0052332B"/>
    <w:rsid w:val="005236C4"/>
    <w:rsid w:val="00523816"/>
    <w:rsid w:val="00523C95"/>
    <w:rsid w:val="00523CE0"/>
    <w:rsid w:val="00523D2B"/>
    <w:rsid w:val="00523E23"/>
    <w:rsid w:val="005240A3"/>
    <w:rsid w:val="00524374"/>
    <w:rsid w:val="00524412"/>
    <w:rsid w:val="00524456"/>
    <w:rsid w:val="00524602"/>
    <w:rsid w:val="0052461B"/>
    <w:rsid w:val="005248CD"/>
    <w:rsid w:val="00524A89"/>
    <w:rsid w:val="00524AAB"/>
    <w:rsid w:val="00524D28"/>
    <w:rsid w:val="00524D6D"/>
    <w:rsid w:val="00524EC5"/>
    <w:rsid w:val="00524FAD"/>
    <w:rsid w:val="0052516B"/>
    <w:rsid w:val="00525265"/>
    <w:rsid w:val="00525422"/>
    <w:rsid w:val="005258E3"/>
    <w:rsid w:val="00525A70"/>
    <w:rsid w:val="00525ABF"/>
    <w:rsid w:val="00525BDE"/>
    <w:rsid w:val="00525D94"/>
    <w:rsid w:val="00525E1D"/>
    <w:rsid w:val="00525EA2"/>
    <w:rsid w:val="00525EE9"/>
    <w:rsid w:val="00525F4D"/>
    <w:rsid w:val="0052600F"/>
    <w:rsid w:val="0052608A"/>
    <w:rsid w:val="005260DF"/>
    <w:rsid w:val="005261C3"/>
    <w:rsid w:val="00526528"/>
    <w:rsid w:val="005265CE"/>
    <w:rsid w:val="0052670D"/>
    <w:rsid w:val="0052694C"/>
    <w:rsid w:val="00526C86"/>
    <w:rsid w:val="00526E74"/>
    <w:rsid w:val="00526FE6"/>
    <w:rsid w:val="00527003"/>
    <w:rsid w:val="00527051"/>
    <w:rsid w:val="0052707D"/>
    <w:rsid w:val="005271BB"/>
    <w:rsid w:val="00527207"/>
    <w:rsid w:val="0052740A"/>
    <w:rsid w:val="005277EB"/>
    <w:rsid w:val="005279D7"/>
    <w:rsid w:val="00527AE1"/>
    <w:rsid w:val="00527C9B"/>
    <w:rsid w:val="00527C9E"/>
    <w:rsid w:val="00527CED"/>
    <w:rsid w:val="00527D79"/>
    <w:rsid w:val="00527F6B"/>
    <w:rsid w:val="00530479"/>
    <w:rsid w:val="00530584"/>
    <w:rsid w:val="00530878"/>
    <w:rsid w:val="00530C8F"/>
    <w:rsid w:val="00530CD2"/>
    <w:rsid w:val="00530CFB"/>
    <w:rsid w:val="00530D50"/>
    <w:rsid w:val="005310B5"/>
    <w:rsid w:val="0053118C"/>
    <w:rsid w:val="005315C7"/>
    <w:rsid w:val="0053185C"/>
    <w:rsid w:val="005318CD"/>
    <w:rsid w:val="00531934"/>
    <w:rsid w:val="00531A81"/>
    <w:rsid w:val="00531D55"/>
    <w:rsid w:val="00531EB6"/>
    <w:rsid w:val="0053220D"/>
    <w:rsid w:val="005327EB"/>
    <w:rsid w:val="00532803"/>
    <w:rsid w:val="005328E2"/>
    <w:rsid w:val="00532918"/>
    <w:rsid w:val="00532928"/>
    <w:rsid w:val="00532946"/>
    <w:rsid w:val="00532A01"/>
    <w:rsid w:val="00532BD6"/>
    <w:rsid w:val="00532DA9"/>
    <w:rsid w:val="00532E76"/>
    <w:rsid w:val="00532F7A"/>
    <w:rsid w:val="005331AC"/>
    <w:rsid w:val="005332FD"/>
    <w:rsid w:val="00533304"/>
    <w:rsid w:val="005334E2"/>
    <w:rsid w:val="005335CD"/>
    <w:rsid w:val="00533647"/>
    <w:rsid w:val="0053380B"/>
    <w:rsid w:val="00533816"/>
    <w:rsid w:val="0053390F"/>
    <w:rsid w:val="00533C31"/>
    <w:rsid w:val="00533ECD"/>
    <w:rsid w:val="00534190"/>
    <w:rsid w:val="0053440D"/>
    <w:rsid w:val="0053443B"/>
    <w:rsid w:val="00534627"/>
    <w:rsid w:val="005347E9"/>
    <w:rsid w:val="00534B19"/>
    <w:rsid w:val="00534B40"/>
    <w:rsid w:val="00534BAC"/>
    <w:rsid w:val="00534E3B"/>
    <w:rsid w:val="00534E61"/>
    <w:rsid w:val="00534E87"/>
    <w:rsid w:val="00535086"/>
    <w:rsid w:val="005350E2"/>
    <w:rsid w:val="00535130"/>
    <w:rsid w:val="00535131"/>
    <w:rsid w:val="005352A4"/>
    <w:rsid w:val="00535923"/>
    <w:rsid w:val="00535A0F"/>
    <w:rsid w:val="00535A36"/>
    <w:rsid w:val="00535A63"/>
    <w:rsid w:val="00535ADF"/>
    <w:rsid w:val="00535C53"/>
    <w:rsid w:val="00535C78"/>
    <w:rsid w:val="00535E40"/>
    <w:rsid w:val="0053600B"/>
    <w:rsid w:val="00536529"/>
    <w:rsid w:val="005366B0"/>
    <w:rsid w:val="00536908"/>
    <w:rsid w:val="00536947"/>
    <w:rsid w:val="00536991"/>
    <w:rsid w:val="00536A66"/>
    <w:rsid w:val="00536BDC"/>
    <w:rsid w:val="00536C3C"/>
    <w:rsid w:val="00536C82"/>
    <w:rsid w:val="00536F73"/>
    <w:rsid w:val="00537150"/>
    <w:rsid w:val="00537260"/>
    <w:rsid w:val="005372F6"/>
    <w:rsid w:val="0053741E"/>
    <w:rsid w:val="00537497"/>
    <w:rsid w:val="00537587"/>
    <w:rsid w:val="00537665"/>
    <w:rsid w:val="00537787"/>
    <w:rsid w:val="005377A7"/>
    <w:rsid w:val="005379A7"/>
    <w:rsid w:val="00537D0C"/>
    <w:rsid w:val="00540592"/>
    <w:rsid w:val="00540844"/>
    <w:rsid w:val="0054098C"/>
    <w:rsid w:val="00540BAA"/>
    <w:rsid w:val="00540E9E"/>
    <w:rsid w:val="00540FC4"/>
    <w:rsid w:val="00541073"/>
    <w:rsid w:val="0054108C"/>
    <w:rsid w:val="00541313"/>
    <w:rsid w:val="0054134B"/>
    <w:rsid w:val="005414F5"/>
    <w:rsid w:val="005416DB"/>
    <w:rsid w:val="00541770"/>
    <w:rsid w:val="00541820"/>
    <w:rsid w:val="005419B1"/>
    <w:rsid w:val="00541A5F"/>
    <w:rsid w:val="00541B38"/>
    <w:rsid w:val="005421A0"/>
    <w:rsid w:val="0054220D"/>
    <w:rsid w:val="005422B5"/>
    <w:rsid w:val="0054233F"/>
    <w:rsid w:val="0054242F"/>
    <w:rsid w:val="005425A3"/>
    <w:rsid w:val="0054269A"/>
    <w:rsid w:val="005427AD"/>
    <w:rsid w:val="005427F5"/>
    <w:rsid w:val="00542849"/>
    <w:rsid w:val="00542C27"/>
    <w:rsid w:val="00542EF7"/>
    <w:rsid w:val="00542F72"/>
    <w:rsid w:val="00542F8E"/>
    <w:rsid w:val="00543249"/>
    <w:rsid w:val="00543568"/>
    <w:rsid w:val="0054360A"/>
    <w:rsid w:val="00543AAA"/>
    <w:rsid w:val="00543CFF"/>
    <w:rsid w:val="00543D09"/>
    <w:rsid w:val="00543DC5"/>
    <w:rsid w:val="00543DDD"/>
    <w:rsid w:val="005443AD"/>
    <w:rsid w:val="00544481"/>
    <w:rsid w:val="00544924"/>
    <w:rsid w:val="00544FF6"/>
    <w:rsid w:val="005450A8"/>
    <w:rsid w:val="00545473"/>
    <w:rsid w:val="00545574"/>
    <w:rsid w:val="00545666"/>
    <w:rsid w:val="00545698"/>
    <w:rsid w:val="00545940"/>
    <w:rsid w:val="00545B94"/>
    <w:rsid w:val="00545D14"/>
    <w:rsid w:val="00545D84"/>
    <w:rsid w:val="00545F02"/>
    <w:rsid w:val="00546087"/>
    <w:rsid w:val="005461BE"/>
    <w:rsid w:val="005462A9"/>
    <w:rsid w:val="005467D8"/>
    <w:rsid w:val="00546A14"/>
    <w:rsid w:val="00546A49"/>
    <w:rsid w:val="00546B4F"/>
    <w:rsid w:val="00546B6C"/>
    <w:rsid w:val="00546CB2"/>
    <w:rsid w:val="00546FC2"/>
    <w:rsid w:val="00547259"/>
    <w:rsid w:val="00547370"/>
    <w:rsid w:val="005473BB"/>
    <w:rsid w:val="005475CF"/>
    <w:rsid w:val="005476DB"/>
    <w:rsid w:val="005477B7"/>
    <w:rsid w:val="0054782E"/>
    <w:rsid w:val="0054792C"/>
    <w:rsid w:val="00547B1F"/>
    <w:rsid w:val="00547C8E"/>
    <w:rsid w:val="00547D09"/>
    <w:rsid w:val="00547EAB"/>
    <w:rsid w:val="00547F95"/>
    <w:rsid w:val="0055000C"/>
    <w:rsid w:val="0055022F"/>
    <w:rsid w:val="0055034D"/>
    <w:rsid w:val="005503FE"/>
    <w:rsid w:val="0055056F"/>
    <w:rsid w:val="00550766"/>
    <w:rsid w:val="0055098B"/>
    <w:rsid w:val="00550B59"/>
    <w:rsid w:val="00550E2D"/>
    <w:rsid w:val="00550F59"/>
    <w:rsid w:val="00551006"/>
    <w:rsid w:val="00551127"/>
    <w:rsid w:val="00551203"/>
    <w:rsid w:val="00551505"/>
    <w:rsid w:val="0055153D"/>
    <w:rsid w:val="005515BD"/>
    <w:rsid w:val="005517B9"/>
    <w:rsid w:val="00551B4D"/>
    <w:rsid w:val="00551D14"/>
    <w:rsid w:val="00551DD9"/>
    <w:rsid w:val="00551DF9"/>
    <w:rsid w:val="00551F75"/>
    <w:rsid w:val="00551FDE"/>
    <w:rsid w:val="00552014"/>
    <w:rsid w:val="005520D9"/>
    <w:rsid w:val="0055214B"/>
    <w:rsid w:val="00552A31"/>
    <w:rsid w:val="00552A78"/>
    <w:rsid w:val="00552E66"/>
    <w:rsid w:val="00552E86"/>
    <w:rsid w:val="00552F84"/>
    <w:rsid w:val="0055313E"/>
    <w:rsid w:val="005533AE"/>
    <w:rsid w:val="00553534"/>
    <w:rsid w:val="00553573"/>
    <w:rsid w:val="00553661"/>
    <w:rsid w:val="005536D2"/>
    <w:rsid w:val="005536FB"/>
    <w:rsid w:val="00553822"/>
    <w:rsid w:val="005538CC"/>
    <w:rsid w:val="00553921"/>
    <w:rsid w:val="005539A5"/>
    <w:rsid w:val="00553A8F"/>
    <w:rsid w:val="00553A91"/>
    <w:rsid w:val="00553CDC"/>
    <w:rsid w:val="005543D0"/>
    <w:rsid w:val="005544A5"/>
    <w:rsid w:val="00554688"/>
    <w:rsid w:val="005546D8"/>
    <w:rsid w:val="00554854"/>
    <w:rsid w:val="00554AF8"/>
    <w:rsid w:val="00554D6C"/>
    <w:rsid w:val="00554D99"/>
    <w:rsid w:val="00554E6E"/>
    <w:rsid w:val="00554F5C"/>
    <w:rsid w:val="00554F6C"/>
    <w:rsid w:val="00555111"/>
    <w:rsid w:val="005552EA"/>
    <w:rsid w:val="005554F6"/>
    <w:rsid w:val="00555731"/>
    <w:rsid w:val="00555B3D"/>
    <w:rsid w:val="00555B52"/>
    <w:rsid w:val="00555BE2"/>
    <w:rsid w:val="00555D4F"/>
    <w:rsid w:val="00555F1A"/>
    <w:rsid w:val="00555F20"/>
    <w:rsid w:val="005561AF"/>
    <w:rsid w:val="005562E2"/>
    <w:rsid w:val="00556379"/>
    <w:rsid w:val="0055645B"/>
    <w:rsid w:val="00556483"/>
    <w:rsid w:val="005566BA"/>
    <w:rsid w:val="005566E1"/>
    <w:rsid w:val="00556BFB"/>
    <w:rsid w:val="00556DCA"/>
    <w:rsid w:val="00556F29"/>
    <w:rsid w:val="00557194"/>
    <w:rsid w:val="00557222"/>
    <w:rsid w:val="00557328"/>
    <w:rsid w:val="00557431"/>
    <w:rsid w:val="0055744E"/>
    <w:rsid w:val="005574C2"/>
    <w:rsid w:val="00557535"/>
    <w:rsid w:val="00557537"/>
    <w:rsid w:val="005576BE"/>
    <w:rsid w:val="005576C5"/>
    <w:rsid w:val="0055775F"/>
    <w:rsid w:val="00557790"/>
    <w:rsid w:val="00557A9E"/>
    <w:rsid w:val="00557C9C"/>
    <w:rsid w:val="00557CB4"/>
    <w:rsid w:val="00557D19"/>
    <w:rsid w:val="0056031F"/>
    <w:rsid w:val="005604E9"/>
    <w:rsid w:val="0056063E"/>
    <w:rsid w:val="00560728"/>
    <w:rsid w:val="00560C06"/>
    <w:rsid w:val="00560D3C"/>
    <w:rsid w:val="00560D87"/>
    <w:rsid w:val="005611E8"/>
    <w:rsid w:val="00561243"/>
    <w:rsid w:val="00561381"/>
    <w:rsid w:val="005614C5"/>
    <w:rsid w:val="00561592"/>
    <w:rsid w:val="00561651"/>
    <w:rsid w:val="00562020"/>
    <w:rsid w:val="00562318"/>
    <w:rsid w:val="00562403"/>
    <w:rsid w:val="00562461"/>
    <w:rsid w:val="0056248B"/>
    <w:rsid w:val="00562547"/>
    <w:rsid w:val="005625C4"/>
    <w:rsid w:val="00562681"/>
    <w:rsid w:val="00562A03"/>
    <w:rsid w:val="00562A09"/>
    <w:rsid w:val="00562A99"/>
    <w:rsid w:val="00562BF7"/>
    <w:rsid w:val="00563225"/>
    <w:rsid w:val="005632CE"/>
    <w:rsid w:val="005632F5"/>
    <w:rsid w:val="00563311"/>
    <w:rsid w:val="00563435"/>
    <w:rsid w:val="005635DA"/>
    <w:rsid w:val="005636BB"/>
    <w:rsid w:val="0056389D"/>
    <w:rsid w:val="00563974"/>
    <w:rsid w:val="005639DB"/>
    <w:rsid w:val="00563A05"/>
    <w:rsid w:val="00563AD3"/>
    <w:rsid w:val="00563CE6"/>
    <w:rsid w:val="00563F61"/>
    <w:rsid w:val="00563FEE"/>
    <w:rsid w:val="0056405F"/>
    <w:rsid w:val="0056407D"/>
    <w:rsid w:val="005640FE"/>
    <w:rsid w:val="00564261"/>
    <w:rsid w:val="00564389"/>
    <w:rsid w:val="005644A6"/>
    <w:rsid w:val="005644DB"/>
    <w:rsid w:val="005645CE"/>
    <w:rsid w:val="005645FB"/>
    <w:rsid w:val="00564654"/>
    <w:rsid w:val="005646C1"/>
    <w:rsid w:val="00564712"/>
    <w:rsid w:val="0056491C"/>
    <w:rsid w:val="00564995"/>
    <w:rsid w:val="005649A2"/>
    <w:rsid w:val="00564C96"/>
    <w:rsid w:val="00564CEA"/>
    <w:rsid w:val="00564D16"/>
    <w:rsid w:val="00564E92"/>
    <w:rsid w:val="00564F34"/>
    <w:rsid w:val="00564F6D"/>
    <w:rsid w:val="00565037"/>
    <w:rsid w:val="005652BC"/>
    <w:rsid w:val="00565472"/>
    <w:rsid w:val="005654EA"/>
    <w:rsid w:val="00565787"/>
    <w:rsid w:val="00565963"/>
    <w:rsid w:val="00565971"/>
    <w:rsid w:val="00565AF1"/>
    <w:rsid w:val="005661A5"/>
    <w:rsid w:val="005661CF"/>
    <w:rsid w:val="005662AB"/>
    <w:rsid w:val="00566424"/>
    <w:rsid w:val="005667FE"/>
    <w:rsid w:val="005668DE"/>
    <w:rsid w:val="0056692E"/>
    <w:rsid w:val="00566A61"/>
    <w:rsid w:val="00566DB7"/>
    <w:rsid w:val="00566F54"/>
    <w:rsid w:val="00566F85"/>
    <w:rsid w:val="00567094"/>
    <w:rsid w:val="00567499"/>
    <w:rsid w:val="005679C9"/>
    <w:rsid w:val="00567DD0"/>
    <w:rsid w:val="00567FB0"/>
    <w:rsid w:val="00570277"/>
    <w:rsid w:val="005702BB"/>
    <w:rsid w:val="00570342"/>
    <w:rsid w:val="0057036E"/>
    <w:rsid w:val="005706FC"/>
    <w:rsid w:val="0057070F"/>
    <w:rsid w:val="005708A5"/>
    <w:rsid w:val="005708AC"/>
    <w:rsid w:val="00570913"/>
    <w:rsid w:val="005709FE"/>
    <w:rsid w:val="00570BBF"/>
    <w:rsid w:val="00570BFB"/>
    <w:rsid w:val="00570E59"/>
    <w:rsid w:val="00570F55"/>
    <w:rsid w:val="00570F7C"/>
    <w:rsid w:val="005711E3"/>
    <w:rsid w:val="005711E9"/>
    <w:rsid w:val="005715F0"/>
    <w:rsid w:val="00571767"/>
    <w:rsid w:val="005718D9"/>
    <w:rsid w:val="00571942"/>
    <w:rsid w:val="00571A9D"/>
    <w:rsid w:val="00571EE8"/>
    <w:rsid w:val="005720FE"/>
    <w:rsid w:val="005721F0"/>
    <w:rsid w:val="00572207"/>
    <w:rsid w:val="00572610"/>
    <w:rsid w:val="00572BC2"/>
    <w:rsid w:val="00572BFD"/>
    <w:rsid w:val="00572DEE"/>
    <w:rsid w:val="00572DF0"/>
    <w:rsid w:val="005730CC"/>
    <w:rsid w:val="00573150"/>
    <w:rsid w:val="00573478"/>
    <w:rsid w:val="00573532"/>
    <w:rsid w:val="005735E5"/>
    <w:rsid w:val="00573F9E"/>
    <w:rsid w:val="005742B5"/>
    <w:rsid w:val="005743B6"/>
    <w:rsid w:val="00574623"/>
    <w:rsid w:val="00574722"/>
    <w:rsid w:val="0057478B"/>
    <w:rsid w:val="0057479C"/>
    <w:rsid w:val="005747F7"/>
    <w:rsid w:val="0057483E"/>
    <w:rsid w:val="00574889"/>
    <w:rsid w:val="00574907"/>
    <w:rsid w:val="00574937"/>
    <w:rsid w:val="00574A5E"/>
    <w:rsid w:val="00574A72"/>
    <w:rsid w:val="00574BAB"/>
    <w:rsid w:val="00574D95"/>
    <w:rsid w:val="00574DDE"/>
    <w:rsid w:val="0057576A"/>
    <w:rsid w:val="00575941"/>
    <w:rsid w:val="00575B11"/>
    <w:rsid w:val="00575D8F"/>
    <w:rsid w:val="00575FC7"/>
    <w:rsid w:val="0057608F"/>
    <w:rsid w:val="005760A9"/>
    <w:rsid w:val="00576209"/>
    <w:rsid w:val="005762C3"/>
    <w:rsid w:val="00576300"/>
    <w:rsid w:val="005763F2"/>
    <w:rsid w:val="00576585"/>
    <w:rsid w:val="005765CC"/>
    <w:rsid w:val="005766C8"/>
    <w:rsid w:val="00576A27"/>
    <w:rsid w:val="00576A35"/>
    <w:rsid w:val="00576BD3"/>
    <w:rsid w:val="00576C9F"/>
    <w:rsid w:val="00576CE7"/>
    <w:rsid w:val="00576CED"/>
    <w:rsid w:val="00576E32"/>
    <w:rsid w:val="005771AF"/>
    <w:rsid w:val="00577212"/>
    <w:rsid w:val="0057756D"/>
    <w:rsid w:val="005775D7"/>
    <w:rsid w:val="00577CEE"/>
    <w:rsid w:val="00577E18"/>
    <w:rsid w:val="00577E61"/>
    <w:rsid w:val="005800BB"/>
    <w:rsid w:val="005800D5"/>
    <w:rsid w:val="005801C2"/>
    <w:rsid w:val="00580D9E"/>
    <w:rsid w:val="00580E65"/>
    <w:rsid w:val="00580F83"/>
    <w:rsid w:val="00581249"/>
    <w:rsid w:val="00581252"/>
    <w:rsid w:val="005812C6"/>
    <w:rsid w:val="0058144D"/>
    <w:rsid w:val="005814ED"/>
    <w:rsid w:val="00581628"/>
    <w:rsid w:val="005816F2"/>
    <w:rsid w:val="00581755"/>
    <w:rsid w:val="00581776"/>
    <w:rsid w:val="0058178D"/>
    <w:rsid w:val="005817EC"/>
    <w:rsid w:val="00581877"/>
    <w:rsid w:val="005818C9"/>
    <w:rsid w:val="005819C8"/>
    <w:rsid w:val="005819DE"/>
    <w:rsid w:val="00581A5B"/>
    <w:rsid w:val="00581CA4"/>
    <w:rsid w:val="00581CC4"/>
    <w:rsid w:val="005820E3"/>
    <w:rsid w:val="00582357"/>
    <w:rsid w:val="005824BB"/>
    <w:rsid w:val="00582681"/>
    <w:rsid w:val="0058282D"/>
    <w:rsid w:val="00582895"/>
    <w:rsid w:val="0058289C"/>
    <w:rsid w:val="005828FB"/>
    <w:rsid w:val="00582AA7"/>
    <w:rsid w:val="00582DC0"/>
    <w:rsid w:val="00582F3C"/>
    <w:rsid w:val="00582F87"/>
    <w:rsid w:val="005831BC"/>
    <w:rsid w:val="0058320A"/>
    <w:rsid w:val="005833DB"/>
    <w:rsid w:val="005833EC"/>
    <w:rsid w:val="00583500"/>
    <w:rsid w:val="0058350C"/>
    <w:rsid w:val="00583A03"/>
    <w:rsid w:val="00583A25"/>
    <w:rsid w:val="00583A4E"/>
    <w:rsid w:val="00583ACE"/>
    <w:rsid w:val="00583C81"/>
    <w:rsid w:val="00583ECE"/>
    <w:rsid w:val="00583F81"/>
    <w:rsid w:val="00584154"/>
    <w:rsid w:val="0058415B"/>
    <w:rsid w:val="005842C6"/>
    <w:rsid w:val="005844D4"/>
    <w:rsid w:val="00584518"/>
    <w:rsid w:val="0058461C"/>
    <w:rsid w:val="005846C9"/>
    <w:rsid w:val="005849CE"/>
    <w:rsid w:val="005849D9"/>
    <w:rsid w:val="00584D8F"/>
    <w:rsid w:val="00584FA7"/>
    <w:rsid w:val="0058525A"/>
    <w:rsid w:val="0058547A"/>
    <w:rsid w:val="00585738"/>
    <w:rsid w:val="005859F1"/>
    <w:rsid w:val="00585BE0"/>
    <w:rsid w:val="00585D3F"/>
    <w:rsid w:val="00585E66"/>
    <w:rsid w:val="00586089"/>
    <w:rsid w:val="00586167"/>
    <w:rsid w:val="005861E8"/>
    <w:rsid w:val="0058638C"/>
    <w:rsid w:val="005863B7"/>
    <w:rsid w:val="00586523"/>
    <w:rsid w:val="005866C0"/>
    <w:rsid w:val="005866EF"/>
    <w:rsid w:val="0058679D"/>
    <w:rsid w:val="005868AD"/>
    <w:rsid w:val="0058690F"/>
    <w:rsid w:val="00586C04"/>
    <w:rsid w:val="00586C1A"/>
    <w:rsid w:val="00586D28"/>
    <w:rsid w:val="0058713F"/>
    <w:rsid w:val="005873B6"/>
    <w:rsid w:val="005873EC"/>
    <w:rsid w:val="005878E1"/>
    <w:rsid w:val="00587AD0"/>
    <w:rsid w:val="00587AEB"/>
    <w:rsid w:val="00587AED"/>
    <w:rsid w:val="00587BB0"/>
    <w:rsid w:val="00587BF3"/>
    <w:rsid w:val="00587C99"/>
    <w:rsid w:val="00587E73"/>
    <w:rsid w:val="00587EA8"/>
    <w:rsid w:val="00590177"/>
    <w:rsid w:val="00590320"/>
    <w:rsid w:val="00590542"/>
    <w:rsid w:val="005905CD"/>
    <w:rsid w:val="0059092E"/>
    <w:rsid w:val="005909CA"/>
    <w:rsid w:val="00590BB3"/>
    <w:rsid w:val="00590DA2"/>
    <w:rsid w:val="0059111E"/>
    <w:rsid w:val="005911FF"/>
    <w:rsid w:val="005913D6"/>
    <w:rsid w:val="005915DF"/>
    <w:rsid w:val="00591728"/>
    <w:rsid w:val="00591752"/>
    <w:rsid w:val="00591779"/>
    <w:rsid w:val="00591832"/>
    <w:rsid w:val="00591AF3"/>
    <w:rsid w:val="00591C46"/>
    <w:rsid w:val="00591EED"/>
    <w:rsid w:val="00591F20"/>
    <w:rsid w:val="00591FAE"/>
    <w:rsid w:val="005921AC"/>
    <w:rsid w:val="005921AD"/>
    <w:rsid w:val="00592298"/>
    <w:rsid w:val="0059249A"/>
    <w:rsid w:val="00592840"/>
    <w:rsid w:val="00592908"/>
    <w:rsid w:val="00592995"/>
    <w:rsid w:val="005929A7"/>
    <w:rsid w:val="00592A44"/>
    <w:rsid w:val="00592A49"/>
    <w:rsid w:val="00592D1A"/>
    <w:rsid w:val="00592D31"/>
    <w:rsid w:val="00592E0F"/>
    <w:rsid w:val="00592E76"/>
    <w:rsid w:val="00592E8E"/>
    <w:rsid w:val="00592EFA"/>
    <w:rsid w:val="00593090"/>
    <w:rsid w:val="005930B1"/>
    <w:rsid w:val="00593114"/>
    <w:rsid w:val="00593243"/>
    <w:rsid w:val="00593392"/>
    <w:rsid w:val="005933FE"/>
    <w:rsid w:val="005935BD"/>
    <w:rsid w:val="005935E5"/>
    <w:rsid w:val="0059363A"/>
    <w:rsid w:val="00593645"/>
    <w:rsid w:val="00593757"/>
    <w:rsid w:val="005939EB"/>
    <w:rsid w:val="00593A1B"/>
    <w:rsid w:val="00593BBD"/>
    <w:rsid w:val="00593BCE"/>
    <w:rsid w:val="00593C73"/>
    <w:rsid w:val="005940CF"/>
    <w:rsid w:val="005942AA"/>
    <w:rsid w:val="00594414"/>
    <w:rsid w:val="00594423"/>
    <w:rsid w:val="00594635"/>
    <w:rsid w:val="005947FB"/>
    <w:rsid w:val="0059483E"/>
    <w:rsid w:val="00594845"/>
    <w:rsid w:val="005948FC"/>
    <w:rsid w:val="00594A9C"/>
    <w:rsid w:val="00594B80"/>
    <w:rsid w:val="00594C51"/>
    <w:rsid w:val="00594C5C"/>
    <w:rsid w:val="00594DE2"/>
    <w:rsid w:val="00594E5A"/>
    <w:rsid w:val="00594E6A"/>
    <w:rsid w:val="00595031"/>
    <w:rsid w:val="00595391"/>
    <w:rsid w:val="00595593"/>
    <w:rsid w:val="0059561D"/>
    <w:rsid w:val="005956FD"/>
    <w:rsid w:val="00595779"/>
    <w:rsid w:val="005959B4"/>
    <w:rsid w:val="00595B1F"/>
    <w:rsid w:val="00595D9C"/>
    <w:rsid w:val="0059603C"/>
    <w:rsid w:val="0059618D"/>
    <w:rsid w:val="0059621B"/>
    <w:rsid w:val="005963C2"/>
    <w:rsid w:val="005966D4"/>
    <w:rsid w:val="0059689C"/>
    <w:rsid w:val="00596983"/>
    <w:rsid w:val="00596C71"/>
    <w:rsid w:val="005970F3"/>
    <w:rsid w:val="005970F5"/>
    <w:rsid w:val="0059728A"/>
    <w:rsid w:val="005972EA"/>
    <w:rsid w:val="00597535"/>
    <w:rsid w:val="00597728"/>
    <w:rsid w:val="00597787"/>
    <w:rsid w:val="00597D43"/>
    <w:rsid w:val="00597DB0"/>
    <w:rsid w:val="00597DB2"/>
    <w:rsid w:val="00597F6D"/>
    <w:rsid w:val="00597FC5"/>
    <w:rsid w:val="005A0063"/>
    <w:rsid w:val="005A012D"/>
    <w:rsid w:val="005A0614"/>
    <w:rsid w:val="005A0878"/>
    <w:rsid w:val="005A08F5"/>
    <w:rsid w:val="005A0934"/>
    <w:rsid w:val="005A0C4C"/>
    <w:rsid w:val="005A0DDF"/>
    <w:rsid w:val="005A0E7D"/>
    <w:rsid w:val="005A138E"/>
    <w:rsid w:val="005A13DF"/>
    <w:rsid w:val="005A1435"/>
    <w:rsid w:val="005A16AC"/>
    <w:rsid w:val="005A17CE"/>
    <w:rsid w:val="005A1815"/>
    <w:rsid w:val="005A197D"/>
    <w:rsid w:val="005A1C68"/>
    <w:rsid w:val="005A1E44"/>
    <w:rsid w:val="005A213E"/>
    <w:rsid w:val="005A2448"/>
    <w:rsid w:val="005A2485"/>
    <w:rsid w:val="005A27E0"/>
    <w:rsid w:val="005A280D"/>
    <w:rsid w:val="005A2909"/>
    <w:rsid w:val="005A2A3D"/>
    <w:rsid w:val="005A2A8E"/>
    <w:rsid w:val="005A2B9E"/>
    <w:rsid w:val="005A2D41"/>
    <w:rsid w:val="005A2EAB"/>
    <w:rsid w:val="005A2EEA"/>
    <w:rsid w:val="005A334A"/>
    <w:rsid w:val="005A352F"/>
    <w:rsid w:val="005A35ED"/>
    <w:rsid w:val="005A36EA"/>
    <w:rsid w:val="005A37AC"/>
    <w:rsid w:val="005A3868"/>
    <w:rsid w:val="005A39FD"/>
    <w:rsid w:val="005A3C64"/>
    <w:rsid w:val="005A3DBC"/>
    <w:rsid w:val="005A3E4A"/>
    <w:rsid w:val="005A4023"/>
    <w:rsid w:val="005A406B"/>
    <w:rsid w:val="005A4155"/>
    <w:rsid w:val="005A4622"/>
    <w:rsid w:val="005A4763"/>
    <w:rsid w:val="005A48EF"/>
    <w:rsid w:val="005A4A83"/>
    <w:rsid w:val="005A4CA6"/>
    <w:rsid w:val="005A4F7B"/>
    <w:rsid w:val="005A5034"/>
    <w:rsid w:val="005A51DB"/>
    <w:rsid w:val="005A54A0"/>
    <w:rsid w:val="005A56A1"/>
    <w:rsid w:val="005A5948"/>
    <w:rsid w:val="005A5C44"/>
    <w:rsid w:val="005A5E1D"/>
    <w:rsid w:val="005A6007"/>
    <w:rsid w:val="005A60AA"/>
    <w:rsid w:val="005A61AE"/>
    <w:rsid w:val="005A62DA"/>
    <w:rsid w:val="005A6499"/>
    <w:rsid w:val="005A6572"/>
    <w:rsid w:val="005A66C1"/>
    <w:rsid w:val="005A6757"/>
    <w:rsid w:val="005A67F2"/>
    <w:rsid w:val="005A68E9"/>
    <w:rsid w:val="005A6AE2"/>
    <w:rsid w:val="005A6F2E"/>
    <w:rsid w:val="005A713A"/>
    <w:rsid w:val="005A71FB"/>
    <w:rsid w:val="005A720E"/>
    <w:rsid w:val="005A73D7"/>
    <w:rsid w:val="005A7455"/>
    <w:rsid w:val="005A77C0"/>
    <w:rsid w:val="005A77E1"/>
    <w:rsid w:val="005A7832"/>
    <w:rsid w:val="005A783C"/>
    <w:rsid w:val="005A790E"/>
    <w:rsid w:val="005A7A0D"/>
    <w:rsid w:val="005A7A77"/>
    <w:rsid w:val="005A7BDC"/>
    <w:rsid w:val="005A7F28"/>
    <w:rsid w:val="005B0078"/>
    <w:rsid w:val="005B010B"/>
    <w:rsid w:val="005B01AC"/>
    <w:rsid w:val="005B01D1"/>
    <w:rsid w:val="005B0326"/>
    <w:rsid w:val="005B065B"/>
    <w:rsid w:val="005B085D"/>
    <w:rsid w:val="005B09B6"/>
    <w:rsid w:val="005B0A91"/>
    <w:rsid w:val="005B1077"/>
    <w:rsid w:val="005B1264"/>
    <w:rsid w:val="005B14CD"/>
    <w:rsid w:val="005B1C65"/>
    <w:rsid w:val="005B1CBD"/>
    <w:rsid w:val="005B1EFA"/>
    <w:rsid w:val="005B1F3D"/>
    <w:rsid w:val="005B223E"/>
    <w:rsid w:val="005B26E9"/>
    <w:rsid w:val="005B2722"/>
    <w:rsid w:val="005B284A"/>
    <w:rsid w:val="005B28D2"/>
    <w:rsid w:val="005B29C4"/>
    <w:rsid w:val="005B2A8E"/>
    <w:rsid w:val="005B2B21"/>
    <w:rsid w:val="005B2BAA"/>
    <w:rsid w:val="005B2BBE"/>
    <w:rsid w:val="005B2CA0"/>
    <w:rsid w:val="005B2FED"/>
    <w:rsid w:val="005B3095"/>
    <w:rsid w:val="005B31EC"/>
    <w:rsid w:val="005B3350"/>
    <w:rsid w:val="005B338F"/>
    <w:rsid w:val="005B347A"/>
    <w:rsid w:val="005B3544"/>
    <w:rsid w:val="005B3662"/>
    <w:rsid w:val="005B3A37"/>
    <w:rsid w:val="005B3BF7"/>
    <w:rsid w:val="005B3E9D"/>
    <w:rsid w:val="005B4130"/>
    <w:rsid w:val="005B4452"/>
    <w:rsid w:val="005B448D"/>
    <w:rsid w:val="005B44FF"/>
    <w:rsid w:val="005B48D1"/>
    <w:rsid w:val="005B4A10"/>
    <w:rsid w:val="005B4AD2"/>
    <w:rsid w:val="005B4BA7"/>
    <w:rsid w:val="005B4D51"/>
    <w:rsid w:val="005B4EB5"/>
    <w:rsid w:val="005B4EE5"/>
    <w:rsid w:val="005B5159"/>
    <w:rsid w:val="005B530B"/>
    <w:rsid w:val="005B5355"/>
    <w:rsid w:val="005B53BF"/>
    <w:rsid w:val="005B53F1"/>
    <w:rsid w:val="005B54EF"/>
    <w:rsid w:val="005B5510"/>
    <w:rsid w:val="005B56A4"/>
    <w:rsid w:val="005B56EF"/>
    <w:rsid w:val="005B587E"/>
    <w:rsid w:val="005B5928"/>
    <w:rsid w:val="005B59DE"/>
    <w:rsid w:val="005B5AAC"/>
    <w:rsid w:val="005B5B5E"/>
    <w:rsid w:val="005B5CBE"/>
    <w:rsid w:val="005B5D51"/>
    <w:rsid w:val="005B5D7C"/>
    <w:rsid w:val="005B6152"/>
    <w:rsid w:val="005B6158"/>
    <w:rsid w:val="005B61E1"/>
    <w:rsid w:val="005B62C0"/>
    <w:rsid w:val="005B64FB"/>
    <w:rsid w:val="005B6618"/>
    <w:rsid w:val="005B6901"/>
    <w:rsid w:val="005B6947"/>
    <w:rsid w:val="005B69B5"/>
    <w:rsid w:val="005B6A78"/>
    <w:rsid w:val="005B6BF2"/>
    <w:rsid w:val="005B6C74"/>
    <w:rsid w:val="005B6F69"/>
    <w:rsid w:val="005B6FCE"/>
    <w:rsid w:val="005B73D3"/>
    <w:rsid w:val="005B7411"/>
    <w:rsid w:val="005B7465"/>
    <w:rsid w:val="005B76FF"/>
    <w:rsid w:val="005B7C3E"/>
    <w:rsid w:val="005B7C5B"/>
    <w:rsid w:val="005B7EA0"/>
    <w:rsid w:val="005C0045"/>
    <w:rsid w:val="005C0070"/>
    <w:rsid w:val="005C01AA"/>
    <w:rsid w:val="005C0260"/>
    <w:rsid w:val="005C037D"/>
    <w:rsid w:val="005C0452"/>
    <w:rsid w:val="005C0519"/>
    <w:rsid w:val="005C053F"/>
    <w:rsid w:val="005C087D"/>
    <w:rsid w:val="005C0ACA"/>
    <w:rsid w:val="005C0EE7"/>
    <w:rsid w:val="005C1049"/>
    <w:rsid w:val="005C108C"/>
    <w:rsid w:val="005C1094"/>
    <w:rsid w:val="005C10D9"/>
    <w:rsid w:val="005C1244"/>
    <w:rsid w:val="005C1272"/>
    <w:rsid w:val="005C158A"/>
    <w:rsid w:val="005C1674"/>
    <w:rsid w:val="005C16CC"/>
    <w:rsid w:val="005C16F9"/>
    <w:rsid w:val="005C17EF"/>
    <w:rsid w:val="005C1980"/>
    <w:rsid w:val="005C1A94"/>
    <w:rsid w:val="005C1ACE"/>
    <w:rsid w:val="005C1BD3"/>
    <w:rsid w:val="005C1CAC"/>
    <w:rsid w:val="005C1D10"/>
    <w:rsid w:val="005C1D61"/>
    <w:rsid w:val="005C1E87"/>
    <w:rsid w:val="005C2303"/>
    <w:rsid w:val="005C250F"/>
    <w:rsid w:val="005C2573"/>
    <w:rsid w:val="005C259E"/>
    <w:rsid w:val="005C26FE"/>
    <w:rsid w:val="005C2AE1"/>
    <w:rsid w:val="005C2B83"/>
    <w:rsid w:val="005C2B97"/>
    <w:rsid w:val="005C2C3A"/>
    <w:rsid w:val="005C2D14"/>
    <w:rsid w:val="005C2DBD"/>
    <w:rsid w:val="005C2DE9"/>
    <w:rsid w:val="005C2F15"/>
    <w:rsid w:val="005C30E7"/>
    <w:rsid w:val="005C3194"/>
    <w:rsid w:val="005C3296"/>
    <w:rsid w:val="005C3323"/>
    <w:rsid w:val="005C3436"/>
    <w:rsid w:val="005C3437"/>
    <w:rsid w:val="005C3531"/>
    <w:rsid w:val="005C3670"/>
    <w:rsid w:val="005C373E"/>
    <w:rsid w:val="005C39EF"/>
    <w:rsid w:val="005C3D1A"/>
    <w:rsid w:val="005C3F1B"/>
    <w:rsid w:val="005C417A"/>
    <w:rsid w:val="005C43B1"/>
    <w:rsid w:val="005C45A6"/>
    <w:rsid w:val="005C4646"/>
    <w:rsid w:val="005C4735"/>
    <w:rsid w:val="005C47F4"/>
    <w:rsid w:val="005C48A8"/>
    <w:rsid w:val="005C4932"/>
    <w:rsid w:val="005C49A9"/>
    <w:rsid w:val="005C49FD"/>
    <w:rsid w:val="005C4B3A"/>
    <w:rsid w:val="005C4C65"/>
    <w:rsid w:val="005C4D9F"/>
    <w:rsid w:val="005C4E10"/>
    <w:rsid w:val="005C543B"/>
    <w:rsid w:val="005C557F"/>
    <w:rsid w:val="005C5670"/>
    <w:rsid w:val="005C5898"/>
    <w:rsid w:val="005C58DC"/>
    <w:rsid w:val="005C5A2D"/>
    <w:rsid w:val="005C5BD2"/>
    <w:rsid w:val="005C5CDB"/>
    <w:rsid w:val="005C5D20"/>
    <w:rsid w:val="005C5DFE"/>
    <w:rsid w:val="005C5EB8"/>
    <w:rsid w:val="005C5F60"/>
    <w:rsid w:val="005C5FF6"/>
    <w:rsid w:val="005C6166"/>
    <w:rsid w:val="005C6291"/>
    <w:rsid w:val="005C6571"/>
    <w:rsid w:val="005C6976"/>
    <w:rsid w:val="005C6A09"/>
    <w:rsid w:val="005C6B12"/>
    <w:rsid w:val="005C6D78"/>
    <w:rsid w:val="005C6DFB"/>
    <w:rsid w:val="005C6EBD"/>
    <w:rsid w:val="005C70D4"/>
    <w:rsid w:val="005C715C"/>
    <w:rsid w:val="005C747A"/>
    <w:rsid w:val="005C7627"/>
    <w:rsid w:val="005C76A7"/>
    <w:rsid w:val="005C77F6"/>
    <w:rsid w:val="005C792B"/>
    <w:rsid w:val="005C7AC0"/>
    <w:rsid w:val="005C7ACF"/>
    <w:rsid w:val="005C7D1A"/>
    <w:rsid w:val="005C7F0B"/>
    <w:rsid w:val="005C7F13"/>
    <w:rsid w:val="005D00A4"/>
    <w:rsid w:val="005D01EC"/>
    <w:rsid w:val="005D0250"/>
    <w:rsid w:val="005D02C1"/>
    <w:rsid w:val="005D039F"/>
    <w:rsid w:val="005D03D3"/>
    <w:rsid w:val="005D0574"/>
    <w:rsid w:val="005D0578"/>
    <w:rsid w:val="005D05DA"/>
    <w:rsid w:val="005D07A5"/>
    <w:rsid w:val="005D07DA"/>
    <w:rsid w:val="005D0818"/>
    <w:rsid w:val="005D0AA1"/>
    <w:rsid w:val="005D0B25"/>
    <w:rsid w:val="005D0B88"/>
    <w:rsid w:val="005D0D4E"/>
    <w:rsid w:val="005D0D77"/>
    <w:rsid w:val="005D0DEF"/>
    <w:rsid w:val="005D0DF7"/>
    <w:rsid w:val="005D10B3"/>
    <w:rsid w:val="005D1378"/>
    <w:rsid w:val="005D13AA"/>
    <w:rsid w:val="005D1C76"/>
    <w:rsid w:val="005D1CE4"/>
    <w:rsid w:val="005D1D7E"/>
    <w:rsid w:val="005D1E8B"/>
    <w:rsid w:val="005D1EAF"/>
    <w:rsid w:val="005D20AC"/>
    <w:rsid w:val="005D20D0"/>
    <w:rsid w:val="005D215C"/>
    <w:rsid w:val="005D2324"/>
    <w:rsid w:val="005D25F7"/>
    <w:rsid w:val="005D26EF"/>
    <w:rsid w:val="005D2A8E"/>
    <w:rsid w:val="005D2B9A"/>
    <w:rsid w:val="005D3230"/>
    <w:rsid w:val="005D352E"/>
    <w:rsid w:val="005D358F"/>
    <w:rsid w:val="005D3832"/>
    <w:rsid w:val="005D3836"/>
    <w:rsid w:val="005D3918"/>
    <w:rsid w:val="005D3C26"/>
    <w:rsid w:val="005D3DC6"/>
    <w:rsid w:val="005D3E88"/>
    <w:rsid w:val="005D3F0C"/>
    <w:rsid w:val="005D40CB"/>
    <w:rsid w:val="005D4170"/>
    <w:rsid w:val="005D4241"/>
    <w:rsid w:val="005D42B5"/>
    <w:rsid w:val="005D4876"/>
    <w:rsid w:val="005D4927"/>
    <w:rsid w:val="005D499D"/>
    <w:rsid w:val="005D4B0A"/>
    <w:rsid w:val="005D4C2D"/>
    <w:rsid w:val="005D4D62"/>
    <w:rsid w:val="005D4DC6"/>
    <w:rsid w:val="005D4FCA"/>
    <w:rsid w:val="005D5092"/>
    <w:rsid w:val="005D50D4"/>
    <w:rsid w:val="005D50E4"/>
    <w:rsid w:val="005D5156"/>
    <w:rsid w:val="005D5435"/>
    <w:rsid w:val="005D54AB"/>
    <w:rsid w:val="005D54FA"/>
    <w:rsid w:val="005D554F"/>
    <w:rsid w:val="005D55F3"/>
    <w:rsid w:val="005D57AF"/>
    <w:rsid w:val="005D5A7C"/>
    <w:rsid w:val="005D5A81"/>
    <w:rsid w:val="005D5F3E"/>
    <w:rsid w:val="005D6180"/>
    <w:rsid w:val="005D61DA"/>
    <w:rsid w:val="005D63B6"/>
    <w:rsid w:val="005D64A1"/>
    <w:rsid w:val="005D6667"/>
    <w:rsid w:val="005D6A32"/>
    <w:rsid w:val="005D6AB8"/>
    <w:rsid w:val="005D6C18"/>
    <w:rsid w:val="005D6E33"/>
    <w:rsid w:val="005D703B"/>
    <w:rsid w:val="005D704D"/>
    <w:rsid w:val="005D737A"/>
    <w:rsid w:val="005D79FE"/>
    <w:rsid w:val="005D7A0A"/>
    <w:rsid w:val="005D7B8F"/>
    <w:rsid w:val="005D7C4C"/>
    <w:rsid w:val="005D7D81"/>
    <w:rsid w:val="005D7D9B"/>
    <w:rsid w:val="005E0034"/>
    <w:rsid w:val="005E01D8"/>
    <w:rsid w:val="005E0264"/>
    <w:rsid w:val="005E04BA"/>
    <w:rsid w:val="005E05C8"/>
    <w:rsid w:val="005E0B73"/>
    <w:rsid w:val="005E0D81"/>
    <w:rsid w:val="005E0DE7"/>
    <w:rsid w:val="005E0F2C"/>
    <w:rsid w:val="005E10F9"/>
    <w:rsid w:val="005E1106"/>
    <w:rsid w:val="005E1446"/>
    <w:rsid w:val="005E1535"/>
    <w:rsid w:val="005E1672"/>
    <w:rsid w:val="005E19C1"/>
    <w:rsid w:val="005E1A35"/>
    <w:rsid w:val="005E1AE8"/>
    <w:rsid w:val="005E1B7F"/>
    <w:rsid w:val="005E1C10"/>
    <w:rsid w:val="005E1C6C"/>
    <w:rsid w:val="005E1CF9"/>
    <w:rsid w:val="005E1D33"/>
    <w:rsid w:val="005E1F11"/>
    <w:rsid w:val="005E1F61"/>
    <w:rsid w:val="005E205E"/>
    <w:rsid w:val="005E20E6"/>
    <w:rsid w:val="005E2100"/>
    <w:rsid w:val="005E2171"/>
    <w:rsid w:val="005E221A"/>
    <w:rsid w:val="005E2413"/>
    <w:rsid w:val="005E24DB"/>
    <w:rsid w:val="005E2603"/>
    <w:rsid w:val="005E2A25"/>
    <w:rsid w:val="005E2A7F"/>
    <w:rsid w:val="005E2B06"/>
    <w:rsid w:val="005E2B72"/>
    <w:rsid w:val="005E2BA7"/>
    <w:rsid w:val="005E2D99"/>
    <w:rsid w:val="005E2E10"/>
    <w:rsid w:val="005E305D"/>
    <w:rsid w:val="005E3281"/>
    <w:rsid w:val="005E33B5"/>
    <w:rsid w:val="005E353C"/>
    <w:rsid w:val="005E3646"/>
    <w:rsid w:val="005E3740"/>
    <w:rsid w:val="005E37C7"/>
    <w:rsid w:val="005E37CF"/>
    <w:rsid w:val="005E382E"/>
    <w:rsid w:val="005E395B"/>
    <w:rsid w:val="005E3A3C"/>
    <w:rsid w:val="005E3AA7"/>
    <w:rsid w:val="005E3C8D"/>
    <w:rsid w:val="005E3CA8"/>
    <w:rsid w:val="005E4011"/>
    <w:rsid w:val="005E43A1"/>
    <w:rsid w:val="005E43BA"/>
    <w:rsid w:val="005E46B4"/>
    <w:rsid w:val="005E4744"/>
    <w:rsid w:val="005E482F"/>
    <w:rsid w:val="005E4D3F"/>
    <w:rsid w:val="005E4F19"/>
    <w:rsid w:val="005E4FB2"/>
    <w:rsid w:val="005E519E"/>
    <w:rsid w:val="005E51AB"/>
    <w:rsid w:val="005E51BB"/>
    <w:rsid w:val="005E52CB"/>
    <w:rsid w:val="005E5740"/>
    <w:rsid w:val="005E5822"/>
    <w:rsid w:val="005E59D7"/>
    <w:rsid w:val="005E5D8F"/>
    <w:rsid w:val="005E6050"/>
    <w:rsid w:val="005E6059"/>
    <w:rsid w:val="005E60E1"/>
    <w:rsid w:val="005E60FC"/>
    <w:rsid w:val="005E6231"/>
    <w:rsid w:val="005E6249"/>
    <w:rsid w:val="005E6279"/>
    <w:rsid w:val="005E6328"/>
    <w:rsid w:val="005E63B1"/>
    <w:rsid w:val="005E645C"/>
    <w:rsid w:val="005E6471"/>
    <w:rsid w:val="005E6520"/>
    <w:rsid w:val="005E6658"/>
    <w:rsid w:val="005E6894"/>
    <w:rsid w:val="005E6AB5"/>
    <w:rsid w:val="005E6AE6"/>
    <w:rsid w:val="005E6B8C"/>
    <w:rsid w:val="005E6D49"/>
    <w:rsid w:val="005E6E20"/>
    <w:rsid w:val="005E6EAB"/>
    <w:rsid w:val="005E71C0"/>
    <w:rsid w:val="005E7338"/>
    <w:rsid w:val="005E75C9"/>
    <w:rsid w:val="005E76C6"/>
    <w:rsid w:val="005E7860"/>
    <w:rsid w:val="005E79D0"/>
    <w:rsid w:val="005E7C7F"/>
    <w:rsid w:val="005E7D11"/>
    <w:rsid w:val="005E7DF6"/>
    <w:rsid w:val="005F0031"/>
    <w:rsid w:val="005F0062"/>
    <w:rsid w:val="005F00A2"/>
    <w:rsid w:val="005F02D8"/>
    <w:rsid w:val="005F03EC"/>
    <w:rsid w:val="005F051A"/>
    <w:rsid w:val="005F05BD"/>
    <w:rsid w:val="005F07B6"/>
    <w:rsid w:val="005F07C7"/>
    <w:rsid w:val="005F09AA"/>
    <w:rsid w:val="005F0A3A"/>
    <w:rsid w:val="005F0A79"/>
    <w:rsid w:val="005F0BE4"/>
    <w:rsid w:val="005F0C72"/>
    <w:rsid w:val="005F0CFF"/>
    <w:rsid w:val="005F0E58"/>
    <w:rsid w:val="005F0EEF"/>
    <w:rsid w:val="005F1008"/>
    <w:rsid w:val="005F110F"/>
    <w:rsid w:val="005F114B"/>
    <w:rsid w:val="005F1184"/>
    <w:rsid w:val="005F11CB"/>
    <w:rsid w:val="005F1222"/>
    <w:rsid w:val="005F12FC"/>
    <w:rsid w:val="005F130A"/>
    <w:rsid w:val="005F1312"/>
    <w:rsid w:val="005F159E"/>
    <w:rsid w:val="005F15AF"/>
    <w:rsid w:val="005F173D"/>
    <w:rsid w:val="005F1849"/>
    <w:rsid w:val="005F1852"/>
    <w:rsid w:val="005F18DC"/>
    <w:rsid w:val="005F195F"/>
    <w:rsid w:val="005F19B8"/>
    <w:rsid w:val="005F19EA"/>
    <w:rsid w:val="005F1A4F"/>
    <w:rsid w:val="005F1A78"/>
    <w:rsid w:val="005F1BD5"/>
    <w:rsid w:val="005F1C9A"/>
    <w:rsid w:val="005F1D44"/>
    <w:rsid w:val="005F1D6A"/>
    <w:rsid w:val="005F1DE1"/>
    <w:rsid w:val="005F1EF8"/>
    <w:rsid w:val="005F207E"/>
    <w:rsid w:val="005F2222"/>
    <w:rsid w:val="005F231A"/>
    <w:rsid w:val="005F23B2"/>
    <w:rsid w:val="005F24FA"/>
    <w:rsid w:val="005F2671"/>
    <w:rsid w:val="005F2764"/>
    <w:rsid w:val="005F2AA4"/>
    <w:rsid w:val="005F2B5B"/>
    <w:rsid w:val="005F2C5E"/>
    <w:rsid w:val="005F2EB2"/>
    <w:rsid w:val="005F2F92"/>
    <w:rsid w:val="005F3053"/>
    <w:rsid w:val="005F30A1"/>
    <w:rsid w:val="005F3164"/>
    <w:rsid w:val="005F33A4"/>
    <w:rsid w:val="005F347B"/>
    <w:rsid w:val="005F35A1"/>
    <w:rsid w:val="005F393B"/>
    <w:rsid w:val="005F3A0D"/>
    <w:rsid w:val="005F3AF1"/>
    <w:rsid w:val="005F3B86"/>
    <w:rsid w:val="005F3BA1"/>
    <w:rsid w:val="005F3D64"/>
    <w:rsid w:val="005F3F3F"/>
    <w:rsid w:val="005F414D"/>
    <w:rsid w:val="005F4767"/>
    <w:rsid w:val="005F49AD"/>
    <w:rsid w:val="005F4DE0"/>
    <w:rsid w:val="005F4E21"/>
    <w:rsid w:val="005F4E4E"/>
    <w:rsid w:val="005F4EA3"/>
    <w:rsid w:val="005F5196"/>
    <w:rsid w:val="005F5232"/>
    <w:rsid w:val="005F5330"/>
    <w:rsid w:val="005F5384"/>
    <w:rsid w:val="005F53B0"/>
    <w:rsid w:val="005F5417"/>
    <w:rsid w:val="005F54C3"/>
    <w:rsid w:val="005F55B5"/>
    <w:rsid w:val="005F567E"/>
    <w:rsid w:val="005F5711"/>
    <w:rsid w:val="005F57BE"/>
    <w:rsid w:val="005F590A"/>
    <w:rsid w:val="005F594E"/>
    <w:rsid w:val="005F598B"/>
    <w:rsid w:val="005F5CE5"/>
    <w:rsid w:val="005F5D96"/>
    <w:rsid w:val="005F5DD2"/>
    <w:rsid w:val="005F621D"/>
    <w:rsid w:val="005F6326"/>
    <w:rsid w:val="005F6467"/>
    <w:rsid w:val="005F6598"/>
    <w:rsid w:val="005F65A8"/>
    <w:rsid w:val="005F6A63"/>
    <w:rsid w:val="005F6B0B"/>
    <w:rsid w:val="005F6B75"/>
    <w:rsid w:val="005F7097"/>
    <w:rsid w:val="005F748A"/>
    <w:rsid w:val="005F748F"/>
    <w:rsid w:val="005F768B"/>
    <w:rsid w:val="005F7787"/>
    <w:rsid w:val="005F7871"/>
    <w:rsid w:val="005F7A4E"/>
    <w:rsid w:val="005F7A6D"/>
    <w:rsid w:val="005F7B1D"/>
    <w:rsid w:val="005F7E3C"/>
    <w:rsid w:val="005F7EC6"/>
    <w:rsid w:val="00600191"/>
    <w:rsid w:val="00600199"/>
    <w:rsid w:val="006006E2"/>
    <w:rsid w:val="006007E3"/>
    <w:rsid w:val="006008F1"/>
    <w:rsid w:val="00600F43"/>
    <w:rsid w:val="00600FDB"/>
    <w:rsid w:val="00601079"/>
    <w:rsid w:val="00601295"/>
    <w:rsid w:val="00601380"/>
    <w:rsid w:val="0060138A"/>
    <w:rsid w:val="00601426"/>
    <w:rsid w:val="006014C0"/>
    <w:rsid w:val="00601620"/>
    <w:rsid w:val="0060162C"/>
    <w:rsid w:val="006018BA"/>
    <w:rsid w:val="006018C8"/>
    <w:rsid w:val="00601DAF"/>
    <w:rsid w:val="00601EDE"/>
    <w:rsid w:val="0060241F"/>
    <w:rsid w:val="006026BC"/>
    <w:rsid w:val="00602BB5"/>
    <w:rsid w:val="00602BD4"/>
    <w:rsid w:val="00602D28"/>
    <w:rsid w:val="00602D5A"/>
    <w:rsid w:val="00602DF7"/>
    <w:rsid w:val="00602FA8"/>
    <w:rsid w:val="00602FCB"/>
    <w:rsid w:val="00603072"/>
    <w:rsid w:val="00603237"/>
    <w:rsid w:val="00603495"/>
    <w:rsid w:val="006034CA"/>
    <w:rsid w:val="00603568"/>
    <w:rsid w:val="006035B1"/>
    <w:rsid w:val="0060362F"/>
    <w:rsid w:val="0060374A"/>
    <w:rsid w:val="006037F3"/>
    <w:rsid w:val="00603828"/>
    <w:rsid w:val="006038F7"/>
    <w:rsid w:val="00603A42"/>
    <w:rsid w:val="00603AD3"/>
    <w:rsid w:val="00603B5B"/>
    <w:rsid w:val="00603D76"/>
    <w:rsid w:val="00603E32"/>
    <w:rsid w:val="00604113"/>
    <w:rsid w:val="00604133"/>
    <w:rsid w:val="0060416F"/>
    <w:rsid w:val="00604247"/>
    <w:rsid w:val="006042A4"/>
    <w:rsid w:val="006042FB"/>
    <w:rsid w:val="00604533"/>
    <w:rsid w:val="006047A6"/>
    <w:rsid w:val="006048C7"/>
    <w:rsid w:val="00604912"/>
    <w:rsid w:val="00604A53"/>
    <w:rsid w:val="00604BD6"/>
    <w:rsid w:val="00604C06"/>
    <w:rsid w:val="00604C1C"/>
    <w:rsid w:val="00604DEF"/>
    <w:rsid w:val="00604EA9"/>
    <w:rsid w:val="006050C3"/>
    <w:rsid w:val="006050CC"/>
    <w:rsid w:val="0060523A"/>
    <w:rsid w:val="0060526C"/>
    <w:rsid w:val="00605270"/>
    <w:rsid w:val="006054F3"/>
    <w:rsid w:val="0060561B"/>
    <w:rsid w:val="0060590D"/>
    <w:rsid w:val="0060595D"/>
    <w:rsid w:val="00605974"/>
    <w:rsid w:val="006059A7"/>
    <w:rsid w:val="00605B49"/>
    <w:rsid w:val="00605BFD"/>
    <w:rsid w:val="00605C6B"/>
    <w:rsid w:val="00605D60"/>
    <w:rsid w:val="00605F50"/>
    <w:rsid w:val="00606052"/>
    <w:rsid w:val="00606132"/>
    <w:rsid w:val="006061DA"/>
    <w:rsid w:val="006062B1"/>
    <w:rsid w:val="00606350"/>
    <w:rsid w:val="006067A2"/>
    <w:rsid w:val="0060683C"/>
    <w:rsid w:val="00606939"/>
    <w:rsid w:val="00606A97"/>
    <w:rsid w:val="00606B3F"/>
    <w:rsid w:val="00606C83"/>
    <w:rsid w:val="00606E51"/>
    <w:rsid w:val="00606E61"/>
    <w:rsid w:val="00606EDB"/>
    <w:rsid w:val="00606EED"/>
    <w:rsid w:val="00606F2D"/>
    <w:rsid w:val="00606FF0"/>
    <w:rsid w:val="0060725A"/>
    <w:rsid w:val="006074AD"/>
    <w:rsid w:val="006077C2"/>
    <w:rsid w:val="006077F7"/>
    <w:rsid w:val="0060784F"/>
    <w:rsid w:val="00607937"/>
    <w:rsid w:val="00607B5B"/>
    <w:rsid w:val="00607BF1"/>
    <w:rsid w:val="00607DB9"/>
    <w:rsid w:val="00610057"/>
    <w:rsid w:val="00610239"/>
    <w:rsid w:val="006104A1"/>
    <w:rsid w:val="0061069D"/>
    <w:rsid w:val="00610754"/>
    <w:rsid w:val="006107C3"/>
    <w:rsid w:val="00610836"/>
    <w:rsid w:val="0061089B"/>
    <w:rsid w:val="00610BFA"/>
    <w:rsid w:val="00610CDA"/>
    <w:rsid w:val="00610D8C"/>
    <w:rsid w:val="00610E00"/>
    <w:rsid w:val="00610E4F"/>
    <w:rsid w:val="00610F5E"/>
    <w:rsid w:val="00611034"/>
    <w:rsid w:val="006110DC"/>
    <w:rsid w:val="006111DB"/>
    <w:rsid w:val="00611340"/>
    <w:rsid w:val="00611352"/>
    <w:rsid w:val="006113BD"/>
    <w:rsid w:val="006115A6"/>
    <w:rsid w:val="00611705"/>
    <w:rsid w:val="00611978"/>
    <w:rsid w:val="00611A36"/>
    <w:rsid w:val="00611A7E"/>
    <w:rsid w:val="00611B9E"/>
    <w:rsid w:val="00611BC5"/>
    <w:rsid w:val="00611E69"/>
    <w:rsid w:val="006120EB"/>
    <w:rsid w:val="00612104"/>
    <w:rsid w:val="00612514"/>
    <w:rsid w:val="00612DD4"/>
    <w:rsid w:val="00613003"/>
    <w:rsid w:val="006130ED"/>
    <w:rsid w:val="00613279"/>
    <w:rsid w:val="006135D9"/>
    <w:rsid w:val="00613863"/>
    <w:rsid w:val="006138C4"/>
    <w:rsid w:val="00613AF1"/>
    <w:rsid w:val="00613DF5"/>
    <w:rsid w:val="00613E61"/>
    <w:rsid w:val="00613F85"/>
    <w:rsid w:val="0061438B"/>
    <w:rsid w:val="006143D1"/>
    <w:rsid w:val="00614641"/>
    <w:rsid w:val="006146BA"/>
    <w:rsid w:val="00614922"/>
    <w:rsid w:val="00614943"/>
    <w:rsid w:val="006149BD"/>
    <w:rsid w:val="00614A74"/>
    <w:rsid w:val="00614AE7"/>
    <w:rsid w:val="00614C5F"/>
    <w:rsid w:val="00614D15"/>
    <w:rsid w:val="00614D38"/>
    <w:rsid w:val="00614ED8"/>
    <w:rsid w:val="006155B8"/>
    <w:rsid w:val="006155D2"/>
    <w:rsid w:val="006155F4"/>
    <w:rsid w:val="00615706"/>
    <w:rsid w:val="006157CB"/>
    <w:rsid w:val="006157E2"/>
    <w:rsid w:val="0061583D"/>
    <w:rsid w:val="00615883"/>
    <w:rsid w:val="0061597F"/>
    <w:rsid w:val="00615BB1"/>
    <w:rsid w:val="00615DF3"/>
    <w:rsid w:val="00615E76"/>
    <w:rsid w:val="00615E97"/>
    <w:rsid w:val="00615F0B"/>
    <w:rsid w:val="00615F30"/>
    <w:rsid w:val="00615FE4"/>
    <w:rsid w:val="006160D9"/>
    <w:rsid w:val="006161A9"/>
    <w:rsid w:val="006165E9"/>
    <w:rsid w:val="006165F6"/>
    <w:rsid w:val="00616981"/>
    <w:rsid w:val="006169CD"/>
    <w:rsid w:val="00616A3E"/>
    <w:rsid w:val="00616ADC"/>
    <w:rsid w:val="00616D35"/>
    <w:rsid w:val="00616E7F"/>
    <w:rsid w:val="00616E81"/>
    <w:rsid w:val="00617204"/>
    <w:rsid w:val="006174BD"/>
    <w:rsid w:val="00617566"/>
    <w:rsid w:val="006176FD"/>
    <w:rsid w:val="00617906"/>
    <w:rsid w:val="0061790D"/>
    <w:rsid w:val="0061797D"/>
    <w:rsid w:val="00617B29"/>
    <w:rsid w:val="00617C85"/>
    <w:rsid w:val="00617DBD"/>
    <w:rsid w:val="00620071"/>
    <w:rsid w:val="0062016C"/>
    <w:rsid w:val="00620264"/>
    <w:rsid w:val="00620268"/>
    <w:rsid w:val="0062028C"/>
    <w:rsid w:val="00620393"/>
    <w:rsid w:val="0062092F"/>
    <w:rsid w:val="00620A8A"/>
    <w:rsid w:val="00620B38"/>
    <w:rsid w:val="00620DFE"/>
    <w:rsid w:val="00620E2E"/>
    <w:rsid w:val="00621011"/>
    <w:rsid w:val="006211A0"/>
    <w:rsid w:val="006211A9"/>
    <w:rsid w:val="00621336"/>
    <w:rsid w:val="0062139E"/>
    <w:rsid w:val="00621411"/>
    <w:rsid w:val="006215E9"/>
    <w:rsid w:val="006218B9"/>
    <w:rsid w:val="00621A40"/>
    <w:rsid w:val="00621BC2"/>
    <w:rsid w:val="00621E1F"/>
    <w:rsid w:val="006220ED"/>
    <w:rsid w:val="00622117"/>
    <w:rsid w:val="00622198"/>
    <w:rsid w:val="006222C4"/>
    <w:rsid w:val="00622514"/>
    <w:rsid w:val="0062252F"/>
    <w:rsid w:val="00622744"/>
    <w:rsid w:val="00622A52"/>
    <w:rsid w:val="00622A7C"/>
    <w:rsid w:val="00622AFC"/>
    <w:rsid w:val="00622BF0"/>
    <w:rsid w:val="00622D6D"/>
    <w:rsid w:val="00622E84"/>
    <w:rsid w:val="006230FC"/>
    <w:rsid w:val="006235F7"/>
    <w:rsid w:val="00623604"/>
    <w:rsid w:val="0062371B"/>
    <w:rsid w:val="00623969"/>
    <w:rsid w:val="00623A67"/>
    <w:rsid w:val="00623AD3"/>
    <w:rsid w:val="00623C55"/>
    <w:rsid w:val="00623C99"/>
    <w:rsid w:val="00623D3F"/>
    <w:rsid w:val="00623E7F"/>
    <w:rsid w:val="006241E4"/>
    <w:rsid w:val="006242EB"/>
    <w:rsid w:val="00624344"/>
    <w:rsid w:val="00624396"/>
    <w:rsid w:val="006243E3"/>
    <w:rsid w:val="00624480"/>
    <w:rsid w:val="00624817"/>
    <w:rsid w:val="00624CD9"/>
    <w:rsid w:val="00624D74"/>
    <w:rsid w:val="00624EAE"/>
    <w:rsid w:val="00625398"/>
    <w:rsid w:val="0062572B"/>
    <w:rsid w:val="00625774"/>
    <w:rsid w:val="00625784"/>
    <w:rsid w:val="0062586C"/>
    <w:rsid w:val="0062593A"/>
    <w:rsid w:val="00625A2D"/>
    <w:rsid w:val="00625A7B"/>
    <w:rsid w:val="00625AE0"/>
    <w:rsid w:val="00625B5A"/>
    <w:rsid w:val="00625BFE"/>
    <w:rsid w:val="00625C31"/>
    <w:rsid w:val="00625D23"/>
    <w:rsid w:val="00625E51"/>
    <w:rsid w:val="00625FA6"/>
    <w:rsid w:val="00626158"/>
    <w:rsid w:val="00626177"/>
    <w:rsid w:val="00626264"/>
    <w:rsid w:val="006263FF"/>
    <w:rsid w:val="006264B1"/>
    <w:rsid w:val="00626652"/>
    <w:rsid w:val="0062674D"/>
    <w:rsid w:val="00626A2D"/>
    <w:rsid w:val="00626B67"/>
    <w:rsid w:val="00626B70"/>
    <w:rsid w:val="00626BB4"/>
    <w:rsid w:val="00626C9A"/>
    <w:rsid w:val="00626CF4"/>
    <w:rsid w:val="00626EF3"/>
    <w:rsid w:val="006270A4"/>
    <w:rsid w:val="006271BA"/>
    <w:rsid w:val="006271CF"/>
    <w:rsid w:val="00627211"/>
    <w:rsid w:val="0062721E"/>
    <w:rsid w:val="006272A3"/>
    <w:rsid w:val="00627404"/>
    <w:rsid w:val="006274AC"/>
    <w:rsid w:val="00627551"/>
    <w:rsid w:val="006277A2"/>
    <w:rsid w:val="0062795A"/>
    <w:rsid w:val="00627AC2"/>
    <w:rsid w:val="00627F9A"/>
    <w:rsid w:val="00627FFE"/>
    <w:rsid w:val="0063012B"/>
    <w:rsid w:val="006303D6"/>
    <w:rsid w:val="00630421"/>
    <w:rsid w:val="006305E9"/>
    <w:rsid w:val="00630664"/>
    <w:rsid w:val="00630672"/>
    <w:rsid w:val="00630898"/>
    <w:rsid w:val="006309E7"/>
    <w:rsid w:val="00630AC5"/>
    <w:rsid w:val="00630CA8"/>
    <w:rsid w:val="00630E21"/>
    <w:rsid w:val="00630F2A"/>
    <w:rsid w:val="00630F54"/>
    <w:rsid w:val="006310AA"/>
    <w:rsid w:val="006310F2"/>
    <w:rsid w:val="006311A9"/>
    <w:rsid w:val="0063134F"/>
    <w:rsid w:val="00631724"/>
    <w:rsid w:val="0063181F"/>
    <w:rsid w:val="0063194D"/>
    <w:rsid w:val="00631A65"/>
    <w:rsid w:val="00631AF9"/>
    <w:rsid w:val="00631B82"/>
    <w:rsid w:val="00631D14"/>
    <w:rsid w:val="00631EC5"/>
    <w:rsid w:val="00632095"/>
    <w:rsid w:val="006323B9"/>
    <w:rsid w:val="0063251F"/>
    <w:rsid w:val="006325D4"/>
    <w:rsid w:val="0063270D"/>
    <w:rsid w:val="00632784"/>
    <w:rsid w:val="006328BC"/>
    <w:rsid w:val="00632949"/>
    <w:rsid w:val="00632E1B"/>
    <w:rsid w:val="00632F26"/>
    <w:rsid w:val="00632F61"/>
    <w:rsid w:val="006330E0"/>
    <w:rsid w:val="006332A9"/>
    <w:rsid w:val="006334B5"/>
    <w:rsid w:val="006335A1"/>
    <w:rsid w:val="006335FE"/>
    <w:rsid w:val="006336E9"/>
    <w:rsid w:val="006337BA"/>
    <w:rsid w:val="00633AE2"/>
    <w:rsid w:val="00633DDE"/>
    <w:rsid w:val="006342CE"/>
    <w:rsid w:val="00634711"/>
    <w:rsid w:val="0063483A"/>
    <w:rsid w:val="00634AB4"/>
    <w:rsid w:val="00634C58"/>
    <w:rsid w:val="00634DE8"/>
    <w:rsid w:val="00634E0B"/>
    <w:rsid w:val="00634E2D"/>
    <w:rsid w:val="00634E85"/>
    <w:rsid w:val="00634F67"/>
    <w:rsid w:val="0063523E"/>
    <w:rsid w:val="0063545F"/>
    <w:rsid w:val="00635598"/>
    <w:rsid w:val="00635693"/>
    <w:rsid w:val="00635754"/>
    <w:rsid w:val="00635769"/>
    <w:rsid w:val="006358D4"/>
    <w:rsid w:val="00635C1A"/>
    <w:rsid w:val="00635C84"/>
    <w:rsid w:val="00636129"/>
    <w:rsid w:val="0063618C"/>
    <w:rsid w:val="00636247"/>
    <w:rsid w:val="0063631C"/>
    <w:rsid w:val="0063634E"/>
    <w:rsid w:val="006363B1"/>
    <w:rsid w:val="006365C0"/>
    <w:rsid w:val="00636763"/>
    <w:rsid w:val="00636779"/>
    <w:rsid w:val="00636977"/>
    <w:rsid w:val="00636998"/>
    <w:rsid w:val="00636B13"/>
    <w:rsid w:val="00636B58"/>
    <w:rsid w:val="00636BB6"/>
    <w:rsid w:val="00636C62"/>
    <w:rsid w:val="00636E24"/>
    <w:rsid w:val="00636E82"/>
    <w:rsid w:val="00636E86"/>
    <w:rsid w:val="00636FA5"/>
    <w:rsid w:val="00636FE1"/>
    <w:rsid w:val="00637043"/>
    <w:rsid w:val="00637111"/>
    <w:rsid w:val="00637418"/>
    <w:rsid w:val="00637570"/>
    <w:rsid w:val="0063782E"/>
    <w:rsid w:val="00637851"/>
    <w:rsid w:val="006379FA"/>
    <w:rsid w:val="00640184"/>
    <w:rsid w:val="0064039A"/>
    <w:rsid w:val="006404A5"/>
    <w:rsid w:val="00640706"/>
    <w:rsid w:val="00640849"/>
    <w:rsid w:val="006409AF"/>
    <w:rsid w:val="006409B2"/>
    <w:rsid w:val="00640A28"/>
    <w:rsid w:val="00640C5A"/>
    <w:rsid w:val="00640CF2"/>
    <w:rsid w:val="00640DAD"/>
    <w:rsid w:val="0064134A"/>
    <w:rsid w:val="006413E5"/>
    <w:rsid w:val="00641670"/>
    <w:rsid w:val="006416EA"/>
    <w:rsid w:val="00641815"/>
    <w:rsid w:val="00641920"/>
    <w:rsid w:val="0064194F"/>
    <w:rsid w:val="0064199D"/>
    <w:rsid w:val="00641B98"/>
    <w:rsid w:val="00641C25"/>
    <w:rsid w:val="0064218E"/>
    <w:rsid w:val="0064228C"/>
    <w:rsid w:val="00642491"/>
    <w:rsid w:val="006426C5"/>
    <w:rsid w:val="00642731"/>
    <w:rsid w:val="006427C4"/>
    <w:rsid w:val="00642909"/>
    <w:rsid w:val="00642970"/>
    <w:rsid w:val="00642B46"/>
    <w:rsid w:val="00642C18"/>
    <w:rsid w:val="00642D1F"/>
    <w:rsid w:val="00642F22"/>
    <w:rsid w:val="0064319C"/>
    <w:rsid w:val="006432F8"/>
    <w:rsid w:val="006433AA"/>
    <w:rsid w:val="006433AF"/>
    <w:rsid w:val="00643437"/>
    <w:rsid w:val="00643488"/>
    <w:rsid w:val="00643879"/>
    <w:rsid w:val="006438CA"/>
    <w:rsid w:val="0064393B"/>
    <w:rsid w:val="00643C3E"/>
    <w:rsid w:val="00643CCA"/>
    <w:rsid w:val="00643DFD"/>
    <w:rsid w:val="00643F1A"/>
    <w:rsid w:val="0064401F"/>
    <w:rsid w:val="00644047"/>
    <w:rsid w:val="00644162"/>
    <w:rsid w:val="00644486"/>
    <w:rsid w:val="00644518"/>
    <w:rsid w:val="0064451C"/>
    <w:rsid w:val="00644559"/>
    <w:rsid w:val="006445CF"/>
    <w:rsid w:val="00644900"/>
    <w:rsid w:val="00644B8E"/>
    <w:rsid w:val="00644C04"/>
    <w:rsid w:val="00644CCB"/>
    <w:rsid w:val="00644D51"/>
    <w:rsid w:val="00644F0F"/>
    <w:rsid w:val="006453E6"/>
    <w:rsid w:val="00645465"/>
    <w:rsid w:val="006455F1"/>
    <w:rsid w:val="0064562C"/>
    <w:rsid w:val="0064575E"/>
    <w:rsid w:val="006459C8"/>
    <w:rsid w:val="00645B83"/>
    <w:rsid w:val="00645C21"/>
    <w:rsid w:val="00645F86"/>
    <w:rsid w:val="00645FD6"/>
    <w:rsid w:val="00645FE5"/>
    <w:rsid w:val="00646109"/>
    <w:rsid w:val="00646297"/>
    <w:rsid w:val="0064634F"/>
    <w:rsid w:val="00646678"/>
    <w:rsid w:val="00646987"/>
    <w:rsid w:val="00646A98"/>
    <w:rsid w:val="00646D96"/>
    <w:rsid w:val="00646F01"/>
    <w:rsid w:val="00646F6F"/>
    <w:rsid w:val="0064710F"/>
    <w:rsid w:val="006471D6"/>
    <w:rsid w:val="00647403"/>
    <w:rsid w:val="00647407"/>
    <w:rsid w:val="0064753B"/>
    <w:rsid w:val="0064756E"/>
    <w:rsid w:val="006476AB"/>
    <w:rsid w:val="00647727"/>
    <w:rsid w:val="006477A0"/>
    <w:rsid w:val="00647AC8"/>
    <w:rsid w:val="00647EB7"/>
    <w:rsid w:val="00647EC3"/>
    <w:rsid w:val="0065000D"/>
    <w:rsid w:val="006501C8"/>
    <w:rsid w:val="006503EE"/>
    <w:rsid w:val="006505D2"/>
    <w:rsid w:val="0065069F"/>
    <w:rsid w:val="006506A9"/>
    <w:rsid w:val="00650736"/>
    <w:rsid w:val="006507CC"/>
    <w:rsid w:val="006508E7"/>
    <w:rsid w:val="00650B32"/>
    <w:rsid w:val="00650E67"/>
    <w:rsid w:val="00651105"/>
    <w:rsid w:val="006512DD"/>
    <w:rsid w:val="00651430"/>
    <w:rsid w:val="00651906"/>
    <w:rsid w:val="00651981"/>
    <w:rsid w:val="006519CC"/>
    <w:rsid w:val="00651A22"/>
    <w:rsid w:val="00651E26"/>
    <w:rsid w:val="00651E8A"/>
    <w:rsid w:val="006520AF"/>
    <w:rsid w:val="006522B3"/>
    <w:rsid w:val="00652442"/>
    <w:rsid w:val="00652A0A"/>
    <w:rsid w:val="00652B5F"/>
    <w:rsid w:val="00652B7A"/>
    <w:rsid w:val="00652BF7"/>
    <w:rsid w:val="00652E9D"/>
    <w:rsid w:val="006533FC"/>
    <w:rsid w:val="006535AE"/>
    <w:rsid w:val="006536B7"/>
    <w:rsid w:val="00653735"/>
    <w:rsid w:val="00653961"/>
    <w:rsid w:val="006539F2"/>
    <w:rsid w:val="00653A19"/>
    <w:rsid w:val="00653B16"/>
    <w:rsid w:val="00653BCB"/>
    <w:rsid w:val="00653BCF"/>
    <w:rsid w:val="00653DE3"/>
    <w:rsid w:val="00653E34"/>
    <w:rsid w:val="00653EC1"/>
    <w:rsid w:val="0065409F"/>
    <w:rsid w:val="006540DC"/>
    <w:rsid w:val="0065416B"/>
    <w:rsid w:val="006543B5"/>
    <w:rsid w:val="0065464B"/>
    <w:rsid w:val="00654781"/>
    <w:rsid w:val="0065481E"/>
    <w:rsid w:val="00654863"/>
    <w:rsid w:val="00654A77"/>
    <w:rsid w:val="00654C3E"/>
    <w:rsid w:val="00654E93"/>
    <w:rsid w:val="006551E9"/>
    <w:rsid w:val="00655465"/>
    <w:rsid w:val="006556A9"/>
    <w:rsid w:val="00655808"/>
    <w:rsid w:val="0065588D"/>
    <w:rsid w:val="00655A0C"/>
    <w:rsid w:val="00655F8B"/>
    <w:rsid w:val="00656216"/>
    <w:rsid w:val="00656225"/>
    <w:rsid w:val="0065633E"/>
    <w:rsid w:val="00656390"/>
    <w:rsid w:val="00656505"/>
    <w:rsid w:val="006569A9"/>
    <w:rsid w:val="006569B5"/>
    <w:rsid w:val="00656A1C"/>
    <w:rsid w:val="00656B55"/>
    <w:rsid w:val="00656BF9"/>
    <w:rsid w:val="0065701C"/>
    <w:rsid w:val="00657160"/>
    <w:rsid w:val="00657263"/>
    <w:rsid w:val="0065736A"/>
    <w:rsid w:val="0065754C"/>
    <w:rsid w:val="00657698"/>
    <w:rsid w:val="006576D9"/>
    <w:rsid w:val="0065775C"/>
    <w:rsid w:val="0065779C"/>
    <w:rsid w:val="006577DD"/>
    <w:rsid w:val="00657A5E"/>
    <w:rsid w:val="00657A9B"/>
    <w:rsid w:val="00657AB5"/>
    <w:rsid w:val="00657B5D"/>
    <w:rsid w:val="00657C8B"/>
    <w:rsid w:val="00660412"/>
    <w:rsid w:val="006607A8"/>
    <w:rsid w:val="00660F44"/>
    <w:rsid w:val="0066108F"/>
    <w:rsid w:val="0066118B"/>
    <w:rsid w:val="00661655"/>
    <w:rsid w:val="00661702"/>
    <w:rsid w:val="00661A69"/>
    <w:rsid w:val="00661F61"/>
    <w:rsid w:val="00661FCB"/>
    <w:rsid w:val="0066214D"/>
    <w:rsid w:val="00662352"/>
    <w:rsid w:val="00662436"/>
    <w:rsid w:val="00662997"/>
    <w:rsid w:val="00662B3A"/>
    <w:rsid w:val="00662BF9"/>
    <w:rsid w:val="00662D64"/>
    <w:rsid w:val="00662FA3"/>
    <w:rsid w:val="00663027"/>
    <w:rsid w:val="0066321A"/>
    <w:rsid w:val="0066333D"/>
    <w:rsid w:val="00663763"/>
    <w:rsid w:val="006638B5"/>
    <w:rsid w:val="0066392B"/>
    <w:rsid w:val="0066393F"/>
    <w:rsid w:val="00663ADA"/>
    <w:rsid w:val="00663B22"/>
    <w:rsid w:val="00663B79"/>
    <w:rsid w:val="00663C89"/>
    <w:rsid w:val="00664031"/>
    <w:rsid w:val="00664046"/>
    <w:rsid w:val="0066406B"/>
    <w:rsid w:val="006640A0"/>
    <w:rsid w:val="006642B1"/>
    <w:rsid w:val="0066442B"/>
    <w:rsid w:val="006644FB"/>
    <w:rsid w:val="006649DF"/>
    <w:rsid w:val="00664C07"/>
    <w:rsid w:val="00664E1D"/>
    <w:rsid w:val="00664FED"/>
    <w:rsid w:val="006651CE"/>
    <w:rsid w:val="00665238"/>
    <w:rsid w:val="006652F1"/>
    <w:rsid w:val="00665486"/>
    <w:rsid w:val="006654C9"/>
    <w:rsid w:val="00665558"/>
    <w:rsid w:val="00665627"/>
    <w:rsid w:val="0066584A"/>
    <w:rsid w:val="00665913"/>
    <w:rsid w:val="00665AC2"/>
    <w:rsid w:val="00665D40"/>
    <w:rsid w:val="00666439"/>
    <w:rsid w:val="00666673"/>
    <w:rsid w:val="00666BEE"/>
    <w:rsid w:val="00666C8C"/>
    <w:rsid w:val="00666EEA"/>
    <w:rsid w:val="00666F71"/>
    <w:rsid w:val="00666FEB"/>
    <w:rsid w:val="00667089"/>
    <w:rsid w:val="006670CD"/>
    <w:rsid w:val="0066739A"/>
    <w:rsid w:val="006675EF"/>
    <w:rsid w:val="006676D4"/>
    <w:rsid w:val="00667743"/>
    <w:rsid w:val="006677EE"/>
    <w:rsid w:val="006677F6"/>
    <w:rsid w:val="00667818"/>
    <w:rsid w:val="0066799C"/>
    <w:rsid w:val="00667C9E"/>
    <w:rsid w:val="00667E4C"/>
    <w:rsid w:val="00667E7E"/>
    <w:rsid w:val="006701D1"/>
    <w:rsid w:val="00670246"/>
    <w:rsid w:val="00670453"/>
    <w:rsid w:val="006704AF"/>
    <w:rsid w:val="00670503"/>
    <w:rsid w:val="006707EE"/>
    <w:rsid w:val="006708A9"/>
    <w:rsid w:val="00670976"/>
    <w:rsid w:val="006709BE"/>
    <w:rsid w:val="00670A5E"/>
    <w:rsid w:val="00670E76"/>
    <w:rsid w:val="0067141D"/>
    <w:rsid w:val="006716A2"/>
    <w:rsid w:val="0067181E"/>
    <w:rsid w:val="00671836"/>
    <w:rsid w:val="006719BE"/>
    <w:rsid w:val="00671A32"/>
    <w:rsid w:val="00671BBA"/>
    <w:rsid w:val="00671C3F"/>
    <w:rsid w:val="00671CBF"/>
    <w:rsid w:val="00671DFB"/>
    <w:rsid w:val="00671EC7"/>
    <w:rsid w:val="00671FB1"/>
    <w:rsid w:val="00672038"/>
    <w:rsid w:val="00672144"/>
    <w:rsid w:val="00672550"/>
    <w:rsid w:val="006726FD"/>
    <w:rsid w:val="0067271B"/>
    <w:rsid w:val="00672910"/>
    <w:rsid w:val="00672A98"/>
    <w:rsid w:val="00672B66"/>
    <w:rsid w:val="00672CD3"/>
    <w:rsid w:val="00672E10"/>
    <w:rsid w:val="00672E98"/>
    <w:rsid w:val="00673068"/>
    <w:rsid w:val="00673160"/>
    <w:rsid w:val="00673346"/>
    <w:rsid w:val="006734DD"/>
    <w:rsid w:val="00673538"/>
    <w:rsid w:val="0067356E"/>
    <w:rsid w:val="0067357B"/>
    <w:rsid w:val="0067363F"/>
    <w:rsid w:val="00673761"/>
    <w:rsid w:val="0067376C"/>
    <w:rsid w:val="00673916"/>
    <w:rsid w:val="00673E5E"/>
    <w:rsid w:val="00673EBF"/>
    <w:rsid w:val="00674025"/>
    <w:rsid w:val="006740C7"/>
    <w:rsid w:val="00674102"/>
    <w:rsid w:val="006742D0"/>
    <w:rsid w:val="00674401"/>
    <w:rsid w:val="00674414"/>
    <w:rsid w:val="00674478"/>
    <w:rsid w:val="0067463A"/>
    <w:rsid w:val="00674640"/>
    <w:rsid w:val="0067484E"/>
    <w:rsid w:val="006749B8"/>
    <w:rsid w:val="00674C9E"/>
    <w:rsid w:val="00674F42"/>
    <w:rsid w:val="006750CE"/>
    <w:rsid w:val="006750D5"/>
    <w:rsid w:val="006751EE"/>
    <w:rsid w:val="00675227"/>
    <w:rsid w:val="00675281"/>
    <w:rsid w:val="0067535A"/>
    <w:rsid w:val="006753D7"/>
    <w:rsid w:val="00675493"/>
    <w:rsid w:val="006754C6"/>
    <w:rsid w:val="006756FB"/>
    <w:rsid w:val="0067578B"/>
    <w:rsid w:val="00675A8B"/>
    <w:rsid w:val="00675C34"/>
    <w:rsid w:val="00675D9A"/>
    <w:rsid w:val="00675EBB"/>
    <w:rsid w:val="00675EEA"/>
    <w:rsid w:val="0067606D"/>
    <w:rsid w:val="00676079"/>
    <w:rsid w:val="0067611B"/>
    <w:rsid w:val="006761B4"/>
    <w:rsid w:val="006763E8"/>
    <w:rsid w:val="00676401"/>
    <w:rsid w:val="00676415"/>
    <w:rsid w:val="00676767"/>
    <w:rsid w:val="00676DAE"/>
    <w:rsid w:val="00676DD1"/>
    <w:rsid w:val="00676E77"/>
    <w:rsid w:val="00677188"/>
    <w:rsid w:val="00677449"/>
    <w:rsid w:val="00677716"/>
    <w:rsid w:val="00677788"/>
    <w:rsid w:val="006777BD"/>
    <w:rsid w:val="00677A65"/>
    <w:rsid w:val="00677B30"/>
    <w:rsid w:val="00677BC2"/>
    <w:rsid w:val="00677D09"/>
    <w:rsid w:val="006801C9"/>
    <w:rsid w:val="00680225"/>
    <w:rsid w:val="0068072E"/>
    <w:rsid w:val="00680764"/>
    <w:rsid w:val="006808CF"/>
    <w:rsid w:val="00680BFD"/>
    <w:rsid w:val="00680C2C"/>
    <w:rsid w:val="00680D61"/>
    <w:rsid w:val="00681492"/>
    <w:rsid w:val="006814B8"/>
    <w:rsid w:val="006814FF"/>
    <w:rsid w:val="0068166F"/>
    <w:rsid w:val="0068172F"/>
    <w:rsid w:val="006818A3"/>
    <w:rsid w:val="006819D0"/>
    <w:rsid w:val="00681C28"/>
    <w:rsid w:val="00681D17"/>
    <w:rsid w:val="00681F23"/>
    <w:rsid w:val="00681F59"/>
    <w:rsid w:val="006821BF"/>
    <w:rsid w:val="006821EC"/>
    <w:rsid w:val="00682943"/>
    <w:rsid w:val="0068294B"/>
    <w:rsid w:val="00682C39"/>
    <w:rsid w:val="0068304E"/>
    <w:rsid w:val="00683194"/>
    <w:rsid w:val="006832A5"/>
    <w:rsid w:val="0068340E"/>
    <w:rsid w:val="00683567"/>
    <w:rsid w:val="0068358F"/>
    <w:rsid w:val="006836FB"/>
    <w:rsid w:val="00683781"/>
    <w:rsid w:val="0068384B"/>
    <w:rsid w:val="00683985"/>
    <w:rsid w:val="006839BD"/>
    <w:rsid w:val="006839FB"/>
    <w:rsid w:val="00683BCE"/>
    <w:rsid w:val="00683DF7"/>
    <w:rsid w:val="00684297"/>
    <w:rsid w:val="006843E0"/>
    <w:rsid w:val="006845DB"/>
    <w:rsid w:val="00684877"/>
    <w:rsid w:val="00684B50"/>
    <w:rsid w:val="00684C92"/>
    <w:rsid w:val="00684CE1"/>
    <w:rsid w:val="00684D88"/>
    <w:rsid w:val="00684DE4"/>
    <w:rsid w:val="00684DE5"/>
    <w:rsid w:val="00684EDF"/>
    <w:rsid w:val="006851CA"/>
    <w:rsid w:val="0068522D"/>
    <w:rsid w:val="00685558"/>
    <w:rsid w:val="0068562E"/>
    <w:rsid w:val="0068595E"/>
    <w:rsid w:val="00685982"/>
    <w:rsid w:val="00685B38"/>
    <w:rsid w:val="00685B76"/>
    <w:rsid w:val="00685D2A"/>
    <w:rsid w:val="00685E32"/>
    <w:rsid w:val="00685E34"/>
    <w:rsid w:val="00685E86"/>
    <w:rsid w:val="00685FF3"/>
    <w:rsid w:val="00686163"/>
    <w:rsid w:val="006863AF"/>
    <w:rsid w:val="00686522"/>
    <w:rsid w:val="00686594"/>
    <w:rsid w:val="006866AB"/>
    <w:rsid w:val="006866C2"/>
    <w:rsid w:val="00686763"/>
    <w:rsid w:val="0068680D"/>
    <w:rsid w:val="006868F3"/>
    <w:rsid w:val="00686A79"/>
    <w:rsid w:val="00686EDF"/>
    <w:rsid w:val="00686EE4"/>
    <w:rsid w:val="00687230"/>
    <w:rsid w:val="00687232"/>
    <w:rsid w:val="0068733B"/>
    <w:rsid w:val="006873B8"/>
    <w:rsid w:val="006873D2"/>
    <w:rsid w:val="00687673"/>
    <w:rsid w:val="00687720"/>
    <w:rsid w:val="00687822"/>
    <w:rsid w:val="00687823"/>
    <w:rsid w:val="006879F3"/>
    <w:rsid w:val="00687A3E"/>
    <w:rsid w:val="00687B5C"/>
    <w:rsid w:val="00687C0C"/>
    <w:rsid w:val="00687E6A"/>
    <w:rsid w:val="00687EF5"/>
    <w:rsid w:val="00687F8A"/>
    <w:rsid w:val="00690118"/>
    <w:rsid w:val="00690436"/>
    <w:rsid w:val="00690725"/>
    <w:rsid w:val="006907D2"/>
    <w:rsid w:val="00690975"/>
    <w:rsid w:val="006909EE"/>
    <w:rsid w:val="00690CC0"/>
    <w:rsid w:val="00690CFE"/>
    <w:rsid w:val="00691089"/>
    <w:rsid w:val="0069111B"/>
    <w:rsid w:val="00691244"/>
    <w:rsid w:val="006912F1"/>
    <w:rsid w:val="00691928"/>
    <w:rsid w:val="00691AB7"/>
    <w:rsid w:val="00691C98"/>
    <w:rsid w:val="00691D58"/>
    <w:rsid w:val="00691EF3"/>
    <w:rsid w:val="00691F7A"/>
    <w:rsid w:val="006920B4"/>
    <w:rsid w:val="006920CA"/>
    <w:rsid w:val="0069212D"/>
    <w:rsid w:val="00692202"/>
    <w:rsid w:val="0069230D"/>
    <w:rsid w:val="006923E5"/>
    <w:rsid w:val="00692549"/>
    <w:rsid w:val="0069256B"/>
    <w:rsid w:val="00692672"/>
    <w:rsid w:val="00692AD6"/>
    <w:rsid w:val="00692B92"/>
    <w:rsid w:val="00692D31"/>
    <w:rsid w:val="00692E93"/>
    <w:rsid w:val="00692F6F"/>
    <w:rsid w:val="0069308B"/>
    <w:rsid w:val="006930AA"/>
    <w:rsid w:val="006932E2"/>
    <w:rsid w:val="00693316"/>
    <w:rsid w:val="0069334B"/>
    <w:rsid w:val="00693652"/>
    <w:rsid w:val="006936A3"/>
    <w:rsid w:val="006936FA"/>
    <w:rsid w:val="0069379B"/>
    <w:rsid w:val="00693942"/>
    <w:rsid w:val="0069394A"/>
    <w:rsid w:val="00693A02"/>
    <w:rsid w:val="00693AA4"/>
    <w:rsid w:val="00693B18"/>
    <w:rsid w:val="00693C40"/>
    <w:rsid w:val="00693D7B"/>
    <w:rsid w:val="006941D9"/>
    <w:rsid w:val="006941DB"/>
    <w:rsid w:val="006944AD"/>
    <w:rsid w:val="00694621"/>
    <w:rsid w:val="0069463C"/>
    <w:rsid w:val="00694786"/>
    <w:rsid w:val="00694A39"/>
    <w:rsid w:val="00694C0F"/>
    <w:rsid w:val="00694C99"/>
    <w:rsid w:val="00694D32"/>
    <w:rsid w:val="0069531B"/>
    <w:rsid w:val="006955A0"/>
    <w:rsid w:val="0069581C"/>
    <w:rsid w:val="006958EF"/>
    <w:rsid w:val="00695C64"/>
    <w:rsid w:val="00695FAA"/>
    <w:rsid w:val="00696258"/>
    <w:rsid w:val="006962BE"/>
    <w:rsid w:val="006963E1"/>
    <w:rsid w:val="006964A2"/>
    <w:rsid w:val="00696663"/>
    <w:rsid w:val="00696759"/>
    <w:rsid w:val="00696B1F"/>
    <w:rsid w:val="00696DC1"/>
    <w:rsid w:val="006970FE"/>
    <w:rsid w:val="0069715B"/>
    <w:rsid w:val="006973B2"/>
    <w:rsid w:val="006974CA"/>
    <w:rsid w:val="00697520"/>
    <w:rsid w:val="0069762C"/>
    <w:rsid w:val="0069763C"/>
    <w:rsid w:val="006976D4"/>
    <w:rsid w:val="006978CE"/>
    <w:rsid w:val="0069793E"/>
    <w:rsid w:val="00697942"/>
    <w:rsid w:val="006979F5"/>
    <w:rsid w:val="00697B32"/>
    <w:rsid w:val="00697BCB"/>
    <w:rsid w:val="00697E02"/>
    <w:rsid w:val="00697FCD"/>
    <w:rsid w:val="006A01E5"/>
    <w:rsid w:val="006A02C7"/>
    <w:rsid w:val="006A0365"/>
    <w:rsid w:val="006A04E2"/>
    <w:rsid w:val="006A06BB"/>
    <w:rsid w:val="006A088F"/>
    <w:rsid w:val="006A08CF"/>
    <w:rsid w:val="006A091A"/>
    <w:rsid w:val="006A0A11"/>
    <w:rsid w:val="006A0A18"/>
    <w:rsid w:val="006A0AA1"/>
    <w:rsid w:val="006A0AB8"/>
    <w:rsid w:val="006A105D"/>
    <w:rsid w:val="006A10E4"/>
    <w:rsid w:val="006A121C"/>
    <w:rsid w:val="006A13CC"/>
    <w:rsid w:val="006A142A"/>
    <w:rsid w:val="006A163B"/>
    <w:rsid w:val="006A164D"/>
    <w:rsid w:val="006A16BA"/>
    <w:rsid w:val="006A18F3"/>
    <w:rsid w:val="006A1957"/>
    <w:rsid w:val="006A19FB"/>
    <w:rsid w:val="006A1B68"/>
    <w:rsid w:val="006A1B8A"/>
    <w:rsid w:val="006A1BC1"/>
    <w:rsid w:val="006A1D9E"/>
    <w:rsid w:val="006A1FC8"/>
    <w:rsid w:val="006A2275"/>
    <w:rsid w:val="006A2654"/>
    <w:rsid w:val="006A28F7"/>
    <w:rsid w:val="006A2984"/>
    <w:rsid w:val="006A29C6"/>
    <w:rsid w:val="006A2CA4"/>
    <w:rsid w:val="006A30DD"/>
    <w:rsid w:val="006A3278"/>
    <w:rsid w:val="006A32A8"/>
    <w:rsid w:val="006A34D7"/>
    <w:rsid w:val="006A350A"/>
    <w:rsid w:val="006A359B"/>
    <w:rsid w:val="006A38CC"/>
    <w:rsid w:val="006A393B"/>
    <w:rsid w:val="006A3A89"/>
    <w:rsid w:val="006A3A9D"/>
    <w:rsid w:val="006A3D56"/>
    <w:rsid w:val="006A3D98"/>
    <w:rsid w:val="006A3E36"/>
    <w:rsid w:val="006A40D3"/>
    <w:rsid w:val="006A42B6"/>
    <w:rsid w:val="006A42C0"/>
    <w:rsid w:val="006A4C0A"/>
    <w:rsid w:val="006A4C0E"/>
    <w:rsid w:val="006A4C62"/>
    <w:rsid w:val="006A4D2D"/>
    <w:rsid w:val="006A4D4F"/>
    <w:rsid w:val="006A4D5F"/>
    <w:rsid w:val="006A4FA4"/>
    <w:rsid w:val="006A4FB0"/>
    <w:rsid w:val="006A500D"/>
    <w:rsid w:val="006A51D6"/>
    <w:rsid w:val="006A52E1"/>
    <w:rsid w:val="006A5342"/>
    <w:rsid w:val="006A53B8"/>
    <w:rsid w:val="006A5409"/>
    <w:rsid w:val="006A54E3"/>
    <w:rsid w:val="006A5558"/>
    <w:rsid w:val="006A56BE"/>
    <w:rsid w:val="006A584E"/>
    <w:rsid w:val="006A591F"/>
    <w:rsid w:val="006A597F"/>
    <w:rsid w:val="006A5A7A"/>
    <w:rsid w:val="006A5B42"/>
    <w:rsid w:val="006A5E31"/>
    <w:rsid w:val="006A6188"/>
    <w:rsid w:val="006A6704"/>
    <w:rsid w:val="006A67DB"/>
    <w:rsid w:val="006A6900"/>
    <w:rsid w:val="006A6DD9"/>
    <w:rsid w:val="006A708A"/>
    <w:rsid w:val="006A70D6"/>
    <w:rsid w:val="006A71F0"/>
    <w:rsid w:val="006A72CA"/>
    <w:rsid w:val="006A72D3"/>
    <w:rsid w:val="006A7681"/>
    <w:rsid w:val="006A778C"/>
    <w:rsid w:val="006A77DE"/>
    <w:rsid w:val="006A781F"/>
    <w:rsid w:val="006A7844"/>
    <w:rsid w:val="006A7B45"/>
    <w:rsid w:val="006A7BC7"/>
    <w:rsid w:val="006A7CFA"/>
    <w:rsid w:val="006A7DB5"/>
    <w:rsid w:val="006A7F20"/>
    <w:rsid w:val="006A7F8D"/>
    <w:rsid w:val="006B0035"/>
    <w:rsid w:val="006B0141"/>
    <w:rsid w:val="006B0237"/>
    <w:rsid w:val="006B0339"/>
    <w:rsid w:val="006B0402"/>
    <w:rsid w:val="006B06B5"/>
    <w:rsid w:val="006B07FA"/>
    <w:rsid w:val="006B0868"/>
    <w:rsid w:val="006B090E"/>
    <w:rsid w:val="006B09EA"/>
    <w:rsid w:val="006B0B64"/>
    <w:rsid w:val="006B0CEB"/>
    <w:rsid w:val="006B0EDB"/>
    <w:rsid w:val="006B0F36"/>
    <w:rsid w:val="006B1279"/>
    <w:rsid w:val="006B13D7"/>
    <w:rsid w:val="006B1D1A"/>
    <w:rsid w:val="006B1DCB"/>
    <w:rsid w:val="006B1ED6"/>
    <w:rsid w:val="006B1FE3"/>
    <w:rsid w:val="006B201F"/>
    <w:rsid w:val="006B207B"/>
    <w:rsid w:val="006B21A3"/>
    <w:rsid w:val="006B2390"/>
    <w:rsid w:val="006B249C"/>
    <w:rsid w:val="006B27C1"/>
    <w:rsid w:val="006B2889"/>
    <w:rsid w:val="006B299C"/>
    <w:rsid w:val="006B2CE1"/>
    <w:rsid w:val="006B2E3F"/>
    <w:rsid w:val="006B2E97"/>
    <w:rsid w:val="006B31C2"/>
    <w:rsid w:val="006B335C"/>
    <w:rsid w:val="006B335D"/>
    <w:rsid w:val="006B33A3"/>
    <w:rsid w:val="006B348D"/>
    <w:rsid w:val="006B3567"/>
    <w:rsid w:val="006B3667"/>
    <w:rsid w:val="006B3CEE"/>
    <w:rsid w:val="006B3E94"/>
    <w:rsid w:val="006B3F10"/>
    <w:rsid w:val="006B3F7D"/>
    <w:rsid w:val="006B405A"/>
    <w:rsid w:val="006B436B"/>
    <w:rsid w:val="006B44B3"/>
    <w:rsid w:val="006B4614"/>
    <w:rsid w:val="006B4780"/>
    <w:rsid w:val="006B4AC9"/>
    <w:rsid w:val="006B4B79"/>
    <w:rsid w:val="006B4BD1"/>
    <w:rsid w:val="006B4C3C"/>
    <w:rsid w:val="006B4FB5"/>
    <w:rsid w:val="006B4FC1"/>
    <w:rsid w:val="006B5172"/>
    <w:rsid w:val="006B52CF"/>
    <w:rsid w:val="006B56B7"/>
    <w:rsid w:val="006B56FE"/>
    <w:rsid w:val="006B5C67"/>
    <w:rsid w:val="006B60E4"/>
    <w:rsid w:val="006B61B4"/>
    <w:rsid w:val="006B61CD"/>
    <w:rsid w:val="006B6255"/>
    <w:rsid w:val="006B626F"/>
    <w:rsid w:val="006B62A3"/>
    <w:rsid w:val="006B67AC"/>
    <w:rsid w:val="006B67C9"/>
    <w:rsid w:val="006B67FB"/>
    <w:rsid w:val="006B686A"/>
    <w:rsid w:val="006B694C"/>
    <w:rsid w:val="006B69A1"/>
    <w:rsid w:val="006B6D15"/>
    <w:rsid w:val="006B6FD1"/>
    <w:rsid w:val="006B7076"/>
    <w:rsid w:val="006B7307"/>
    <w:rsid w:val="006B73AA"/>
    <w:rsid w:val="006B746E"/>
    <w:rsid w:val="006B7676"/>
    <w:rsid w:val="006B770F"/>
    <w:rsid w:val="006B77BF"/>
    <w:rsid w:val="006B799F"/>
    <w:rsid w:val="006B7A41"/>
    <w:rsid w:val="006B7A4A"/>
    <w:rsid w:val="006B7E41"/>
    <w:rsid w:val="006C0075"/>
    <w:rsid w:val="006C017C"/>
    <w:rsid w:val="006C04DD"/>
    <w:rsid w:val="006C063E"/>
    <w:rsid w:val="006C06FB"/>
    <w:rsid w:val="006C08BB"/>
    <w:rsid w:val="006C08C7"/>
    <w:rsid w:val="006C0964"/>
    <w:rsid w:val="006C0D41"/>
    <w:rsid w:val="006C0F39"/>
    <w:rsid w:val="006C100D"/>
    <w:rsid w:val="006C1020"/>
    <w:rsid w:val="006C10A8"/>
    <w:rsid w:val="006C1332"/>
    <w:rsid w:val="006C13E9"/>
    <w:rsid w:val="006C1459"/>
    <w:rsid w:val="006C1549"/>
    <w:rsid w:val="006C1757"/>
    <w:rsid w:val="006C19FE"/>
    <w:rsid w:val="006C1ACA"/>
    <w:rsid w:val="006C1BBB"/>
    <w:rsid w:val="006C1BE8"/>
    <w:rsid w:val="006C1E77"/>
    <w:rsid w:val="006C1E9E"/>
    <w:rsid w:val="006C1EDF"/>
    <w:rsid w:val="006C2008"/>
    <w:rsid w:val="006C2151"/>
    <w:rsid w:val="006C2193"/>
    <w:rsid w:val="006C2261"/>
    <w:rsid w:val="006C22B2"/>
    <w:rsid w:val="006C22BC"/>
    <w:rsid w:val="006C254C"/>
    <w:rsid w:val="006C2597"/>
    <w:rsid w:val="006C2636"/>
    <w:rsid w:val="006C2BA3"/>
    <w:rsid w:val="006C2C15"/>
    <w:rsid w:val="006C2D0B"/>
    <w:rsid w:val="006C2E78"/>
    <w:rsid w:val="006C2ED6"/>
    <w:rsid w:val="006C2F67"/>
    <w:rsid w:val="006C2FF8"/>
    <w:rsid w:val="006C3093"/>
    <w:rsid w:val="006C3248"/>
    <w:rsid w:val="006C3355"/>
    <w:rsid w:val="006C3517"/>
    <w:rsid w:val="006C3947"/>
    <w:rsid w:val="006C3983"/>
    <w:rsid w:val="006C3BC8"/>
    <w:rsid w:val="006C3C95"/>
    <w:rsid w:val="006C3D63"/>
    <w:rsid w:val="006C3E39"/>
    <w:rsid w:val="006C3F0C"/>
    <w:rsid w:val="006C3F71"/>
    <w:rsid w:val="006C4332"/>
    <w:rsid w:val="006C434D"/>
    <w:rsid w:val="006C43B4"/>
    <w:rsid w:val="006C4465"/>
    <w:rsid w:val="006C46DC"/>
    <w:rsid w:val="006C46F9"/>
    <w:rsid w:val="006C47AB"/>
    <w:rsid w:val="006C491E"/>
    <w:rsid w:val="006C49FD"/>
    <w:rsid w:val="006C4BEF"/>
    <w:rsid w:val="006C4DB0"/>
    <w:rsid w:val="006C4E17"/>
    <w:rsid w:val="006C4E4F"/>
    <w:rsid w:val="006C4E5A"/>
    <w:rsid w:val="006C4E92"/>
    <w:rsid w:val="006C508F"/>
    <w:rsid w:val="006C521F"/>
    <w:rsid w:val="006C531A"/>
    <w:rsid w:val="006C55C4"/>
    <w:rsid w:val="006C581F"/>
    <w:rsid w:val="006C5948"/>
    <w:rsid w:val="006C5A5E"/>
    <w:rsid w:val="006C5CB0"/>
    <w:rsid w:val="006C5CE7"/>
    <w:rsid w:val="006C5D17"/>
    <w:rsid w:val="006C5F58"/>
    <w:rsid w:val="006C6421"/>
    <w:rsid w:val="006C646E"/>
    <w:rsid w:val="006C647C"/>
    <w:rsid w:val="006C6632"/>
    <w:rsid w:val="006C66A7"/>
    <w:rsid w:val="006C66BF"/>
    <w:rsid w:val="006C68A6"/>
    <w:rsid w:val="006C6AB5"/>
    <w:rsid w:val="006C6E8D"/>
    <w:rsid w:val="006C7035"/>
    <w:rsid w:val="006C723B"/>
    <w:rsid w:val="006C7444"/>
    <w:rsid w:val="006C76B6"/>
    <w:rsid w:val="006C7B90"/>
    <w:rsid w:val="006C7E5A"/>
    <w:rsid w:val="006D0051"/>
    <w:rsid w:val="006D0053"/>
    <w:rsid w:val="006D0240"/>
    <w:rsid w:val="006D04FD"/>
    <w:rsid w:val="006D074B"/>
    <w:rsid w:val="006D09EA"/>
    <w:rsid w:val="006D0A40"/>
    <w:rsid w:val="006D0C0A"/>
    <w:rsid w:val="006D1163"/>
    <w:rsid w:val="006D1197"/>
    <w:rsid w:val="006D11FB"/>
    <w:rsid w:val="006D14AA"/>
    <w:rsid w:val="006D14CB"/>
    <w:rsid w:val="006D1647"/>
    <w:rsid w:val="006D1BB5"/>
    <w:rsid w:val="006D1BFF"/>
    <w:rsid w:val="006D1D58"/>
    <w:rsid w:val="006D1DA0"/>
    <w:rsid w:val="006D1F70"/>
    <w:rsid w:val="006D1F97"/>
    <w:rsid w:val="006D258C"/>
    <w:rsid w:val="006D25FE"/>
    <w:rsid w:val="006D2879"/>
    <w:rsid w:val="006D2A43"/>
    <w:rsid w:val="006D2B04"/>
    <w:rsid w:val="006D2D51"/>
    <w:rsid w:val="006D2E95"/>
    <w:rsid w:val="006D2F9A"/>
    <w:rsid w:val="006D318F"/>
    <w:rsid w:val="006D3308"/>
    <w:rsid w:val="006D33CA"/>
    <w:rsid w:val="006D344B"/>
    <w:rsid w:val="006D3689"/>
    <w:rsid w:val="006D3A13"/>
    <w:rsid w:val="006D3A95"/>
    <w:rsid w:val="006D3E19"/>
    <w:rsid w:val="006D3F69"/>
    <w:rsid w:val="006D42CE"/>
    <w:rsid w:val="006D434F"/>
    <w:rsid w:val="006D43FD"/>
    <w:rsid w:val="006D4554"/>
    <w:rsid w:val="006D4BE5"/>
    <w:rsid w:val="006D4CAF"/>
    <w:rsid w:val="006D4DE3"/>
    <w:rsid w:val="006D4F4C"/>
    <w:rsid w:val="006D4FAA"/>
    <w:rsid w:val="006D5076"/>
    <w:rsid w:val="006D53B5"/>
    <w:rsid w:val="006D5412"/>
    <w:rsid w:val="006D560A"/>
    <w:rsid w:val="006D568F"/>
    <w:rsid w:val="006D5716"/>
    <w:rsid w:val="006D58F2"/>
    <w:rsid w:val="006D5A7C"/>
    <w:rsid w:val="006D5AC8"/>
    <w:rsid w:val="006D5BA8"/>
    <w:rsid w:val="006D5BEC"/>
    <w:rsid w:val="006D5CF7"/>
    <w:rsid w:val="006D5D67"/>
    <w:rsid w:val="006D6075"/>
    <w:rsid w:val="006D6093"/>
    <w:rsid w:val="006D63A4"/>
    <w:rsid w:val="006D664E"/>
    <w:rsid w:val="006D66DC"/>
    <w:rsid w:val="006D67A8"/>
    <w:rsid w:val="006D6B12"/>
    <w:rsid w:val="006D6C9D"/>
    <w:rsid w:val="006D6D0F"/>
    <w:rsid w:val="006D6D20"/>
    <w:rsid w:val="006D7199"/>
    <w:rsid w:val="006D72A2"/>
    <w:rsid w:val="006D72D3"/>
    <w:rsid w:val="006D72E9"/>
    <w:rsid w:val="006D731E"/>
    <w:rsid w:val="006D73E3"/>
    <w:rsid w:val="006D7458"/>
    <w:rsid w:val="006D785A"/>
    <w:rsid w:val="006D7988"/>
    <w:rsid w:val="006D79CF"/>
    <w:rsid w:val="006D7AF0"/>
    <w:rsid w:val="006E0058"/>
    <w:rsid w:val="006E01C7"/>
    <w:rsid w:val="006E04AB"/>
    <w:rsid w:val="006E04C9"/>
    <w:rsid w:val="006E04DF"/>
    <w:rsid w:val="006E086E"/>
    <w:rsid w:val="006E0A81"/>
    <w:rsid w:val="006E0CCA"/>
    <w:rsid w:val="006E0D36"/>
    <w:rsid w:val="006E0D6A"/>
    <w:rsid w:val="006E0E85"/>
    <w:rsid w:val="006E15D1"/>
    <w:rsid w:val="006E196A"/>
    <w:rsid w:val="006E19AE"/>
    <w:rsid w:val="006E1C49"/>
    <w:rsid w:val="006E1C9C"/>
    <w:rsid w:val="006E1D87"/>
    <w:rsid w:val="006E2074"/>
    <w:rsid w:val="006E21AF"/>
    <w:rsid w:val="006E2230"/>
    <w:rsid w:val="006E25CC"/>
    <w:rsid w:val="006E2858"/>
    <w:rsid w:val="006E29D0"/>
    <w:rsid w:val="006E2D46"/>
    <w:rsid w:val="006E2F0F"/>
    <w:rsid w:val="006E2FA4"/>
    <w:rsid w:val="006E3210"/>
    <w:rsid w:val="006E3361"/>
    <w:rsid w:val="006E343D"/>
    <w:rsid w:val="006E3A36"/>
    <w:rsid w:val="006E3A94"/>
    <w:rsid w:val="006E3BFE"/>
    <w:rsid w:val="006E3D20"/>
    <w:rsid w:val="006E3D9F"/>
    <w:rsid w:val="006E4016"/>
    <w:rsid w:val="006E40EB"/>
    <w:rsid w:val="006E410C"/>
    <w:rsid w:val="006E411A"/>
    <w:rsid w:val="006E42F5"/>
    <w:rsid w:val="006E499A"/>
    <w:rsid w:val="006E4ABC"/>
    <w:rsid w:val="006E4CAF"/>
    <w:rsid w:val="006E4CC8"/>
    <w:rsid w:val="006E4EA1"/>
    <w:rsid w:val="006E5171"/>
    <w:rsid w:val="006E525D"/>
    <w:rsid w:val="006E526E"/>
    <w:rsid w:val="006E52A1"/>
    <w:rsid w:val="006E5575"/>
    <w:rsid w:val="006E58ED"/>
    <w:rsid w:val="006E5AFE"/>
    <w:rsid w:val="006E5BEE"/>
    <w:rsid w:val="006E5D47"/>
    <w:rsid w:val="006E5FE5"/>
    <w:rsid w:val="006E6019"/>
    <w:rsid w:val="006E60A1"/>
    <w:rsid w:val="006E61A2"/>
    <w:rsid w:val="006E6237"/>
    <w:rsid w:val="006E662B"/>
    <w:rsid w:val="006E676A"/>
    <w:rsid w:val="006E68FC"/>
    <w:rsid w:val="006E69AA"/>
    <w:rsid w:val="006E6C80"/>
    <w:rsid w:val="006E6CA6"/>
    <w:rsid w:val="006E6DB9"/>
    <w:rsid w:val="006E6DED"/>
    <w:rsid w:val="006E6E1A"/>
    <w:rsid w:val="006E6E22"/>
    <w:rsid w:val="006E6FC5"/>
    <w:rsid w:val="006E7058"/>
    <w:rsid w:val="006E714C"/>
    <w:rsid w:val="006E71E3"/>
    <w:rsid w:val="006E725D"/>
    <w:rsid w:val="006E72E7"/>
    <w:rsid w:val="006E7383"/>
    <w:rsid w:val="006E74D8"/>
    <w:rsid w:val="006E74F7"/>
    <w:rsid w:val="006E7549"/>
    <w:rsid w:val="006E767C"/>
    <w:rsid w:val="006E7789"/>
    <w:rsid w:val="006E783F"/>
    <w:rsid w:val="006E793A"/>
    <w:rsid w:val="006E7951"/>
    <w:rsid w:val="006E7A13"/>
    <w:rsid w:val="006E7A7F"/>
    <w:rsid w:val="006E7B7E"/>
    <w:rsid w:val="006E7C7E"/>
    <w:rsid w:val="006E7D8F"/>
    <w:rsid w:val="006E7E5D"/>
    <w:rsid w:val="006E7EB2"/>
    <w:rsid w:val="006F00EB"/>
    <w:rsid w:val="006F02CC"/>
    <w:rsid w:val="006F0400"/>
    <w:rsid w:val="006F04E2"/>
    <w:rsid w:val="006F0517"/>
    <w:rsid w:val="006F051B"/>
    <w:rsid w:val="006F06BE"/>
    <w:rsid w:val="006F073A"/>
    <w:rsid w:val="006F075F"/>
    <w:rsid w:val="006F089B"/>
    <w:rsid w:val="006F0ADC"/>
    <w:rsid w:val="006F0BB6"/>
    <w:rsid w:val="006F0CCF"/>
    <w:rsid w:val="006F0D8A"/>
    <w:rsid w:val="006F0DF1"/>
    <w:rsid w:val="006F10AF"/>
    <w:rsid w:val="006F1303"/>
    <w:rsid w:val="006F1380"/>
    <w:rsid w:val="006F14C8"/>
    <w:rsid w:val="006F1623"/>
    <w:rsid w:val="006F1677"/>
    <w:rsid w:val="006F181D"/>
    <w:rsid w:val="006F182F"/>
    <w:rsid w:val="006F18A4"/>
    <w:rsid w:val="006F1C71"/>
    <w:rsid w:val="006F1CB8"/>
    <w:rsid w:val="006F1F13"/>
    <w:rsid w:val="006F21FC"/>
    <w:rsid w:val="006F2271"/>
    <w:rsid w:val="006F23B3"/>
    <w:rsid w:val="006F243F"/>
    <w:rsid w:val="006F249F"/>
    <w:rsid w:val="006F28D3"/>
    <w:rsid w:val="006F29A7"/>
    <w:rsid w:val="006F2A06"/>
    <w:rsid w:val="006F2B49"/>
    <w:rsid w:val="006F2C2C"/>
    <w:rsid w:val="006F2C67"/>
    <w:rsid w:val="006F301F"/>
    <w:rsid w:val="006F3258"/>
    <w:rsid w:val="006F32AD"/>
    <w:rsid w:val="006F32CA"/>
    <w:rsid w:val="006F37B1"/>
    <w:rsid w:val="006F3846"/>
    <w:rsid w:val="006F3A88"/>
    <w:rsid w:val="006F3B9E"/>
    <w:rsid w:val="006F3C3F"/>
    <w:rsid w:val="006F3DEC"/>
    <w:rsid w:val="006F3FA7"/>
    <w:rsid w:val="006F40F0"/>
    <w:rsid w:val="006F410D"/>
    <w:rsid w:val="006F41CE"/>
    <w:rsid w:val="006F4676"/>
    <w:rsid w:val="006F47C1"/>
    <w:rsid w:val="006F47C5"/>
    <w:rsid w:val="006F4815"/>
    <w:rsid w:val="006F4ACD"/>
    <w:rsid w:val="006F4C2F"/>
    <w:rsid w:val="006F4CEC"/>
    <w:rsid w:val="006F4E0B"/>
    <w:rsid w:val="006F4F66"/>
    <w:rsid w:val="006F51BD"/>
    <w:rsid w:val="006F5245"/>
    <w:rsid w:val="006F533E"/>
    <w:rsid w:val="006F5610"/>
    <w:rsid w:val="006F58C6"/>
    <w:rsid w:val="006F5A03"/>
    <w:rsid w:val="006F5B63"/>
    <w:rsid w:val="006F5BCE"/>
    <w:rsid w:val="006F5EE7"/>
    <w:rsid w:val="006F6009"/>
    <w:rsid w:val="006F60A0"/>
    <w:rsid w:val="006F6359"/>
    <w:rsid w:val="006F645A"/>
    <w:rsid w:val="006F64BB"/>
    <w:rsid w:val="006F654E"/>
    <w:rsid w:val="006F675D"/>
    <w:rsid w:val="006F685B"/>
    <w:rsid w:val="006F6B9A"/>
    <w:rsid w:val="006F6DBF"/>
    <w:rsid w:val="006F6E21"/>
    <w:rsid w:val="006F6E60"/>
    <w:rsid w:val="006F7420"/>
    <w:rsid w:val="006F745E"/>
    <w:rsid w:val="006F75F7"/>
    <w:rsid w:val="006F765E"/>
    <w:rsid w:val="006F7AE6"/>
    <w:rsid w:val="006F7B0C"/>
    <w:rsid w:val="006F7B4A"/>
    <w:rsid w:val="006F7C3C"/>
    <w:rsid w:val="006F7C94"/>
    <w:rsid w:val="006F7D13"/>
    <w:rsid w:val="006F7EC1"/>
    <w:rsid w:val="006F7F3D"/>
    <w:rsid w:val="007002C2"/>
    <w:rsid w:val="007004FF"/>
    <w:rsid w:val="0070069E"/>
    <w:rsid w:val="007006ED"/>
    <w:rsid w:val="0070085E"/>
    <w:rsid w:val="00700AD4"/>
    <w:rsid w:val="00700B5B"/>
    <w:rsid w:val="00700B8F"/>
    <w:rsid w:val="00700C34"/>
    <w:rsid w:val="00700DC8"/>
    <w:rsid w:val="0070102F"/>
    <w:rsid w:val="0070114C"/>
    <w:rsid w:val="007011F0"/>
    <w:rsid w:val="00701558"/>
    <w:rsid w:val="007016EB"/>
    <w:rsid w:val="00701A24"/>
    <w:rsid w:val="00701B23"/>
    <w:rsid w:val="00701BB9"/>
    <w:rsid w:val="00701C48"/>
    <w:rsid w:val="00701D98"/>
    <w:rsid w:val="00701F4C"/>
    <w:rsid w:val="00701F7A"/>
    <w:rsid w:val="00701FCB"/>
    <w:rsid w:val="0070202D"/>
    <w:rsid w:val="00702098"/>
    <w:rsid w:val="00702190"/>
    <w:rsid w:val="0070248E"/>
    <w:rsid w:val="007024A3"/>
    <w:rsid w:val="007024DA"/>
    <w:rsid w:val="007025C2"/>
    <w:rsid w:val="007025E1"/>
    <w:rsid w:val="007027C3"/>
    <w:rsid w:val="0070284F"/>
    <w:rsid w:val="00702A82"/>
    <w:rsid w:val="00702B62"/>
    <w:rsid w:val="00703255"/>
    <w:rsid w:val="0070326F"/>
    <w:rsid w:val="0070333D"/>
    <w:rsid w:val="007034B9"/>
    <w:rsid w:val="007034E4"/>
    <w:rsid w:val="007034F9"/>
    <w:rsid w:val="007035D9"/>
    <w:rsid w:val="00703815"/>
    <w:rsid w:val="00703818"/>
    <w:rsid w:val="00703A65"/>
    <w:rsid w:val="00703ABB"/>
    <w:rsid w:val="00703BCF"/>
    <w:rsid w:val="00703C9B"/>
    <w:rsid w:val="00703E0E"/>
    <w:rsid w:val="00703F5F"/>
    <w:rsid w:val="0070426D"/>
    <w:rsid w:val="00704503"/>
    <w:rsid w:val="007045E1"/>
    <w:rsid w:val="007049B9"/>
    <w:rsid w:val="00704B85"/>
    <w:rsid w:val="00704BDA"/>
    <w:rsid w:val="00704BF9"/>
    <w:rsid w:val="00704CB8"/>
    <w:rsid w:val="00704D96"/>
    <w:rsid w:val="00704DC0"/>
    <w:rsid w:val="0070538F"/>
    <w:rsid w:val="0070548C"/>
    <w:rsid w:val="007056B5"/>
    <w:rsid w:val="007056F8"/>
    <w:rsid w:val="007059BB"/>
    <w:rsid w:val="00705A45"/>
    <w:rsid w:val="00705AD9"/>
    <w:rsid w:val="00705C41"/>
    <w:rsid w:val="00705C53"/>
    <w:rsid w:val="00705D50"/>
    <w:rsid w:val="00705E19"/>
    <w:rsid w:val="00706101"/>
    <w:rsid w:val="00706240"/>
    <w:rsid w:val="00706376"/>
    <w:rsid w:val="00706580"/>
    <w:rsid w:val="007065CB"/>
    <w:rsid w:val="007065E5"/>
    <w:rsid w:val="0070679C"/>
    <w:rsid w:val="0070698C"/>
    <w:rsid w:val="00706AA7"/>
    <w:rsid w:val="00706AE3"/>
    <w:rsid w:val="00706D8D"/>
    <w:rsid w:val="00706E61"/>
    <w:rsid w:val="00706F62"/>
    <w:rsid w:val="0070702E"/>
    <w:rsid w:val="00707228"/>
    <w:rsid w:val="00707376"/>
    <w:rsid w:val="00707607"/>
    <w:rsid w:val="00707680"/>
    <w:rsid w:val="00707886"/>
    <w:rsid w:val="007078F0"/>
    <w:rsid w:val="00707B34"/>
    <w:rsid w:val="00707B4D"/>
    <w:rsid w:val="00707C17"/>
    <w:rsid w:val="00707E7C"/>
    <w:rsid w:val="00707F9E"/>
    <w:rsid w:val="00707FFE"/>
    <w:rsid w:val="007101F6"/>
    <w:rsid w:val="0071027D"/>
    <w:rsid w:val="00710410"/>
    <w:rsid w:val="0071058B"/>
    <w:rsid w:val="00710636"/>
    <w:rsid w:val="00710A7C"/>
    <w:rsid w:val="00710CFC"/>
    <w:rsid w:val="00710DC2"/>
    <w:rsid w:val="00710DE6"/>
    <w:rsid w:val="00710EBB"/>
    <w:rsid w:val="00710EC3"/>
    <w:rsid w:val="00711272"/>
    <w:rsid w:val="0071169D"/>
    <w:rsid w:val="00711987"/>
    <w:rsid w:val="00711A58"/>
    <w:rsid w:val="00711B6B"/>
    <w:rsid w:val="00711B9D"/>
    <w:rsid w:val="00711BCE"/>
    <w:rsid w:val="0071228F"/>
    <w:rsid w:val="007122DC"/>
    <w:rsid w:val="00712329"/>
    <w:rsid w:val="0071233D"/>
    <w:rsid w:val="007123D0"/>
    <w:rsid w:val="00712590"/>
    <w:rsid w:val="007125E0"/>
    <w:rsid w:val="00712609"/>
    <w:rsid w:val="0071265B"/>
    <w:rsid w:val="00712A21"/>
    <w:rsid w:val="00712A76"/>
    <w:rsid w:val="00712AF4"/>
    <w:rsid w:val="00712F28"/>
    <w:rsid w:val="007132A7"/>
    <w:rsid w:val="007132BA"/>
    <w:rsid w:val="007133B5"/>
    <w:rsid w:val="00713853"/>
    <w:rsid w:val="007138DF"/>
    <w:rsid w:val="0071391F"/>
    <w:rsid w:val="007139C2"/>
    <w:rsid w:val="00713AC6"/>
    <w:rsid w:val="00713DA0"/>
    <w:rsid w:val="0071401B"/>
    <w:rsid w:val="00714031"/>
    <w:rsid w:val="0071404A"/>
    <w:rsid w:val="007141E8"/>
    <w:rsid w:val="00714373"/>
    <w:rsid w:val="007144BC"/>
    <w:rsid w:val="00714510"/>
    <w:rsid w:val="00714515"/>
    <w:rsid w:val="00714571"/>
    <w:rsid w:val="007145BC"/>
    <w:rsid w:val="0071482E"/>
    <w:rsid w:val="00714CB7"/>
    <w:rsid w:val="00714E47"/>
    <w:rsid w:val="0071504D"/>
    <w:rsid w:val="007152A3"/>
    <w:rsid w:val="00715416"/>
    <w:rsid w:val="00715421"/>
    <w:rsid w:val="00715552"/>
    <w:rsid w:val="007155D9"/>
    <w:rsid w:val="00715702"/>
    <w:rsid w:val="00715748"/>
    <w:rsid w:val="00715838"/>
    <w:rsid w:val="007158EB"/>
    <w:rsid w:val="007159B9"/>
    <w:rsid w:val="00715EB6"/>
    <w:rsid w:val="00715FF9"/>
    <w:rsid w:val="00716247"/>
    <w:rsid w:val="007162BB"/>
    <w:rsid w:val="007164BB"/>
    <w:rsid w:val="00716979"/>
    <w:rsid w:val="00716C52"/>
    <w:rsid w:val="00717108"/>
    <w:rsid w:val="007173D7"/>
    <w:rsid w:val="0071754E"/>
    <w:rsid w:val="007176A0"/>
    <w:rsid w:val="007176CC"/>
    <w:rsid w:val="007176DB"/>
    <w:rsid w:val="007178F3"/>
    <w:rsid w:val="00720069"/>
    <w:rsid w:val="00720102"/>
    <w:rsid w:val="00720598"/>
    <w:rsid w:val="00720784"/>
    <w:rsid w:val="007207CF"/>
    <w:rsid w:val="00720893"/>
    <w:rsid w:val="00720982"/>
    <w:rsid w:val="007209CC"/>
    <w:rsid w:val="007209D9"/>
    <w:rsid w:val="00720ADC"/>
    <w:rsid w:val="00720D77"/>
    <w:rsid w:val="00721011"/>
    <w:rsid w:val="00721024"/>
    <w:rsid w:val="00721138"/>
    <w:rsid w:val="00721338"/>
    <w:rsid w:val="00721366"/>
    <w:rsid w:val="00721542"/>
    <w:rsid w:val="0072170B"/>
    <w:rsid w:val="00721917"/>
    <w:rsid w:val="00721928"/>
    <w:rsid w:val="007219A6"/>
    <w:rsid w:val="00721B83"/>
    <w:rsid w:val="00721D93"/>
    <w:rsid w:val="00721F3B"/>
    <w:rsid w:val="00721F71"/>
    <w:rsid w:val="00722194"/>
    <w:rsid w:val="007222A5"/>
    <w:rsid w:val="007222B5"/>
    <w:rsid w:val="00722653"/>
    <w:rsid w:val="007226BA"/>
    <w:rsid w:val="00722AC2"/>
    <w:rsid w:val="00722F56"/>
    <w:rsid w:val="00722F84"/>
    <w:rsid w:val="00722FD0"/>
    <w:rsid w:val="00722FE7"/>
    <w:rsid w:val="007231D4"/>
    <w:rsid w:val="007235B1"/>
    <w:rsid w:val="007235DA"/>
    <w:rsid w:val="007236C6"/>
    <w:rsid w:val="007237ED"/>
    <w:rsid w:val="00723885"/>
    <w:rsid w:val="00723ADA"/>
    <w:rsid w:val="00723CDE"/>
    <w:rsid w:val="00723FE5"/>
    <w:rsid w:val="00724254"/>
    <w:rsid w:val="00724409"/>
    <w:rsid w:val="00724479"/>
    <w:rsid w:val="00724A43"/>
    <w:rsid w:val="00724AD4"/>
    <w:rsid w:val="00724CA5"/>
    <w:rsid w:val="00724EEE"/>
    <w:rsid w:val="00724EEF"/>
    <w:rsid w:val="0072564D"/>
    <w:rsid w:val="007257E1"/>
    <w:rsid w:val="00725846"/>
    <w:rsid w:val="00725871"/>
    <w:rsid w:val="007258EC"/>
    <w:rsid w:val="00725AED"/>
    <w:rsid w:val="00725B00"/>
    <w:rsid w:val="00725DC4"/>
    <w:rsid w:val="00725F42"/>
    <w:rsid w:val="00726105"/>
    <w:rsid w:val="007261A3"/>
    <w:rsid w:val="00726347"/>
    <w:rsid w:val="0072641E"/>
    <w:rsid w:val="007267B5"/>
    <w:rsid w:val="0072684B"/>
    <w:rsid w:val="007268AB"/>
    <w:rsid w:val="00726B82"/>
    <w:rsid w:val="00726E2E"/>
    <w:rsid w:val="00726E3F"/>
    <w:rsid w:val="00726E67"/>
    <w:rsid w:val="00726E79"/>
    <w:rsid w:val="00727050"/>
    <w:rsid w:val="0072713A"/>
    <w:rsid w:val="0072713B"/>
    <w:rsid w:val="0072734F"/>
    <w:rsid w:val="00727432"/>
    <w:rsid w:val="00727552"/>
    <w:rsid w:val="007275E3"/>
    <w:rsid w:val="007279CF"/>
    <w:rsid w:val="00727D3C"/>
    <w:rsid w:val="00727DB2"/>
    <w:rsid w:val="00727E2E"/>
    <w:rsid w:val="00730118"/>
    <w:rsid w:val="007301EC"/>
    <w:rsid w:val="0073031F"/>
    <w:rsid w:val="0073038F"/>
    <w:rsid w:val="007304FE"/>
    <w:rsid w:val="00730520"/>
    <w:rsid w:val="00730527"/>
    <w:rsid w:val="00730882"/>
    <w:rsid w:val="0073093F"/>
    <w:rsid w:val="00730C34"/>
    <w:rsid w:val="00730CFC"/>
    <w:rsid w:val="00730DAD"/>
    <w:rsid w:val="007313AD"/>
    <w:rsid w:val="007314F7"/>
    <w:rsid w:val="00731BF5"/>
    <w:rsid w:val="00731C4E"/>
    <w:rsid w:val="00731DA5"/>
    <w:rsid w:val="00731E11"/>
    <w:rsid w:val="00731F16"/>
    <w:rsid w:val="007320AB"/>
    <w:rsid w:val="00732106"/>
    <w:rsid w:val="00732412"/>
    <w:rsid w:val="007324CE"/>
    <w:rsid w:val="007325B6"/>
    <w:rsid w:val="00732677"/>
    <w:rsid w:val="007326E8"/>
    <w:rsid w:val="007326F6"/>
    <w:rsid w:val="007327D1"/>
    <w:rsid w:val="007329E6"/>
    <w:rsid w:val="00732A14"/>
    <w:rsid w:val="00732A60"/>
    <w:rsid w:val="00732B7A"/>
    <w:rsid w:val="00732BA7"/>
    <w:rsid w:val="00732E3B"/>
    <w:rsid w:val="00733156"/>
    <w:rsid w:val="0073317D"/>
    <w:rsid w:val="007332EE"/>
    <w:rsid w:val="0073344A"/>
    <w:rsid w:val="00733656"/>
    <w:rsid w:val="00733817"/>
    <w:rsid w:val="00733A48"/>
    <w:rsid w:val="00733F02"/>
    <w:rsid w:val="00733FE1"/>
    <w:rsid w:val="0073428E"/>
    <w:rsid w:val="007342F9"/>
    <w:rsid w:val="00734566"/>
    <w:rsid w:val="00734583"/>
    <w:rsid w:val="007345EC"/>
    <w:rsid w:val="0073461E"/>
    <w:rsid w:val="00734890"/>
    <w:rsid w:val="007348C7"/>
    <w:rsid w:val="007349BB"/>
    <w:rsid w:val="00734ADF"/>
    <w:rsid w:val="00734C83"/>
    <w:rsid w:val="00734D5C"/>
    <w:rsid w:val="00734F11"/>
    <w:rsid w:val="00734F1E"/>
    <w:rsid w:val="00734FC0"/>
    <w:rsid w:val="00735084"/>
    <w:rsid w:val="007351AE"/>
    <w:rsid w:val="0073528A"/>
    <w:rsid w:val="007353BF"/>
    <w:rsid w:val="0073554B"/>
    <w:rsid w:val="00735610"/>
    <w:rsid w:val="00735723"/>
    <w:rsid w:val="00735770"/>
    <w:rsid w:val="00736273"/>
    <w:rsid w:val="0073627C"/>
    <w:rsid w:val="007362F8"/>
    <w:rsid w:val="007363BD"/>
    <w:rsid w:val="00736519"/>
    <w:rsid w:val="0073651C"/>
    <w:rsid w:val="00736785"/>
    <w:rsid w:val="00736BFB"/>
    <w:rsid w:val="00736D36"/>
    <w:rsid w:val="00736E08"/>
    <w:rsid w:val="00736F02"/>
    <w:rsid w:val="00736F1C"/>
    <w:rsid w:val="00736F80"/>
    <w:rsid w:val="0073727D"/>
    <w:rsid w:val="0073743A"/>
    <w:rsid w:val="00737459"/>
    <w:rsid w:val="0073757D"/>
    <w:rsid w:val="007376A8"/>
    <w:rsid w:val="007377D1"/>
    <w:rsid w:val="00737BE4"/>
    <w:rsid w:val="00737CF2"/>
    <w:rsid w:val="00737E0E"/>
    <w:rsid w:val="00737EB0"/>
    <w:rsid w:val="00737ED7"/>
    <w:rsid w:val="00740177"/>
    <w:rsid w:val="0074027E"/>
    <w:rsid w:val="007402C3"/>
    <w:rsid w:val="007403AD"/>
    <w:rsid w:val="007405EB"/>
    <w:rsid w:val="0074064A"/>
    <w:rsid w:val="007406CA"/>
    <w:rsid w:val="007406DF"/>
    <w:rsid w:val="00740950"/>
    <w:rsid w:val="00740BC6"/>
    <w:rsid w:val="00740C0D"/>
    <w:rsid w:val="00740DBF"/>
    <w:rsid w:val="00740E61"/>
    <w:rsid w:val="00741161"/>
    <w:rsid w:val="007412B5"/>
    <w:rsid w:val="007413B6"/>
    <w:rsid w:val="0074145A"/>
    <w:rsid w:val="007414D9"/>
    <w:rsid w:val="00741B3F"/>
    <w:rsid w:val="00741B59"/>
    <w:rsid w:val="00741C46"/>
    <w:rsid w:val="00741E86"/>
    <w:rsid w:val="00742113"/>
    <w:rsid w:val="007421FA"/>
    <w:rsid w:val="007422D2"/>
    <w:rsid w:val="007422D7"/>
    <w:rsid w:val="00742668"/>
    <w:rsid w:val="0074268D"/>
    <w:rsid w:val="00742699"/>
    <w:rsid w:val="00742706"/>
    <w:rsid w:val="0074298E"/>
    <w:rsid w:val="00742C8E"/>
    <w:rsid w:val="00742CF9"/>
    <w:rsid w:val="00742D5D"/>
    <w:rsid w:val="00742D6D"/>
    <w:rsid w:val="00742DA6"/>
    <w:rsid w:val="00742F8F"/>
    <w:rsid w:val="007431E2"/>
    <w:rsid w:val="00743208"/>
    <w:rsid w:val="00743384"/>
    <w:rsid w:val="00743388"/>
    <w:rsid w:val="00743567"/>
    <w:rsid w:val="007435FA"/>
    <w:rsid w:val="0074374E"/>
    <w:rsid w:val="0074380E"/>
    <w:rsid w:val="0074389C"/>
    <w:rsid w:val="007439D3"/>
    <w:rsid w:val="00743B3F"/>
    <w:rsid w:val="00743B6C"/>
    <w:rsid w:val="00743C1C"/>
    <w:rsid w:val="00743E4D"/>
    <w:rsid w:val="00743EEB"/>
    <w:rsid w:val="00744064"/>
    <w:rsid w:val="007440EA"/>
    <w:rsid w:val="007440EF"/>
    <w:rsid w:val="007443DE"/>
    <w:rsid w:val="007444C7"/>
    <w:rsid w:val="007444D8"/>
    <w:rsid w:val="0074461B"/>
    <w:rsid w:val="0074476A"/>
    <w:rsid w:val="00744994"/>
    <w:rsid w:val="00744AC3"/>
    <w:rsid w:val="00744B59"/>
    <w:rsid w:val="00744D1A"/>
    <w:rsid w:val="00744E4A"/>
    <w:rsid w:val="00744FF9"/>
    <w:rsid w:val="00745016"/>
    <w:rsid w:val="00745171"/>
    <w:rsid w:val="0074524D"/>
    <w:rsid w:val="00745377"/>
    <w:rsid w:val="007453DD"/>
    <w:rsid w:val="007454C9"/>
    <w:rsid w:val="00745627"/>
    <w:rsid w:val="00745673"/>
    <w:rsid w:val="00745676"/>
    <w:rsid w:val="00745776"/>
    <w:rsid w:val="00745905"/>
    <w:rsid w:val="007459E5"/>
    <w:rsid w:val="00745C26"/>
    <w:rsid w:val="00745C44"/>
    <w:rsid w:val="00745C77"/>
    <w:rsid w:val="00745CF0"/>
    <w:rsid w:val="00745E65"/>
    <w:rsid w:val="00745FF4"/>
    <w:rsid w:val="00746330"/>
    <w:rsid w:val="0074671C"/>
    <w:rsid w:val="0074686D"/>
    <w:rsid w:val="0074698A"/>
    <w:rsid w:val="007469C4"/>
    <w:rsid w:val="00746B6E"/>
    <w:rsid w:val="00746C92"/>
    <w:rsid w:val="007470F0"/>
    <w:rsid w:val="0074722C"/>
    <w:rsid w:val="007472AB"/>
    <w:rsid w:val="0074735F"/>
    <w:rsid w:val="007475B7"/>
    <w:rsid w:val="00747705"/>
    <w:rsid w:val="00747846"/>
    <w:rsid w:val="00747925"/>
    <w:rsid w:val="0074793C"/>
    <w:rsid w:val="00747BBD"/>
    <w:rsid w:val="00747D9F"/>
    <w:rsid w:val="00747DB7"/>
    <w:rsid w:val="00747E21"/>
    <w:rsid w:val="00747E83"/>
    <w:rsid w:val="00747F38"/>
    <w:rsid w:val="00750135"/>
    <w:rsid w:val="00750222"/>
    <w:rsid w:val="0075025E"/>
    <w:rsid w:val="007502B7"/>
    <w:rsid w:val="007504BA"/>
    <w:rsid w:val="0075060C"/>
    <w:rsid w:val="00750705"/>
    <w:rsid w:val="007508C8"/>
    <w:rsid w:val="00750A30"/>
    <w:rsid w:val="00750B0F"/>
    <w:rsid w:val="00750D16"/>
    <w:rsid w:val="007510A1"/>
    <w:rsid w:val="007510B7"/>
    <w:rsid w:val="00751251"/>
    <w:rsid w:val="007516D8"/>
    <w:rsid w:val="0075177D"/>
    <w:rsid w:val="0075178F"/>
    <w:rsid w:val="00751822"/>
    <w:rsid w:val="007518CB"/>
    <w:rsid w:val="00751A31"/>
    <w:rsid w:val="00751E22"/>
    <w:rsid w:val="00751F17"/>
    <w:rsid w:val="0075212F"/>
    <w:rsid w:val="007523B2"/>
    <w:rsid w:val="00752507"/>
    <w:rsid w:val="00752731"/>
    <w:rsid w:val="0075275E"/>
    <w:rsid w:val="00752778"/>
    <w:rsid w:val="00752823"/>
    <w:rsid w:val="00752A82"/>
    <w:rsid w:val="00752B59"/>
    <w:rsid w:val="00752FCB"/>
    <w:rsid w:val="00753132"/>
    <w:rsid w:val="007532FB"/>
    <w:rsid w:val="00753413"/>
    <w:rsid w:val="0075367F"/>
    <w:rsid w:val="00753704"/>
    <w:rsid w:val="00753718"/>
    <w:rsid w:val="007537B1"/>
    <w:rsid w:val="00753A1C"/>
    <w:rsid w:val="00753B2A"/>
    <w:rsid w:val="00753F10"/>
    <w:rsid w:val="00754093"/>
    <w:rsid w:val="0075461A"/>
    <w:rsid w:val="0075466A"/>
    <w:rsid w:val="00754C0D"/>
    <w:rsid w:val="00754D94"/>
    <w:rsid w:val="00754DA5"/>
    <w:rsid w:val="00754E9D"/>
    <w:rsid w:val="00754FDC"/>
    <w:rsid w:val="00754FEA"/>
    <w:rsid w:val="00755282"/>
    <w:rsid w:val="007553C6"/>
    <w:rsid w:val="007554F1"/>
    <w:rsid w:val="0075557B"/>
    <w:rsid w:val="00755757"/>
    <w:rsid w:val="00755772"/>
    <w:rsid w:val="00755891"/>
    <w:rsid w:val="007559A2"/>
    <w:rsid w:val="00755CD6"/>
    <w:rsid w:val="0075612A"/>
    <w:rsid w:val="00756154"/>
    <w:rsid w:val="0075622E"/>
    <w:rsid w:val="0075626D"/>
    <w:rsid w:val="007562F2"/>
    <w:rsid w:val="00756452"/>
    <w:rsid w:val="0075646A"/>
    <w:rsid w:val="007567EB"/>
    <w:rsid w:val="00756B7A"/>
    <w:rsid w:val="00756B97"/>
    <w:rsid w:val="00756DC2"/>
    <w:rsid w:val="00757034"/>
    <w:rsid w:val="00757079"/>
    <w:rsid w:val="00757402"/>
    <w:rsid w:val="00757494"/>
    <w:rsid w:val="00757667"/>
    <w:rsid w:val="00757797"/>
    <w:rsid w:val="0075780F"/>
    <w:rsid w:val="00757855"/>
    <w:rsid w:val="00757872"/>
    <w:rsid w:val="007579C4"/>
    <w:rsid w:val="00757AD8"/>
    <w:rsid w:val="00760375"/>
    <w:rsid w:val="00760637"/>
    <w:rsid w:val="0076067C"/>
    <w:rsid w:val="007606A0"/>
    <w:rsid w:val="007606C4"/>
    <w:rsid w:val="007606FC"/>
    <w:rsid w:val="007608C7"/>
    <w:rsid w:val="00760955"/>
    <w:rsid w:val="00760A50"/>
    <w:rsid w:val="00760B5A"/>
    <w:rsid w:val="00760FB0"/>
    <w:rsid w:val="0076120F"/>
    <w:rsid w:val="0076142A"/>
    <w:rsid w:val="0076144F"/>
    <w:rsid w:val="00761612"/>
    <w:rsid w:val="00761C1B"/>
    <w:rsid w:val="00761C9A"/>
    <w:rsid w:val="00761D02"/>
    <w:rsid w:val="00761E41"/>
    <w:rsid w:val="00762041"/>
    <w:rsid w:val="00762370"/>
    <w:rsid w:val="007623A2"/>
    <w:rsid w:val="00762515"/>
    <w:rsid w:val="00762549"/>
    <w:rsid w:val="007625F1"/>
    <w:rsid w:val="007626BE"/>
    <w:rsid w:val="007626D5"/>
    <w:rsid w:val="007629CE"/>
    <w:rsid w:val="00762A22"/>
    <w:rsid w:val="00762AD9"/>
    <w:rsid w:val="00762BCC"/>
    <w:rsid w:val="00762C63"/>
    <w:rsid w:val="00762D27"/>
    <w:rsid w:val="00762E9F"/>
    <w:rsid w:val="0076324B"/>
    <w:rsid w:val="007633F0"/>
    <w:rsid w:val="00763B7A"/>
    <w:rsid w:val="00763BFC"/>
    <w:rsid w:val="00763DCF"/>
    <w:rsid w:val="00763EBF"/>
    <w:rsid w:val="00763FB0"/>
    <w:rsid w:val="007640C2"/>
    <w:rsid w:val="00764309"/>
    <w:rsid w:val="0076436A"/>
    <w:rsid w:val="00764523"/>
    <w:rsid w:val="007647BF"/>
    <w:rsid w:val="00764A3F"/>
    <w:rsid w:val="00764BFD"/>
    <w:rsid w:val="00764DDC"/>
    <w:rsid w:val="00764FB9"/>
    <w:rsid w:val="0076509F"/>
    <w:rsid w:val="007658DF"/>
    <w:rsid w:val="0076596B"/>
    <w:rsid w:val="00765AAA"/>
    <w:rsid w:val="00765ACE"/>
    <w:rsid w:val="00765D24"/>
    <w:rsid w:val="00765DB4"/>
    <w:rsid w:val="00765ED5"/>
    <w:rsid w:val="0076605A"/>
    <w:rsid w:val="007660CD"/>
    <w:rsid w:val="00766534"/>
    <w:rsid w:val="0076666B"/>
    <w:rsid w:val="007668D5"/>
    <w:rsid w:val="00766F5A"/>
    <w:rsid w:val="00767025"/>
    <w:rsid w:val="00767070"/>
    <w:rsid w:val="007670DC"/>
    <w:rsid w:val="00767169"/>
    <w:rsid w:val="007671AA"/>
    <w:rsid w:val="0076749E"/>
    <w:rsid w:val="00767523"/>
    <w:rsid w:val="007676AC"/>
    <w:rsid w:val="00767741"/>
    <w:rsid w:val="007679F6"/>
    <w:rsid w:val="00767AA8"/>
    <w:rsid w:val="00767AF4"/>
    <w:rsid w:val="00767D60"/>
    <w:rsid w:val="00767D8F"/>
    <w:rsid w:val="00770120"/>
    <w:rsid w:val="007703D1"/>
    <w:rsid w:val="00770686"/>
    <w:rsid w:val="007708D6"/>
    <w:rsid w:val="007709C4"/>
    <w:rsid w:val="007709EE"/>
    <w:rsid w:val="00770B4E"/>
    <w:rsid w:val="00770BE3"/>
    <w:rsid w:val="00770C5F"/>
    <w:rsid w:val="00770D01"/>
    <w:rsid w:val="00770F46"/>
    <w:rsid w:val="00770FEE"/>
    <w:rsid w:val="00770FF5"/>
    <w:rsid w:val="007710AD"/>
    <w:rsid w:val="007710CC"/>
    <w:rsid w:val="00771332"/>
    <w:rsid w:val="00771725"/>
    <w:rsid w:val="00771731"/>
    <w:rsid w:val="0077191C"/>
    <w:rsid w:val="00771ABF"/>
    <w:rsid w:val="00771B54"/>
    <w:rsid w:val="00771C0C"/>
    <w:rsid w:val="00771F6B"/>
    <w:rsid w:val="007723F8"/>
    <w:rsid w:val="007724E2"/>
    <w:rsid w:val="00772965"/>
    <w:rsid w:val="00772D50"/>
    <w:rsid w:val="00772DC0"/>
    <w:rsid w:val="00772FC6"/>
    <w:rsid w:val="007730A4"/>
    <w:rsid w:val="007730B1"/>
    <w:rsid w:val="007730EE"/>
    <w:rsid w:val="00773204"/>
    <w:rsid w:val="00773259"/>
    <w:rsid w:val="00773406"/>
    <w:rsid w:val="007734AA"/>
    <w:rsid w:val="007735C4"/>
    <w:rsid w:val="00773650"/>
    <w:rsid w:val="00773698"/>
    <w:rsid w:val="007737AF"/>
    <w:rsid w:val="007739C6"/>
    <w:rsid w:val="00773ABB"/>
    <w:rsid w:val="00773ABC"/>
    <w:rsid w:val="00774004"/>
    <w:rsid w:val="0077427D"/>
    <w:rsid w:val="007742BC"/>
    <w:rsid w:val="00774531"/>
    <w:rsid w:val="007746FA"/>
    <w:rsid w:val="007749AD"/>
    <w:rsid w:val="00774A35"/>
    <w:rsid w:val="00774A5C"/>
    <w:rsid w:val="00774AE5"/>
    <w:rsid w:val="00774AF2"/>
    <w:rsid w:val="00774B32"/>
    <w:rsid w:val="00774B40"/>
    <w:rsid w:val="00774FD7"/>
    <w:rsid w:val="00775047"/>
    <w:rsid w:val="007754C1"/>
    <w:rsid w:val="00775576"/>
    <w:rsid w:val="0077564C"/>
    <w:rsid w:val="007756E0"/>
    <w:rsid w:val="0077571C"/>
    <w:rsid w:val="00775795"/>
    <w:rsid w:val="00775797"/>
    <w:rsid w:val="00775935"/>
    <w:rsid w:val="00775AD9"/>
    <w:rsid w:val="00775EC4"/>
    <w:rsid w:val="00775FD3"/>
    <w:rsid w:val="00776321"/>
    <w:rsid w:val="00776559"/>
    <w:rsid w:val="0077685F"/>
    <w:rsid w:val="0077686E"/>
    <w:rsid w:val="007768A4"/>
    <w:rsid w:val="007768FB"/>
    <w:rsid w:val="00776AB7"/>
    <w:rsid w:val="00776CB9"/>
    <w:rsid w:val="00776DCD"/>
    <w:rsid w:val="00776E01"/>
    <w:rsid w:val="007771F9"/>
    <w:rsid w:val="007771FD"/>
    <w:rsid w:val="007773A3"/>
    <w:rsid w:val="00777482"/>
    <w:rsid w:val="007774FC"/>
    <w:rsid w:val="007776A6"/>
    <w:rsid w:val="00777841"/>
    <w:rsid w:val="00777B1B"/>
    <w:rsid w:val="00777B90"/>
    <w:rsid w:val="00777D6E"/>
    <w:rsid w:val="00777E94"/>
    <w:rsid w:val="00780145"/>
    <w:rsid w:val="007805C4"/>
    <w:rsid w:val="007806A3"/>
    <w:rsid w:val="007806E4"/>
    <w:rsid w:val="007807B0"/>
    <w:rsid w:val="00780912"/>
    <w:rsid w:val="00780CBA"/>
    <w:rsid w:val="00780D9C"/>
    <w:rsid w:val="00780FD1"/>
    <w:rsid w:val="0078162E"/>
    <w:rsid w:val="007819F1"/>
    <w:rsid w:val="00781A0F"/>
    <w:rsid w:val="00781B55"/>
    <w:rsid w:val="00781BA9"/>
    <w:rsid w:val="00781CAC"/>
    <w:rsid w:val="00781D6F"/>
    <w:rsid w:val="00781D95"/>
    <w:rsid w:val="00782024"/>
    <w:rsid w:val="007820D3"/>
    <w:rsid w:val="00782128"/>
    <w:rsid w:val="00782192"/>
    <w:rsid w:val="007821CF"/>
    <w:rsid w:val="0078220B"/>
    <w:rsid w:val="007824BB"/>
    <w:rsid w:val="0078255E"/>
    <w:rsid w:val="00782606"/>
    <w:rsid w:val="00782669"/>
    <w:rsid w:val="007826DC"/>
    <w:rsid w:val="007828D0"/>
    <w:rsid w:val="00782A3C"/>
    <w:rsid w:val="00782ADE"/>
    <w:rsid w:val="00782BAC"/>
    <w:rsid w:val="00782C22"/>
    <w:rsid w:val="00782CCB"/>
    <w:rsid w:val="00782CE9"/>
    <w:rsid w:val="00782F74"/>
    <w:rsid w:val="007831EA"/>
    <w:rsid w:val="00783229"/>
    <w:rsid w:val="007836F0"/>
    <w:rsid w:val="0078397D"/>
    <w:rsid w:val="00783A4F"/>
    <w:rsid w:val="00783BB1"/>
    <w:rsid w:val="00784376"/>
    <w:rsid w:val="0078465B"/>
    <w:rsid w:val="007846A3"/>
    <w:rsid w:val="007846D3"/>
    <w:rsid w:val="007848DC"/>
    <w:rsid w:val="00784929"/>
    <w:rsid w:val="00784A5B"/>
    <w:rsid w:val="00784BC3"/>
    <w:rsid w:val="00784DE3"/>
    <w:rsid w:val="00784F74"/>
    <w:rsid w:val="00784FFA"/>
    <w:rsid w:val="0078536A"/>
    <w:rsid w:val="00785474"/>
    <w:rsid w:val="007854C7"/>
    <w:rsid w:val="0078551D"/>
    <w:rsid w:val="007856BE"/>
    <w:rsid w:val="007856F1"/>
    <w:rsid w:val="0078570D"/>
    <w:rsid w:val="007858B6"/>
    <w:rsid w:val="00785A2B"/>
    <w:rsid w:val="00785BA8"/>
    <w:rsid w:val="00785C52"/>
    <w:rsid w:val="00785D28"/>
    <w:rsid w:val="00785D85"/>
    <w:rsid w:val="00785E1D"/>
    <w:rsid w:val="00785FD2"/>
    <w:rsid w:val="00786457"/>
    <w:rsid w:val="007864E3"/>
    <w:rsid w:val="007865E6"/>
    <w:rsid w:val="0078677B"/>
    <w:rsid w:val="00786B5D"/>
    <w:rsid w:val="00786C82"/>
    <w:rsid w:val="00786E7A"/>
    <w:rsid w:val="00786F5B"/>
    <w:rsid w:val="007870E9"/>
    <w:rsid w:val="007871F3"/>
    <w:rsid w:val="0078722F"/>
    <w:rsid w:val="0078727E"/>
    <w:rsid w:val="0078733F"/>
    <w:rsid w:val="007873E5"/>
    <w:rsid w:val="007875DC"/>
    <w:rsid w:val="0078787F"/>
    <w:rsid w:val="0078795D"/>
    <w:rsid w:val="00787B4A"/>
    <w:rsid w:val="00787B6B"/>
    <w:rsid w:val="00787D5D"/>
    <w:rsid w:val="00787DF8"/>
    <w:rsid w:val="00787E2D"/>
    <w:rsid w:val="00787FB9"/>
    <w:rsid w:val="007901B0"/>
    <w:rsid w:val="007902B0"/>
    <w:rsid w:val="007903CA"/>
    <w:rsid w:val="007905D3"/>
    <w:rsid w:val="0079074B"/>
    <w:rsid w:val="007908BE"/>
    <w:rsid w:val="007908D4"/>
    <w:rsid w:val="00790A51"/>
    <w:rsid w:val="00790AF0"/>
    <w:rsid w:val="00790D12"/>
    <w:rsid w:val="00790DFE"/>
    <w:rsid w:val="00790F62"/>
    <w:rsid w:val="00791388"/>
    <w:rsid w:val="007916B0"/>
    <w:rsid w:val="00791785"/>
    <w:rsid w:val="00791A14"/>
    <w:rsid w:val="00791ACA"/>
    <w:rsid w:val="00791BA2"/>
    <w:rsid w:val="00791C2E"/>
    <w:rsid w:val="00791DC1"/>
    <w:rsid w:val="00791FE8"/>
    <w:rsid w:val="0079211A"/>
    <w:rsid w:val="00792139"/>
    <w:rsid w:val="007924B5"/>
    <w:rsid w:val="00792604"/>
    <w:rsid w:val="007926BA"/>
    <w:rsid w:val="00792966"/>
    <w:rsid w:val="00792B6E"/>
    <w:rsid w:val="00792C24"/>
    <w:rsid w:val="00792CC2"/>
    <w:rsid w:val="00792D1D"/>
    <w:rsid w:val="00792E50"/>
    <w:rsid w:val="00793289"/>
    <w:rsid w:val="00793296"/>
    <w:rsid w:val="0079340E"/>
    <w:rsid w:val="00793625"/>
    <w:rsid w:val="007937AD"/>
    <w:rsid w:val="007938A5"/>
    <w:rsid w:val="007938B2"/>
    <w:rsid w:val="00793942"/>
    <w:rsid w:val="00793A14"/>
    <w:rsid w:val="00793B32"/>
    <w:rsid w:val="00793DD4"/>
    <w:rsid w:val="00793FCC"/>
    <w:rsid w:val="00793FD6"/>
    <w:rsid w:val="007942E6"/>
    <w:rsid w:val="0079435E"/>
    <w:rsid w:val="00794366"/>
    <w:rsid w:val="00794379"/>
    <w:rsid w:val="00794388"/>
    <w:rsid w:val="0079446F"/>
    <w:rsid w:val="007945A1"/>
    <w:rsid w:val="007946C4"/>
    <w:rsid w:val="007947A9"/>
    <w:rsid w:val="00794D3D"/>
    <w:rsid w:val="00794EC1"/>
    <w:rsid w:val="00794ED9"/>
    <w:rsid w:val="00794EE5"/>
    <w:rsid w:val="00795023"/>
    <w:rsid w:val="00795503"/>
    <w:rsid w:val="0079553A"/>
    <w:rsid w:val="0079576D"/>
    <w:rsid w:val="00795B8F"/>
    <w:rsid w:val="00795C35"/>
    <w:rsid w:val="00796004"/>
    <w:rsid w:val="00796285"/>
    <w:rsid w:val="007963AF"/>
    <w:rsid w:val="0079672B"/>
    <w:rsid w:val="00796819"/>
    <w:rsid w:val="00796887"/>
    <w:rsid w:val="00796B22"/>
    <w:rsid w:val="00796B83"/>
    <w:rsid w:val="00796E6E"/>
    <w:rsid w:val="00796E94"/>
    <w:rsid w:val="00796EB1"/>
    <w:rsid w:val="00796F6E"/>
    <w:rsid w:val="00797075"/>
    <w:rsid w:val="007970A1"/>
    <w:rsid w:val="007970A2"/>
    <w:rsid w:val="0079723A"/>
    <w:rsid w:val="00797333"/>
    <w:rsid w:val="0079744D"/>
    <w:rsid w:val="007976E2"/>
    <w:rsid w:val="0079791C"/>
    <w:rsid w:val="0079794C"/>
    <w:rsid w:val="00797C2E"/>
    <w:rsid w:val="007A0012"/>
    <w:rsid w:val="007A008F"/>
    <w:rsid w:val="007A0237"/>
    <w:rsid w:val="007A0270"/>
    <w:rsid w:val="007A09DF"/>
    <w:rsid w:val="007A0A37"/>
    <w:rsid w:val="007A0E0B"/>
    <w:rsid w:val="007A0EBA"/>
    <w:rsid w:val="007A0F4E"/>
    <w:rsid w:val="007A1337"/>
    <w:rsid w:val="007A1463"/>
    <w:rsid w:val="007A163A"/>
    <w:rsid w:val="007A17B2"/>
    <w:rsid w:val="007A19E8"/>
    <w:rsid w:val="007A1AFD"/>
    <w:rsid w:val="007A1E02"/>
    <w:rsid w:val="007A1EA6"/>
    <w:rsid w:val="007A1F71"/>
    <w:rsid w:val="007A1FA7"/>
    <w:rsid w:val="007A237E"/>
    <w:rsid w:val="007A2456"/>
    <w:rsid w:val="007A259D"/>
    <w:rsid w:val="007A267E"/>
    <w:rsid w:val="007A279D"/>
    <w:rsid w:val="007A2973"/>
    <w:rsid w:val="007A2A5D"/>
    <w:rsid w:val="007A2B2A"/>
    <w:rsid w:val="007A2C5F"/>
    <w:rsid w:val="007A2C67"/>
    <w:rsid w:val="007A304C"/>
    <w:rsid w:val="007A30B1"/>
    <w:rsid w:val="007A3248"/>
    <w:rsid w:val="007A3344"/>
    <w:rsid w:val="007A337B"/>
    <w:rsid w:val="007A3386"/>
    <w:rsid w:val="007A349B"/>
    <w:rsid w:val="007A37BA"/>
    <w:rsid w:val="007A3861"/>
    <w:rsid w:val="007A3A51"/>
    <w:rsid w:val="007A3CE6"/>
    <w:rsid w:val="007A3E4D"/>
    <w:rsid w:val="007A4023"/>
    <w:rsid w:val="007A40AC"/>
    <w:rsid w:val="007A41AD"/>
    <w:rsid w:val="007A4377"/>
    <w:rsid w:val="007A48A1"/>
    <w:rsid w:val="007A4C3C"/>
    <w:rsid w:val="007A501B"/>
    <w:rsid w:val="007A5173"/>
    <w:rsid w:val="007A5219"/>
    <w:rsid w:val="007A5370"/>
    <w:rsid w:val="007A547D"/>
    <w:rsid w:val="007A5657"/>
    <w:rsid w:val="007A5712"/>
    <w:rsid w:val="007A57B1"/>
    <w:rsid w:val="007A57DD"/>
    <w:rsid w:val="007A57EA"/>
    <w:rsid w:val="007A58C2"/>
    <w:rsid w:val="007A5907"/>
    <w:rsid w:val="007A5A04"/>
    <w:rsid w:val="007A5A6E"/>
    <w:rsid w:val="007A5CF2"/>
    <w:rsid w:val="007A5D32"/>
    <w:rsid w:val="007A5DB5"/>
    <w:rsid w:val="007A5E24"/>
    <w:rsid w:val="007A5EB8"/>
    <w:rsid w:val="007A5F46"/>
    <w:rsid w:val="007A610D"/>
    <w:rsid w:val="007A6137"/>
    <w:rsid w:val="007A6209"/>
    <w:rsid w:val="007A627F"/>
    <w:rsid w:val="007A62A4"/>
    <w:rsid w:val="007A6318"/>
    <w:rsid w:val="007A639B"/>
    <w:rsid w:val="007A63FD"/>
    <w:rsid w:val="007A6526"/>
    <w:rsid w:val="007A667B"/>
    <w:rsid w:val="007A671F"/>
    <w:rsid w:val="007A672C"/>
    <w:rsid w:val="007A6D18"/>
    <w:rsid w:val="007A6D3C"/>
    <w:rsid w:val="007A70E6"/>
    <w:rsid w:val="007A70FB"/>
    <w:rsid w:val="007A71C4"/>
    <w:rsid w:val="007A724D"/>
    <w:rsid w:val="007A7555"/>
    <w:rsid w:val="007A7914"/>
    <w:rsid w:val="007A7D64"/>
    <w:rsid w:val="007A7DF1"/>
    <w:rsid w:val="007A7ECC"/>
    <w:rsid w:val="007B0083"/>
    <w:rsid w:val="007B0338"/>
    <w:rsid w:val="007B045A"/>
    <w:rsid w:val="007B049E"/>
    <w:rsid w:val="007B05E0"/>
    <w:rsid w:val="007B05FC"/>
    <w:rsid w:val="007B0739"/>
    <w:rsid w:val="007B0766"/>
    <w:rsid w:val="007B0821"/>
    <w:rsid w:val="007B09D8"/>
    <w:rsid w:val="007B0B0D"/>
    <w:rsid w:val="007B0D49"/>
    <w:rsid w:val="007B0E16"/>
    <w:rsid w:val="007B0F27"/>
    <w:rsid w:val="007B0F8D"/>
    <w:rsid w:val="007B0FE7"/>
    <w:rsid w:val="007B11BF"/>
    <w:rsid w:val="007B1325"/>
    <w:rsid w:val="007B1397"/>
    <w:rsid w:val="007B13AA"/>
    <w:rsid w:val="007B15B9"/>
    <w:rsid w:val="007B1A20"/>
    <w:rsid w:val="007B20F1"/>
    <w:rsid w:val="007B22D4"/>
    <w:rsid w:val="007B23FC"/>
    <w:rsid w:val="007B247D"/>
    <w:rsid w:val="007B2530"/>
    <w:rsid w:val="007B2588"/>
    <w:rsid w:val="007B2606"/>
    <w:rsid w:val="007B2879"/>
    <w:rsid w:val="007B28B7"/>
    <w:rsid w:val="007B29F7"/>
    <w:rsid w:val="007B2A0D"/>
    <w:rsid w:val="007B2C2F"/>
    <w:rsid w:val="007B2CB0"/>
    <w:rsid w:val="007B2DE9"/>
    <w:rsid w:val="007B2E72"/>
    <w:rsid w:val="007B3020"/>
    <w:rsid w:val="007B3250"/>
    <w:rsid w:val="007B32EC"/>
    <w:rsid w:val="007B35E5"/>
    <w:rsid w:val="007B36F7"/>
    <w:rsid w:val="007B3AB0"/>
    <w:rsid w:val="007B3C1D"/>
    <w:rsid w:val="007B3C3E"/>
    <w:rsid w:val="007B3CD2"/>
    <w:rsid w:val="007B3D62"/>
    <w:rsid w:val="007B3F72"/>
    <w:rsid w:val="007B3FE8"/>
    <w:rsid w:val="007B40C0"/>
    <w:rsid w:val="007B4363"/>
    <w:rsid w:val="007B4603"/>
    <w:rsid w:val="007B4842"/>
    <w:rsid w:val="007B4A15"/>
    <w:rsid w:val="007B4A85"/>
    <w:rsid w:val="007B4D9E"/>
    <w:rsid w:val="007B4DD7"/>
    <w:rsid w:val="007B4EDA"/>
    <w:rsid w:val="007B4F47"/>
    <w:rsid w:val="007B50CB"/>
    <w:rsid w:val="007B5465"/>
    <w:rsid w:val="007B5489"/>
    <w:rsid w:val="007B57AC"/>
    <w:rsid w:val="007B591C"/>
    <w:rsid w:val="007B5A6D"/>
    <w:rsid w:val="007B5C58"/>
    <w:rsid w:val="007B5E08"/>
    <w:rsid w:val="007B5EDC"/>
    <w:rsid w:val="007B6449"/>
    <w:rsid w:val="007B64F7"/>
    <w:rsid w:val="007B667A"/>
    <w:rsid w:val="007B66D6"/>
    <w:rsid w:val="007B6839"/>
    <w:rsid w:val="007B6A91"/>
    <w:rsid w:val="007B6AE0"/>
    <w:rsid w:val="007B6B22"/>
    <w:rsid w:val="007B6BFC"/>
    <w:rsid w:val="007B6C21"/>
    <w:rsid w:val="007B6C7A"/>
    <w:rsid w:val="007B6CD1"/>
    <w:rsid w:val="007B6CE4"/>
    <w:rsid w:val="007B6EBF"/>
    <w:rsid w:val="007B735A"/>
    <w:rsid w:val="007B7386"/>
    <w:rsid w:val="007B73AB"/>
    <w:rsid w:val="007B7561"/>
    <w:rsid w:val="007B7608"/>
    <w:rsid w:val="007B790F"/>
    <w:rsid w:val="007B7960"/>
    <w:rsid w:val="007B79A9"/>
    <w:rsid w:val="007B7A20"/>
    <w:rsid w:val="007B7A8A"/>
    <w:rsid w:val="007B7AE5"/>
    <w:rsid w:val="007B7F78"/>
    <w:rsid w:val="007C0103"/>
    <w:rsid w:val="007C02B5"/>
    <w:rsid w:val="007C0371"/>
    <w:rsid w:val="007C0400"/>
    <w:rsid w:val="007C0466"/>
    <w:rsid w:val="007C0552"/>
    <w:rsid w:val="007C0BE7"/>
    <w:rsid w:val="007C0C67"/>
    <w:rsid w:val="007C1119"/>
    <w:rsid w:val="007C122E"/>
    <w:rsid w:val="007C12F8"/>
    <w:rsid w:val="007C13BA"/>
    <w:rsid w:val="007C13F2"/>
    <w:rsid w:val="007C1552"/>
    <w:rsid w:val="007C1589"/>
    <w:rsid w:val="007C19B2"/>
    <w:rsid w:val="007C1A24"/>
    <w:rsid w:val="007C1A51"/>
    <w:rsid w:val="007C1A90"/>
    <w:rsid w:val="007C1AC1"/>
    <w:rsid w:val="007C1BE8"/>
    <w:rsid w:val="007C1CCB"/>
    <w:rsid w:val="007C1D55"/>
    <w:rsid w:val="007C1D61"/>
    <w:rsid w:val="007C215C"/>
    <w:rsid w:val="007C21C5"/>
    <w:rsid w:val="007C2425"/>
    <w:rsid w:val="007C25D1"/>
    <w:rsid w:val="007C2791"/>
    <w:rsid w:val="007C279B"/>
    <w:rsid w:val="007C2943"/>
    <w:rsid w:val="007C2A5A"/>
    <w:rsid w:val="007C2D3F"/>
    <w:rsid w:val="007C2DC9"/>
    <w:rsid w:val="007C2E63"/>
    <w:rsid w:val="007C32E6"/>
    <w:rsid w:val="007C3379"/>
    <w:rsid w:val="007C33A4"/>
    <w:rsid w:val="007C347A"/>
    <w:rsid w:val="007C3511"/>
    <w:rsid w:val="007C370B"/>
    <w:rsid w:val="007C3AE8"/>
    <w:rsid w:val="007C3F88"/>
    <w:rsid w:val="007C4102"/>
    <w:rsid w:val="007C41BB"/>
    <w:rsid w:val="007C4253"/>
    <w:rsid w:val="007C43CD"/>
    <w:rsid w:val="007C449B"/>
    <w:rsid w:val="007C45C0"/>
    <w:rsid w:val="007C4649"/>
    <w:rsid w:val="007C47CF"/>
    <w:rsid w:val="007C47D6"/>
    <w:rsid w:val="007C48AA"/>
    <w:rsid w:val="007C4A5B"/>
    <w:rsid w:val="007C4BA3"/>
    <w:rsid w:val="007C4E60"/>
    <w:rsid w:val="007C4EBE"/>
    <w:rsid w:val="007C53B0"/>
    <w:rsid w:val="007C5405"/>
    <w:rsid w:val="007C5484"/>
    <w:rsid w:val="007C5512"/>
    <w:rsid w:val="007C55DA"/>
    <w:rsid w:val="007C5729"/>
    <w:rsid w:val="007C574D"/>
    <w:rsid w:val="007C581E"/>
    <w:rsid w:val="007C5892"/>
    <w:rsid w:val="007C58BD"/>
    <w:rsid w:val="007C5AC0"/>
    <w:rsid w:val="007C6056"/>
    <w:rsid w:val="007C6142"/>
    <w:rsid w:val="007C6195"/>
    <w:rsid w:val="007C62E1"/>
    <w:rsid w:val="007C636A"/>
    <w:rsid w:val="007C639E"/>
    <w:rsid w:val="007C6462"/>
    <w:rsid w:val="007C6496"/>
    <w:rsid w:val="007C64D5"/>
    <w:rsid w:val="007C662B"/>
    <w:rsid w:val="007C6886"/>
    <w:rsid w:val="007C6B6C"/>
    <w:rsid w:val="007C6D44"/>
    <w:rsid w:val="007C6DD2"/>
    <w:rsid w:val="007C6E68"/>
    <w:rsid w:val="007C6ED3"/>
    <w:rsid w:val="007C6F15"/>
    <w:rsid w:val="007C6FFE"/>
    <w:rsid w:val="007C7166"/>
    <w:rsid w:val="007C7193"/>
    <w:rsid w:val="007C72E4"/>
    <w:rsid w:val="007C74E1"/>
    <w:rsid w:val="007C77EB"/>
    <w:rsid w:val="007C786C"/>
    <w:rsid w:val="007C78A0"/>
    <w:rsid w:val="007C79A8"/>
    <w:rsid w:val="007C7D87"/>
    <w:rsid w:val="007C7EE4"/>
    <w:rsid w:val="007D00D6"/>
    <w:rsid w:val="007D0848"/>
    <w:rsid w:val="007D085A"/>
    <w:rsid w:val="007D08DA"/>
    <w:rsid w:val="007D0D6E"/>
    <w:rsid w:val="007D0E0C"/>
    <w:rsid w:val="007D0F93"/>
    <w:rsid w:val="007D10CA"/>
    <w:rsid w:val="007D1353"/>
    <w:rsid w:val="007D136F"/>
    <w:rsid w:val="007D13F4"/>
    <w:rsid w:val="007D1561"/>
    <w:rsid w:val="007D186A"/>
    <w:rsid w:val="007D189C"/>
    <w:rsid w:val="007D1A62"/>
    <w:rsid w:val="007D1AFE"/>
    <w:rsid w:val="007D1C09"/>
    <w:rsid w:val="007D1C49"/>
    <w:rsid w:val="007D1CAD"/>
    <w:rsid w:val="007D1E84"/>
    <w:rsid w:val="007D1EA6"/>
    <w:rsid w:val="007D1EBA"/>
    <w:rsid w:val="007D1FC8"/>
    <w:rsid w:val="007D2028"/>
    <w:rsid w:val="007D21F3"/>
    <w:rsid w:val="007D2401"/>
    <w:rsid w:val="007D24F6"/>
    <w:rsid w:val="007D2576"/>
    <w:rsid w:val="007D2607"/>
    <w:rsid w:val="007D28CB"/>
    <w:rsid w:val="007D297C"/>
    <w:rsid w:val="007D29AA"/>
    <w:rsid w:val="007D29C9"/>
    <w:rsid w:val="007D2A78"/>
    <w:rsid w:val="007D2D78"/>
    <w:rsid w:val="007D3089"/>
    <w:rsid w:val="007D30A8"/>
    <w:rsid w:val="007D314F"/>
    <w:rsid w:val="007D3221"/>
    <w:rsid w:val="007D343F"/>
    <w:rsid w:val="007D3521"/>
    <w:rsid w:val="007D35FF"/>
    <w:rsid w:val="007D361F"/>
    <w:rsid w:val="007D3760"/>
    <w:rsid w:val="007D3833"/>
    <w:rsid w:val="007D39AE"/>
    <w:rsid w:val="007D3A19"/>
    <w:rsid w:val="007D3AE3"/>
    <w:rsid w:val="007D3DF2"/>
    <w:rsid w:val="007D3E14"/>
    <w:rsid w:val="007D43D2"/>
    <w:rsid w:val="007D43FA"/>
    <w:rsid w:val="007D4436"/>
    <w:rsid w:val="007D46AC"/>
    <w:rsid w:val="007D4818"/>
    <w:rsid w:val="007D4B09"/>
    <w:rsid w:val="007D4C6C"/>
    <w:rsid w:val="007D4D47"/>
    <w:rsid w:val="007D4DE6"/>
    <w:rsid w:val="007D4F29"/>
    <w:rsid w:val="007D5060"/>
    <w:rsid w:val="007D507B"/>
    <w:rsid w:val="007D50FC"/>
    <w:rsid w:val="007D53F8"/>
    <w:rsid w:val="007D551C"/>
    <w:rsid w:val="007D5536"/>
    <w:rsid w:val="007D55DF"/>
    <w:rsid w:val="007D571E"/>
    <w:rsid w:val="007D5769"/>
    <w:rsid w:val="007D58A4"/>
    <w:rsid w:val="007D5936"/>
    <w:rsid w:val="007D5A20"/>
    <w:rsid w:val="007D5A23"/>
    <w:rsid w:val="007D5CB1"/>
    <w:rsid w:val="007D5F27"/>
    <w:rsid w:val="007D6140"/>
    <w:rsid w:val="007D635C"/>
    <w:rsid w:val="007D635E"/>
    <w:rsid w:val="007D6471"/>
    <w:rsid w:val="007D6626"/>
    <w:rsid w:val="007D67A9"/>
    <w:rsid w:val="007D67EA"/>
    <w:rsid w:val="007D690F"/>
    <w:rsid w:val="007D6927"/>
    <w:rsid w:val="007D6992"/>
    <w:rsid w:val="007D6A03"/>
    <w:rsid w:val="007D6D32"/>
    <w:rsid w:val="007D6DB7"/>
    <w:rsid w:val="007D7115"/>
    <w:rsid w:val="007D71D5"/>
    <w:rsid w:val="007D77A3"/>
    <w:rsid w:val="007D7A1B"/>
    <w:rsid w:val="007D7A28"/>
    <w:rsid w:val="007D7D18"/>
    <w:rsid w:val="007D7D45"/>
    <w:rsid w:val="007D7ED0"/>
    <w:rsid w:val="007E017D"/>
    <w:rsid w:val="007E02E3"/>
    <w:rsid w:val="007E0391"/>
    <w:rsid w:val="007E04A5"/>
    <w:rsid w:val="007E04CC"/>
    <w:rsid w:val="007E05E6"/>
    <w:rsid w:val="007E06AF"/>
    <w:rsid w:val="007E07E3"/>
    <w:rsid w:val="007E0F2A"/>
    <w:rsid w:val="007E118C"/>
    <w:rsid w:val="007E12CA"/>
    <w:rsid w:val="007E1311"/>
    <w:rsid w:val="007E145E"/>
    <w:rsid w:val="007E1521"/>
    <w:rsid w:val="007E1551"/>
    <w:rsid w:val="007E1932"/>
    <w:rsid w:val="007E19A3"/>
    <w:rsid w:val="007E19B6"/>
    <w:rsid w:val="007E1A99"/>
    <w:rsid w:val="007E1B41"/>
    <w:rsid w:val="007E20E5"/>
    <w:rsid w:val="007E2107"/>
    <w:rsid w:val="007E218A"/>
    <w:rsid w:val="007E230D"/>
    <w:rsid w:val="007E2316"/>
    <w:rsid w:val="007E234C"/>
    <w:rsid w:val="007E2445"/>
    <w:rsid w:val="007E2454"/>
    <w:rsid w:val="007E2463"/>
    <w:rsid w:val="007E2743"/>
    <w:rsid w:val="007E278B"/>
    <w:rsid w:val="007E29DE"/>
    <w:rsid w:val="007E2A77"/>
    <w:rsid w:val="007E2F7F"/>
    <w:rsid w:val="007E3059"/>
    <w:rsid w:val="007E31E1"/>
    <w:rsid w:val="007E32A6"/>
    <w:rsid w:val="007E351A"/>
    <w:rsid w:val="007E3549"/>
    <w:rsid w:val="007E3571"/>
    <w:rsid w:val="007E3608"/>
    <w:rsid w:val="007E39EA"/>
    <w:rsid w:val="007E3AC4"/>
    <w:rsid w:val="007E3B85"/>
    <w:rsid w:val="007E3C3F"/>
    <w:rsid w:val="007E3D09"/>
    <w:rsid w:val="007E3D58"/>
    <w:rsid w:val="007E3EA0"/>
    <w:rsid w:val="007E3F3D"/>
    <w:rsid w:val="007E3FF4"/>
    <w:rsid w:val="007E40D8"/>
    <w:rsid w:val="007E4119"/>
    <w:rsid w:val="007E4243"/>
    <w:rsid w:val="007E4648"/>
    <w:rsid w:val="007E4990"/>
    <w:rsid w:val="007E4A0C"/>
    <w:rsid w:val="007E4A75"/>
    <w:rsid w:val="007E4C79"/>
    <w:rsid w:val="007E4DAB"/>
    <w:rsid w:val="007E4E21"/>
    <w:rsid w:val="007E4E53"/>
    <w:rsid w:val="007E4F65"/>
    <w:rsid w:val="007E507E"/>
    <w:rsid w:val="007E51B4"/>
    <w:rsid w:val="007E51E1"/>
    <w:rsid w:val="007E5265"/>
    <w:rsid w:val="007E53A3"/>
    <w:rsid w:val="007E5405"/>
    <w:rsid w:val="007E5567"/>
    <w:rsid w:val="007E5987"/>
    <w:rsid w:val="007E5B96"/>
    <w:rsid w:val="007E5C5B"/>
    <w:rsid w:val="007E5D7F"/>
    <w:rsid w:val="007E600A"/>
    <w:rsid w:val="007E607D"/>
    <w:rsid w:val="007E608B"/>
    <w:rsid w:val="007E6273"/>
    <w:rsid w:val="007E635D"/>
    <w:rsid w:val="007E64EA"/>
    <w:rsid w:val="007E66B1"/>
    <w:rsid w:val="007E69AF"/>
    <w:rsid w:val="007E6A09"/>
    <w:rsid w:val="007E6B6C"/>
    <w:rsid w:val="007E6F34"/>
    <w:rsid w:val="007E73F0"/>
    <w:rsid w:val="007E73FA"/>
    <w:rsid w:val="007E742E"/>
    <w:rsid w:val="007E7519"/>
    <w:rsid w:val="007E75AC"/>
    <w:rsid w:val="007E75FF"/>
    <w:rsid w:val="007E7841"/>
    <w:rsid w:val="007E7930"/>
    <w:rsid w:val="007E7966"/>
    <w:rsid w:val="007E7ACE"/>
    <w:rsid w:val="007E7AFA"/>
    <w:rsid w:val="007E7C9C"/>
    <w:rsid w:val="007E7DCB"/>
    <w:rsid w:val="007F016E"/>
    <w:rsid w:val="007F026C"/>
    <w:rsid w:val="007F054E"/>
    <w:rsid w:val="007F0557"/>
    <w:rsid w:val="007F05A1"/>
    <w:rsid w:val="007F05AC"/>
    <w:rsid w:val="007F05DB"/>
    <w:rsid w:val="007F0886"/>
    <w:rsid w:val="007F096A"/>
    <w:rsid w:val="007F09B0"/>
    <w:rsid w:val="007F0A60"/>
    <w:rsid w:val="007F0A87"/>
    <w:rsid w:val="007F0C16"/>
    <w:rsid w:val="007F0C59"/>
    <w:rsid w:val="007F0CD2"/>
    <w:rsid w:val="007F0F58"/>
    <w:rsid w:val="007F1051"/>
    <w:rsid w:val="007F11D2"/>
    <w:rsid w:val="007F123C"/>
    <w:rsid w:val="007F140E"/>
    <w:rsid w:val="007F14BB"/>
    <w:rsid w:val="007F1533"/>
    <w:rsid w:val="007F1712"/>
    <w:rsid w:val="007F1748"/>
    <w:rsid w:val="007F17DF"/>
    <w:rsid w:val="007F17EC"/>
    <w:rsid w:val="007F180E"/>
    <w:rsid w:val="007F1865"/>
    <w:rsid w:val="007F1989"/>
    <w:rsid w:val="007F19FD"/>
    <w:rsid w:val="007F1A52"/>
    <w:rsid w:val="007F1A80"/>
    <w:rsid w:val="007F1B0F"/>
    <w:rsid w:val="007F1BE4"/>
    <w:rsid w:val="007F1CF6"/>
    <w:rsid w:val="007F22AB"/>
    <w:rsid w:val="007F2458"/>
    <w:rsid w:val="007F25B2"/>
    <w:rsid w:val="007F25D3"/>
    <w:rsid w:val="007F2660"/>
    <w:rsid w:val="007F2968"/>
    <w:rsid w:val="007F2C4A"/>
    <w:rsid w:val="007F2C8B"/>
    <w:rsid w:val="007F2D8D"/>
    <w:rsid w:val="007F2DC8"/>
    <w:rsid w:val="007F2E98"/>
    <w:rsid w:val="007F30D2"/>
    <w:rsid w:val="007F30EC"/>
    <w:rsid w:val="007F32E0"/>
    <w:rsid w:val="007F33E3"/>
    <w:rsid w:val="007F3868"/>
    <w:rsid w:val="007F390F"/>
    <w:rsid w:val="007F3A66"/>
    <w:rsid w:val="007F3AF1"/>
    <w:rsid w:val="007F3C83"/>
    <w:rsid w:val="007F3D53"/>
    <w:rsid w:val="007F3D69"/>
    <w:rsid w:val="007F413B"/>
    <w:rsid w:val="007F4173"/>
    <w:rsid w:val="007F42AB"/>
    <w:rsid w:val="007F4312"/>
    <w:rsid w:val="007F443A"/>
    <w:rsid w:val="007F45C8"/>
    <w:rsid w:val="007F4955"/>
    <w:rsid w:val="007F4A6C"/>
    <w:rsid w:val="007F4B0F"/>
    <w:rsid w:val="007F5166"/>
    <w:rsid w:val="007F5281"/>
    <w:rsid w:val="007F5354"/>
    <w:rsid w:val="007F5360"/>
    <w:rsid w:val="007F5566"/>
    <w:rsid w:val="007F55F7"/>
    <w:rsid w:val="007F56C7"/>
    <w:rsid w:val="007F5803"/>
    <w:rsid w:val="007F5C79"/>
    <w:rsid w:val="007F5D14"/>
    <w:rsid w:val="007F5D5C"/>
    <w:rsid w:val="007F5D7A"/>
    <w:rsid w:val="007F5E26"/>
    <w:rsid w:val="007F6030"/>
    <w:rsid w:val="007F62F5"/>
    <w:rsid w:val="007F6411"/>
    <w:rsid w:val="007F667E"/>
    <w:rsid w:val="007F6833"/>
    <w:rsid w:val="007F6896"/>
    <w:rsid w:val="007F69AA"/>
    <w:rsid w:val="007F6AA9"/>
    <w:rsid w:val="007F6AAD"/>
    <w:rsid w:val="007F6C67"/>
    <w:rsid w:val="007F6D62"/>
    <w:rsid w:val="007F6E9D"/>
    <w:rsid w:val="007F6ED9"/>
    <w:rsid w:val="007F6F5C"/>
    <w:rsid w:val="007F71E5"/>
    <w:rsid w:val="007F72B5"/>
    <w:rsid w:val="007F737E"/>
    <w:rsid w:val="007F7442"/>
    <w:rsid w:val="007F74DB"/>
    <w:rsid w:val="007F763F"/>
    <w:rsid w:val="007F7687"/>
    <w:rsid w:val="007F77CD"/>
    <w:rsid w:val="007F77D6"/>
    <w:rsid w:val="007F7989"/>
    <w:rsid w:val="007F79F6"/>
    <w:rsid w:val="007F7ACF"/>
    <w:rsid w:val="007F7C26"/>
    <w:rsid w:val="007F7D1E"/>
    <w:rsid w:val="007F7E66"/>
    <w:rsid w:val="0080020C"/>
    <w:rsid w:val="00800579"/>
    <w:rsid w:val="00800994"/>
    <w:rsid w:val="00800AFD"/>
    <w:rsid w:val="00800C7D"/>
    <w:rsid w:val="0080108C"/>
    <w:rsid w:val="0080110B"/>
    <w:rsid w:val="00801476"/>
    <w:rsid w:val="00801547"/>
    <w:rsid w:val="00801731"/>
    <w:rsid w:val="00801BE4"/>
    <w:rsid w:val="00801C26"/>
    <w:rsid w:val="00801E99"/>
    <w:rsid w:val="00801EAD"/>
    <w:rsid w:val="00802088"/>
    <w:rsid w:val="008022A0"/>
    <w:rsid w:val="008022B0"/>
    <w:rsid w:val="008022B4"/>
    <w:rsid w:val="0080240F"/>
    <w:rsid w:val="008025AC"/>
    <w:rsid w:val="0080278F"/>
    <w:rsid w:val="0080280C"/>
    <w:rsid w:val="00802896"/>
    <w:rsid w:val="00802BC7"/>
    <w:rsid w:val="00802C47"/>
    <w:rsid w:val="0080312C"/>
    <w:rsid w:val="008033F3"/>
    <w:rsid w:val="00803488"/>
    <w:rsid w:val="0080375A"/>
    <w:rsid w:val="00803B9C"/>
    <w:rsid w:val="008040DC"/>
    <w:rsid w:val="0080437B"/>
    <w:rsid w:val="008044C5"/>
    <w:rsid w:val="008044D4"/>
    <w:rsid w:val="0080453B"/>
    <w:rsid w:val="008048EC"/>
    <w:rsid w:val="00804938"/>
    <w:rsid w:val="00804B96"/>
    <w:rsid w:val="00804D0B"/>
    <w:rsid w:val="00804E92"/>
    <w:rsid w:val="00805000"/>
    <w:rsid w:val="00805085"/>
    <w:rsid w:val="008050EE"/>
    <w:rsid w:val="0080519B"/>
    <w:rsid w:val="00805349"/>
    <w:rsid w:val="0080535C"/>
    <w:rsid w:val="00805472"/>
    <w:rsid w:val="008054C0"/>
    <w:rsid w:val="008054E0"/>
    <w:rsid w:val="0080553E"/>
    <w:rsid w:val="00805979"/>
    <w:rsid w:val="00805B06"/>
    <w:rsid w:val="00805F04"/>
    <w:rsid w:val="0080608D"/>
    <w:rsid w:val="008060C7"/>
    <w:rsid w:val="0080612A"/>
    <w:rsid w:val="008062E0"/>
    <w:rsid w:val="008064A9"/>
    <w:rsid w:val="008064B2"/>
    <w:rsid w:val="00806690"/>
    <w:rsid w:val="008066DC"/>
    <w:rsid w:val="00806791"/>
    <w:rsid w:val="008067D9"/>
    <w:rsid w:val="00806963"/>
    <w:rsid w:val="00806F13"/>
    <w:rsid w:val="00806F20"/>
    <w:rsid w:val="008071B5"/>
    <w:rsid w:val="0080729C"/>
    <w:rsid w:val="00807464"/>
    <w:rsid w:val="008074C0"/>
    <w:rsid w:val="0080751E"/>
    <w:rsid w:val="0080753B"/>
    <w:rsid w:val="008077C1"/>
    <w:rsid w:val="008078BC"/>
    <w:rsid w:val="00807A27"/>
    <w:rsid w:val="00807C36"/>
    <w:rsid w:val="00807C8D"/>
    <w:rsid w:val="00807EAD"/>
    <w:rsid w:val="00807EBB"/>
    <w:rsid w:val="008100BA"/>
    <w:rsid w:val="00810166"/>
    <w:rsid w:val="00810381"/>
    <w:rsid w:val="0081047C"/>
    <w:rsid w:val="00810891"/>
    <w:rsid w:val="008108BB"/>
    <w:rsid w:val="00810A0C"/>
    <w:rsid w:val="00810BB7"/>
    <w:rsid w:val="00810C03"/>
    <w:rsid w:val="00811570"/>
    <w:rsid w:val="00811707"/>
    <w:rsid w:val="0081174C"/>
    <w:rsid w:val="00811778"/>
    <w:rsid w:val="00811C7C"/>
    <w:rsid w:val="00811D00"/>
    <w:rsid w:val="00811E1B"/>
    <w:rsid w:val="00811EA2"/>
    <w:rsid w:val="00811EBA"/>
    <w:rsid w:val="00811F7C"/>
    <w:rsid w:val="008121FC"/>
    <w:rsid w:val="00812478"/>
    <w:rsid w:val="0081247D"/>
    <w:rsid w:val="00812496"/>
    <w:rsid w:val="00812576"/>
    <w:rsid w:val="0081259B"/>
    <w:rsid w:val="00812691"/>
    <w:rsid w:val="0081299E"/>
    <w:rsid w:val="00812AEB"/>
    <w:rsid w:val="00812B39"/>
    <w:rsid w:val="00812BA4"/>
    <w:rsid w:val="00812BB4"/>
    <w:rsid w:val="00812BD0"/>
    <w:rsid w:val="00812C25"/>
    <w:rsid w:val="00812D81"/>
    <w:rsid w:val="00812E33"/>
    <w:rsid w:val="008132F8"/>
    <w:rsid w:val="00813458"/>
    <w:rsid w:val="00813490"/>
    <w:rsid w:val="00813551"/>
    <w:rsid w:val="008135E4"/>
    <w:rsid w:val="00813968"/>
    <w:rsid w:val="00813A92"/>
    <w:rsid w:val="00813C1D"/>
    <w:rsid w:val="00813DCD"/>
    <w:rsid w:val="00813DD5"/>
    <w:rsid w:val="0081401F"/>
    <w:rsid w:val="00814296"/>
    <w:rsid w:val="008142F5"/>
    <w:rsid w:val="00814336"/>
    <w:rsid w:val="008144F0"/>
    <w:rsid w:val="008147C6"/>
    <w:rsid w:val="008148E6"/>
    <w:rsid w:val="00814952"/>
    <w:rsid w:val="008149AB"/>
    <w:rsid w:val="008149BB"/>
    <w:rsid w:val="00814ABE"/>
    <w:rsid w:val="00814F2D"/>
    <w:rsid w:val="00815083"/>
    <w:rsid w:val="0081513A"/>
    <w:rsid w:val="0081533F"/>
    <w:rsid w:val="008153F5"/>
    <w:rsid w:val="0081554B"/>
    <w:rsid w:val="0081578B"/>
    <w:rsid w:val="00815BB8"/>
    <w:rsid w:val="00815C2E"/>
    <w:rsid w:val="00815D73"/>
    <w:rsid w:val="00815E32"/>
    <w:rsid w:val="00815F01"/>
    <w:rsid w:val="008160B9"/>
    <w:rsid w:val="00816343"/>
    <w:rsid w:val="0081641A"/>
    <w:rsid w:val="0081658E"/>
    <w:rsid w:val="0081669E"/>
    <w:rsid w:val="0081681A"/>
    <w:rsid w:val="00816968"/>
    <w:rsid w:val="00816A06"/>
    <w:rsid w:val="00816A84"/>
    <w:rsid w:val="00816BC4"/>
    <w:rsid w:val="00816C34"/>
    <w:rsid w:val="00816C85"/>
    <w:rsid w:val="0081704F"/>
    <w:rsid w:val="00817300"/>
    <w:rsid w:val="00817427"/>
    <w:rsid w:val="008174D7"/>
    <w:rsid w:val="0081755E"/>
    <w:rsid w:val="00817713"/>
    <w:rsid w:val="0081784A"/>
    <w:rsid w:val="00817943"/>
    <w:rsid w:val="00817D61"/>
    <w:rsid w:val="00817F7E"/>
    <w:rsid w:val="00820185"/>
    <w:rsid w:val="00820258"/>
    <w:rsid w:val="008204F4"/>
    <w:rsid w:val="00820608"/>
    <w:rsid w:val="00820794"/>
    <w:rsid w:val="008207AA"/>
    <w:rsid w:val="00820A49"/>
    <w:rsid w:val="00820B2D"/>
    <w:rsid w:val="00820F48"/>
    <w:rsid w:val="00820F51"/>
    <w:rsid w:val="00820FAE"/>
    <w:rsid w:val="0082104F"/>
    <w:rsid w:val="008210EA"/>
    <w:rsid w:val="0082117C"/>
    <w:rsid w:val="00821350"/>
    <w:rsid w:val="00821663"/>
    <w:rsid w:val="00821841"/>
    <w:rsid w:val="008218E6"/>
    <w:rsid w:val="008219EF"/>
    <w:rsid w:val="00821D68"/>
    <w:rsid w:val="00821EA3"/>
    <w:rsid w:val="00821F29"/>
    <w:rsid w:val="00821F37"/>
    <w:rsid w:val="00822051"/>
    <w:rsid w:val="00822073"/>
    <w:rsid w:val="00822105"/>
    <w:rsid w:val="008221E2"/>
    <w:rsid w:val="00822228"/>
    <w:rsid w:val="00822295"/>
    <w:rsid w:val="008222AA"/>
    <w:rsid w:val="008222BD"/>
    <w:rsid w:val="008226D1"/>
    <w:rsid w:val="00822756"/>
    <w:rsid w:val="008229A0"/>
    <w:rsid w:val="00822C69"/>
    <w:rsid w:val="00822CEA"/>
    <w:rsid w:val="00822D57"/>
    <w:rsid w:val="00822DCE"/>
    <w:rsid w:val="00822F23"/>
    <w:rsid w:val="008230A7"/>
    <w:rsid w:val="00823288"/>
    <w:rsid w:val="008236E8"/>
    <w:rsid w:val="008238DA"/>
    <w:rsid w:val="00823AD3"/>
    <w:rsid w:val="00823B2F"/>
    <w:rsid w:val="00823B36"/>
    <w:rsid w:val="00823C08"/>
    <w:rsid w:val="00823DE4"/>
    <w:rsid w:val="00823E73"/>
    <w:rsid w:val="00824038"/>
    <w:rsid w:val="0082415B"/>
    <w:rsid w:val="008243D4"/>
    <w:rsid w:val="008243FF"/>
    <w:rsid w:val="0082456F"/>
    <w:rsid w:val="00824678"/>
    <w:rsid w:val="0082467F"/>
    <w:rsid w:val="0082476A"/>
    <w:rsid w:val="00824BA3"/>
    <w:rsid w:val="00824BE3"/>
    <w:rsid w:val="00824D6C"/>
    <w:rsid w:val="00824E56"/>
    <w:rsid w:val="00824FAA"/>
    <w:rsid w:val="008252E5"/>
    <w:rsid w:val="008253A1"/>
    <w:rsid w:val="008255C8"/>
    <w:rsid w:val="0082566E"/>
    <w:rsid w:val="00825812"/>
    <w:rsid w:val="00825815"/>
    <w:rsid w:val="0082583C"/>
    <w:rsid w:val="00825873"/>
    <w:rsid w:val="0082598A"/>
    <w:rsid w:val="00825B39"/>
    <w:rsid w:val="00825B85"/>
    <w:rsid w:val="00825D38"/>
    <w:rsid w:val="00825EA5"/>
    <w:rsid w:val="00826018"/>
    <w:rsid w:val="008260DC"/>
    <w:rsid w:val="00826741"/>
    <w:rsid w:val="0082676D"/>
    <w:rsid w:val="00826AA7"/>
    <w:rsid w:val="00826D03"/>
    <w:rsid w:val="00826F2A"/>
    <w:rsid w:val="00826F86"/>
    <w:rsid w:val="00826FC8"/>
    <w:rsid w:val="008273D7"/>
    <w:rsid w:val="008276AF"/>
    <w:rsid w:val="00827994"/>
    <w:rsid w:val="008279B5"/>
    <w:rsid w:val="008279ED"/>
    <w:rsid w:val="00827D33"/>
    <w:rsid w:val="00827D35"/>
    <w:rsid w:val="00830329"/>
    <w:rsid w:val="008303FE"/>
    <w:rsid w:val="00830402"/>
    <w:rsid w:val="00830561"/>
    <w:rsid w:val="008305AE"/>
    <w:rsid w:val="00830690"/>
    <w:rsid w:val="00830A9F"/>
    <w:rsid w:val="00830C10"/>
    <w:rsid w:val="00830D1E"/>
    <w:rsid w:val="0083138D"/>
    <w:rsid w:val="008313A7"/>
    <w:rsid w:val="0083168B"/>
    <w:rsid w:val="008318C7"/>
    <w:rsid w:val="00831A7B"/>
    <w:rsid w:val="00831AC0"/>
    <w:rsid w:val="00831D8D"/>
    <w:rsid w:val="00831DD3"/>
    <w:rsid w:val="0083205F"/>
    <w:rsid w:val="00832194"/>
    <w:rsid w:val="00832295"/>
    <w:rsid w:val="008322E9"/>
    <w:rsid w:val="0083235B"/>
    <w:rsid w:val="0083236E"/>
    <w:rsid w:val="00832453"/>
    <w:rsid w:val="00832558"/>
    <w:rsid w:val="0083266E"/>
    <w:rsid w:val="0083272B"/>
    <w:rsid w:val="00832842"/>
    <w:rsid w:val="0083290A"/>
    <w:rsid w:val="00832975"/>
    <w:rsid w:val="00832F01"/>
    <w:rsid w:val="0083308D"/>
    <w:rsid w:val="0083316A"/>
    <w:rsid w:val="00833280"/>
    <w:rsid w:val="0083342C"/>
    <w:rsid w:val="00833587"/>
    <w:rsid w:val="00833660"/>
    <w:rsid w:val="008336AF"/>
    <w:rsid w:val="00833807"/>
    <w:rsid w:val="00833847"/>
    <w:rsid w:val="0083397D"/>
    <w:rsid w:val="00833B66"/>
    <w:rsid w:val="0083402B"/>
    <w:rsid w:val="00834060"/>
    <w:rsid w:val="00834312"/>
    <w:rsid w:val="00834321"/>
    <w:rsid w:val="0083444F"/>
    <w:rsid w:val="008346E0"/>
    <w:rsid w:val="00834713"/>
    <w:rsid w:val="00834925"/>
    <w:rsid w:val="008349E2"/>
    <w:rsid w:val="00834C4D"/>
    <w:rsid w:val="00834D15"/>
    <w:rsid w:val="00834DEC"/>
    <w:rsid w:val="00834E97"/>
    <w:rsid w:val="00834F4A"/>
    <w:rsid w:val="0083547A"/>
    <w:rsid w:val="0083556E"/>
    <w:rsid w:val="00835586"/>
    <w:rsid w:val="008356CC"/>
    <w:rsid w:val="00835811"/>
    <w:rsid w:val="00835854"/>
    <w:rsid w:val="00835E5C"/>
    <w:rsid w:val="00835EF8"/>
    <w:rsid w:val="00836073"/>
    <w:rsid w:val="00836281"/>
    <w:rsid w:val="00836344"/>
    <w:rsid w:val="00836390"/>
    <w:rsid w:val="008363D8"/>
    <w:rsid w:val="0083648F"/>
    <w:rsid w:val="008364F8"/>
    <w:rsid w:val="00836510"/>
    <w:rsid w:val="0083652A"/>
    <w:rsid w:val="00836DC3"/>
    <w:rsid w:val="00836E6C"/>
    <w:rsid w:val="00837066"/>
    <w:rsid w:val="008370DE"/>
    <w:rsid w:val="00837143"/>
    <w:rsid w:val="008372CB"/>
    <w:rsid w:val="00837392"/>
    <w:rsid w:val="008373E7"/>
    <w:rsid w:val="0083745A"/>
    <w:rsid w:val="0083756B"/>
    <w:rsid w:val="0083769C"/>
    <w:rsid w:val="008376C6"/>
    <w:rsid w:val="00837805"/>
    <w:rsid w:val="0083786C"/>
    <w:rsid w:val="00837BE9"/>
    <w:rsid w:val="00837EBC"/>
    <w:rsid w:val="00837F44"/>
    <w:rsid w:val="00837FB1"/>
    <w:rsid w:val="0084008C"/>
    <w:rsid w:val="00840486"/>
    <w:rsid w:val="00840694"/>
    <w:rsid w:val="008407C2"/>
    <w:rsid w:val="008409B6"/>
    <w:rsid w:val="00840ECE"/>
    <w:rsid w:val="00840F2E"/>
    <w:rsid w:val="00841032"/>
    <w:rsid w:val="008410D7"/>
    <w:rsid w:val="00841208"/>
    <w:rsid w:val="0084120B"/>
    <w:rsid w:val="00841382"/>
    <w:rsid w:val="0084139F"/>
    <w:rsid w:val="00841542"/>
    <w:rsid w:val="008415C0"/>
    <w:rsid w:val="008418F6"/>
    <w:rsid w:val="00841930"/>
    <w:rsid w:val="0084197D"/>
    <w:rsid w:val="008419AA"/>
    <w:rsid w:val="00841CC8"/>
    <w:rsid w:val="008421EE"/>
    <w:rsid w:val="0084228D"/>
    <w:rsid w:val="00842298"/>
    <w:rsid w:val="008422EE"/>
    <w:rsid w:val="00842334"/>
    <w:rsid w:val="008425FF"/>
    <w:rsid w:val="0084272E"/>
    <w:rsid w:val="00842801"/>
    <w:rsid w:val="00842921"/>
    <w:rsid w:val="00842936"/>
    <w:rsid w:val="00842BA6"/>
    <w:rsid w:val="00842C1E"/>
    <w:rsid w:val="00842C4F"/>
    <w:rsid w:val="00842C7C"/>
    <w:rsid w:val="00842EEC"/>
    <w:rsid w:val="008431DD"/>
    <w:rsid w:val="00843294"/>
    <w:rsid w:val="00843372"/>
    <w:rsid w:val="0084359D"/>
    <w:rsid w:val="0084360E"/>
    <w:rsid w:val="0084365B"/>
    <w:rsid w:val="00843686"/>
    <w:rsid w:val="0084377F"/>
    <w:rsid w:val="00843801"/>
    <w:rsid w:val="008439C7"/>
    <w:rsid w:val="00843CB6"/>
    <w:rsid w:val="00843DDD"/>
    <w:rsid w:val="00843E3F"/>
    <w:rsid w:val="00843F8F"/>
    <w:rsid w:val="00844354"/>
    <w:rsid w:val="008446AB"/>
    <w:rsid w:val="008446F2"/>
    <w:rsid w:val="00844B7F"/>
    <w:rsid w:val="00844BC8"/>
    <w:rsid w:val="00845067"/>
    <w:rsid w:val="008450C6"/>
    <w:rsid w:val="00845220"/>
    <w:rsid w:val="008452E5"/>
    <w:rsid w:val="00845365"/>
    <w:rsid w:val="0084555E"/>
    <w:rsid w:val="00845604"/>
    <w:rsid w:val="0084574C"/>
    <w:rsid w:val="00845770"/>
    <w:rsid w:val="008459A3"/>
    <w:rsid w:val="00845B12"/>
    <w:rsid w:val="00845B2D"/>
    <w:rsid w:val="00845D5C"/>
    <w:rsid w:val="00845D88"/>
    <w:rsid w:val="00845DBF"/>
    <w:rsid w:val="00845FE6"/>
    <w:rsid w:val="008461FA"/>
    <w:rsid w:val="00846359"/>
    <w:rsid w:val="0084642D"/>
    <w:rsid w:val="0084645B"/>
    <w:rsid w:val="00846484"/>
    <w:rsid w:val="0084650D"/>
    <w:rsid w:val="00846514"/>
    <w:rsid w:val="008467E6"/>
    <w:rsid w:val="0084681F"/>
    <w:rsid w:val="00846844"/>
    <w:rsid w:val="00846950"/>
    <w:rsid w:val="00846A15"/>
    <w:rsid w:val="00846A25"/>
    <w:rsid w:val="00846C5F"/>
    <w:rsid w:val="00846E02"/>
    <w:rsid w:val="0084729D"/>
    <w:rsid w:val="00847531"/>
    <w:rsid w:val="00847798"/>
    <w:rsid w:val="00847C12"/>
    <w:rsid w:val="00847C3F"/>
    <w:rsid w:val="00847CFB"/>
    <w:rsid w:val="00847D47"/>
    <w:rsid w:val="0085006B"/>
    <w:rsid w:val="00850140"/>
    <w:rsid w:val="008502FC"/>
    <w:rsid w:val="00850375"/>
    <w:rsid w:val="0085040B"/>
    <w:rsid w:val="00850412"/>
    <w:rsid w:val="0085042C"/>
    <w:rsid w:val="00850566"/>
    <w:rsid w:val="00850713"/>
    <w:rsid w:val="0085088C"/>
    <w:rsid w:val="00850C7B"/>
    <w:rsid w:val="00850CFE"/>
    <w:rsid w:val="00850D66"/>
    <w:rsid w:val="00850DD2"/>
    <w:rsid w:val="00850E84"/>
    <w:rsid w:val="00851112"/>
    <w:rsid w:val="00851230"/>
    <w:rsid w:val="008514A3"/>
    <w:rsid w:val="0085165B"/>
    <w:rsid w:val="008516BE"/>
    <w:rsid w:val="00851790"/>
    <w:rsid w:val="00851875"/>
    <w:rsid w:val="00851A3A"/>
    <w:rsid w:val="00851AA9"/>
    <w:rsid w:val="00851B8D"/>
    <w:rsid w:val="00851BA9"/>
    <w:rsid w:val="00851C1A"/>
    <w:rsid w:val="00851D83"/>
    <w:rsid w:val="00851E41"/>
    <w:rsid w:val="0085230E"/>
    <w:rsid w:val="0085247E"/>
    <w:rsid w:val="008524DE"/>
    <w:rsid w:val="00852525"/>
    <w:rsid w:val="00852539"/>
    <w:rsid w:val="00852589"/>
    <w:rsid w:val="008525C1"/>
    <w:rsid w:val="0085280B"/>
    <w:rsid w:val="00852908"/>
    <w:rsid w:val="008529A7"/>
    <w:rsid w:val="00852AE1"/>
    <w:rsid w:val="00852D68"/>
    <w:rsid w:val="00852F50"/>
    <w:rsid w:val="00852FC7"/>
    <w:rsid w:val="00853045"/>
    <w:rsid w:val="008530CF"/>
    <w:rsid w:val="0085326B"/>
    <w:rsid w:val="008532D3"/>
    <w:rsid w:val="00853471"/>
    <w:rsid w:val="00853686"/>
    <w:rsid w:val="00853728"/>
    <w:rsid w:val="008538CD"/>
    <w:rsid w:val="00853F2D"/>
    <w:rsid w:val="008540C3"/>
    <w:rsid w:val="00854155"/>
    <w:rsid w:val="0085437C"/>
    <w:rsid w:val="00854728"/>
    <w:rsid w:val="0085481E"/>
    <w:rsid w:val="00854A6B"/>
    <w:rsid w:val="00854C47"/>
    <w:rsid w:val="00854C53"/>
    <w:rsid w:val="00854C98"/>
    <w:rsid w:val="00854D35"/>
    <w:rsid w:val="00854DA8"/>
    <w:rsid w:val="00854DC4"/>
    <w:rsid w:val="00854DC6"/>
    <w:rsid w:val="00854FBD"/>
    <w:rsid w:val="00855018"/>
    <w:rsid w:val="008551A7"/>
    <w:rsid w:val="0085524E"/>
    <w:rsid w:val="00855454"/>
    <w:rsid w:val="008554AD"/>
    <w:rsid w:val="008554FB"/>
    <w:rsid w:val="00855680"/>
    <w:rsid w:val="008556FC"/>
    <w:rsid w:val="008558B4"/>
    <w:rsid w:val="008559A0"/>
    <w:rsid w:val="00855B27"/>
    <w:rsid w:val="00855EE2"/>
    <w:rsid w:val="00855FBF"/>
    <w:rsid w:val="00856056"/>
    <w:rsid w:val="00856070"/>
    <w:rsid w:val="008560A9"/>
    <w:rsid w:val="00856787"/>
    <w:rsid w:val="00856881"/>
    <w:rsid w:val="00856A19"/>
    <w:rsid w:val="00856BF6"/>
    <w:rsid w:val="00856C07"/>
    <w:rsid w:val="00856D32"/>
    <w:rsid w:val="00857087"/>
    <w:rsid w:val="00857093"/>
    <w:rsid w:val="008571B1"/>
    <w:rsid w:val="008575FE"/>
    <w:rsid w:val="008576CA"/>
    <w:rsid w:val="008577DE"/>
    <w:rsid w:val="00857C22"/>
    <w:rsid w:val="00857C3E"/>
    <w:rsid w:val="00857CD5"/>
    <w:rsid w:val="00857DDE"/>
    <w:rsid w:val="00857E09"/>
    <w:rsid w:val="00857F24"/>
    <w:rsid w:val="00860070"/>
    <w:rsid w:val="0086017C"/>
    <w:rsid w:val="008603EB"/>
    <w:rsid w:val="008605F9"/>
    <w:rsid w:val="008607E6"/>
    <w:rsid w:val="008608CF"/>
    <w:rsid w:val="0086091B"/>
    <w:rsid w:val="00860A66"/>
    <w:rsid w:val="00860AE9"/>
    <w:rsid w:val="00860BA8"/>
    <w:rsid w:val="00860C49"/>
    <w:rsid w:val="00860FB8"/>
    <w:rsid w:val="008610D2"/>
    <w:rsid w:val="008611DC"/>
    <w:rsid w:val="008613A1"/>
    <w:rsid w:val="00861564"/>
    <w:rsid w:val="008615BE"/>
    <w:rsid w:val="00861990"/>
    <w:rsid w:val="008619BB"/>
    <w:rsid w:val="00861A84"/>
    <w:rsid w:val="00861BD4"/>
    <w:rsid w:val="0086213C"/>
    <w:rsid w:val="00862224"/>
    <w:rsid w:val="00862313"/>
    <w:rsid w:val="008625E1"/>
    <w:rsid w:val="00862923"/>
    <w:rsid w:val="00862A0F"/>
    <w:rsid w:val="00862B80"/>
    <w:rsid w:val="00862C13"/>
    <w:rsid w:val="00862D1C"/>
    <w:rsid w:val="00862D96"/>
    <w:rsid w:val="00862F3E"/>
    <w:rsid w:val="00862F98"/>
    <w:rsid w:val="00863123"/>
    <w:rsid w:val="00863219"/>
    <w:rsid w:val="00863364"/>
    <w:rsid w:val="008634C9"/>
    <w:rsid w:val="008634CA"/>
    <w:rsid w:val="0086380A"/>
    <w:rsid w:val="00863A48"/>
    <w:rsid w:val="00863E26"/>
    <w:rsid w:val="00863F1D"/>
    <w:rsid w:val="008640C2"/>
    <w:rsid w:val="00864351"/>
    <w:rsid w:val="008644D9"/>
    <w:rsid w:val="00864503"/>
    <w:rsid w:val="008645C0"/>
    <w:rsid w:val="0086460A"/>
    <w:rsid w:val="00864653"/>
    <w:rsid w:val="00864942"/>
    <w:rsid w:val="00864A37"/>
    <w:rsid w:val="00864AC6"/>
    <w:rsid w:val="00864AE5"/>
    <w:rsid w:val="00864BFC"/>
    <w:rsid w:val="00864C38"/>
    <w:rsid w:val="00864C5F"/>
    <w:rsid w:val="00864F4E"/>
    <w:rsid w:val="008650AA"/>
    <w:rsid w:val="00865235"/>
    <w:rsid w:val="00865533"/>
    <w:rsid w:val="008655CB"/>
    <w:rsid w:val="008656F7"/>
    <w:rsid w:val="0086584B"/>
    <w:rsid w:val="00865970"/>
    <w:rsid w:val="00865A70"/>
    <w:rsid w:val="00865ECF"/>
    <w:rsid w:val="00866000"/>
    <w:rsid w:val="00866575"/>
    <w:rsid w:val="008665AB"/>
    <w:rsid w:val="00866769"/>
    <w:rsid w:val="008667AD"/>
    <w:rsid w:val="00866882"/>
    <w:rsid w:val="00866979"/>
    <w:rsid w:val="00866A9A"/>
    <w:rsid w:val="00866E58"/>
    <w:rsid w:val="00866EB2"/>
    <w:rsid w:val="00867081"/>
    <w:rsid w:val="0086731D"/>
    <w:rsid w:val="008673C1"/>
    <w:rsid w:val="00867456"/>
    <w:rsid w:val="008675E5"/>
    <w:rsid w:val="008675F0"/>
    <w:rsid w:val="008676E3"/>
    <w:rsid w:val="00867757"/>
    <w:rsid w:val="00867989"/>
    <w:rsid w:val="00867A63"/>
    <w:rsid w:val="00867B31"/>
    <w:rsid w:val="00867BB9"/>
    <w:rsid w:val="00867D36"/>
    <w:rsid w:val="00867E31"/>
    <w:rsid w:val="00867FEE"/>
    <w:rsid w:val="008700B1"/>
    <w:rsid w:val="00870251"/>
    <w:rsid w:val="00870747"/>
    <w:rsid w:val="0087077B"/>
    <w:rsid w:val="0087081C"/>
    <w:rsid w:val="0087084A"/>
    <w:rsid w:val="0087087C"/>
    <w:rsid w:val="00870941"/>
    <w:rsid w:val="00870A23"/>
    <w:rsid w:val="00870ABD"/>
    <w:rsid w:val="00870AC4"/>
    <w:rsid w:val="00870AE1"/>
    <w:rsid w:val="00870BB9"/>
    <w:rsid w:val="00870C71"/>
    <w:rsid w:val="00870CF7"/>
    <w:rsid w:val="0087105B"/>
    <w:rsid w:val="008711A0"/>
    <w:rsid w:val="008711D5"/>
    <w:rsid w:val="00871264"/>
    <w:rsid w:val="00871405"/>
    <w:rsid w:val="0087177E"/>
    <w:rsid w:val="008718FD"/>
    <w:rsid w:val="00871D05"/>
    <w:rsid w:val="00871D48"/>
    <w:rsid w:val="00871D89"/>
    <w:rsid w:val="00871EF8"/>
    <w:rsid w:val="00871FD0"/>
    <w:rsid w:val="00871FE9"/>
    <w:rsid w:val="0087246F"/>
    <w:rsid w:val="0087248D"/>
    <w:rsid w:val="00872651"/>
    <w:rsid w:val="0087276B"/>
    <w:rsid w:val="00872816"/>
    <w:rsid w:val="00872D7F"/>
    <w:rsid w:val="00872DC6"/>
    <w:rsid w:val="00872F38"/>
    <w:rsid w:val="00872F8C"/>
    <w:rsid w:val="00873167"/>
    <w:rsid w:val="0087316B"/>
    <w:rsid w:val="00873295"/>
    <w:rsid w:val="008733CA"/>
    <w:rsid w:val="008733D7"/>
    <w:rsid w:val="00873805"/>
    <w:rsid w:val="008739B2"/>
    <w:rsid w:val="00873AB2"/>
    <w:rsid w:val="00873F75"/>
    <w:rsid w:val="00873FB2"/>
    <w:rsid w:val="00873FB9"/>
    <w:rsid w:val="00874054"/>
    <w:rsid w:val="00874278"/>
    <w:rsid w:val="00874740"/>
    <w:rsid w:val="0087497E"/>
    <w:rsid w:val="00874BF7"/>
    <w:rsid w:val="00874CC2"/>
    <w:rsid w:val="008750AB"/>
    <w:rsid w:val="00875112"/>
    <w:rsid w:val="00875381"/>
    <w:rsid w:val="008756FA"/>
    <w:rsid w:val="00875749"/>
    <w:rsid w:val="0087589E"/>
    <w:rsid w:val="00875EAE"/>
    <w:rsid w:val="00876598"/>
    <w:rsid w:val="00876643"/>
    <w:rsid w:val="00876799"/>
    <w:rsid w:val="008767D1"/>
    <w:rsid w:val="0087683A"/>
    <w:rsid w:val="008769B8"/>
    <w:rsid w:val="00876A79"/>
    <w:rsid w:val="00876B89"/>
    <w:rsid w:val="00876C85"/>
    <w:rsid w:val="00876D87"/>
    <w:rsid w:val="00876DE3"/>
    <w:rsid w:val="00876E5A"/>
    <w:rsid w:val="0087707F"/>
    <w:rsid w:val="008773C8"/>
    <w:rsid w:val="00877760"/>
    <w:rsid w:val="00877A38"/>
    <w:rsid w:val="00877A62"/>
    <w:rsid w:val="00877B55"/>
    <w:rsid w:val="00877CD9"/>
    <w:rsid w:val="00877D92"/>
    <w:rsid w:val="00877EE9"/>
    <w:rsid w:val="008801A4"/>
    <w:rsid w:val="0088035F"/>
    <w:rsid w:val="0088043B"/>
    <w:rsid w:val="0088046C"/>
    <w:rsid w:val="00880896"/>
    <w:rsid w:val="008808C2"/>
    <w:rsid w:val="00880936"/>
    <w:rsid w:val="008809D5"/>
    <w:rsid w:val="00880C2E"/>
    <w:rsid w:val="00880CC1"/>
    <w:rsid w:val="008811A3"/>
    <w:rsid w:val="00881248"/>
    <w:rsid w:val="0088137A"/>
    <w:rsid w:val="008815D0"/>
    <w:rsid w:val="008816CA"/>
    <w:rsid w:val="008816F0"/>
    <w:rsid w:val="008817D0"/>
    <w:rsid w:val="00881882"/>
    <w:rsid w:val="00881951"/>
    <w:rsid w:val="0088199B"/>
    <w:rsid w:val="008819BE"/>
    <w:rsid w:val="00881D07"/>
    <w:rsid w:val="00881DE1"/>
    <w:rsid w:val="00881E34"/>
    <w:rsid w:val="00882147"/>
    <w:rsid w:val="0088225C"/>
    <w:rsid w:val="008823B6"/>
    <w:rsid w:val="00882545"/>
    <w:rsid w:val="008825A2"/>
    <w:rsid w:val="00882A13"/>
    <w:rsid w:val="00882C17"/>
    <w:rsid w:val="00882DF4"/>
    <w:rsid w:val="00882F68"/>
    <w:rsid w:val="008830EA"/>
    <w:rsid w:val="0088321E"/>
    <w:rsid w:val="0088335D"/>
    <w:rsid w:val="0088341F"/>
    <w:rsid w:val="008834B6"/>
    <w:rsid w:val="008835E8"/>
    <w:rsid w:val="0088363D"/>
    <w:rsid w:val="00883723"/>
    <w:rsid w:val="00883947"/>
    <w:rsid w:val="00883A02"/>
    <w:rsid w:val="00883A93"/>
    <w:rsid w:val="00883BA9"/>
    <w:rsid w:val="008841D5"/>
    <w:rsid w:val="00884215"/>
    <w:rsid w:val="0088424B"/>
    <w:rsid w:val="008845CE"/>
    <w:rsid w:val="00884694"/>
    <w:rsid w:val="00884733"/>
    <w:rsid w:val="00884739"/>
    <w:rsid w:val="00884858"/>
    <w:rsid w:val="00884A2E"/>
    <w:rsid w:val="00884A32"/>
    <w:rsid w:val="00884A35"/>
    <w:rsid w:val="00884E3E"/>
    <w:rsid w:val="00884EDE"/>
    <w:rsid w:val="00885013"/>
    <w:rsid w:val="0088513A"/>
    <w:rsid w:val="008851D8"/>
    <w:rsid w:val="008851F0"/>
    <w:rsid w:val="0088522D"/>
    <w:rsid w:val="00885381"/>
    <w:rsid w:val="00885AD0"/>
    <w:rsid w:val="00885E28"/>
    <w:rsid w:val="008863C8"/>
    <w:rsid w:val="008864EE"/>
    <w:rsid w:val="008866CE"/>
    <w:rsid w:val="0088685F"/>
    <w:rsid w:val="00886938"/>
    <w:rsid w:val="00886CBE"/>
    <w:rsid w:val="00886D19"/>
    <w:rsid w:val="00886D95"/>
    <w:rsid w:val="00886E19"/>
    <w:rsid w:val="008870A6"/>
    <w:rsid w:val="008872B4"/>
    <w:rsid w:val="008873BE"/>
    <w:rsid w:val="00887598"/>
    <w:rsid w:val="008875B7"/>
    <w:rsid w:val="008877F0"/>
    <w:rsid w:val="0088786A"/>
    <w:rsid w:val="00887AAD"/>
    <w:rsid w:val="00887BDA"/>
    <w:rsid w:val="00887DFD"/>
    <w:rsid w:val="00887EB5"/>
    <w:rsid w:val="00890043"/>
    <w:rsid w:val="008900E8"/>
    <w:rsid w:val="0089010B"/>
    <w:rsid w:val="00890345"/>
    <w:rsid w:val="0089038D"/>
    <w:rsid w:val="0089054D"/>
    <w:rsid w:val="00890700"/>
    <w:rsid w:val="008908F4"/>
    <w:rsid w:val="0089090D"/>
    <w:rsid w:val="00890A16"/>
    <w:rsid w:val="00890CAD"/>
    <w:rsid w:val="00890D76"/>
    <w:rsid w:val="00890EDF"/>
    <w:rsid w:val="00890F26"/>
    <w:rsid w:val="008912BA"/>
    <w:rsid w:val="0089138F"/>
    <w:rsid w:val="008915F3"/>
    <w:rsid w:val="00891744"/>
    <w:rsid w:val="00891B4E"/>
    <w:rsid w:val="00891CEE"/>
    <w:rsid w:val="00891F80"/>
    <w:rsid w:val="00892054"/>
    <w:rsid w:val="00892119"/>
    <w:rsid w:val="0089215F"/>
    <w:rsid w:val="00892267"/>
    <w:rsid w:val="008922E6"/>
    <w:rsid w:val="008923BD"/>
    <w:rsid w:val="00892430"/>
    <w:rsid w:val="0089265B"/>
    <w:rsid w:val="0089282A"/>
    <w:rsid w:val="00892C02"/>
    <w:rsid w:val="00892C3E"/>
    <w:rsid w:val="00892CC6"/>
    <w:rsid w:val="00892F52"/>
    <w:rsid w:val="00892FF8"/>
    <w:rsid w:val="008932A3"/>
    <w:rsid w:val="008934CB"/>
    <w:rsid w:val="008936AB"/>
    <w:rsid w:val="008937A1"/>
    <w:rsid w:val="008937FC"/>
    <w:rsid w:val="0089387B"/>
    <w:rsid w:val="008938C5"/>
    <w:rsid w:val="008939AE"/>
    <w:rsid w:val="008939FC"/>
    <w:rsid w:val="00893D00"/>
    <w:rsid w:val="00893D21"/>
    <w:rsid w:val="00893E81"/>
    <w:rsid w:val="00894027"/>
    <w:rsid w:val="0089431E"/>
    <w:rsid w:val="008947CA"/>
    <w:rsid w:val="00894897"/>
    <w:rsid w:val="0089497D"/>
    <w:rsid w:val="00894A96"/>
    <w:rsid w:val="00894B08"/>
    <w:rsid w:val="00894D0D"/>
    <w:rsid w:val="00894D80"/>
    <w:rsid w:val="00894DDF"/>
    <w:rsid w:val="00894E41"/>
    <w:rsid w:val="00894F7C"/>
    <w:rsid w:val="008952E3"/>
    <w:rsid w:val="0089538A"/>
    <w:rsid w:val="008955EA"/>
    <w:rsid w:val="0089560E"/>
    <w:rsid w:val="0089579A"/>
    <w:rsid w:val="00895A5B"/>
    <w:rsid w:val="00895ADC"/>
    <w:rsid w:val="00895AF0"/>
    <w:rsid w:val="00895B88"/>
    <w:rsid w:val="00895B8D"/>
    <w:rsid w:val="00895C07"/>
    <w:rsid w:val="00895C7E"/>
    <w:rsid w:val="00895D03"/>
    <w:rsid w:val="00895DD8"/>
    <w:rsid w:val="00895F92"/>
    <w:rsid w:val="0089645D"/>
    <w:rsid w:val="0089673E"/>
    <w:rsid w:val="008969D0"/>
    <w:rsid w:val="00896C89"/>
    <w:rsid w:val="00896F56"/>
    <w:rsid w:val="0089708E"/>
    <w:rsid w:val="008971CA"/>
    <w:rsid w:val="00897641"/>
    <w:rsid w:val="0089778C"/>
    <w:rsid w:val="0089789F"/>
    <w:rsid w:val="0089791A"/>
    <w:rsid w:val="00897946"/>
    <w:rsid w:val="00897AA2"/>
    <w:rsid w:val="00897DF8"/>
    <w:rsid w:val="00897E3B"/>
    <w:rsid w:val="008A0057"/>
    <w:rsid w:val="008A00D7"/>
    <w:rsid w:val="008A01B6"/>
    <w:rsid w:val="008A023D"/>
    <w:rsid w:val="008A04BC"/>
    <w:rsid w:val="008A05CE"/>
    <w:rsid w:val="008A0691"/>
    <w:rsid w:val="008A07C1"/>
    <w:rsid w:val="008A08F0"/>
    <w:rsid w:val="008A0901"/>
    <w:rsid w:val="008A0937"/>
    <w:rsid w:val="008A09F2"/>
    <w:rsid w:val="008A0DEC"/>
    <w:rsid w:val="008A0E1E"/>
    <w:rsid w:val="008A0EA4"/>
    <w:rsid w:val="008A1719"/>
    <w:rsid w:val="008A1879"/>
    <w:rsid w:val="008A18A5"/>
    <w:rsid w:val="008A1BA8"/>
    <w:rsid w:val="008A1C91"/>
    <w:rsid w:val="008A1CDB"/>
    <w:rsid w:val="008A1CF5"/>
    <w:rsid w:val="008A1EFA"/>
    <w:rsid w:val="008A1F94"/>
    <w:rsid w:val="008A1FB6"/>
    <w:rsid w:val="008A21EF"/>
    <w:rsid w:val="008A2279"/>
    <w:rsid w:val="008A230D"/>
    <w:rsid w:val="008A23E8"/>
    <w:rsid w:val="008A2649"/>
    <w:rsid w:val="008A2735"/>
    <w:rsid w:val="008A27F8"/>
    <w:rsid w:val="008A2893"/>
    <w:rsid w:val="008A28B8"/>
    <w:rsid w:val="008A2BEE"/>
    <w:rsid w:val="008A2D5F"/>
    <w:rsid w:val="008A3214"/>
    <w:rsid w:val="008A329E"/>
    <w:rsid w:val="008A3435"/>
    <w:rsid w:val="008A363C"/>
    <w:rsid w:val="008A3755"/>
    <w:rsid w:val="008A389E"/>
    <w:rsid w:val="008A3948"/>
    <w:rsid w:val="008A3982"/>
    <w:rsid w:val="008A39B7"/>
    <w:rsid w:val="008A3A57"/>
    <w:rsid w:val="008A3C37"/>
    <w:rsid w:val="008A3D29"/>
    <w:rsid w:val="008A3DCE"/>
    <w:rsid w:val="008A3E37"/>
    <w:rsid w:val="008A4040"/>
    <w:rsid w:val="008A40E7"/>
    <w:rsid w:val="008A42B9"/>
    <w:rsid w:val="008A42D1"/>
    <w:rsid w:val="008A4412"/>
    <w:rsid w:val="008A44C8"/>
    <w:rsid w:val="008A4AD5"/>
    <w:rsid w:val="008A4BA6"/>
    <w:rsid w:val="008A4CB7"/>
    <w:rsid w:val="008A4DB6"/>
    <w:rsid w:val="008A4DF4"/>
    <w:rsid w:val="008A4E73"/>
    <w:rsid w:val="008A4E7E"/>
    <w:rsid w:val="008A55A8"/>
    <w:rsid w:val="008A566C"/>
    <w:rsid w:val="008A5A63"/>
    <w:rsid w:val="008A5C54"/>
    <w:rsid w:val="008A5C95"/>
    <w:rsid w:val="008A5D84"/>
    <w:rsid w:val="008A5EC4"/>
    <w:rsid w:val="008A60B4"/>
    <w:rsid w:val="008A61BC"/>
    <w:rsid w:val="008A61C3"/>
    <w:rsid w:val="008A6245"/>
    <w:rsid w:val="008A62FF"/>
    <w:rsid w:val="008A631B"/>
    <w:rsid w:val="008A63EE"/>
    <w:rsid w:val="008A6477"/>
    <w:rsid w:val="008A6490"/>
    <w:rsid w:val="008A671A"/>
    <w:rsid w:val="008A6777"/>
    <w:rsid w:val="008A6974"/>
    <w:rsid w:val="008A69E6"/>
    <w:rsid w:val="008A6CA2"/>
    <w:rsid w:val="008A6FF4"/>
    <w:rsid w:val="008A708C"/>
    <w:rsid w:val="008A71E7"/>
    <w:rsid w:val="008A72B9"/>
    <w:rsid w:val="008A738E"/>
    <w:rsid w:val="008A7396"/>
    <w:rsid w:val="008A73A1"/>
    <w:rsid w:val="008A7626"/>
    <w:rsid w:val="008A764B"/>
    <w:rsid w:val="008A7697"/>
    <w:rsid w:val="008A7870"/>
    <w:rsid w:val="008A78F5"/>
    <w:rsid w:val="008A7A93"/>
    <w:rsid w:val="008A7E05"/>
    <w:rsid w:val="008A7F26"/>
    <w:rsid w:val="008A7F27"/>
    <w:rsid w:val="008A7FC3"/>
    <w:rsid w:val="008B03AC"/>
    <w:rsid w:val="008B044D"/>
    <w:rsid w:val="008B0451"/>
    <w:rsid w:val="008B06C6"/>
    <w:rsid w:val="008B08DD"/>
    <w:rsid w:val="008B097F"/>
    <w:rsid w:val="008B0B5E"/>
    <w:rsid w:val="008B0C86"/>
    <w:rsid w:val="008B0D1E"/>
    <w:rsid w:val="008B0E14"/>
    <w:rsid w:val="008B1004"/>
    <w:rsid w:val="008B1164"/>
    <w:rsid w:val="008B1504"/>
    <w:rsid w:val="008B153E"/>
    <w:rsid w:val="008B15EB"/>
    <w:rsid w:val="008B1783"/>
    <w:rsid w:val="008B17A9"/>
    <w:rsid w:val="008B18DA"/>
    <w:rsid w:val="008B1C63"/>
    <w:rsid w:val="008B1F92"/>
    <w:rsid w:val="008B219D"/>
    <w:rsid w:val="008B2235"/>
    <w:rsid w:val="008B22A3"/>
    <w:rsid w:val="008B275E"/>
    <w:rsid w:val="008B2911"/>
    <w:rsid w:val="008B29F9"/>
    <w:rsid w:val="008B2A2F"/>
    <w:rsid w:val="008B2A49"/>
    <w:rsid w:val="008B2A4E"/>
    <w:rsid w:val="008B2AAC"/>
    <w:rsid w:val="008B2BB7"/>
    <w:rsid w:val="008B2C69"/>
    <w:rsid w:val="008B2C90"/>
    <w:rsid w:val="008B3035"/>
    <w:rsid w:val="008B31F2"/>
    <w:rsid w:val="008B3278"/>
    <w:rsid w:val="008B3304"/>
    <w:rsid w:val="008B36C3"/>
    <w:rsid w:val="008B3929"/>
    <w:rsid w:val="008B3B6A"/>
    <w:rsid w:val="008B3F26"/>
    <w:rsid w:val="008B4008"/>
    <w:rsid w:val="008B4153"/>
    <w:rsid w:val="008B42D1"/>
    <w:rsid w:val="008B455D"/>
    <w:rsid w:val="008B47E1"/>
    <w:rsid w:val="008B49DC"/>
    <w:rsid w:val="008B49F0"/>
    <w:rsid w:val="008B4A73"/>
    <w:rsid w:val="008B4B14"/>
    <w:rsid w:val="008B4BFF"/>
    <w:rsid w:val="008B4DDD"/>
    <w:rsid w:val="008B4EC5"/>
    <w:rsid w:val="008B4F50"/>
    <w:rsid w:val="008B4F53"/>
    <w:rsid w:val="008B4F84"/>
    <w:rsid w:val="008B525D"/>
    <w:rsid w:val="008B5437"/>
    <w:rsid w:val="008B58D3"/>
    <w:rsid w:val="008B59E6"/>
    <w:rsid w:val="008B5A9D"/>
    <w:rsid w:val="008B5F8E"/>
    <w:rsid w:val="008B62A6"/>
    <w:rsid w:val="008B62ED"/>
    <w:rsid w:val="008B66BE"/>
    <w:rsid w:val="008B66EE"/>
    <w:rsid w:val="008B6707"/>
    <w:rsid w:val="008B673B"/>
    <w:rsid w:val="008B6790"/>
    <w:rsid w:val="008B67D1"/>
    <w:rsid w:val="008B687E"/>
    <w:rsid w:val="008B6C2F"/>
    <w:rsid w:val="008B6D27"/>
    <w:rsid w:val="008B71E7"/>
    <w:rsid w:val="008B7230"/>
    <w:rsid w:val="008B7311"/>
    <w:rsid w:val="008B7508"/>
    <w:rsid w:val="008B75FE"/>
    <w:rsid w:val="008B7A03"/>
    <w:rsid w:val="008B7A3E"/>
    <w:rsid w:val="008B7AC3"/>
    <w:rsid w:val="008B7B97"/>
    <w:rsid w:val="008C0062"/>
    <w:rsid w:val="008C0280"/>
    <w:rsid w:val="008C02B9"/>
    <w:rsid w:val="008C0430"/>
    <w:rsid w:val="008C0720"/>
    <w:rsid w:val="008C0808"/>
    <w:rsid w:val="008C089A"/>
    <w:rsid w:val="008C08BE"/>
    <w:rsid w:val="008C0984"/>
    <w:rsid w:val="008C09B6"/>
    <w:rsid w:val="008C0AF4"/>
    <w:rsid w:val="008C0DC3"/>
    <w:rsid w:val="008C0DC5"/>
    <w:rsid w:val="008C0EF5"/>
    <w:rsid w:val="008C0F77"/>
    <w:rsid w:val="008C11D7"/>
    <w:rsid w:val="008C12A2"/>
    <w:rsid w:val="008C13DB"/>
    <w:rsid w:val="008C1C2B"/>
    <w:rsid w:val="008C1C3D"/>
    <w:rsid w:val="008C1E37"/>
    <w:rsid w:val="008C1EDB"/>
    <w:rsid w:val="008C227F"/>
    <w:rsid w:val="008C22B3"/>
    <w:rsid w:val="008C22FB"/>
    <w:rsid w:val="008C2314"/>
    <w:rsid w:val="008C26D7"/>
    <w:rsid w:val="008C273B"/>
    <w:rsid w:val="008C278F"/>
    <w:rsid w:val="008C2B33"/>
    <w:rsid w:val="008C2C66"/>
    <w:rsid w:val="008C2D15"/>
    <w:rsid w:val="008C2E01"/>
    <w:rsid w:val="008C2E12"/>
    <w:rsid w:val="008C3049"/>
    <w:rsid w:val="008C308D"/>
    <w:rsid w:val="008C32F4"/>
    <w:rsid w:val="008C337F"/>
    <w:rsid w:val="008C361D"/>
    <w:rsid w:val="008C3816"/>
    <w:rsid w:val="008C391E"/>
    <w:rsid w:val="008C3BDD"/>
    <w:rsid w:val="008C3DC2"/>
    <w:rsid w:val="008C413B"/>
    <w:rsid w:val="008C41AF"/>
    <w:rsid w:val="008C41B7"/>
    <w:rsid w:val="008C42CA"/>
    <w:rsid w:val="008C431B"/>
    <w:rsid w:val="008C453E"/>
    <w:rsid w:val="008C467C"/>
    <w:rsid w:val="008C46B9"/>
    <w:rsid w:val="008C46C5"/>
    <w:rsid w:val="008C46F8"/>
    <w:rsid w:val="008C4812"/>
    <w:rsid w:val="008C4B94"/>
    <w:rsid w:val="008C4BBB"/>
    <w:rsid w:val="008C4BDA"/>
    <w:rsid w:val="008C4C4F"/>
    <w:rsid w:val="008C4D2D"/>
    <w:rsid w:val="008C4DB8"/>
    <w:rsid w:val="008C5146"/>
    <w:rsid w:val="008C520F"/>
    <w:rsid w:val="008C525D"/>
    <w:rsid w:val="008C5405"/>
    <w:rsid w:val="008C54C1"/>
    <w:rsid w:val="008C58CF"/>
    <w:rsid w:val="008C6017"/>
    <w:rsid w:val="008C602C"/>
    <w:rsid w:val="008C61CA"/>
    <w:rsid w:val="008C63F9"/>
    <w:rsid w:val="008C6550"/>
    <w:rsid w:val="008C6864"/>
    <w:rsid w:val="008C68F5"/>
    <w:rsid w:val="008C6969"/>
    <w:rsid w:val="008C6E62"/>
    <w:rsid w:val="008C6F17"/>
    <w:rsid w:val="008C7030"/>
    <w:rsid w:val="008C7215"/>
    <w:rsid w:val="008C73D0"/>
    <w:rsid w:val="008C758E"/>
    <w:rsid w:val="008C7755"/>
    <w:rsid w:val="008C7902"/>
    <w:rsid w:val="008C79E2"/>
    <w:rsid w:val="008C7A0E"/>
    <w:rsid w:val="008C7AFE"/>
    <w:rsid w:val="008C7BDA"/>
    <w:rsid w:val="008C7BE2"/>
    <w:rsid w:val="008C7E4C"/>
    <w:rsid w:val="008D007B"/>
    <w:rsid w:val="008D022F"/>
    <w:rsid w:val="008D076E"/>
    <w:rsid w:val="008D0783"/>
    <w:rsid w:val="008D07B7"/>
    <w:rsid w:val="008D08A5"/>
    <w:rsid w:val="008D09F9"/>
    <w:rsid w:val="008D0B4A"/>
    <w:rsid w:val="008D0B5E"/>
    <w:rsid w:val="008D0B7B"/>
    <w:rsid w:val="008D0F05"/>
    <w:rsid w:val="008D1016"/>
    <w:rsid w:val="008D123E"/>
    <w:rsid w:val="008D1254"/>
    <w:rsid w:val="008D135F"/>
    <w:rsid w:val="008D1475"/>
    <w:rsid w:val="008D1534"/>
    <w:rsid w:val="008D15AA"/>
    <w:rsid w:val="008D1798"/>
    <w:rsid w:val="008D17DC"/>
    <w:rsid w:val="008D1963"/>
    <w:rsid w:val="008D199D"/>
    <w:rsid w:val="008D1CD5"/>
    <w:rsid w:val="008D218F"/>
    <w:rsid w:val="008D22E3"/>
    <w:rsid w:val="008D24EB"/>
    <w:rsid w:val="008D26B1"/>
    <w:rsid w:val="008D2915"/>
    <w:rsid w:val="008D2B6E"/>
    <w:rsid w:val="008D2BC6"/>
    <w:rsid w:val="008D2C15"/>
    <w:rsid w:val="008D2EA1"/>
    <w:rsid w:val="008D2F5F"/>
    <w:rsid w:val="008D311E"/>
    <w:rsid w:val="008D31D5"/>
    <w:rsid w:val="008D344F"/>
    <w:rsid w:val="008D3896"/>
    <w:rsid w:val="008D3CFF"/>
    <w:rsid w:val="008D3F6C"/>
    <w:rsid w:val="008D40B4"/>
    <w:rsid w:val="008D40F1"/>
    <w:rsid w:val="008D41FA"/>
    <w:rsid w:val="008D438A"/>
    <w:rsid w:val="008D45B7"/>
    <w:rsid w:val="008D4A6E"/>
    <w:rsid w:val="008D4A73"/>
    <w:rsid w:val="008D4AB6"/>
    <w:rsid w:val="008D4B1F"/>
    <w:rsid w:val="008D4F26"/>
    <w:rsid w:val="008D4F33"/>
    <w:rsid w:val="008D503F"/>
    <w:rsid w:val="008D5385"/>
    <w:rsid w:val="008D5694"/>
    <w:rsid w:val="008D578A"/>
    <w:rsid w:val="008D599D"/>
    <w:rsid w:val="008D5BF4"/>
    <w:rsid w:val="008D5E1C"/>
    <w:rsid w:val="008D5EC6"/>
    <w:rsid w:val="008D61FE"/>
    <w:rsid w:val="008D624A"/>
    <w:rsid w:val="008D66A0"/>
    <w:rsid w:val="008D6704"/>
    <w:rsid w:val="008D678C"/>
    <w:rsid w:val="008D67D3"/>
    <w:rsid w:val="008D67F1"/>
    <w:rsid w:val="008D680E"/>
    <w:rsid w:val="008D68A9"/>
    <w:rsid w:val="008D6965"/>
    <w:rsid w:val="008D6C92"/>
    <w:rsid w:val="008D6D5E"/>
    <w:rsid w:val="008D7075"/>
    <w:rsid w:val="008D71EE"/>
    <w:rsid w:val="008D73E4"/>
    <w:rsid w:val="008D74E4"/>
    <w:rsid w:val="008D79E2"/>
    <w:rsid w:val="008D7B03"/>
    <w:rsid w:val="008D7FA3"/>
    <w:rsid w:val="008E0040"/>
    <w:rsid w:val="008E01C2"/>
    <w:rsid w:val="008E05BC"/>
    <w:rsid w:val="008E05FF"/>
    <w:rsid w:val="008E0743"/>
    <w:rsid w:val="008E07E8"/>
    <w:rsid w:val="008E08AE"/>
    <w:rsid w:val="008E0928"/>
    <w:rsid w:val="008E0CBA"/>
    <w:rsid w:val="008E0D36"/>
    <w:rsid w:val="008E0E7D"/>
    <w:rsid w:val="008E116E"/>
    <w:rsid w:val="008E1468"/>
    <w:rsid w:val="008E14B0"/>
    <w:rsid w:val="008E18E4"/>
    <w:rsid w:val="008E1A91"/>
    <w:rsid w:val="008E1AE4"/>
    <w:rsid w:val="008E1B3F"/>
    <w:rsid w:val="008E1C17"/>
    <w:rsid w:val="008E1C2C"/>
    <w:rsid w:val="008E1C58"/>
    <w:rsid w:val="008E1CA0"/>
    <w:rsid w:val="008E1F3E"/>
    <w:rsid w:val="008E2024"/>
    <w:rsid w:val="008E2266"/>
    <w:rsid w:val="008E233D"/>
    <w:rsid w:val="008E26C0"/>
    <w:rsid w:val="008E285C"/>
    <w:rsid w:val="008E2944"/>
    <w:rsid w:val="008E29FB"/>
    <w:rsid w:val="008E2BDC"/>
    <w:rsid w:val="008E2C24"/>
    <w:rsid w:val="008E2CAD"/>
    <w:rsid w:val="008E2D53"/>
    <w:rsid w:val="008E2D64"/>
    <w:rsid w:val="008E2DB8"/>
    <w:rsid w:val="008E2EFE"/>
    <w:rsid w:val="008E33E5"/>
    <w:rsid w:val="008E34D7"/>
    <w:rsid w:val="008E36FA"/>
    <w:rsid w:val="008E3707"/>
    <w:rsid w:val="008E399A"/>
    <w:rsid w:val="008E39D2"/>
    <w:rsid w:val="008E3C18"/>
    <w:rsid w:val="008E3D83"/>
    <w:rsid w:val="008E3EED"/>
    <w:rsid w:val="008E3F37"/>
    <w:rsid w:val="008E40F0"/>
    <w:rsid w:val="008E41F4"/>
    <w:rsid w:val="008E422E"/>
    <w:rsid w:val="008E44FD"/>
    <w:rsid w:val="008E457C"/>
    <w:rsid w:val="008E482C"/>
    <w:rsid w:val="008E4902"/>
    <w:rsid w:val="008E4B03"/>
    <w:rsid w:val="008E4BA6"/>
    <w:rsid w:val="008E4BCD"/>
    <w:rsid w:val="008E4C11"/>
    <w:rsid w:val="008E4CC3"/>
    <w:rsid w:val="008E4F49"/>
    <w:rsid w:val="008E4FB9"/>
    <w:rsid w:val="008E5049"/>
    <w:rsid w:val="008E513B"/>
    <w:rsid w:val="008E524A"/>
    <w:rsid w:val="008E531B"/>
    <w:rsid w:val="008E53E5"/>
    <w:rsid w:val="008E5706"/>
    <w:rsid w:val="008E5778"/>
    <w:rsid w:val="008E588C"/>
    <w:rsid w:val="008E588E"/>
    <w:rsid w:val="008E58BD"/>
    <w:rsid w:val="008E5B09"/>
    <w:rsid w:val="008E5BA7"/>
    <w:rsid w:val="008E5C38"/>
    <w:rsid w:val="008E5F67"/>
    <w:rsid w:val="008E60AC"/>
    <w:rsid w:val="008E60EA"/>
    <w:rsid w:val="008E6164"/>
    <w:rsid w:val="008E6262"/>
    <w:rsid w:val="008E6379"/>
    <w:rsid w:val="008E63A5"/>
    <w:rsid w:val="008E63C2"/>
    <w:rsid w:val="008E63E0"/>
    <w:rsid w:val="008E67AB"/>
    <w:rsid w:val="008E6869"/>
    <w:rsid w:val="008E68BA"/>
    <w:rsid w:val="008E6D51"/>
    <w:rsid w:val="008E6F0A"/>
    <w:rsid w:val="008E709E"/>
    <w:rsid w:val="008E70A4"/>
    <w:rsid w:val="008E71FA"/>
    <w:rsid w:val="008E75B4"/>
    <w:rsid w:val="008E77EC"/>
    <w:rsid w:val="008E79FE"/>
    <w:rsid w:val="008E7A13"/>
    <w:rsid w:val="008E7C6A"/>
    <w:rsid w:val="008E7DBA"/>
    <w:rsid w:val="008E7E56"/>
    <w:rsid w:val="008E7FF3"/>
    <w:rsid w:val="008F0177"/>
    <w:rsid w:val="008F01E8"/>
    <w:rsid w:val="008F0529"/>
    <w:rsid w:val="008F0567"/>
    <w:rsid w:val="008F0569"/>
    <w:rsid w:val="008F0724"/>
    <w:rsid w:val="008F07AD"/>
    <w:rsid w:val="008F0DB9"/>
    <w:rsid w:val="008F145D"/>
    <w:rsid w:val="008F1766"/>
    <w:rsid w:val="008F17AD"/>
    <w:rsid w:val="008F1865"/>
    <w:rsid w:val="008F1A17"/>
    <w:rsid w:val="008F1AF9"/>
    <w:rsid w:val="008F1B94"/>
    <w:rsid w:val="008F1D5C"/>
    <w:rsid w:val="008F2218"/>
    <w:rsid w:val="008F233C"/>
    <w:rsid w:val="008F2584"/>
    <w:rsid w:val="008F2B7A"/>
    <w:rsid w:val="008F2BC9"/>
    <w:rsid w:val="008F2D5C"/>
    <w:rsid w:val="008F304B"/>
    <w:rsid w:val="008F30E3"/>
    <w:rsid w:val="008F317B"/>
    <w:rsid w:val="008F33EC"/>
    <w:rsid w:val="008F3473"/>
    <w:rsid w:val="008F3544"/>
    <w:rsid w:val="008F36ED"/>
    <w:rsid w:val="008F375D"/>
    <w:rsid w:val="008F39A3"/>
    <w:rsid w:val="008F3B1E"/>
    <w:rsid w:val="008F3C73"/>
    <w:rsid w:val="008F3C8A"/>
    <w:rsid w:val="008F410D"/>
    <w:rsid w:val="008F4176"/>
    <w:rsid w:val="008F41DC"/>
    <w:rsid w:val="008F4267"/>
    <w:rsid w:val="008F435B"/>
    <w:rsid w:val="008F43DC"/>
    <w:rsid w:val="008F4415"/>
    <w:rsid w:val="008F4769"/>
    <w:rsid w:val="008F47E4"/>
    <w:rsid w:val="008F498F"/>
    <w:rsid w:val="008F499C"/>
    <w:rsid w:val="008F4A4D"/>
    <w:rsid w:val="008F4AE6"/>
    <w:rsid w:val="008F4AF7"/>
    <w:rsid w:val="008F4CC5"/>
    <w:rsid w:val="008F4CF5"/>
    <w:rsid w:val="008F4DA1"/>
    <w:rsid w:val="008F4E4E"/>
    <w:rsid w:val="008F4EE4"/>
    <w:rsid w:val="008F4F25"/>
    <w:rsid w:val="008F4FB5"/>
    <w:rsid w:val="008F51D9"/>
    <w:rsid w:val="008F520E"/>
    <w:rsid w:val="008F56FB"/>
    <w:rsid w:val="008F57F1"/>
    <w:rsid w:val="008F5951"/>
    <w:rsid w:val="008F5C44"/>
    <w:rsid w:val="008F5D4D"/>
    <w:rsid w:val="008F5D5A"/>
    <w:rsid w:val="008F5DE8"/>
    <w:rsid w:val="008F5EBC"/>
    <w:rsid w:val="008F5ED3"/>
    <w:rsid w:val="008F602B"/>
    <w:rsid w:val="008F617B"/>
    <w:rsid w:val="008F632A"/>
    <w:rsid w:val="008F6763"/>
    <w:rsid w:val="008F6A11"/>
    <w:rsid w:val="008F6B3A"/>
    <w:rsid w:val="008F6EEB"/>
    <w:rsid w:val="008F701B"/>
    <w:rsid w:val="008F70F1"/>
    <w:rsid w:val="008F70FD"/>
    <w:rsid w:val="008F71EF"/>
    <w:rsid w:val="008F724B"/>
    <w:rsid w:val="008F725C"/>
    <w:rsid w:val="008F73A3"/>
    <w:rsid w:val="008F7450"/>
    <w:rsid w:val="008F75B5"/>
    <w:rsid w:val="008F75C9"/>
    <w:rsid w:val="008F7D03"/>
    <w:rsid w:val="00900193"/>
    <w:rsid w:val="00900275"/>
    <w:rsid w:val="00900418"/>
    <w:rsid w:val="00900422"/>
    <w:rsid w:val="009006CF"/>
    <w:rsid w:val="00900719"/>
    <w:rsid w:val="009007A1"/>
    <w:rsid w:val="00900CC3"/>
    <w:rsid w:val="00900D46"/>
    <w:rsid w:val="00901025"/>
    <w:rsid w:val="00901041"/>
    <w:rsid w:val="009011ED"/>
    <w:rsid w:val="00901383"/>
    <w:rsid w:val="0090142E"/>
    <w:rsid w:val="00901523"/>
    <w:rsid w:val="0090155D"/>
    <w:rsid w:val="009017EF"/>
    <w:rsid w:val="00901AFF"/>
    <w:rsid w:val="00901D62"/>
    <w:rsid w:val="00901D88"/>
    <w:rsid w:val="00902076"/>
    <w:rsid w:val="0090207A"/>
    <w:rsid w:val="00902157"/>
    <w:rsid w:val="00902182"/>
    <w:rsid w:val="00902443"/>
    <w:rsid w:val="00902547"/>
    <w:rsid w:val="00902881"/>
    <w:rsid w:val="00902CB0"/>
    <w:rsid w:val="00902E0C"/>
    <w:rsid w:val="00902FF4"/>
    <w:rsid w:val="0090308E"/>
    <w:rsid w:val="00903103"/>
    <w:rsid w:val="009033CD"/>
    <w:rsid w:val="00903763"/>
    <w:rsid w:val="009039D3"/>
    <w:rsid w:val="0090414E"/>
    <w:rsid w:val="0090437A"/>
    <w:rsid w:val="00904399"/>
    <w:rsid w:val="009043EF"/>
    <w:rsid w:val="0090446D"/>
    <w:rsid w:val="00904552"/>
    <w:rsid w:val="00904560"/>
    <w:rsid w:val="009046CD"/>
    <w:rsid w:val="00904B23"/>
    <w:rsid w:val="00904D11"/>
    <w:rsid w:val="00904DD4"/>
    <w:rsid w:val="00904E1A"/>
    <w:rsid w:val="00905078"/>
    <w:rsid w:val="0090508B"/>
    <w:rsid w:val="009051F9"/>
    <w:rsid w:val="0090531B"/>
    <w:rsid w:val="00905398"/>
    <w:rsid w:val="0090542B"/>
    <w:rsid w:val="0090543D"/>
    <w:rsid w:val="00905672"/>
    <w:rsid w:val="00905A6F"/>
    <w:rsid w:val="00905AEC"/>
    <w:rsid w:val="00905C42"/>
    <w:rsid w:val="0090605F"/>
    <w:rsid w:val="009060BD"/>
    <w:rsid w:val="00906172"/>
    <w:rsid w:val="00906189"/>
    <w:rsid w:val="00906194"/>
    <w:rsid w:val="009067F6"/>
    <w:rsid w:val="00906835"/>
    <w:rsid w:val="00906A37"/>
    <w:rsid w:val="00906B7D"/>
    <w:rsid w:val="00906CB2"/>
    <w:rsid w:val="00906E37"/>
    <w:rsid w:val="00906E5C"/>
    <w:rsid w:val="00906EE6"/>
    <w:rsid w:val="00906F42"/>
    <w:rsid w:val="009070EC"/>
    <w:rsid w:val="00907143"/>
    <w:rsid w:val="00907318"/>
    <w:rsid w:val="00907372"/>
    <w:rsid w:val="0090748A"/>
    <w:rsid w:val="00907832"/>
    <w:rsid w:val="0090792C"/>
    <w:rsid w:val="00907A9E"/>
    <w:rsid w:val="00907B80"/>
    <w:rsid w:val="00907D3B"/>
    <w:rsid w:val="00907D6C"/>
    <w:rsid w:val="00907E21"/>
    <w:rsid w:val="00907E3C"/>
    <w:rsid w:val="00907E48"/>
    <w:rsid w:val="009102A3"/>
    <w:rsid w:val="009105E8"/>
    <w:rsid w:val="009106AC"/>
    <w:rsid w:val="009106FF"/>
    <w:rsid w:val="009108AD"/>
    <w:rsid w:val="00910933"/>
    <w:rsid w:val="00910A83"/>
    <w:rsid w:val="00910C98"/>
    <w:rsid w:val="00910CE2"/>
    <w:rsid w:val="00910CF9"/>
    <w:rsid w:val="00910EC2"/>
    <w:rsid w:val="00911139"/>
    <w:rsid w:val="00911355"/>
    <w:rsid w:val="009114A3"/>
    <w:rsid w:val="009114D8"/>
    <w:rsid w:val="0091151B"/>
    <w:rsid w:val="00911685"/>
    <w:rsid w:val="0091192D"/>
    <w:rsid w:val="00911937"/>
    <w:rsid w:val="00911948"/>
    <w:rsid w:val="00911B36"/>
    <w:rsid w:val="00911B84"/>
    <w:rsid w:val="00911CEF"/>
    <w:rsid w:val="009121DA"/>
    <w:rsid w:val="0091231D"/>
    <w:rsid w:val="009125B6"/>
    <w:rsid w:val="009125C8"/>
    <w:rsid w:val="00912664"/>
    <w:rsid w:val="00912670"/>
    <w:rsid w:val="00912695"/>
    <w:rsid w:val="00912AB9"/>
    <w:rsid w:val="00912F96"/>
    <w:rsid w:val="00913053"/>
    <w:rsid w:val="00913241"/>
    <w:rsid w:val="009136B7"/>
    <w:rsid w:val="00914098"/>
    <w:rsid w:val="0091420A"/>
    <w:rsid w:val="00914278"/>
    <w:rsid w:val="009142A0"/>
    <w:rsid w:val="009142E0"/>
    <w:rsid w:val="00914820"/>
    <w:rsid w:val="00914867"/>
    <w:rsid w:val="009148BE"/>
    <w:rsid w:val="00914B1A"/>
    <w:rsid w:val="00914D0A"/>
    <w:rsid w:val="00914D36"/>
    <w:rsid w:val="00914F15"/>
    <w:rsid w:val="00914F2F"/>
    <w:rsid w:val="009154B5"/>
    <w:rsid w:val="00915536"/>
    <w:rsid w:val="009158EE"/>
    <w:rsid w:val="00915AF7"/>
    <w:rsid w:val="00915BD6"/>
    <w:rsid w:val="00915BF6"/>
    <w:rsid w:val="00915C25"/>
    <w:rsid w:val="00915C78"/>
    <w:rsid w:val="00915E41"/>
    <w:rsid w:val="00916049"/>
    <w:rsid w:val="00916242"/>
    <w:rsid w:val="009162FC"/>
    <w:rsid w:val="00916457"/>
    <w:rsid w:val="009165D9"/>
    <w:rsid w:val="009166F7"/>
    <w:rsid w:val="00916716"/>
    <w:rsid w:val="0091674F"/>
    <w:rsid w:val="00916998"/>
    <w:rsid w:val="00916C26"/>
    <w:rsid w:val="00916C3C"/>
    <w:rsid w:val="00916CDD"/>
    <w:rsid w:val="00916D18"/>
    <w:rsid w:val="00916ED9"/>
    <w:rsid w:val="00916F86"/>
    <w:rsid w:val="00917263"/>
    <w:rsid w:val="00917367"/>
    <w:rsid w:val="00917477"/>
    <w:rsid w:val="009175E9"/>
    <w:rsid w:val="00917EAA"/>
    <w:rsid w:val="0092001C"/>
    <w:rsid w:val="00920487"/>
    <w:rsid w:val="0092059E"/>
    <w:rsid w:val="00920701"/>
    <w:rsid w:val="009207E6"/>
    <w:rsid w:val="00920857"/>
    <w:rsid w:val="0092099B"/>
    <w:rsid w:val="00920AEE"/>
    <w:rsid w:val="00920B9F"/>
    <w:rsid w:val="00920BA9"/>
    <w:rsid w:val="00920BAD"/>
    <w:rsid w:val="00920D5F"/>
    <w:rsid w:val="00920E53"/>
    <w:rsid w:val="00920F05"/>
    <w:rsid w:val="00920F3E"/>
    <w:rsid w:val="009211FE"/>
    <w:rsid w:val="009213BF"/>
    <w:rsid w:val="0092145F"/>
    <w:rsid w:val="009214E8"/>
    <w:rsid w:val="00921532"/>
    <w:rsid w:val="00921752"/>
    <w:rsid w:val="00921C22"/>
    <w:rsid w:val="00921C6D"/>
    <w:rsid w:val="00921D13"/>
    <w:rsid w:val="009221AF"/>
    <w:rsid w:val="009225A2"/>
    <w:rsid w:val="009225B1"/>
    <w:rsid w:val="0092288F"/>
    <w:rsid w:val="00922892"/>
    <w:rsid w:val="009228A4"/>
    <w:rsid w:val="009229B7"/>
    <w:rsid w:val="009229BA"/>
    <w:rsid w:val="009229FA"/>
    <w:rsid w:val="00922AB5"/>
    <w:rsid w:val="00922AD5"/>
    <w:rsid w:val="00922CA9"/>
    <w:rsid w:val="00922CD6"/>
    <w:rsid w:val="00922D8A"/>
    <w:rsid w:val="00922FF7"/>
    <w:rsid w:val="0092304E"/>
    <w:rsid w:val="0092306A"/>
    <w:rsid w:val="009231D9"/>
    <w:rsid w:val="009232B4"/>
    <w:rsid w:val="00923320"/>
    <w:rsid w:val="009233BD"/>
    <w:rsid w:val="009235AC"/>
    <w:rsid w:val="009235AE"/>
    <w:rsid w:val="009238E3"/>
    <w:rsid w:val="00923A4A"/>
    <w:rsid w:val="00923BD3"/>
    <w:rsid w:val="00923FC9"/>
    <w:rsid w:val="00924013"/>
    <w:rsid w:val="00924019"/>
    <w:rsid w:val="009240C4"/>
    <w:rsid w:val="009240CC"/>
    <w:rsid w:val="00924132"/>
    <w:rsid w:val="0092459B"/>
    <w:rsid w:val="00924655"/>
    <w:rsid w:val="00924784"/>
    <w:rsid w:val="00924897"/>
    <w:rsid w:val="00924AB6"/>
    <w:rsid w:val="00924C25"/>
    <w:rsid w:val="00924CB6"/>
    <w:rsid w:val="00924F0A"/>
    <w:rsid w:val="00924F40"/>
    <w:rsid w:val="00924FD0"/>
    <w:rsid w:val="009252D9"/>
    <w:rsid w:val="0092531A"/>
    <w:rsid w:val="0092547B"/>
    <w:rsid w:val="00925547"/>
    <w:rsid w:val="009256B4"/>
    <w:rsid w:val="009259C8"/>
    <w:rsid w:val="00925A3A"/>
    <w:rsid w:val="00925A72"/>
    <w:rsid w:val="00925B18"/>
    <w:rsid w:val="00925DFA"/>
    <w:rsid w:val="00925E23"/>
    <w:rsid w:val="00925EA4"/>
    <w:rsid w:val="0092605F"/>
    <w:rsid w:val="009261C3"/>
    <w:rsid w:val="009262A4"/>
    <w:rsid w:val="009262B7"/>
    <w:rsid w:val="0092635F"/>
    <w:rsid w:val="00926433"/>
    <w:rsid w:val="009264A9"/>
    <w:rsid w:val="009264F2"/>
    <w:rsid w:val="00926517"/>
    <w:rsid w:val="009265C3"/>
    <w:rsid w:val="009265F8"/>
    <w:rsid w:val="00926AB2"/>
    <w:rsid w:val="00926DD0"/>
    <w:rsid w:val="00926E1A"/>
    <w:rsid w:val="009270CE"/>
    <w:rsid w:val="009271B8"/>
    <w:rsid w:val="009271F4"/>
    <w:rsid w:val="00927219"/>
    <w:rsid w:val="00927227"/>
    <w:rsid w:val="009275B6"/>
    <w:rsid w:val="00927827"/>
    <w:rsid w:val="009278A5"/>
    <w:rsid w:val="00927A50"/>
    <w:rsid w:val="00927AF8"/>
    <w:rsid w:val="00927BFF"/>
    <w:rsid w:val="00927C45"/>
    <w:rsid w:val="00927D08"/>
    <w:rsid w:val="00927D17"/>
    <w:rsid w:val="00927E8D"/>
    <w:rsid w:val="00930048"/>
    <w:rsid w:val="0093006E"/>
    <w:rsid w:val="0093017E"/>
    <w:rsid w:val="00930286"/>
    <w:rsid w:val="00930322"/>
    <w:rsid w:val="00930432"/>
    <w:rsid w:val="00930572"/>
    <w:rsid w:val="009306D5"/>
    <w:rsid w:val="009306F2"/>
    <w:rsid w:val="00930817"/>
    <w:rsid w:val="009309AE"/>
    <w:rsid w:val="00930B63"/>
    <w:rsid w:val="00930B92"/>
    <w:rsid w:val="00930BC6"/>
    <w:rsid w:val="00930D38"/>
    <w:rsid w:val="00930F0C"/>
    <w:rsid w:val="00930F6A"/>
    <w:rsid w:val="009310D5"/>
    <w:rsid w:val="00931174"/>
    <w:rsid w:val="0093134C"/>
    <w:rsid w:val="0093138F"/>
    <w:rsid w:val="00931423"/>
    <w:rsid w:val="00931456"/>
    <w:rsid w:val="0093153F"/>
    <w:rsid w:val="00931549"/>
    <w:rsid w:val="00931617"/>
    <w:rsid w:val="009317C9"/>
    <w:rsid w:val="00931823"/>
    <w:rsid w:val="009319CA"/>
    <w:rsid w:val="00931C46"/>
    <w:rsid w:val="00931F10"/>
    <w:rsid w:val="00932214"/>
    <w:rsid w:val="009323E0"/>
    <w:rsid w:val="0093248A"/>
    <w:rsid w:val="0093254F"/>
    <w:rsid w:val="009325AC"/>
    <w:rsid w:val="00932CB5"/>
    <w:rsid w:val="00932D50"/>
    <w:rsid w:val="0093321D"/>
    <w:rsid w:val="0093339D"/>
    <w:rsid w:val="0093344C"/>
    <w:rsid w:val="009334A8"/>
    <w:rsid w:val="009334E1"/>
    <w:rsid w:val="00933573"/>
    <w:rsid w:val="009335F1"/>
    <w:rsid w:val="00933704"/>
    <w:rsid w:val="00933726"/>
    <w:rsid w:val="00933976"/>
    <w:rsid w:val="00933D3C"/>
    <w:rsid w:val="00933F48"/>
    <w:rsid w:val="00933F5F"/>
    <w:rsid w:val="0093401B"/>
    <w:rsid w:val="00934172"/>
    <w:rsid w:val="00934708"/>
    <w:rsid w:val="009347C6"/>
    <w:rsid w:val="009347FD"/>
    <w:rsid w:val="00934A29"/>
    <w:rsid w:val="00934AC8"/>
    <w:rsid w:val="00934C00"/>
    <w:rsid w:val="00934C48"/>
    <w:rsid w:val="00934FA8"/>
    <w:rsid w:val="00934FCA"/>
    <w:rsid w:val="00935000"/>
    <w:rsid w:val="00935055"/>
    <w:rsid w:val="009351E4"/>
    <w:rsid w:val="00935272"/>
    <w:rsid w:val="009354E3"/>
    <w:rsid w:val="0093567C"/>
    <w:rsid w:val="009356A9"/>
    <w:rsid w:val="0093571E"/>
    <w:rsid w:val="009358D6"/>
    <w:rsid w:val="0093592E"/>
    <w:rsid w:val="009359DC"/>
    <w:rsid w:val="00935A1E"/>
    <w:rsid w:val="00935AF6"/>
    <w:rsid w:val="00935B41"/>
    <w:rsid w:val="00935DE9"/>
    <w:rsid w:val="00935E24"/>
    <w:rsid w:val="00936247"/>
    <w:rsid w:val="009363AC"/>
    <w:rsid w:val="00936532"/>
    <w:rsid w:val="00936665"/>
    <w:rsid w:val="009368C3"/>
    <w:rsid w:val="00936AF0"/>
    <w:rsid w:val="00936F5F"/>
    <w:rsid w:val="00937021"/>
    <w:rsid w:val="009370C0"/>
    <w:rsid w:val="00937100"/>
    <w:rsid w:val="0093710F"/>
    <w:rsid w:val="009371CE"/>
    <w:rsid w:val="00937239"/>
    <w:rsid w:val="0093727D"/>
    <w:rsid w:val="009373E5"/>
    <w:rsid w:val="009373F1"/>
    <w:rsid w:val="009374C8"/>
    <w:rsid w:val="009375E8"/>
    <w:rsid w:val="009376D2"/>
    <w:rsid w:val="0093793C"/>
    <w:rsid w:val="00937D41"/>
    <w:rsid w:val="00937E26"/>
    <w:rsid w:val="00937ECC"/>
    <w:rsid w:val="0094001A"/>
    <w:rsid w:val="0094005B"/>
    <w:rsid w:val="00940141"/>
    <w:rsid w:val="0094022E"/>
    <w:rsid w:val="00940CD2"/>
    <w:rsid w:val="00940D90"/>
    <w:rsid w:val="00940DDC"/>
    <w:rsid w:val="00940E06"/>
    <w:rsid w:val="00940E1E"/>
    <w:rsid w:val="00940E23"/>
    <w:rsid w:val="00940E47"/>
    <w:rsid w:val="00940E55"/>
    <w:rsid w:val="00940EA4"/>
    <w:rsid w:val="00940FD8"/>
    <w:rsid w:val="0094102D"/>
    <w:rsid w:val="00941045"/>
    <w:rsid w:val="00941206"/>
    <w:rsid w:val="00941328"/>
    <w:rsid w:val="00941368"/>
    <w:rsid w:val="00941432"/>
    <w:rsid w:val="0094144E"/>
    <w:rsid w:val="009415B2"/>
    <w:rsid w:val="0094165A"/>
    <w:rsid w:val="009418CD"/>
    <w:rsid w:val="00941A12"/>
    <w:rsid w:val="00941BF5"/>
    <w:rsid w:val="00941CC7"/>
    <w:rsid w:val="00941D0D"/>
    <w:rsid w:val="00941DE3"/>
    <w:rsid w:val="00941E90"/>
    <w:rsid w:val="0094203C"/>
    <w:rsid w:val="009420C8"/>
    <w:rsid w:val="00942110"/>
    <w:rsid w:val="009423A6"/>
    <w:rsid w:val="0094260F"/>
    <w:rsid w:val="0094263B"/>
    <w:rsid w:val="0094266A"/>
    <w:rsid w:val="009426CA"/>
    <w:rsid w:val="00942AFC"/>
    <w:rsid w:val="00942CFE"/>
    <w:rsid w:val="00942D49"/>
    <w:rsid w:val="00942D6B"/>
    <w:rsid w:val="00942F33"/>
    <w:rsid w:val="00942FB5"/>
    <w:rsid w:val="0094310E"/>
    <w:rsid w:val="00943569"/>
    <w:rsid w:val="00943616"/>
    <w:rsid w:val="009436FC"/>
    <w:rsid w:val="0094393F"/>
    <w:rsid w:val="00943B4A"/>
    <w:rsid w:val="00943C75"/>
    <w:rsid w:val="00943CBF"/>
    <w:rsid w:val="00943D78"/>
    <w:rsid w:val="009444C7"/>
    <w:rsid w:val="0094450D"/>
    <w:rsid w:val="00944602"/>
    <w:rsid w:val="009446CE"/>
    <w:rsid w:val="00944703"/>
    <w:rsid w:val="009447A7"/>
    <w:rsid w:val="00944968"/>
    <w:rsid w:val="00944A8E"/>
    <w:rsid w:val="00944CF7"/>
    <w:rsid w:val="009452F4"/>
    <w:rsid w:val="00945411"/>
    <w:rsid w:val="00945418"/>
    <w:rsid w:val="009455C1"/>
    <w:rsid w:val="00945680"/>
    <w:rsid w:val="00945825"/>
    <w:rsid w:val="009459DD"/>
    <w:rsid w:val="009459E1"/>
    <w:rsid w:val="00945D92"/>
    <w:rsid w:val="00945E1E"/>
    <w:rsid w:val="00945E99"/>
    <w:rsid w:val="00945F76"/>
    <w:rsid w:val="00945FA2"/>
    <w:rsid w:val="00945FD2"/>
    <w:rsid w:val="00946031"/>
    <w:rsid w:val="00946124"/>
    <w:rsid w:val="009461BF"/>
    <w:rsid w:val="0094662D"/>
    <w:rsid w:val="0094682B"/>
    <w:rsid w:val="00946B48"/>
    <w:rsid w:val="00946BAC"/>
    <w:rsid w:val="00946C86"/>
    <w:rsid w:val="00946DCF"/>
    <w:rsid w:val="00946E85"/>
    <w:rsid w:val="00947060"/>
    <w:rsid w:val="009470BE"/>
    <w:rsid w:val="009472B7"/>
    <w:rsid w:val="00947A38"/>
    <w:rsid w:val="00947D19"/>
    <w:rsid w:val="00950163"/>
    <w:rsid w:val="00950282"/>
    <w:rsid w:val="00950299"/>
    <w:rsid w:val="009502E2"/>
    <w:rsid w:val="0095040F"/>
    <w:rsid w:val="00950690"/>
    <w:rsid w:val="0095091A"/>
    <w:rsid w:val="00950ACB"/>
    <w:rsid w:val="00950B60"/>
    <w:rsid w:val="00950CE8"/>
    <w:rsid w:val="00950D09"/>
    <w:rsid w:val="00951070"/>
    <w:rsid w:val="0095128E"/>
    <w:rsid w:val="009512D9"/>
    <w:rsid w:val="00951322"/>
    <w:rsid w:val="0095142B"/>
    <w:rsid w:val="00951584"/>
    <w:rsid w:val="00951BB4"/>
    <w:rsid w:val="00951D41"/>
    <w:rsid w:val="00952004"/>
    <w:rsid w:val="0095205E"/>
    <w:rsid w:val="009520AF"/>
    <w:rsid w:val="00952259"/>
    <w:rsid w:val="0095226D"/>
    <w:rsid w:val="00952333"/>
    <w:rsid w:val="00952600"/>
    <w:rsid w:val="009529C8"/>
    <w:rsid w:val="00952B51"/>
    <w:rsid w:val="00952E9A"/>
    <w:rsid w:val="00952EC5"/>
    <w:rsid w:val="009533E1"/>
    <w:rsid w:val="00953451"/>
    <w:rsid w:val="009535E4"/>
    <w:rsid w:val="00953750"/>
    <w:rsid w:val="00953982"/>
    <w:rsid w:val="00953A0E"/>
    <w:rsid w:val="00953B98"/>
    <w:rsid w:val="00953D3D"/>
    <w:rsid w:val="00953D72"/>
    <w:rsid w:val="00953E1E"/>
    <w:rsid w:val="00953E4E"/>
    <w:rsid w:val="00953F45"/>
    <w:rsid w:val="00954113"/>
    <w:rsid w:val="00954124"/>
    <w:rsid w:val="00954156"/>
    <w:rsid w:val="009541EA"/>
    <w:rsid w:val="00954416"/>
    <w:rsid w:val="009546EC"/>
    <w:rsid w:val="00954743"/>
    <w:rsid w:val="00954776"/>
    <w:rsid w:val="00954846"/>
    <w:rsid w:val="00954ACB"/>
    <w:rsid w:val="00954E6C"/>
    <w:rsid w:val="00954F11"/>
    <w:rsid w:val="00954F19"/>
    <w:rsid w:val="00955141"/>
    <w:rsid w:val="009551BC"/>
    <w:rsid w:val="0095538F"/>
    <w:rsid w:val="009556F5"/>
    <w:rsid w:val="00955718"/>
    <w:rsid w:val="0095574E"/>
    <w:rsid w:val="009557D2"/>
    <w:rsid w:val="009557FB"/>
    <w:rsid w:val="00955833"/>
    <w:rsid w:val="00955BBA"/>
    <w:rsid w:val="00955C6B"/>
    <w:rsid w:val="00955C95"/>
    <w:rsid w:val="00955CCD"/>
    <w:rsid w:val="00955D57"/>
    <w:rsid w:val="00955E56"/>
    <w:rsid w:val="00955EC7"/>
    <w:rsid w:val="00956075"/>
    <w:rsid w:val="0095630A"/>
    <w:rsid w:val="00956346"/>
    <w:rsid w:val="00956379"/>
    <w:rsid w:val="0095640F"/>
    <w:rsid w:val="009564E9"/>
    <w:rsid w:val="009565D5"/>
    <w:rsid w:val="009567BC"/>
    <w:rsid w:val="009568F5"/>
    <w:rsid w:val="009568FD"/>
    <w:rsid w:val="00956996"/>
    <w:rsid w:val="00956A2C"/>
    <w:rsid w:val="00956AE1"/>
    <w:rsid w:val="00956E98"/>
    <w:rsid w:val="00956E9E"/>
    <w:rsid w:val="00956EAA"/>
    <w:rsid w:val="00956FF4"/>
    <w:rsid w:val="00957048"/>
    <w:rsid w:val="009570A4"/>
    <w:rsid w:val="009572D0"/>
    <w:rsid w:val="009573E7"/>
    <w:rsid w:val="009574E7"/>
    <w:rsid w:val="009576DA"/>
    <w:rsid w:val="009576E1"/>
    <w:rsid w:val="009577DA"/>
    <w:rsid w:val="009577EA"/>
    <w:rsid w:val="00957812"/>
    <w:rsid w:val="009578CF"/>
    <w:rsid w:val="00957A7A"/>
    <w:rsid w:val="00957BAC"/>
    <w:rsid w:val="00957DDD"/>
    <w:rsid w:val="00957FDF"/>
    <w:rsid w:val="0096023A"/>
    <w:rsid w:val="00960249"/>
    <w:rsid w:val="0096025F"/>
    <w:rsid w:val="0096043C"/>
    <w:rsid w:val="00960683"/>
    <w:rsid w:val="0096070B"/>
    <w:rsid w:val="009607F7"/>
    <w:rsid w:val="00960850"/>
    <w:rsid w:val="00960AF0"/>
    <w:rsid w:val="00960CCD"/>
    <w:rsid w:val="00960F13"/>
    <w:rsid w:val="00960F76"/>
    <w:rsid w:val="00960F7C"/>
    <w:rsid w:val="00961007"/>
    <w:rsid w:val="00961114"/>
    <w:rsid w:val="009611D0"/>
    <w:rsid w:val="00961204"/>
    <w:rsid w:val="0096123F"/>
    <w:rsid w:val="009614B0"/>
    <w:rsid w:val="00961516"/>
    <w:rsid w:val="0096168D"/>
    <w:rsid w:val="0096180B"/>
    <w:rsid w:val="00961811"/>
    <w:rsid w:val="009618C3"/>
    <w:rsid w:val="00961919"/>
    <w:rsid w:val="00961AED"/>
    <w:rsid w:val="00961B6B"/>
    <w:rsid w:val="00961B9B"/>
    <w:rsid w:val="00961BC9"/>
    <w:rsid w:val="00961C03"/>
    <w:rsid w:val="00961CA5"/>
    <w:rsid w:val="00962305"/>
    <w:rsid w:val="00962321"/>
    <w:rsid w:val="0096235D"/>
    <w:rsid w:val="009623CE"/>
    <w:rsid w:val="0096245D"/>
    <w:rsid w:val="0096269A"/>
    <w:rsid w:val="00962A4F"/>
    <w:rsid w:val="00962BBE"/>
    <w:rsid w:val="00962BF1"/>
    <w:rsid w:val="00962E4D"/>
    <w:rsid w:val="009630E8"/>
    <w:rsid w:val="00963117"/>
    <w:rsid w:val="00963183"/>
    <w:rsid w:val="0096318F"/>
    <w:rsid w:val="009632DA"/>
    <w:rsid w:val="009634C9"/>
    <w:rsid w:val="009636E6"/>
    <w:rsid w:val="00963833"/>
    <w:rsid w:val="00963836"/>
    <w:rsid w:val="0096388E"/>
    <w:rsid w:val="00963B2E"/>
    <w:rsid w:val="00963BEB"/>
    <w:rsid w:val="00963E09"/>
    <w:rsid w:val="00963F1E"/>
    <w:rsid w:val="00964012"/>
    <w:rsid w:val="00964088"/>
    <w:rsid w:val="009642C5"/>
    <w:rsid w:val="00964324"/>
    <w:rsid w:val="0096479F"/>
    <w:rsid w:val="009647BC"/>
    <w:rsid w:val="00964AE8"/>
    <w:rsid w:val="00964C2A"/>
    <w:rsid w:val="00964C45"/>
    <w:rsid w:val="00964D23"/>
    <w:rsid w:val="00964F0A"/>
    <w:rsid w:val="00964F2C"/>
    <w:rsid w:val="00964FCF"/>
    <w:rsid w:val="00965266"/>
    <w:rsid w:val="0096530D"/>
    <w:rsid w:val="00965500"/>
    <w:rsid w:val="00965A6C"/>
    <w:rsid w:val="00965AB4"/>
    <w:rsid w:val="00965C69"/>
    <w:rsid w:val="009660E7"/>
    <w:rsid w:val="0096613F"/>
    <w:rsid w:val="00966263"/>
    <w:rsid w:val="00966329"/>
    <w:rsid w:val="0096638A"/>
    <w:rsid w:val="0096646F"/>
    <w:rsid w:val="00966520"/>
    <w:rsid w:val="0096655D"/>
    <w:rsid w:val="0096694F"/>
    <w:rsid w:val="009669AE"/>
    <w:rsid w:val="00966A1B"/>
    <w:rsid w:val="00966A7B"/>
    <w:rsid w:val="00966CF6"/>
    <w:rsid w:val="00966E75"/>
    <w:rsid w:val="00966EE4"/>
    <w:rsid w:val="00966F76"/>
    <w:rsid w:val="00967208"/>
    <w:rsid w:val="00967604"/>
    <w:rsid w:val="009678AB"/>
    <w:rsid w:val="00967962"/>
    <w:rsid w:val="00967A0F"/>
    <w:rsid w:val="00967C0B"/>
    <w:rsid w:val="00967C38"/>
    <w:rsid w:val="00967CE6"/>
    <w:rsid w:val="009700B8"/>
    <w:rsid w:val="00970156"/>
    <w:rsid w:val="0097018F"/>
    <w:rsid w:val="00970667"/>
    <w:rsid w:val="009707C3"/>
    <w:rsid w:val="00970821"/>
    <w:rsid w:val="009709B3"/>
    <w:rsid w:val="009709EF"/>
    <w:rsid w:val="00970ABC"/>
    <w:rsid w:val="00970B24"/>
    <w:rsid w:val="00970C60"/>
    <w:rsid w:val="00970C9B"/>
    <w:rsid w:val="0097103D"/>
    <w:rsid w:val="009710F6"/>
    <w:rsid w:val="0097123F"/>
    <w:rsid w:val="009713F4"/>
    <w:rsid w:val="00971403"/>
    <w:rsid w:val="009716F4"/>
    <w:rsid w:val="00971718"/>
    <w:rsid w:val="00971855"/>
    <w:rsid w:val="009718DF"/>
    <w:rsid w:val="00971BB3"/>
    <w:rsid w:val="00971E55"/>
    <w:rsid w:val="00971FC7"/>
    <w:rsid w:val="00971FED"/>
    <w:rsid w:val="009720AC"/>
    <w:rsid w:val="0097213B"/>
    <w:rsid w:val="00972141"/>
    <w:rsid w:val="00972388"/>
    <w:rsid w:val="009723D8"/>
    <w:rsid w:val="00972520"/>
    <w:rsid w:val="00972980"/>
    <w:rsid w:val="00972994"/>
    <w:rsid w:val="00972ABC"/>
    <w:rsid w:val="00972C40"/>
    <w:rsid w:val="00972C8A"/>
    <w:rsid w:val="00972D70"/>
    <w:rsid w:val="00972E7C"/>
    <w:rsid w:val="00973702"/>
    <w:rsid w:val="00973740"/>
    <w:rsid w:val="00973859"/>
    <w:rsid w:val="00973B3B"/>
    <w:rsid w:val="00973B61"/>
    <w:rsid w:val="00973B97"/>
    <w:rsid w:val="00973ECA"/>
    <w:rsid w:val="00974062"/>
    <w:rsid w:val="009740AD"/>
    <w:rsid w:val="009741BE"/>
    <w:rsid w:val="009741ED"/>
    <w:rsid w:val="0097429B"/>
    <w:rsid w:val="009742DC"/>
    <w:rsid w:val="0097440C"/>
    <w:rsid w:val="009744CC"/>
    <w:rsid w:val="00974537"/>
    <w:rsid w:val="009745EC"/>
    <w:rsid w:val="009746B8"/>
    <w:rsid w:val="0097490E"/>
    <w:rsid w:val="0097494C"/>
    <w:rsid w:val="00974AD7"/>
    <w:rsid w:val="00974BE8"/>
    <w:rsid w:val="00974C9C"/>
    <w:rsid w:val="00974CE6"/>
    <w:rsid w:val="00974D85"/>
    <w:rsid w:val="00974E1D"/>
    <w:rsid w:val="009752A2"/>
    <w:rsid w:val="009753C6"/>
    <w:rsid w:val="009753FC"/>
    <w:rsid w:val="009756D4"/>
    <w:rsid w:val="00975702"/>
    <w:rsid w:val="00975970"/>
    <w:rsid w:val="00975985"/>
    <w:rsid w:val="00975A5A"/>
    <w:rsid w:val="00975B45"/>
    <w:rsid w:val="00975CFD"/>
    <w:rsid w:val="00975F7B"/>
    <w:rsid w:val="009760AD"/>
    <w:rsid w:val="009760F9"/>
    <w:rsid w:val="00976318"/>
    <w:rsid w:val="00976374"/>
    <w:rsid w:val="009763CD"/>
    <w:rsid w:val="009763FA"/>
    <w:rsid w:val="0097646C"/>
    <w:rsid w:val="00976543"/>
    <w:rsid w:val="0097658E"/>
    <w:rsid w:val="00976818"/>
    <w:rsid w:val="0097684B"/>
    <w:rsid w:val="00976944"/>
    <w:rsid w:val="00976A0B"/>
    <w:rsid w:val="00976C88"/>
    <w:rsid w:val="00976D64"/>
    <w:rsid w:val="00976EEC"/>
    <w:rsid w:val="00976F16"/>
    <w:rsid w:val="00977069"/>
    <w:rsid w:val="0097707C"/>
    <w:rsid w:val="009770B1"/>
    <w:rsid w:val="00977207"/>
    <w:rsid w:val="009772AB"/>
    <w:rsid w:val="00977344"/>
    <w:rsid w:val="009773AD"/>
    <w:rsid w:val="009773FE"/>
    <w:rsid w:val="00977464"/>
    <w:rsid w:val="009774F5"/>
    <w:rsid w:val="009779D1"/>
    <w:rsid w:val="00977B66"/>
    <w:rsid w:val="00977D82"/>
    <w:rsid w:val="00977EB2"/>
    <w:rsid w:val="00977F0C"/>
    <w:rsid w:val="00977FFA"/>
    <w:rsid w:val="0098001E"/>
    <w:rsid w:val="00980057"/>
    <w:rsid w:val="009801B2"/>
    <w:rsid w:val="009802B5"/>
    <w:rsid w:val="009802E4"/>
    <w:rsid w:val="009803BD"/>
    <w:rsid w:val="00980614"/>
    <w:rsid w:val="0098083E"/>
    <w:rsid w:val="0098087E"/>
    <w:rsid w:val="00980897"/>
    <w:rsid w:val="00980A92"/>
    <w:rsid w:val="00980CA8"/>
    <w:rsid w:val="00980FE2"/>
    <w:rsid w:val="00981057"/>
    <w:rsid w:val="009810DA"/>
    <w:rsid w:val="00981544"/>
    <w:rsid w:val="009815B6"/>
    <w:rsid w:val="009815BE"/>
    <w:rsid w:val="0098168A"/>
    <w:rsid w:val="009816D6"/>
    <w:rsid w:val="009817F9"/>
    <w:rsid w:val="00981829"/>
    <w:rsid w:val="0098182E"/>
    <w:rsid w:val="00981A03"/>
    <w:rsid w:val="00981A8F"/>
    <w:rsid w:val="00981AEC"/>
    <w:rsid w:val="00981C40"/>
    <w:rsid w:val="00981C58"/>
    <w:rsid w:val="00981E00"/>
    <w:rsid w:val="00981E14"/>
    <w:rsid w:val="009820E6"/>
    <w:rsid w:val="009822E4"/>
    <w:rsid w:val="0098232E"/>
    <w:rsid w:val="00982579"/>
    <w:rsid w:val="00982694"/>
    <w:rsid w:val="009828F3"/>
    <w:rsid w:val="009829DC"/>
    <w:rsid w:val="00982BB2"/>
    <w:rsid w:val="00982F37"/>
    <w:rsid w:val="00983142"/>
    <w:rsid w:val="0098315F"/>
    <w:rsid w:val="009832CD"/>
    <w:rsid w:val="0098342C"/>
    <w:rsid w:val="0098346D"/>
    <w:rsid w:val="009834A7"/>
    <w:rsid w:val="009836E2"/>
    <w:rsid w:val="00983A26"/>
    <w:rsid w:val="00983BC8"/>
    <w:rsid w:val="00983C7F"/>
    <w:rsid w:val="00983D79"/>
    <w:rsid w:val="00983DDC"/>
    <w:rsid w:val="009841EB"/>
    <w:rsid w:val="0098425A"/>
    <w:rsid w:val="0098425C"/>
    <w:rsid w:val="00984327"/>
    <w:rsid w:val="009843B8"/>
    <w:rsid w:val="0098463E"/>
    <w:rsid w:val="00984737"/>
    <w:rsid w:val="00984856"/>
    <w:rsid w:val="00984AFD"/>
    <w:rsid w:val="00984BFA"/>
    <w:rsid w:val="00984FEE"/>
    <w:rsid w:val="009852DB"/>
    <w:rsid w:val="00985D06"/>
    <w:rsid w:val="00986188"/>
    <w:rsid w:val="0098618D"/>
    <w:rsid w:val="00986336"/>
    <w:rsid w:val="0098643E"/>
    <w:rsid w:val="009864C7"/>
    <w:rsid w:val="009865D6"/>
    <w:rsid w:val="00986704"/>
    <w:rsid w:val="009867EE"/>
    <w:rsid w:val="00986A60"/>
    <w:rsid w:val="00986BD8"/>
    <w:rsid w:val="00986C58"/>
    <w:rsid w:val="00986D11"/>
    <w:rsid w:val="00987018"/>
    <w:rsid w:val="0098706F"/>
    <w:rsid w:val="009870CE"/>
    <w:rsid w:val="0098714D"/>
    <w:rsid w:val="0098738E"/>
    <w:rsid w:val="009873FB"/>
    <w:rsid w:val="00987735"/>
    <w:rsid w:val="0098776B"/>
    <w:rsid w:val="009878A7"/>
    <w:rsid w:val="009879B1"/>
    <w:rsid w:val="00987B74"/>
    <w:rsid w:val="00987D46"/>
    <w:rsid w:val="00987EC5"/>
    <w:rsid w:val="00990372"/>
    <w:rsid w:val="00990424"/>
    <w:rsid w:val="0099058E"/>
    <w:rsid w:val="00990680"/>
    <w:rsid w:val="00990985"/>
    <w:rsid w:val="00990A1D"/>
    <w:rsid w:val="00990DA7"/>
    <w:rsid w:val="00990EF8"/>
    <w:rsid w:val="0099132A"/>
    <w:rsid w:val="0099133A"/>
    <w:rsid w:val="00991567"/>
    <w:rsid w:val="009915E0"/>
    <w:rsid w:val="00991889"/>
    <w:rsid w:val="0099192D"/>
    <w:rsid w:val="009919E8"/>
    <w:rsid w:val="00991C92"/>
    <w:rsid w:val="00991D04"/>
    <w:rsid w:val="009920DD"/>
    <w:rsid w:val="0099250D"/>
    <w:rsid w:val="00992580"/>
    <w:rsid w:val="009925A9"/>
    <w:rsid w:val="009926D9"/>
    <w:rsid w:val="00992825"/>
    <w:rsid w:val="00992A76"/>
    <w:rsid w:val="00992CC1"/>
    <w:rsid w:val="00992F67"/>
    <w:rsid w:val="00992FA7"/>
    <w:rsid w:val="009932AD"/>
    <w:rsid w:val="009933FD"/>
    <w:rsid w:val="0099350F"/>
    <w:rsid w:val="00993669"/>
    <w:rsid w:val="009936A9"/>
    <w:rsid w:val="0099383A"/>
    <w:rsid w:val="00993AD6"/>
    <w:rsid w:val="00993C6F"/>
    <w:rsid w:val="00993FC5"/>
    <w:rsid w:val="009941C5"/>
    <w:rsid w:val="009942BD"/>
    <w:rsid w:val="009942FC"/>
    <w:rsid w:val="00994364"/>
    <w:rsid w:val="00994490"/>
    <w:rsid w:val="00994598"/>
    <w:rsid w:val="009945A7"/>
    <w:rsid w:val="009946C3"/>
    <w:rsid w:val="009946E2"/>
    <w:rsid w:val="0099470D"/>
    <w:rsid w:val="0099472F"/>
    <w:rsid w:val="00994841"/>
    <w:rsid w:val="009948AA"/>
    <w:rsid w:val="00994958"/>
    <w:rsid w:val="009949B8"/>
    <w:rsid w:val="009949D8"/>
    <w:rsid w:val="00994C37"/>
    <w:rsid w:val="00994D2D"/>
    <w:rsid w:val="00994D6E"/>
    <w:rsid w:val="009950D8"/>
    <w:rsid w:val="0099536E"/>
    <w:rsid w:val="00995397"/>
    <w:rsid w:val="009953B3"/>
    <w:rsid w:val="00995599"/>
    <w:rsid w:val="00995A20"/>
    <w:rsid w:val="00995ABC"/>
    <w:rsid w:val="00995DA5"/>
    <w:rsid w:val="00995E84"/>
    <w:rsid w:val="00996023"/>
    <w:rsid w:val="009965E2"/>
    <w:rsid w:val="0099681D"/>
    <w:rsid w:val="009969B0"/>
    <w:rsid w:val="00996AB7"/>
    <w:rsid w:val="00996D2D"/>
    <w:rsid w:val="00996EEF"/>
    <w:rsid w:val="00997273"/>
    <w:rsid w:val="009974BE"/>
    <w:rsid w:val="009A023E"/>
    <w:rsid w:val="009A0253"/>
    <w:rsid w:val="009A0293"/>
    <w:rsid w:val="009A03AC"/>
    <w:rsid w:val="009A04B8"/>
    <w:rsid w:val="009A05E2"/>
    <w:rsid w:val="009A089F"/>
    <w:rsid w:val="009A0ACE"/>
    <w:rsid w:val="009A0AF8"/>
    <w:rsid w:val="009A0CDD"/>
    <w:rsid w:val="009A0EAC"/>
    <w:rsid w:val="009A0F9E"/>
    <w:rsid w:val="009A13AC"/>
    <w:rsid w:val="009A1435"/>
    <w:rsid w:val="009A14DB"/>
    <w:rsid w:val="009A1546"/>
    <w:rsid w:val="009A1719"/>
    <w:rsid w:val="009A17C7"/>
    <w:rsid w:val="009A1863"/>
    <w:rsid w:val="009A1AB8"/>
    <w:rsid w:val="009A1BD3"/>
    <w:rsid w:val="009A1E9B"/>
    <w:rsid w:val="009A1F53"/>
    <w:rsid w:val="009A21DF"/>
    <w:rsid w:val="009A22A3"/>
    <w:rsid w:val="009A2323"/>
    <w:rsid w:val="009A2399"/>
    <w:rsid w:val="009A23D2"/>
    <w:rsid w:val="009A254A"/>
    <w:rsid w:val="009A2790"/>
    <w:rsid w:val="009A27BC"/>
    <w:rsid w:val="009A2B28"/>
    <w:rsid w:val="009A2B42"/>
    <w:rsid w:val="009A2C19"/>
    <w:rsid w:val="009A2C53"/>
    <w:rsid w:val="009A2E25"/>
    <w:rsid w:val="009A3119"/>
    <w:rsid w:val="009A3238"/>
    <w:rsid w:val="009A33C4"/>
    <w:rsid w:val="009A33CB"/>
    <w:rsid w:val="009A3645"/>
    <w:rsid w:val="009A3680"/>
    <w:rsid w:val="009A37C1"/>
    <w:rsid w:val="009A37EF"/>
    <w:rsid w:val="009A386B"/>
    <w:rsid w:val="009A39E5"/>
    <w:rsid w:val="009A3A17"/>
    <w:rsid w:val="009A3B08"/>
    <w:rsid w:val="009A3D7C"/>
    <w:rsid w:val="009A3E4D"/>
    <w:rsid w:val="009A3F8D"/>
    <w:rsid w:val="009A4090"/>
    <w:rsid w:val="009A426A"/>
    <w:rsid w:val="009A4313"/>
    <w:rsid w:val="009A448F"/>
    <w:rsid w:val="009A4704"/>
    <w:rsid w:val="009A491C"/>
    <w:rsid w:val="009A4977"/>
    <w:rsid w:val="009A4C4A"/>
    <w:rsid w:val="009A4C56"/>
    <w:rsid w:val="009A4D43"/>
    <w:rsid w:val="009A5114"/>
    <w:rsid w:val="009A5206"/>
    <w:rsid w:val="009A5291"/>
    <w:rsid w:val="009A5389"/>
    <w:rsid w:val="009A53BD"/>
    <w:rsid w:val="009A53F8"/>
    <w:rsid w:val="009A5502"/>
    <w:rsid w:val="009A5604"/>
    <w:rsid w:val="009A5689"/>
    <w:rsid w:val="009A5738"/>
    <w:rsid w:val="009A5779"/>
    <w:rsid w:val="009A58F3"/>
    <w:rsid w:val="009A5963"/>
    <w:rsid w:val="009A5A8B"/>
    <w:rsid w:val="009A5CA7"/>
    <w:rsid w:val="009A5EDC"/>
    <w:rsid w:val="009A61A2"/>
    <w:rsid w:val="009A61EB"/>
    <w:rsid w:val="009A622E"/>
    <w:rsid w:val="009A639A"/>
    <w:rsid w:val="009A656B"/>
    <w:rsid w:val="009A6A45"/>
    <w:rsid w:val="009A6A8C"/>
    <w:rsid w:val="009A6B7B"/>
    <w:rsid w:val="009A6DBC"/>
    <w:rsid w:val="009A6E39"/>
    <w:rsid w:val="009A7020"/>
    <w:rsid w:val="009A7068"/>
    <w:rsid w:val="009A7331"/>
    <w:rsid w:val="009A73D6"/>
    <w:rsid w:val="009A7791"/>
    <w:rsid w:val="009A77C4"/>
    <w:rsid w:val="009A793F"/>
    <w:rsid w:val="009A7AA0"/>
    <w:rsid w:val="009A7AA6"/>
    <w:rsid w:val="009A7C31"/>
    <w:rsid w:val="009A7C46"/>
    <w:rsid w:val="009A7D14"/>
    <w:rsid w:val="009A7D35"/>
    <w:rsid w:val="009A7D5B"/>
    <w:rsid w:val="009A7DB8"/>
    <w:rsid w:val="009A7ED3"/>
    <w:rsid w:val="009A7EE9"/>
    <w:rsid w:val="009A7F26"/>
    <w:rsid w:val="009B018F"/>
    <w:rsid w:val="009B05EF"/>
    <w:rsid w:val="009B0745"/>
    <w:rsid w:val="009B0843"/>
    <w:rsid w:val="009B0A48"/>
    <w:rsid w:val="009B0A64"/>
    <w:rsid w:val="009B0D28"/>
    <w:rsid w:val="009B0DAE"/>
    <w:rsid w:val="009B0E90"/>
    <w:rsid w:val="009B0EC0"/>
    <w:rsid w:val="009B0F5F"/>
    <w:rsid w:val="009B0F71"/>
    <w:rsid w:val="009B115F"/>
    <w:rsid w:val="009B1212"/>
    <w:rsid w:val="009B12AC"/>
    <w:rsid w:val="009B1326"/>
    <w:rsid w:val="009B1327"/>
    <w:rsid w:val="009B1445"/>
    <w:rsid w:val="009B15B8"/>
    <w:rsid w:val="009B1A8B"/>
    <w:rsid w:val="009B1B06"/>
    <w:rsid w:val="009B1E28"/>
    <w:rsid w:val="009B208A"/>
    <w:rsid w:val="009B2231"/>
    <w:rsid w:val="009B2375"/>
    <w:rsid w:val="009B2648"/>
    <w:rsid w:val="009B28D9"/>
    <w:rsid w:val="009B2A27"/>
    <w:rsid w:val="009B2AB3"/>
    <w:rsid w:val="009B2AE2"/>
    <w:rsid w:val="009B2B9C"/>
    <w:rsid w:val="009B2BB7"/>
    <w:rsid w:val="009B2CE3"/>
    <w:rsid w:val="009B2DC0"/>
    <w:rsid w:val="009B2FDB"/>
    <w:rsid w:val="009B3113"/>
    <w:rsid w:val="009B314F"/>
    <w:rsid w:val="009B3296"/>
    <w:rsid w:val="009B3575"/>
    <w:rsid w:val="009B35D5"/>
    <w:rsid w:val="009B36B4"/>
    <w:rsid w:val="009B37F4"/>
    <w:rsid w:val="009B3853"/>
    <w:rsid w:val="009B3893"/>
    <w:rsid w:val="009B3A0D"/>
    <w:rsid w:val="009B3A5B"/>
    <w:rsid w:val="009B3C64"/>
    <w:rsid w:val="009B3F0D"/>
    <w:rsid w:val="009B3FD0"/>
    <w:rsid w:val="009B41F3"/>
    <w:rsid w:val="009B4273"/>
    <w:rsid w:val="009B430A"/>
    <w:rsid w:val="009B43FF"/>
    <w:rsid w:val="009B4761"/>
    <w:rsid w:val="009B4837"/>
    <w:rsid w:val="009B497F"/>
    <w:rsid w:val="009B49B4"/>
    <w:rsid w:val="009B4AFC"/>
    <w:rsid w:val="009B4BE3"/>
    <w:rsid w:val="009B4C09"/>
    <w:rsid w:val="009B4E79"/>
    <w:rsid w:val="009B50C1"/>
    <w:rsid w:val="009B52AB"/>
    <w:rsid w:val="009B5440"/>
    <w:rsid w:val="009B5443"/>
    <w:rsid w:val="009B5649"/>
    <w:rsid w:val="009B5806"/>
    <w:rsid w:val="009B586D"/>
    <w:rsid w:val="009B5D0F"/>
    <w:rsid w:val="009B5D99"/>
    <w:rsid w:val="009B5E38"/>
    <w:rsid w:val="009B6031"/>
    <w:rsid w:val="009B614A"/>
    <w:rsid w:val="009B61B1"/>
    <w:rsid w:val="009B6504"/>
    <w:rsid w:val="009B68E8"/>
    <w:rsid w:val="009B73C3"/>
    <w:rsid w:val="009B741D"/>
    <w:rsid w:val="009B75D2"/>
    <w:rsid w:val="009B760F"/>
    <w:rsid w:val="009B7797"/>
    <w:rsid w:val="009B7AD9"/>
    <w:rsid w:val="009B7C5C"/>
    <w:rsid w:val="009B7D3C"/>
    <w:rsid w:val="009B7E35"/>
    <w:rsid w:val="009B7F0A"/>
    <w:rsid w:val="009B7FD2"/>
    <w:rsid w:val="009B7FF7"/>
    <w:rsid w:val="009C033D"/>
    <w:rsid w:val="009C03AB"/>
    <w:rsid w:val="009C05E8"/>
    <w:rsid w:val="009C0605"/>
    <w:rsid w:val="009C0728"/>
    <w:rsid w:val="009C0743"/>
    <w:rsid w:val="009C085A"/>
    <w:rsid w:val="009C0AA6"/>
    <w:rsid w:val="009C0B32"/>
    <w:rsid w:val="009C0C2C"/>
    <w:rsid w:val="009C0DDB"/>
    <w:rsid w:val="009C0EEE"/>
    <w:rsid w:val="009C0F1A"/>
    <w:rsid w:val="009C0FBA"/>
    <w:rsid w:val="009C1060"/>
    <w:rsid w:val="009C1190"/>
    <w:rsid w:val="009C16C9"/>
    <w:rsid w:val="009C1AEE"/>
    <w:rsid w:val="009C1CEE"/>
    <w:rsid w:val="009C1D79"/>
    <w:rsid w:val="009C1D7F"/>
    <w:rsid w:val="009C2491"/>
    <w:rsid w:val="009C25CF"/>
    <w:rsid w:val="009C27FC"/>
    <w:rsid w:val="009C2800"/>
    <w:rsid w:val="009C2AD5"/>
    <w:rsid w:val="009C2B3A"/>
    <w:rsid w:val="009C2C33"/>
    <w:rsid w:val="009C2F30"/>
    <w:rsid w:val="009C2F97"/>
    <w:rsid w:val="009C3092"/>
    <w:rsid w:val="009C3584"/>
    <w:rsid w:val="009C35EA"/>
    <w:rsid w:val="009C361F"/>
    <w:rsid w:val="009C3642"/>
    <w:rsid w:val="009C38C6"/>
    <w:rsid w:val="009C3933"/>
    <w:rsid w:val="009C3A42"/>
    <w:rsid w:val="009C3BCF"/>
    <w:rsid w:val="009C3C03"/>
    <w:rsid w:val="009C3CD1"/>
    <w:rsid w:val="009C3DC8"/>
    <w:rsid w:val="009C3FE8"/>
    <w:rsid w:val="009C40DA"/>
    <w:rsid w:val="009C4100"/>
    <w:rsid w:val="009C4233"/>
    <w:rsid w:val="009C43E2"/>
    <w:rsid w:val="009C443F"/>
    <w:rsid w:val="009C45A9"/>
    <w:rsid w:val="009C4810"/>
    <w:rsid w:val="009C49C9"/>
    <w:rsid w:val="009C4C14"/>
    <w:rsid w:val="009C4C38"/>
    <w:rsid w:val="009C4CD4"/>
    <w:rsid w:val="009C4DB3"/>
    <w:rsid w:val="009C50D8"/>
    <w:rsid w:val="009C516B"/>
    <w:rsid w:val="009C5281"/>
    <w:rsid w:val="009C5426"/>
    <w:rsid w:val="009C5495"/>
    <w:rsid w:val="009C5530"/>
    <w:rsid w:val="009C55A0"/>
    <w:rsid w:val="009C5D85"/>
    <w:rsid w:val="009C5E98"/>
    <w:rsid w:val="009C602E"/>
    <w:rsid w:val="009C62DD"/>
    <w:rsid w:val="009C64A9"/>
    <w:rsid w:val="009C656A"/>
    <w:rsid w:val="009C66A4"/>
    <w:rsid w:val="009C678D"/>
    <w:rsid w:val="009C6853"/>
    <w:rsid w:val="009C687C"/>
    <w:rsid w:val="009C68D7"/>
    <w:rsid w:val="009C694E"/>
    <w:rsid w:val="009C698B"/>
    <w:rsid w:val="009C6B9E"/>
    <w:rsid w:val="009C6D59"/>
    <w:rsid w:val="009C6D9D"/>
    <w:rsid w:val="009C6E13"/>
    <w:rsid w:val="009C6E29"/>
    <w:rsid w:val="009C6FF8"/>
    <w:rsid w:val="009C6FFC"/>
    <w:rsid w:val="009C758A"/>
    <w:rsid w:val="009C75B8"/>
    <w:rsid w:val="009C7703"/>
    <w:rsid w:val="009C7745"/>
    <w:rsid w:val="009C78A5"/>
    <w:rsid w:val="009C790C"/>
    <w:rsid w:val="009C7962"/>
    <w:rsid w:val="009C7980"/>
    <w:rsid w:val="009C7A0B"/>
    <w:rsid w:val="009C7AF6"/>
    <w:rsid w:val="009C7CF2"/>
    <w:rsid w:val="009C7DF5"/>
    <w:rsid w:val="009C7F5A"/>
    <w:rsid w:val="009D0487"/>
    <w:rsid w:val="009D07A2"/>
    <w:rsid w:val="009D0AD8"/>
    <w:rsid w:val="009D0BFF"/>
    <w:rsid w:val="009D0CF1"/>
    <w:rsid w:val="009D0D34"/>
    <w:rsid w:val="009D10F2"/>
    <w:rsid w:val="009D10F4"/>
    <w:rsid w:val="009D12D2"/>
    <w:rsid w:val="009D1370"/>
    <w:rsid w:val="009D14F2"/>
    <w:rsid w:val="009D1923"/>
    <w:rsid w:val="009D1968"/>
    <w:rsid w:val="009D196D"/>
    <w:rsid w:val="009D19AD"/>
    <w:rsid w:val="009D1A5A"/>
    <w:rsid w:val="009D1B50"/>
    <w:rsid w:val="009D1E5C"/>
    <w:rsid w:val="009D1F2B"/>
    <w:rsid w:val="009D2379"/>
    <w:rsid w:val="009D2590"/>
    <w:rsid w:val="009D26DD"/>
    <w:rsid w:val="009D271D"/>
    <w:rsid w:val="009D281A"/>
    <w:rsid w:val="009D29A4"/>
    <w:rsid w:val="009D2B96"/>
    <w:rsid w:val="009D2C05"/>
    <w:rsid w:val="009D2CDF"/>
    <w:rsid w:val="009D2DE0"/>
    <w:rsid w:val="009D2F8F"/>
    <w:rsid w:val="009D3002"/>
    <w:rsid w:val="009D3215"/>
    <w:rsid w:val="009D326C"/>
    <w:rsid w:val="009D3421"/>
    <w:rsid w:val="009D35A9"/>
    <w:rsid w:val="009D36B6"/>
    <w:rsid w:val="009D39C1"/>
    <w:rsid w:val="009D3AD4"/>
    <w:rsid w:val="009D3D17"/>
    <w:rsid w:val="009D3F66"/>
    <w:rsid w:val="009D40D1"/>
    <w:rsid w:val="009D40F4"/>
    <w:rsid w:val="009D4171"/>
    <w:rsid w:val="009D423A"/>
    <w:rsid w:val="009D4412"/>
    <w:rsid w:val="009D4477"/>
    <w:rsid w:val="009D44E3"/>
    <w:rsid w:val="009D47FC"/>
    <w:rsid w:val="009D4840"/>
    <w:rsid w:val="009D4BBF"/>
    <w:rsid w:val="009D5126"/>
    <w:rsid w:val="009D5133"/>
    <w:rsid w:val="009D5269"/>
    <w:rsid w:val="009D5281"/>
    <w:rsid w:val="009D558C"/>
    <w:rsid w:val="009D55C6"/>
    <w:rsid w:val="009D57E2"/>
    <w:rsid w:val="009D581F"/>
    <w:rsid w:val="009D5AD7"/>
    <w:rsid w:val="009D5E2E"/>
    <w:rsid w:val="009D629A"/>
    <w:rsid w:val="009D6583"/>
    <w:rsid w:val="009D6649"/>
    <w:rsid w:val="009D66B0"/>
    <w:rsid w:val="009D66FB"/>
    <w:rsid w:val="009D67D9"/>
    <w:rsid w:val="009D680C"/>
    <w:rsid w:val="009D6814"/>
    <w:rsid w:val="009D68B7"/>
    <w:rsid w:val="009D6C49"/>
    <w:rsid w:val="009D6D19"/>
    <w:rsid w:val="009D6DFF"/>
    <w:rsid w:val="009D6EE8"/>
    <w:rsid w:val="009D6F67"/>
    <w:rsid w:val="009D6FB6"/>
    <w:rsid w:val="009D77A5"/>
    <w:rsid w:val="009D796B"/>
    <w:rsid w:val="009D7A86"/>
    <w:rsid w:val="009D7D6C"/>
    <w:rsid w:val="009E0116"/>
    <w:rsid w:val="009E0204"/>
    <w:rsid w:val="009E0542"/>
    <w:rsid w:val="009E054B"/>
    <w:rsid w:val="009E0638"/>
    <w:rsid w:val="009E0794"/>
    <w:rsid w:val="009E084E"/>
    <w:rsid w:val="009E0EA3"/>
    <w:rsid w:val="009E0ED6"/>
    <w:rsid w:val="009E0EE0"/>
    <w:rsid w:val="009E11DB"/>
    <w:rsid w:val="009E12C2"/>
    <w:rsid w:val="009E137F"/>
    <w:rsid w:val="009E139B"/>
    <w:rsid w:val="009E1702"/>
    <w:rsid w:val="009E1833"/>
    <w:rsid w:val="009E1B52"/>
    <w:rsid w:val="009E1C83"/>
    <w:rsid w:val="009E1DCA"/>
    <w:rsid w:val="009E1F23"/>
    <w:rsid w:val="009E210E"/>
    <w:rsid w:val="009E2167"/>
    <w:rsid w:val="009E259E"/>
    <w:rsid w:val="009E275B"/>
    <w:rsid w:val="009E275E"/>
    <w:rsid w:val="009E2A80"/>
    <w:rsid w:val="009E2B60"/>
    <w:rsid w:val="009E2E77"/>
    <w:rsid w:val="009E346E"/>
    <w:rsid w:val="009E34CD"/>
    <w:rsid w:val="009E376A"/>
    <w:rsid w:val="009E397F"/>
    <w:rsid w:val="009E3CC4"/>
    <w:rsid w:val="009E3DA3"/>
    <w:rsid w:val="009E3DF7"/>
    <w:rsid w:val="009E3EF3"/>
    <w:rsid w:val="009E3EF9"/>
    <w:rsid w:val="009E4406"/>
    <w:rsid w:val="009E4447"/>
    <w:rsid w:val="009E4709"/>
    <w:rsid w:val="009E473F"/>
    <w:rsid w:val="009E483A"/>
    <w:rsid w:val="009E48B8"/>
    <w:rsid w:val="009E48D6"/>
    <w:rsid w:val="009E49AF"/>
    <w:rsid w:val="009E4B10"/>
    <w:rsid w:val="009E4D10"/>
    <w:rsid w:val="009E4E90"/>
    <w:rsid w:val="009E5490"/>
    <w:rsid w:val="009E56A8"/>
    <w:rsid w:val="009E58BB"/>
    <w:rsid w:val="009E59CC"/>
    <w:rsid w:val="009E5B00"/>
    <w:rsid w:val="009E5DB9"/>
    <w:rsid w:val="009E5E5B"/>
    <w:rsid w:val="009E6064"/>
    <w:rsid w:val="009E60A6"/>
    <w:rsid w:val="009E60CF"/>
    <w:rsid w:val="009E6226"/>
    <w:rsid w:val="009E6545"/>
    <w:rsid w:val="009E6627"/>
    <w:rsid w:val="009E6898"/>
    <w:rsid w:val="009E6A15"/>
    <w:rsid w:val="009E6AE0"/>
    <w:rsid w:val="009E6DB1"/>
    <w:rsid w:val="009E6E1F"/>
    <w:rsid w:val="009E6E39"/>
    <w:rsid w:val="009E7015"/>
    <w:rsid w:val="009E7116"/>
    <w:rsid w:val="009E740C"/>
    <w:rsid w:val="009E78A3"/>
    <w:rsid w:val="009E7943"/>
    <w:rsid w:val="009F0045"/>
    <w:rsid w:val="009F0163"/>
    <w:rsid w:val="009F058F"/>
    <w:rsid w:val="009F081C"/>
    <w:rsid w:val="009F0CA0"/>
    <w:rsid w:val="009F0E72"/>
    <w:rsid w:val="009F119A"/>
    <w:rsid w:val="009F1520"/>
    <w:rsid w:val="009F1636"/>
    <w:rsid w:val="009F1BA5"/>
    <w:rsid w:val="009F1BCD"/>
    <w:rsid w:val="009F1C51"/>
    <w:rsid w:val="009F1C98"/>
    <w:rsid w:val="009F1CB7"/>
    <w:rsid w:val="009F1CBF"/>
    <w:rsid w:val="009F1DBE"/>
    <w:rsid w:val="009F1E8E"/>
    <w:rsid w:val="009F1F4A"/>
    <w:rsid w:val="009F1F62"/>
    <w:rsid w:val="009F2426"/>
    <w:rsid w:val="009F2676"/>
    <w:rsid w:val="009F2726"/>
    <w:rsid w:val="009F28D9"/>
    <w:rsid w:val="009F2A88"/>
    <w:rsid w:val="009F2B6B"/>
    <w:rsid w:val="009F2BC0"/>
    <w:rsid w:val="009F2C03"/>
    <w:rsid w:val="009F2C16"/>
    <w:rsid w:val="009F2C4B"/>
    <w:rsid w:val="009F2C53"/>
    <w:rsid w:val="009F2C8A"/>
    <w:rsid w:val="009F2D53"/>
    <w:rsid w:val="009F2DEC"/>
    <w:rsid w:val="009F3640"/>
    <w:rsid w:val="009F3658"/>
    <w:rsid w:val="009F374A"/>
    <w:rsid w:val="009F3814"/>
    <w:rsid w:val="009F3C4F"/>
    <w:rsid w:val="009F3D38"/>
    <w:rsid w:val="009F3F68"/>
    <w:rsid w:val="009F4130"/>
    <w:rsid w:val="009F421A"/>
    <w:rsid w:val="009F4298"/>
    <w:rsid w:val="009F4323"/>
    <w:rsid w:val="009F4374"/>
    <w:rsid w:val="009F44A5"/>
    <w:rsid w:val="009F466F"/>
    <w:rsid w:val="009F468A"/>
    <w:rsid w:val="009F46D9"/>
    <w:rsid w:val="009F4755"/>
    <w:rsid w:val="009F4769"/>
    <w:rsid w:val="009F4E69"/>
    <w:rsid w:val="009F50AF"/>
    <w:rsid w:val="009F51EC"/>
    <w:rsid w:val="009F52AE"/>
    <w:rsid w:val="009F548F"/>
    <w:rsid w:val="009F58E8"/>
    <w:rsid w:val="009F5985"/>
    <w:rsid w:val="009F5AB1"/>
    <w:rsid w:val="009F5B05"/>
    <w:rsid w:val="009F5B2E"/>
    <w:rsid w:val="009F5C54"/>
    <w:rsid w:val="009F5CA3"/>
    <w:rsid w:val="009F5D33"/>
    <w:rsid w:val="009F5D5D"/>
    <w:rsid w:val="009F60E5"/>
    <w:rsid w:val="009F67DC"/>
    <w:rsid w:val="009F68FD"/>
    <w:rsid w:val="009F6C4F"/>
    <w:rsid w:val="009F6F12"/>
    <w:rsid w:val="009F6FD9"/>
    <w:rsid w:val="009F7043"/>
    <w:rsid w:val="009F705F"/>
    <w:rsid w:val="009F7159"/>
    <w:rsid w:val="009F7341"/>
    <w:rsid w:val="009F7387"/>
    <w:rsid w:val="009F7500"/>
    <w:rsid w:val="009F7536"/>
    <w:rsid w:val="009F7569"/>
    <w:rsid w:val="009F75BD"/>
    <w:rsid w:val="009F764A"/>
    <w:rsid w:val="009F7B9E"/>
    <w:rsid w:val="009F7C27"/>
    <w:rsid w:val="009F7D6F"/>
    <w:rsid w:val="009F7DFC"/>
    <w:rsid w:val="009F7DFD"/>
    <w:rsid w:val="00A00211"/>
    <w:rsid w:val="00A006AE"/>
    <w:rsid w:val="00A0086F"/>
    <w:rsid w:val="00A00927"/>
    <w:rsid w:val="00A0093F"/>
    <w:rsid w:val="00A00958"/>
    <w:rsid w:val="00A00B0D"/>
    <w:rsid w:val="00A00BA4"/>
    <w:rsid w:val="00A0148E"/>
    <w:rsid w:val="00A01887"/>
    <w:rsid w:val="00A01A79"/>
    <w:rsid w:val="00A01C2C"/>
    <w:rsid w:val="00A01CAD"/>
    <w:rsid w:val="00A01E86"/>
    <w:rsid w:val="00A02277"/>
    <w:rsid w:val="00A023E9"/>
    <w:rsid w:val="00A02513"/>
    <w:rsid w:val="00A026E1"/>
    <w:rsid w:val="00A02C01"/>
    <w:rsid w:val="00A02FB6"/>
    <w:rsid w:val="00A032B5"/>
    <w:rsid w:val="00A033F3"/>
    <w:rsid w:val="00A036C1"/>
    <w:rsid w:val="00A03829"/>
    <w:rsid w:val="00A038E3"/>
    <w:rsid w:val="00A03BA8"/>
    <w:rsid w:val="00A03C30"/>
    <w:rsid w:val="00A03C38"/>
    <w:rsid w:val="00A03E4A"/>
    <w:rsid w:val="00A03F98"/>
    <w:rsid w:val="00A0400D"/>
    <w:rsid w:val="00A04053"/>
    <w:rsid w:val="00A0425C"/>
    <w:rsid w:val="00A04EEA"/>
    <w:rsid w:val="00A051C2"/>
    <w:rsid w:val="00A05218"/>
    <w:rsid w:val="00A0524C"/>
    <w:rsid w:val="00A05347"/>
    <w:rsid w:val="00A05377"/>
    <w:rsid w:val="00A053B1"/>
    <w:rsid w:val="00A054D6"/>
    <w:rsid w:val="00A05534"/>
    <w:rsid w:val="00A055B4"/>
    <w:rsid w:val="00A0621B"/>
    <w:rsid w:val="00A06323"/>
    <w:rsid w:val="00A06367"/>
    <w:rsid w:val="00A066AE"/>
    <w:rsid w:val="00A0678A"/>
    <w:rsid w:val="00A06A2F"/>
    <w:rsid w:val="00A06A48"/>
    <w:rsid w:val="00A06B4C"/>
    <w:rsid w:val="00A06B8F"/>
    <w:rsid w:val="00A06D74"/>
    <w:rsid w:val="00A07193"/>
    <w:rsid w:val="00A07258"/>
    <w:rsid w:val="00A07398"/>
    <w:rsid w:val="00A0742C"/>
    <w:rsid w:val="00A07526"/>
    <w:rsid w:val="00A07809"/>
    <w:rsid w:val="00A07941"/>
    <w:rsid w:val="00A07B51"/>
    <w:rsid w:val="00A07D8C"/>
    <w:rsid w:val="00A07DCC"/>
    <w:rsid w:val="00A07FB9"/>
    <w:rsid w:val="00A07FE4"/>
    <w:rsid w:val="00A1023C"/>
    <w:rsid w:val="00A1032D"/>
    <w:rsid w:val="00A10497"/>
    <w:rsid w:val="00A106D1"/>
    <w:rsid w:val="00A10BD1"/>
    <w:rsid w:val="00A10BEF"/>
    <w:rsid w:val="00A10DA1"/>
    <w:rsid w:val="00A10EBA"/>
    <w:rsid w:val="00A10F5F"/>
    <w:rsid w:val="00A11047"/>
    <w:rsid w:val="00A110DC"/>
    <w:rsid w:val="00A1116F"/>
    <w:rsid w:val="00A111ED"/>
    <w:rsid w:val="00A112CD"/>
    <w:rsid w:val="00A112D4"/>
    <w:rsid w:val="00A112E2"/>
    <w:rsid w:val="00A115A6"/>
    <w:rsid w:val="00A117A4"/>
    <w:rsid w:val="00A11CDF"/>
    <w:rsid w:val="00A11E00"/>
    <w:rsid w:val="00A120B4"/>
    <w:rsid w:val="00A121C4"/>
    <w:rsid w:val="00A1223E"/>
    <w:rsid w:val="00A12271"/>
    <w:rsid w:val="00A12432"/>
    <w:rsid w:val="00A12670"/>
    <w:rsid w:val="00A1285F"/>
    <w:rsid w:val="00A1289F"/>
    <w:rsid w:val="00A12AE6"/>
    <w:rsid w:val="00A12ED9"/>
    <w:rsid w:val="00A1305D"/>
    <w:rsid w:val="00A130F7"/>
    <w:rsid w:val="00A13541"/>
    <w:rsid w:val="00A137BF"/>
    <w:rsid w:val="00A13F9B"/>
    <w:rsid w:val="00A14010"/>
    <w:rsid w:val="00A1425F"/>
    <w:rsid w:val="00A144C0"/>
    <w:rsid w:val="00A14634"/>
    <w:rsid w:val="00A1463E"/>
    <w:rsid w:val="00A1496F"/>
    <w:rsid w:val="00A14E7F"/>
    <w:rsid w:val="00A14EFF"/>
    <w:rsid w:val="00A14FF7"/>
    <w:rsid w:val="00A1500C"/>
    <w:rsid w:val="00A150CF"/>
    <w:rsid w:val="00A1522D"/>
    <w:rsid w:val="00A152A8"/>
    <w:rsid w:val="00A153AD"/>
    <w:rsid w:val="00A15547"/>
    <w:rsid w:val="00A156EB"/>
    <w:rsid w:val="00A15728"/>
    <w:rsid w:val="00A158F5"/>
    <w:rsid w:val="00A15B6B"/>
    <w:rsid w:val="00A15BD2"/>
    <w:rsid w:val="00A15D69"/>
    <w:rsid w:val="00A161A4"/>
    <w:rsid w:val="00A161A7"/>
    <w:rsid w:val="00A162C4"/>
    <w:rsid w:val="00A16565"/>
    <w:rsid w:val="00A16729"/>
    <w:rsid w:val="00A16774"/>
    <w:rsid w:val="00A16817"/>
    <w:rsid w:val="00A16A23"/>
    <w:rsid w:val="00A16BBD"/>
    <w:rsid w:val="00A16D1D"/>
    <w:rsid w:val="00A16D54"/>
    <w:rsid w:val="00A16E1D"/>
    <w:rsid w:val="00A16ED2"/>
    <w:rsid w:val="00A171C6"/>
    <w:rsid w:val="00A1723E"/>
    <w:rsid w:val="00A172F7"/>
    <w:rsid w:val="00A1734E"/>
    <w:rsid w:val="00A17378"/>
    <w:rsid w:val="00A1775F"/>
    <w:rsid w:val="00A1791A"/>
    <w:rsid w:val="00A179B7"/>
    <w:rsid w:val="00A17A8C"/>
    <w:rsid w:val="00A17E30"/>
    <w:rsid w:val="00A17EC2"/>
    <w:rsid w:val="00A20186"/>
    <w:rsid w:val="00A20189"/>
    <w:rsid w:val="00A20270"/>
    <w:rsid w:val="00A2029E"/>
    <w:rsid w:val="00A202A0"/>
    <w:rsid w:val="00A2045F"/>
    <w:rsid w:val="00A20A1E"/>
    <w:rsid w:val="00A20ACA"/>
    <w:rsid w:val="00A20BBA"/>
    <w:rsid w:val="00A20C05"/>
    <w:rsid w:val="00A20CAE"/>
    <w:rsid w:val="00A21174"/>
    <w:rsid w:val="00A212D5"/>
    <w:rsid w:val="00A2169A"/>
    <w:rsid w:val="00A218BF"/>
    <w:rsid w:val="00A219E3"/>
    <w:rsid w:val="00A21A1A"/>
    <w:rsid w:val="00A21A85"/>
    <w:rsid w:val="00A21ADA"/>
    <w:rsid w:val="00A21B12"/>
    <w:rsid w:val="00A21B83"/>
    <w:rsid w:val="00A21CEE"/>
    <w:rsid w:val="00A21DDD"/>
    <w:rsid w:val="00A220F4"/>
    <w:rsid w:val="00A221C3"/>
    <w:rsid w:val="00A2228F"/>
    <w:rsid w:val="00A223C6"/>
    <w:rsid w:val="00A224EB"/>
    <w:rsid w:val="00A225BC"/>
    <w:rsid w:val="00A225DD"/>
    <w:rsid w:val="00A22825"/>
    <w:rsid w:val="00A2296E"/>
    <w:rsid w:val="00A22B6F"/>
    <w:rsid w:val="00A22B88"/>
    <w:rsid w:val="00A22CE3"/>
    <w:rsid w:val="00A22E67"/>
    <w:rsid w:val="00A22E6C"/>
    <w:rsid w:val="00A22F68"/>
    <w:rsid w:val="00A2310D"/>
    <w:rsid w:val="00A23582"/>
    <w:rsid w:val="00A235EA"/>
    <w:rsid w:val="00A2377F"/>
    <w:rsid w:val="00A23805"/>
    <w:rsid w:val="00A2401C"/>
    <w:rsid w:val="00A240F8"/>
    <w:rsid w:val="00A2411E"/>
    <w:rsid w:val="00A241C1"/>
    <w:rsid w:val="00A2423C"/>
    <w:rsid w:val="00A24243"/>
    <w:rsid w:val="00A245EB"/>
    <w:rsid w:val="00A2462E"/>
    <w:rsid w:val="00A2487C"/>
    <w:rsid w:val="00A24AA4"/>
    <w:rsid w:val="00A24B99"/>
    <w:rsid w:val="00A24BDC"/>
    <w:rsid w:val="00A24CE4"/>
    <w:rsid w:val="00A24DB6"/>
    <w:rsid w:val="00A24E4E"/>
    <w:rsid w:val="00A24FF3"/>
    <w:rsid w:val="00A2520C"/>
    <w:rsid w:val="00A254B8"/>
    <w:rsid w:val="00A2572C"/>
    <w:rsid w:val="00A25799"/>
    <w:rsid w:val="00A25931"/>
    <w:rsid w:val="00A259D7"/>
    <w:rsid w:val="00A25D2A"/>
    <w:rsid w:val="00A262CC"/>
    <w:rsid w:val="00A2652D"/>
    <w:rsid w:val="00A26551"/>
    <w:rsid w:val="00A265AF"/>
    <w:rsid w:val="00A2665B"/>
    <w:rsid w:val="00A266C8"/>
    <w:rsid w:val="00A267DE"/>
    <w:rsid w:val="00A26905"/>
    <w:rsid w:val="00A26AEB"/>
    <w:rsid w:val="00A26BCD"/>
    <w:rsid w:val="00A26C09"/>
    <w:rsid w:val="00A26D2C"/>
    <w:rsid w:val="00A26DC5"/>
    <w:rsid w:val="00A26EBC"/>
    <w:rsid w:val="00A26F76"/>
    <w:rsid w:val="00A27351"/>
    <w:rsid w:val="00A2736C"/>
    <w:rsid w:val="00A27532"/>
    <w:rsid w:val="00A27863"/>
    <w:rsid w:val="00A27867"/>
    <w:rsid w:val="00A279E1"/>
    <w:rsid w:val="00A27A1C"/>
    <w:rsid w:val="00A3016D"/>
    <w:rsid w:val="00A3018B"/>
    <w:rsid w:val="00A30233"/>
    <w:rsid w:val="00A30254"/>
    <w:rsid w:val="00A30C94"/>
    <w:rsid w:val="00A30CE1"/>
    <w:rsid w:val="00A30D4C"/>
    <w:rsid w:val="00A3114A"/>
    <w:rsid w:val="00A31236"/>
    <w:rsid w:val="00A3127D"/>
    <w:rsid w:val="00A313F6"/>
    <w:rsid w:val="00A3158C"/>
    <w:rsid w:val="00A31B34"/>
    <w:rsid w:val="00A31CBF"/>
    <w:rsid w:val="00A31EDB"/>
    <w:rsid w:val="00A32373"/>
    <w:rsid w:val="00A325A1"/>
    <w:rsid w:val="00A325C4"/>
    <w:rsid w:val="00A325FA"/>
    <w:rsid w:val="00A32766"/>
    <w:rsid w:val="00A32BCC"/>
    <w:rsid w:val="00A32D92"/>
    <w:rsid w:val="00A32E1A"/>
    <w:rsid w:val="00A32F03"/>
    <w:rsid w:val="00A32F18"/>
    <w:rsid w:val="00A32F67"/>
    <w:rsid w:val="00A32FB8"/>
    <w:rsid w:val="00A33053"/>
    <w:rsid w:val="00A33206"/>
    <w:rsid w:val="00A3325E"/>
    <w:rsid w:val="00A33287"/>
    <w:rsid w:val="00A3329F"/>
    <w:rsid w:val="00A33367"/>
    <w:rsid w:val="00A334E8"/>
    <w:rsid w:val="00A33517"/>
    <w:rsid w:val="00A335DC"/>
    <w:rsid w:val="00A33672"/>
    <w:rsid w:val="00A3377E"/>
    <w:rsid w:val="00A338A2"/>
    <w:rsid w:val="00A339A1"/>
    <w:rsid w:val="00A33C77"/>
    <w:rsid w:val="00A34422"/>
    <w:rsid w:val="00A3481D"/>
    <w:rsid w:val="00A34822"/>
    <w:rsid w:val="00A3488B"/>
    <w:rsid w:val="00A348E1"/>
    <w:rsid w:val="00A348FE"/>
    <w:rsid w:val="00A349FD"/>
    <w:rsid w:val="00A34D3E"/>
    <w:rsid w:val="00A35216"/>
    <w:rsid w:val="00A35383"/>
    <w:rsid w:val="00A35A3D"/>
    <w:rsid w:val="00A35B81"/>
    <w:rsid w:val="00A35CA2"/>
    <w:rsid w:val="00A35D9F"/>
    <w:rsid w:val="00A35F80"/>
    <w:rsid w:val="00A3608F"/>
    <w:rsid w:val="00A3609E"/>
    <w:rsid w:val="00A360C9"/>
    <w:rsid w:val="00A363B8"/>
    <w:rsid w:val="00A364CC"/>
    <w:rsid w:val="00A36773"/>
    <w:rsid w:val="00A3683B"/>
    <w:rsid w:val="00A36884"/>
    <w:rsid w:val="00A36C97"/>
    <w:rsid w:val="00A36D4E"/>
    <w:rsid w:val="00A36E57"/>
    <w:rsid w:val="00A36FB5"/>
    <w:rsid w:val="00A36FD6"/>
    <w:rsid w:val="00A370C5"/>
    <w:rsid w:val="00A37541"/>
    <w:rsid w:val="00A37607"/>
    <w:rsid w:val="00A37837"/>
    <w:rsid w:val="00A378F8"/>
    <w:rsid w:val="00A37B1D"/>
    <w:rsid w:val="00A37B42"/>
    <w:rsid w:val="00A37C7C"/>
    <w:rsid w:val="00A37FB3"/>
    <w:rsid w:val="00A40003"/>
    <w:rsid w:val="00A40107"/>
    <w:rsid w:val="00A401A7"/>
    <w:rsid w:val="00A40338"/>
    <w:rsid w:val="00A404A5"/>
    <w:rsid w:val="00A404F5"/>
    <w:rsid w:val="00A40501"/>
    <w:rsid w:val="00A406A7"/>
    <w:rsid w:val="00A40822"/>
    <w:rsid w:val="00A408AA"/>
    <w:rsid w:val="00A40A5E"/>
    <w:rsid w:val="00A40C97"/>
    <w:rsid w:val="00A40D9C"/>
    <w:rsid w:val="00A4112C"/>
    <w:rsid w:val="00A4112D"/>
    <w:rsid w:val="00A411CC"/>
    <w:rsid w:val="00A411CE"/>
    <w:rsid w:val="00A41405"/>
    <w:rsid w:val="00A414FC"/>
    <w:rsid w:val="00A415EA"/>
    <w:rsid w:val="00A41681"/>
    <w:rsid w:val="00A417E9"/>
    <w:rsid w:val="00A417F1"/>
    <w:rsid w:val="00A41829"/>
    <w:rsid w:val="00A419AC"/>
    <w:rsid w:val="00A41A06"/>
    <w:rsid w:val="00A41B67"/>
    <w:rsid w:val="00A41BAD"/>
    <w:rsid w:val="00A41D07"/>
    <w:rsid w:val="00A41F4C"/>
    <w:rsid w:val="00A42010"/>
    <w:rsid w:val="00A42204"/>
    <w:rsid w:val="00A42303"/>
    <w:rsid w:val="00A42329"/>
    <w:rsid w:val="00A42535"/>
    <w:rsid w:val="00A42841"/>
    <w:rsid w:val="00A42944"/>
    <w:rsid w:val="00A4296F"/>
    <w:rsid w:val="00A43059"/>
    <w:rsid w:val="00A4312F"/>
    <w:rsid w:val="00A431D2"/>
    <w:rsid w:val="00A431D8"/>
    <w:rsid w:val="00A431FF"/>
    <w:rsid w:val="00A43241"/>
    <w:rsid w:val="00A43291"/>
    <w:rsid w:val="00A432DD"/>
    <w:rsid w:val="00A43534"/>
    <w:rsid w:val="00A43606"/>
    <w:rsid w:val="00A43678"/>
    <w:rsid w:val="00A436F5"/>
    <w:rsid w:val="00A43988"/>
    <w:rsid w:val="00A43B69"/>
    <w:rsid w:val="00A43B77"/>
    <w:rsid w:val="00A43BEA"/>
    <w:rsid w:val="00A43BEB"/>
    <w:rsid w:val="00A43C41"/>
    <w:rsid w:val="00A43DCE"/>
    <w:rsid w:val="00A43E99"/>
    <w:rsid w:val="00A43FCC"/>
    <w:rsid w:val="00A440AE"/>
    <w:rsid w:val="00A441EF"/>
    <w:rsid w:val="00A442F3"/>
    <w:rsid w:val="00A444C3"/>
    <w:rsid w:val="00A44769"/>
    <w:rsid w:val="00A44861"/>
    <w:rsid w:val="00A4488B"/>
    <w:rsid w:val="00A44928"/>
    <w:rsid w:val="00A44A31"/>
    <w:rsid w:val="00A44A7B"/>
    <w:rsid w:val="00A44DE6"/>
    <w:rsid w:val="00A45062"/>
    <w:rsid w:val="00A4512B"/>
    <w:rsid w:val="00A457A6"/>
    <w:rsid w:val="00A45A32"/>
    <w:rsid w:val="00A45DE5"/>
    <w:rsid w:val="00A45EE3"/>
    <w:rsid w:val="00A4639B"/>
    <w:rsid w:val="00A46463"/>
    <w:rsid w:val="00A464D2"/>
    <w:rsid w:val="00A464D6"/>
    <w:rsid w:val="00A46606"/>
    <w:rsid w:val="00A467A7"/>
    <w:rsid w:val="00A4684D"/>
    <w:rsid w:val="00A468FC"/>
    <w:rsid w:val="00A46936"/>
    <w:rsid w:val="00A4694B"/>
    <w:rsid w:val="00A469B9"/>
    <w:rsid w:val="00A46B20"/>
    <w:rsid w:val="00A46CB9"/>
    <w:rsid w:val="00A46D8D"/>
    <w:rsid w:val="00A46F6C"/>
    <w:rsid w:val="00A47021"/>
    <w:rsid w:val="00A47045"/>
    <w:rsid w:val="00A4734C"/>
    <w:rsid w:val="00A473AA"/>
    <w:rsid w:val="00A47507"/>
    <w:rsid w:val="00A4764A"/>
    <w:rsid w:val="00A476F2"/>
    <w:rsid w:val="00A47877"/>
    <w:rsid w:val="00A4787A"/>
    <w:rsid w:val="00A47DA1"/>
    <w:rsid w:val="00A47DC0"/>
    <w:rsid w:val="00A47EDA"/>
    <w:rsid w:val="00A50049"/>
    <w:rsid w:val="00A50050"/>
    <w:rsid w:val="00A500BE"/>
    <w:rsid w:val="00A5048B"/>
    <w:rsid w:val="00A5050A"/>
    <w:rsid w:val="00A505D9"/>
    <w:rsid w:val="00A50633"/>
    <w:rsid w:val="00A506FA"/>
    <w:rsid w:val="00A50906"/>
    <w:rsid w:val="00A5098A"/>
    <w:rsid w:val="00A50C14"/>
    <w:rsid w:val="00A50C35"/>
    <w:rsid w:val="00A50C41"/>
    <w:rsid w:val="00A50C5D"/>
    <w:rsid w:val="00A50C8D"/>
    <w:rsid w:val="00A50D38"/>
    <w:rsid w:val="00A50D6D"/>
    <w:rsid w:val="00A50EA4"/>
    <w:rsid w:val="00A50F2B"/>
    <w:rsid w:val="00A51351"/>
    <w:rsid w:val="00A51405"/>
    <w:rsid w:val="00A51443"/>
    <w:rsid w:val="00A514B7"/>
    <w:rsid w:val="00A517C2"/>
    <w:rsid w:val="00A51901"/>
    <w:rsid w:val="00A51A15"/>
    <w:rsid w:val="00A51EF2"/>
    <w:rsid w:val="00A51F12"/>
    <w:rsid w:val="00A5231D"/>
    <w:rsid w:val="00A52460"/>
    <w:rsid w:val="00A527CF"/>
    <w:rsid w:val="00A5288F"/>
    <w:rsid w:val="00A52AF2"/>
    <w:rsid w:val="00A52CB7"/>
    <w:rsid w:val="00A52DE1"/>
    <w:rsid w:val="00A52ED8"/>
    <w:rsid w:val="00A535C1"/>
    <w:rsid w:val="00A5378F"/>
    <w:rsid w:val="00A538A2"/>
    <w:rsid w:val="00A539D5"/>
    <w:rsid w:val="00A53A21"/>
    <w:rsid w:val="00A53C18"/>
    <w:rsid w:val="00A53CA3"/>
    <w:rsid w:val="00A53FE0"/>
    <w:rsid w:val="00A54151"/>
    <w:rsid w:val="00A5418D"/>
    <w:rsid w:val="00A542F7"/>
    <w:rsid w:val="00A544B6"/>
    <w:rsid w:val="00A544DE"/>
    <w:rsid w:val="00A5458E"/>
    <w:rsid w:val="00A54721"/>
    <w:rsid w:val="00A54824"/>
    <w:rsid w:val="00A54838"/>
    <w:rsid w:val="00A548D1"/>
    <w:rsid w:val="00A54A97"/>
    <w:rsid w:val="00A54C15"/>
    <w:rsid w:val="00A54C53"/>
    <w:rsid w:val="00A54F57"/>
    <w:rsid w:val="00A5507A"/>
    <w:rsid w:val="00A55246"/>
    <w:rsid w:val="00A55696"/>
    <w:rsid w:val="00A5589A"/>
    <w:rsid w:val="00A55944"/>
    <w:rsid w:val="00A55C21"/>
    <w:rsid w:val="00A55D3D"/>
    <w:rsid w:val="00A55D89"/>
    <w:rsid w:val="00A56205"/>
    <w:rsid w:val="00A56286"/>
    <w:rsid w:val="00A5651B"/>
    <w:rsid w:val="00A56824"/>
    <w:rsid w:val="00A568AE"/>
    <w:rsid w:val="00A5692E"/>
    <w:rsid w:val="00A56B4A"/>
    <w:rsid w:val="00A56F4F"/>
    <w:rsid w:val="00A5708E"/>
    <w:rsid w:val="00A57631"/>
    <w:rsid w:val="00A578EB"/>
    <w:rsid w:val="00A57AA3"/>
    <w:rsid w:val="00A57B4F"/>
    <w:rsid w:val="00A57C8B"/>
    <w:rsid w:val="00A57CA4"/>
    <w:rsid w:val="00A57E35"/>
    <w:rsid w:val="00A57EAD"/>
    <w:rsid w:val="00A57EFA"/>
    <w:rsid w:val="00A57F26"/>
    <w:rsid w:val="00A6006A"/>
    <w:rsid w:val="00A60191"/>
    <w:rsid w:val="00A604B8"/>
    <w:rsid w:val="00A60806"/>
    <w:rsid w:val="00A608DE"/>
    <w:rsid w:val="00A6098A"/>
    <w:rsid w:val="00A60AC0"/>
    <w:rsid w:val="00A60BA3"/>
    <w:rsid w:val="00A60C2E"/>
    <w:rsid w:val="00A60CD2"/>
    <w:rsid w:val="00A61049"/>
    <w:rsid w:val="00A611C9"/>
    <w:rsid w:val="00A61514"/>
    <w:rsid w:val="00A616FD"/>
    <w:rsid w:val="00A61758"/>
    <w:rsid w:val="00A61832"/>
    <w:rsid w:val="00A6187F"/>
    <w:rsid w:val="00A61B05"/>
    <w:rsid w:val="00A61E95"/>
    <w:rsid w:val="00A61F25"/>
    <w:rsid w:val="00A61FF9"/>
    <w:rsid w:val="00A62070"/>
    <w:rsid w:val="00A62092"/>
    <w:rsid w:val="00A620FF"/>
    <w:rsid w:val="00A626FF"/>
    <w:rsid w:val="00A62703"/>
    <w:rsid w:val="00A62711"/>
    <w:rsid w:val="00A6272A"/>
    <w:rsid w:val="00A627D1"/>
    <w:rsid w:val="00A6284A"/>
    <w:rsid w:val="00A6291F"/>
    <w:rsid w:val="00A629FF"/>
    <w:rsid w:val="00A62B96"/>
    <w:rsid w:val="00A62CF6"/>
    <w:rsid w:val="00A62D63"/>
    <w:rsid w:val="00A62E8F"/>
    <w:rsid w:val="00A62FE4"/>
    <w:rsid w:val="00A6309D"/>
    <w:rsid w:val="00A630BD"/>
    <w:rsid w:val="00A631AE"/>
    <w:rsid w:val="00A631F3"/>
    <w:rsid w:val="00A63406"/>
    <w:rsid w:val="00A6367A"/>
    <w:rsid w:val="00A63801"/>
    <w:rsid w:val="00A63A9E"/>
    <w:rsid w:val="00A63B76"/>
    <w:rsid w:val="00A63C35"/>
    <w:rsid w:val="00A63C38"/>
    <w:rsid w:val="00A63C44"/>
    <w:rsid w:val="00A63F0F"/>
    <w:rsid w:val="00A64020"/>
    <w:rsid w:val="00A64220"/>
    <w:rsid w:val="00A6426B"/>
    <w:rsid w:val="00A642C7"/>
    <w:rsid w:val="00A64335"/>
    <w:rsid w:val="00A64373"/>
    <w:rsid w:val="00A643C6"/>
    <w:rsid w:val="00A643D5"/>
    <w:rsid w:val="00A64485"/>
    <w:rsid w:val="00A644CF"/>
    <w:rsid w:val="00A6458A"/>
    <w:rsid w:val="00A64595"/>
    <w:rsid w:val="00A646F0"/>
    <w:rsid w:val="00A6498D"/>
    <w:rsid w:val="00A64A72"/>
    <w:rsid w:val="00A64B99"/>
    <w:rsid w:val="00A64C5B"/>
    <w:rsid w:val="00A64E4C"/>
    <w:rsid w:val="00A64E97"/>
    <w:rsid w:val="00A64EC1"/>
    <w:rsid w:val="00A64FC8"/>
    <w:rsid w:val="00A6500D"/>
    <w:rsid w:val="00A65028"/>
    <w:rsid w:val="00A654B2"/>
    <w:rsid w:val="00A657CD"/>
    <w:rsid w:val="00A6587F"/>
    <w:rsid w:val="00A658B5"/>
    <w:rsid w:val="00A65B33"/>
    <w:rsid w:val="00A65CA0"/>
    <w:rsid w:val="00A65DD4"/>
    <w:rsid w:val="00A65EF9"/>
    <w:rsid w:val="00A65F52"/>
    <w:rsid w:val="00A65F85"/>
    <w:rsid w:val="00A660ED"/>
    <w:rsid w:val="00A66131"/>
    <w:rsid w:val="00A661DC"/>
    <w:rsid w:val="00A66211"/>
    <w:rsid w:val="00A66226"/>
    <w:rsid w:val="00A6640A"/>
    <w:rsid w:val="00A66583"/>
    <w:rsid w:val="00A6661F"/>
    <w:rsid w:val="00A669DE"/>
    <w:rsid w:val="00A66A8B"/>
    <w:rsid w:val="00A66AD8"/>
    <w:rsid w:val="00A66D51"/>
    <w:rsid w:val="00A66E32"/>
    <w:rsid w:val="00A674E2"/>
    <w:rsid w:val="00A675A1"/>
    <w:rsid w:val="00A676DC"/>
    <w:rsid w:val="00A677ED"/>
    <w:rsid w:val="00A67823"/>
    <w:rsid w:val="00A67BA6"/>
    <w:rsid w:val="00A67D07"/>
    <w:rsid w:val="00A67FF0"/>
    <w:rsid w:val="00A7007C"/>
    <w:rsid w:val="00A70114"/>
    <w:rsid w:val="00A701EC"/>
    <w:rsid w:val="00A70337"/>
    <w:rsid w:val="00A7034E"/>
    <w:rsid w:val="00A703FE"/>
    <w:rsid w:val="00A704CD"/>
    <w:rsid w:val="00A70607"/>
    <w:rsid w:val="00A7076E"/>
    <w:rsid w:val="00A70807"/>
    <w:rsid w:val="00A709AB"/>
    <w:rsid w:val="00A70C8D"/>
    <w:rsid w:val="00A70CA2"/>
    <w:rsid w:val="00A70D5D"/>
    <w:rsid w:val="00A70FCF"/>
    <w:rsid w:val="00A7100E"/>
    <w:rsid w:val="00A71080"/>
    <w:rsid w:val="00A71679"/>
    <w:rsid w:val="00A7176C"/>
    <w:rsid w:val="00A71E1B"/>
    <w:rsid w:val="00A71E7F"/>
    <w:rsid w:val="00A71F5B"/>
    <w:rsid w:val="00A72014"/>
    <w:rsid w:val="00A72033"/>
    <w:rsid w:val="00A7237F"/>
    <w:rsid w:val="00A72436"/>
    <w:rsid w:val="00A72480"/>
    <w:rsid w:val="00A7252A"/>
    <w:rsid w:val="00A72608"/>
    <w:rsid w:val="00A7268D"/>
    <w:rsid w:val="00A726DD"/>
    <w:rsid w:val="00A72806"/>
    <w:rsid w:val="00A72AD0"/>
    <w:rsid w:val="00A72C17"/>
    <w:rsid w:val="00A72F95"/>
    <w:rsid w:val="00A72F9E"/>
    <w:rsid w:val="00A72FA0"/>
    <w:rsid w:val="00A72FDD"/>
    <w:rsid w:val="00A73066"/>
    <w:rsid w:val="00A732BF"/>
    <w:rsid w:val="00A733B7"/>
    <w:rsid w:val="00A73734"/>
    <w:rsid w:val="00A73812"/>
    <w:rsid w:val="00A7390E"/>
    <w:rsid w:val="00A73AD1"/>
    <w:rsid w:val="00A73AFD"/>
    <w:rsid w:val="00A73BAC"/>
    <w:rsid w:val="00A73C59"/>
    <w:rsid w:val="00A73D0F"/>
    <w:rsid w:val="00A73EF2"/>
    <w:rsid w:val="00A7415D"/>
    <w:rsid w:val="00A74165"/>
    <w:rsid w:val="00A7416E"/>
    <w:rsid w:val="00A741CE"/>
    <w:rsid w:val="00A741F3"/>
    <w:rsid w:val="00A74385"/>
    <w:rsid w:val="00A743C7"/>
    <w:rsid w:val="00A7453D"/>
    <w:rsid w:val="00A7463E"/>
    <w:rsid w:val="00A746BE"/>
    <w:rsid w:val="00A748F9"/>
    <w:rsid w:val="00A7495A"/>
    <w:rsid w:val="00A74AAA"/>
    <w:rsid w:val="00A74B53"/>
    <w:rsid w:val="00A74B7C"/>
    <w:rsid w:val="00A74C85"/>
    <w:rsid w:val="00A74D6D"/>
    <w:rsid w:val="00A75367"/>
    <w:rsid w:val="00A753CF"/>
    <w:rsid w:val="00A756F3"/>
    <w:rsid w:val="00A75914"/>
    <w:rsid w:val="00A7594C"/>
    <w:rsid w:val="00A75C51"/>
    <w:rsid w:val="00A75CCE"/>
    <w:rsid w:val="00A75DD3"/>
    <w:rsid w:val="00A75EF5"/>
    <w:rsid w:val="00A7603F"/>
    <w:rsid w:val="00A76378"/>
    <w:rsid w:val="00A7676A"/>
    <w:rsid w:val="00A76B92"/>
    <w:rsid w:val="00A76C7A"/>
    <w:rsid w:val="00A76C9D"/>
    <w:rsid w:val="00A76D6B"/>
    <w:rsid w:val="00A76D9A"/>
    <w:rsid w:val="00A76FF8"/>
    <w:rsid w:val="00A77098"/>
    <w:rsid w:val="00A770AB"/>
    <w:rsid w:val="00A77532"/>
    <w:rsid w:val="00A77597"/>
    <w:rsid w:val="00A7767A"/>
    <w:rsid w:val="00A776DD"/>
    <w:rsid w:val="00A777AB"/>
    <w:rsid w:val="00A77898"/>
    <w:rsid w:val="00A778CD"/>
    <w:rsid w:val="00A77A55"/>
    <w:rsid w:val="00A77B65"/>
    <w:rsid w:val="00A77FA9"/>
    <w:rsid w:val="00A80060"/>
    <w:rsid w:val="00A80175"/>
    <w:rsid w:val="00A801C1"/>
    <w:rsid w:val="00A80214"/>
    <w:rsid w:val="00A8029B"/>
    <w:rsid w:val="00A80330"/>
    <w:rsid w:val="00A8034D"/>
    <w:rsid w:val="00A8048A"/>
    <w:rsid w:val="00A804F7"/>
    <w:rsid w:val="00A80667"/>
    <w:rsid w:val="00A8066C"/>
    <w:rsid w:val="00A80673"/>
    <w:rsid w:val="00A80747"/>
    <w:rsid w:val="00A8087E"/>
    <w:rsid w:val="00A80C6D"/>
    <w:rsid w:val="00A80E07"/>
    <w:rsid w:val="00A80E7F"/>
    <w:rsid w:val="00A8125B"/>
    <w:rsid w:val="00A812D0"/>
    <w:rsid w:val="00A81333"/>
    <w:rsid w:val="00A817C1"/>
    <w:rsid w:val="00A8196E"/>
    <w:rsid w:val="00A819BF"/>
    <w:rsid w:val="00A81A3D"/>
    <w:rsid w:val="00A81ACE"/>
    <w:rsid w:val="00A81CE9"/>
    <w:rsid w:val="00A81DCF"/>
    <w:rsid w:val="00A81DE3"/>
    <w:rsid w:val="00A81EFE"/>
    <w:rsid w:val="00A82001"/>
    <w:rsid w:val="00A82174"/>
    <w:rsid w:val="00A8224D"/>
    <w:rsid w:val="00A82409"/>
    <w:rsid w:val="00A82870"/>
    <w:rsid w:val="00A828D9"/>
    <w:rsid w:val="00A82982"/>
    <w:rsid w:val="00A82C75"/>
    <w:rsid w:val="00A82D79"/>
    <w:rsid w:val="00A82F5A"/>
    <w:rsid w:val="00A82F75"/>
    <w:rsid w:val="00A82F90"/>
    <w:rsid w:val="00A830AF"/>
    <w:rsid w:val="00A8314A"/>
    <w:rsid w:val="00A831F4"/>
    <w:rsid w:val="00A83214"/>
    <w:rsid w:val="00A8321C"/>
    <w:rsid w:val="00A8324D"/>
    <w:rsid w:val="00A834BC"/>
    <w:rsid w:val="00A83588"/>
    <w:rsid w:val="00A83C9B"/>
    <w:rsid w:val="00A83CE6"/>
    <w:rsid w:val="00A84086"/>
    <w:rsid w:val="00A843D6"/>
    <w:rsid w:val="00A846FC"/>
    <w:rsid w:val="00A848AF"/>
    <w:rsid w:val="00A84A20"/>
    <w:rsid w:val="00A84EA4"/>
    <w:rsid w:val="00A84ED6"/>
    <w:rsid w:val="00A8506E"/>
    <w:rsid w:val="00A8517E"/>
    <w:rsid w:val="00A85369"/>
    <w:rsid w:val="00A854E3"/>
    <w:rsid w:val="00A855B8"/>
    <w:rsid w:val="00A858EB"/>
    <w:rsid w:val="00A859AF"/>
    <w:rsid w:val="00A859E0"/>
    <w:rsid w:val="00A85A22"/>
    <w:rsid w:val="00A85A30"/>
    <w:rsid w:val="00A85ACF"/>
    <w:rsid w:val="00A85C36"/>
    <w:rsid w:val="00A85C59"/>
    <w:rsid w:val="00A85FE8"/>
    <w:rsid w:val="00A85FEE"/>
    <w:rsid w:val="00A863D6"/>
    <w:rsid w:val="00A8656F"/>
    <w:rsid w:val="00A865AF"/>
    <w:rsid w:val="00A86675"/>
    <w:rsid w:val="00A86698"/>
    <w:rsid w:val="00A8670B"/>
    <w:rsid w:val="00A86847"/>
    <w:rsid w:val="00A86B91"/>
    <w:rsid w:val="00A86CB9"/>
    <w:rsid w:val="00A86D92"/>
    <w:rsid w:val="00A86E16"/>
    <w:rsid w:val="00A86F26"/>
    <w:rsid w:val="00A86FE5"/>
    <w:rsid w:val="00A87059"/>
    <w:rsid w:val="00A872A2"/>
    <w:rsid w:val="00A8735A"/>
    <w:rsid w:val="00A87494"/>
    <w:rsid w:val="00A87509"/>
    <w:rsid w:val="00A8751C"/>
    <w:rsid w:val="00A8754C"/>
    <w:rsid w:val="00A8768E"/>
    <w:rsid w:val="00A87885"/>
    <w:rsid w:val="00A87A33"/>
    <w:rsid w:val="00A87BAD"/>
    <w:rsid w:val="00A87DB2"/>
    <w:rsid w:val="00A87FCB"/>
    <w:rsid w:val="00A87FEA"/>
    <w:rsid w:val="00A90093"/>
    <w:rsid w:val="00A900B0"/>
    <w:rsid w:val="00A90466"/>
    <w:rsid w:val="00A90489"/>
    <w:rsid w:val="00A904B2"/>
    <w:rsid w:val="00A905C5"/>
    <w:rsid w:val="00A90755"/>
    <w:rsid w:val="00A90972"/>
    <w:rsid w:val="00A90C97"/>
    <w:rsid w:val="00A90CB0"/>
    <w:rsid w:val="00A91163"/>
    <w:rsid w:val="00A91208"/>
    <w:rsid w:val="00A91251"/>
    <w:rsid w:val="00A9158E"/>
    <w:rsid w:val="00A916D2"/>
    <w:rsid w:val="00A91DE2"/>
    <w:rsid w:val="00A91DEE"/>
    <w:rsid w:val="00A91F9E"/>
    <w:rsid w:val="00A9202D"/>
    <w:rsid w:val="00A920FC"/>
    <w:rsid w:val="00A922C2"/>
    <w:rsid w:val="00A924A0"/>
    <w:rsid w:val="00A92539"/>
    <w:rsid w:val="00A9253F"/>
    <w:rsid w:val="00A9257A"/>
    <w:rsid w:val="00A925F6"/>
    <w:rsid w:val="00A928FE"/>
    <w:rsid w:val="00A92AB6"/>
    <w:rsid w:val="00A92B4B"/>
    <w:rsid w:val="00A92D05"/>
    <w:rsid w:val="00A92D67"/>
    <w:rsid w:val="00A92EE5"/>
    <w:rsid w:val="00A93054"/>
    <w:rsid w:val="00A9306D"/>
    <w:rsid w:val="00A93160"/>
    <w:rsid w:val="00A93315"/>
    <w:rsid w:val="00A935C2"/>
    <w:rsid w:val="00A93648"/>
    <w:rsid w:val="00A936B8"/>
    <w:rsid w:val="00A93833"/>
    <w:rsid w:val="00A93DD6"/>
    <w:rsid w:val="00A93ECA"/>
    <w:rsid w:val="00A93FA0"/>
    <w:rsid w:val="00A94121"/>
    <w:rsid w:val="00A94157"/>
    <w:rsid w:val="00A942AA"/>
    <w:rsid w:val="00A9431C"/>
    <w:rsid w:val="00A94366"/>
    <w:rsid w:val="00A9438E"/>
    <w:rsid w:val="00A94441"/>
    <w:rsid w:val="00A944C0"/>
    <w:rsid w:val="00A94B33"/>
    <w:rsid w:val="00A94BF0"/>
    <w:rsid w:val="00A94C61"/>
    <w:rsid w:val="00A94D3E"/>
    <w:rsid w:val="00A94E28"/>
    <w:rsid w:val="00A95090"/>
    <w:rsid w:val="00A9511B"/>
    <w:rsid w:val="00A951FC"/>
    <w:rsid w:val="00A952DF"/>
    <w:rsid w:val="00A95370"/>
    <w:rsid w:val="00A95467"/>
    <w:rsid w:val="00A95599"/>
    <w:rsid w:val="00A95948"/>
    <w:rsid w:val="00A95AD0"/>
    <w:rsid w:val="00A95CBF"/>
    <w:rsid w:val="00A95EB0"/>
    <w:rsid w:val="00A95FD6"/>
    <w:rsid w:val="00A95FDA"/>
    <w:rsid w:val="00A96237"/>
    <w:rsid w:val="00A96425"/>
    <w:rsid w:val="00A96475"/>
    <w:rsid w:val="00A964BE"/>
    <w:rsid w:val="00A96550"/>
    <w:rsid w:val="00A9666E"/>
    <w:rsid w:val="00A96691"/>
    <w:rsid w:val="00A96829"/>
    <w:rsid w:val="00A969BF"/>
    <w:rsid w:val="00A96A06"/>
    <w:rsid w:val="00A96A12"/>
    <w:rsid w:val="00A96D77"/>
    <w:rsid w:val="00A96E04"/>
    <w:rsid w:val="00A96E81"/>
    <w:rsid w:val="00A971E0"/>
    <w:rsid w:val="00A97396"/>
    <w:rsid w:val="00A97601"/>
    <w:rsid w:val="00A976B5"/>
    <w:rsid w:val="00A978CD"/>
    <w:rsid w:val="00A97945"/>
    <w:rsid w:val="00A97B5E"/>
    <w:rsid w:val="00A97C78"/>
    <w:rsid w:val="00A97F85"/>
    <w:rsid w:val="00AA004E"/>
    <w:rsid w:val="00AA020A"/>
    <w:rsid w:val="00AA03A7"/>
    <w:rsid w:val="00AA08CF"/>
    <w:rsid w:val="00AA0945"/>
    <w:rsid w:val="00AA0C1C"/>
    <w:rsid w:val="00AA0C2C"/>
    <w:rsid w:val="00AA0E49"/>
    <w:rsid w:val="00AA0E8F"/>
    <w:rsid w:val="00AA0E99"/>
    <w:rsid w:val="00AA0FDE"/>
    <w:rsid w:val="00AA1154"/>
    <w:rsid w:val="00AA1185"/>
    <w:rsid w:val="00AA139D"/>
    <w:rsid w:val="00AA140E"/>
    <w:rsid w:val="00AA142C"/>
    <w:rsid w:val="00AA1527"/>
    <w:rsid w:val="00AA1666"/>
    <w:rsid w:val="00AA1A02"/>
    <w:rsid w:val="00AA1B76"/>
    <w:rsid w:val="00AA1CFB"/>
    <w:rsid w:val="00AA1D69"/>
    <w:rsid w:val="00AA1DBE"/>
    <w:rsid w:val="00AA2612"/>
    <w:rsid w:val="00AA2B5B"/>
    <w:rsid w:val="00AA2B7F"/>
    <w:rsid w:val="00AA2B8B"/>
    <w:rsid w:val="00AA2BC7"/>
    <w:rsid w:val="00AA2BCC"/>
    <w:rsid w:val="00AA2C9D"/>
    <w:rsid w:val="00AA3084"/>
    <w:rsid w:val="00AA340E"/>
    <w:rsid w:val="00AA356A"/>
    <w:rsid w:val="00AA360C"/>
    <w:rsid w:val="00AA3740"/>
    <w:rsid w:val="00AA3783"/>
    <w:rsid w:val="00AA3928"/>
    <w:rsid w:val="00AA39FF"/>
    <w:rsid w:val="00AA3A7D"/>
    <w:rsid w:val="00AA3ACC"/>
    <w:rsid w:val="00AA3B0B"/>
    <w:rsid w:val="00AA3B93"/>
    <w:rsid w:val="00AA3C94"/>
    <w:rsid w:val="00AA3CB4"/>
    <w:rsid w:val="00AA3E9C"/>
    <w:rsid w:val="00AA3EA7"/>
    <w:rsid w:val="00AA42DF"/>
    <w:rsid w:val="00AA449C"/>
    <w:rsid w:val="00AA4643"/>
    <w:rsid w:val="00AA4848"/>
    <w:rsid w:val="00AA4AD6"/>
    <w:rsid w:val="00AA4C55"/>
    <w:rsid w:val="00AA4CDF"/>
    <w:rsid w:val="00AA4EB0"/>
    <w:rsid w:val="00AA4ECC"/>
    <w:rsid w:val="00AA5000"/>
    <w:rsid w:val="00AA534D"/>
    <w:rsid w:val="00AA541D"/>
    <w:rsid w:val="00AA562A"/>
    <w:rsid w:val="00AA56E8"/>
    <w:rsid w:val="00AA5C46"/>
    <w:rsid w:val="00AA5C84"/>
    <w:rsid w:val="00AA5DE6"/>
    <w:rsid w:val="00AA5E50"/>
    <w:rsid w:val="00AA5F0D"/>
    <w:rsid w:val="00AA63B5"/>
    <w:rsid w:val="00AA6581"/>
    <w:rsid w:val="00AA665E"/>
    <w:rsid w:val="00AA6686"/>
    <w:rsid w:val="00AA6700"/>
    <w:rsid w:val="00AA6D34"/>
    <w:rsid w:val="00AA724B"/>
    <w:rsid w:val="00AA73D3"/>
    <w:rsid w:val="00AA74AF"/>
    <w:rsid w:val="00AA7526"/>
    <w:rsid w:val="00AA7B1E"/>
    <w:rsid w:val="00AA7B29"/>
    <w:rsid w:val="00AA7C39"/>
    <w:rsid w:val="00AA7DD4"/>
    <w:rsid w:val="00AA7E9D"/>
    <w:rsid w:val="00AA7F18"/>
    <w:rsid w:val="00AA7FEB"/>
    <w:rsid w:val="00AB0045"/>
    <w:rsid w:val="00AB00D7"/>
    <w:rsid w:val="00AB019D"/>
    <w:rsid w:val="00AB0307"/>
    <w:rsid w:val="00AB0309"/>
    <w:rsid w:val="00AB048E"/>
    <w:rsid w:val="00AB0613"/>
    <w:rsid w:val="00AB0726"/>
    <w:rsid w:val="00AB0864"/>
    <w:rsid w:val="00AB08A0"/>
    <w:rsid w:val="00AB0BC9"/>
    <w:rsid w:val="00AB0C1C"/>
    <w:rsid w:val="00AB0CCE"/>
    <w:rsid w:val="00AB0D1D"/>
    <w:rsid w:val="00AB0E26"/>
    <w:rsid w:val="00AB0ECC"/>
    <w:rsid w:val="00AB1099"/>
    <w:rsid w:val="00AB137D"/>
    <w:rsid w:val="00AB138C"/>
    <w:rsid w:val="00AB168D"/>
    <w:rsid w:val="00AB16A6"/>
    <w:rsid w:val="00AB1997"/>
    <w:rsid w:val="00AB1A97"/>
    <w:rsid w:val="00AB1BCF"/>
    <w:rsid w:val="00AB1D84"/>
    <w:rsid w:val="00AB1F22"/>
    <w:rsid w:val="00AB2036"/>
    <w:rsid w:val="00AB2137"/>
    <w:rsid w:val="00AB2297"/>
    <w:rsid w:val="00AB26F4"/>
    <w:rsid w:val="00AB2706"/>
    <w:rsid w:val="00AB276D"/>
    <w:rsid w:val="00AB284D"/>
    <w:rsid w:val="00AB2982"/>
    <w:rsid w:val="00AB2A33"/>
    <w:rsid w:val="00AB2A6A"/>
    <w:rsid w:val="00AB305B"/>
    <w:rsid w:val="00AB31B7"/>
    <w:rsid w:val="00AB3212"/>
    <w:rsid w:val="00AB35FA"/>
    <w:rsid w:val="00AB3928"/>
    <w:rsid w:val="00AB398F"/>
    <w:rsid w:val="00AB3AE5"/>
    <w:rsid w:val="00AB3C59"/>
    <w:rsid w:val="00AB3D3D"/>
    <w:rsid w:val="00AB3E4E"/>
    <w:rsid w:val="00AB3FE0"/>
    <w:rsid w:val="00AB412F"/>
    <w:rsid w:val="00AB42C8"/>
    <w:rsid w:val="00AB443C"/>
    <w:rsid w:val="00AB46A5"/>
    <w:rsid w:val="00AB49DD"/>
    <w:rsid w:val="00AB4B1E"/>
    <w:rsid w:val="00AB4B5B"/>
    <w:rsid w:val="00AB4C4F"/>
    <w:rsid w:val="00AB4EDD"/>
    <w:rsid w:val="00AB5169"/>
    <w:rsid w:val="00AB53A8"/>
    <w:rsid w:val="00AB5417"/>
    <w:rsid w:val="00AB5658"/>
    <w:rsid w:val="00AB56C3"/>
    <w:rsid w:val="00AB5805"/>
    <w:rsid w:val="00AB581B"/>
    <w:rsid w:val="00AB58E3"/>
    <w:rsid w:val="00AB5923"/>
    <w:rsid w:val="00AB5A99"/>
    <w:rsid w:val="00AB5BA4"/>
    <w:rsid w:val="00AB5C14"/>
    <w:rsid w:val="00AB5DED"/>
    <w:rsid w:val="00AB5DFF"/>
    <w:rsid w:val="00AB5E6A"/>
    <w:rsid w:val="00AB5ED2"/>
    <w:rsid w:val="00AB5F7B"/>
    <w:rsid w:val="00AB5FEF"/>
    <w:rsid w:val="00AB6099"/>
    <w:rsid w:val="00AB650E"/>
    <w:rsid w:val="00AB6623"/>
    <w:rsid w:val="00AB696F"/>
    <w:rsid w:val="00AB69A2"/>
    <w:rsid w:val="00AB6A0C"/>
    <w:rsid w:val="00AB6AC6"/>
    <w:rsid w:val="00AB6ACB"/>
    <w:rsid w:val="00AB6AD3"/>
    <w:rsid w:val="00AB6BFD"/>
    <w:rsid w:val="00AB6F22"/>
    <w:rsid w:val="00AB6FD4"/>
    <w:rsid w:val="00AB726B"/>
    <w:rsid w:val="00AB74A5"/>
    <w:rsid w:val="00AB753A"/>
    <w:rsid w:val="00AB758D"/>
    <w:rsid w:val="00AB79F5"/>
    <w:rsid w:val="00AB7A8D"/>
    <w:rsid w:val="00AB7BEA"/>
    <w:rsid w:val="00AB7D24"/>
    <w:rsid w:val="00AB7DE3"/>
    <w:rsid w:val="00AC0048"/>
    <w:rsid w:val="00AC0051"/>
    <w:rsid w:val="00AC019E"/>
    <w:rsid w:val="00AC0B30"/>
    <w:rsid w:val="00AC0C70"/>
    <w:rsid w:val="00AC0C95"/>
    <w:rsid w:val="00AC0D0C"/>
    <w:rsid w:val="00AC0D0D"/>
    <w:rsid w:val="00AC0E6D"/>
    <w:rsid w:val="00AC0EBA"/>
    <w:rsid w:val="00AC0FDA"/>
    <w:rsid w:val="00AC0FF3"/>
    <w:rsid w:val="00AC10BC"/>
    <w:rsid w:val="00AC147A"/>
    <w:rsid w:val="00AC1553"/>
    <w:rsid w:val="00AC15E1"/>
    <w:rsid w:val="00AC1609"/>
    <w:rsid w:val="00AC1825"/>
    <w:rsid w:val="00AC187D"/>
    <w:rsid w:val="00AC19B5"/>
    <w:rsid w:val="00AC1A54"/>
    <w:rsid w:val="00AC1BAE"/>
    <w:rsid w:val="00AC1E11"/>
    <w:rsid w:val="00AC1EBC"/>
    <w:rsid w:val="00AC2129"/>
    <w:rsid w:val="00AC23F9"/>
    <w:rsid w:val="00AC2963"/>
    <w:rsid w:val="00AC2B0A"/>
    <w:rsid w:val="00AC2B61"/>
    <w:rsid w:val="00AC2C8A"/>
    <w:rsid w:val="00AC2E90"/>
    <w:rsid w:val="00AC2F42"/>
    <w:rsid w:val="00AC2F4E"/>
    <w:rsid w:val="00AC2F5C"/>
    <w:rsid w:val="00AC3315"/>
    <w:rsid w:val="00AC342E"/>
    <w:rsid w:val="00AC3436"/>
    <w:rsid w:val="00AC34CC"/>
    <w:rsid w:val="00AC35CF"/>
    <w:rsid w:val="00AC35FC"/>
    <w:rsid w:val="00AC38C8"/>
    <w:rsid w:val="00AC3910"/>
    <w:rsid w:val="00AC3932"/>
    <w:rsid w:val="00AC39FC"/>
    <w:rsid w:val="00AC3B1F"/>
    <w:rsid w:val="00AC3CD5"/>
    <w:rsid w:val="00AC3E7A"/>
    <w:rsid w:val="00AC3FE6"/>
    <w:rsid w:val="00AC4086"/>
    <w:rsid w:val="00AC4105"/>
    <w:rsid w:val="00AC41FF"/>
    <w:rsid w:val="00AC4354"/>
    <w:rsid w:val="00AC46A4"/>
    <w:rsid w:val="00AC46F9"/>
    <w:rsid w:val="00AC48E6"/>
    <w:rsid w:val="00AC4AFE"/>
    <w:rsid w:val="00AC4FD2"/>
    <w:rsid w:val="00AC5387"/>
    <w:rsid w:val="00AC563B"/>
    <w:rsid w:val="00AC56AA"/>
    <w:rsid w:val="00AC5704"/>
    <w:rsid w:val="00AC58A9"/>
    <w:rsid w:val="00AC5A12"/>
    <w:rsid w:val="00AC5AD6"/>
    <w:rsid w:val="00AC5B49"/>
    <w:rsid w:val="00AC5CD6"/>
    <w:rsid w:val="00AC5DEE"/>
    <w:rsid w:val="00AC5E15"/>
    <w:rsid w:val="00AC5EA2"/>
    <w:rsid w:val="00AC62E0"/>
    <w:rsid w:val="00AC6400"/>
    <w:rsid w:val="00AC6682"/>
    <w:rsid w:val="00AC677E"/>
    <w:rsid w:val="00AC6788"/>
    <w:rsid w:val="00AC6B97"/>
    <w:rsid w:val="00AC6C1D"/>
    <w:rsid w:val="00AC6D27"/>
    <w:rsid w:val="00AC6E07"/>
    <w:rsid w:val="00AC6E10"/>
    <w:rsid w:val="00AC7254"/>
    <w:rsid w:val="00AC725D"/>
    <w:rsid w:val="00AC7542"/>
    <w:rsid w:val="00AC7655"/>
    <w:rsid w:val="00AC7740"/>
    <w:rsid w:val="00AC777A"/>
    <w:rsid w:val="00AC7782"/>
    <w:rsid w:val="00AC778E"/>
    <w:rsid w:val="00AC7835"/>
    <w:rsid w:val="00AC7851"/>
    <w:rsid w:val="00AC78E0"/>
    <w:rsid w:val="00AC79B6"/>
    <w:rsid w:val="00AC7B55"/>
    <w:rsid w:val="00AC7EBC"/>
    <w:rsid w:val="00AD010D"/>
    <w:rsid w:val="00AD027C"/>
    <w:rsid w:val="00AD02F8"/>
    <w:rsid w:val="00AD044C"/>
    <w:rsid w:val="00AD04EC"/>
    <w:rsid w:val="00AD05C1"/>
    <w:rsid w:val="00AD0623"/>
    <w:rsid w:val="00AD07F7"/>
    <w:rsid w:val="00AD1204"/>
    <w:rsid w:val="00AD13CD"/>
    <w:rsid w:val="00AD1898"/>
    <w:rsid w:val="00AD1B92"/>
    <w:rsid w:val="00AD1C46"/>
    <w:rsid w:val="00AD1DA0"/>
    <w:rsid w:val="00AD1DBB"/>
    <w:rsid w:val="00AD1DBD"/>
    <w:rsid w:val="00AD1DC1"/>
    <w:rsid w:val="00AD1DC6"/>
    <w:rsid w:val="00AD21AB"/>
    <w:rsid w:val="00AD22AE"/>
    <w:rsid w:val="00AD23FF"/>
    <w:rsid w:val="00AD2471"/>
    <w:rsid w:val="00AD24A2"/>
    <w:rsid w:val="00AD2593"/>
    <w:rsid w:val="00AD278D"/>
    <w:rsid w:val="00AD2980"/>
    <w:rsid w:val="00AD29ED"/>
    <w:rsid w:val="00AD2ADB"/>
    <w:rsid w:val="00AD2E2B"/>
    <w:rsid w:val="00AD2F3B"/>
    <w:rsid w:val="00AD30A2"/>
    <w:rsid w:val="00AD30EB"/>
    <w:rsid w:val="00AD32E2"/>
    <w:rsid w:val="00AD3328"/>
    <w:rsid w:val="00AD38B1"/>
    <w:rsid w:val="00AD38BF"/>
    <w:rsid w:val="00AD3908"/>
    <w:rsid w:val="00AD3A4C"/>
    <w:rsid w:val="00AD3AF6"/>
    <w:rsid w:val="00AD3E87"/>
    <w:rsid w:val="00AD4027"/>
    <w:rsid w:val="00AD424B"/>
    <w:rsid w:val="00AD43D5"/>
    <w:rsid w:val="00AD446C"/>
    <w:rsid w:val="00AD466F"/>
    <w:rsid w:val="00AD472A"/>
    <w:rsid w:val="00AD4ADA"/>
    <w:rsid w:val="00AD4CAC"/>
    <w:rsid w:val="00AD4CD0"/>
    <w:rsid w:val="00AD4D27"/>
    <w:rsid w:val="00AD50EF"/>
    <w:rsid w:val="00AD524A"/>
    <w:rsid w:val="00AD53F5"/>
    <w:rsid w:val="00AD53F8"/>
    <w:rsid w:val="00AD5561"/>
    <w:rsid w:val="00AD5576"/>
    <w:rsid w:val="00AD5865"/>
    <w:rsid w:val="00AD598E"/>
    <w:rsid w:val="00AD5999"/>
    <w:rsid w:val="00AD59A3"/>
    <w:rsid w:val="00AD5C58"/>
    <w:rsid w:val="00AD5C5F"/>
    <w:rsid w:val="00AD5FF9"/>
    <w:rsid w:val="00AD625F"/>
    <w:rsid w:val="00AD646B"/>
    <w:rsid w:val="00AD64F5"/>
    <w:rsid w:val="00AD6621"/>
    <w:rsid w:val="00AD66EC"/>
    <w:rsid w:val="00AD675C"/>
    <w:rsid w:val="00AD680F"/>
    <w:rsid w:val="00AD683B"/>
    <w:rsid w:val="00AD6B4E"/>
    <w:rsid w:val="00AD6C1F"/>
    <w:rsid w:val="00AD6D00"/>
    <w:rsid w:val="00AD6DFC"/>
    <w:rsid w:val="00AD6E96"/>
    <w:rsid w:val="00AD6F64"/>
    <w:rsid w:val="00AD6F7C"/>
    <w:rsid w:val="00AD6FB6"/>
    <w:rsid w:val="00AD720E"/>
    <w:rsid w:val="00AD75BE"/>
    <w:rsid w:val="00AD75D4"/>
    <w:rsid w:val="00AD7635"/>
    <w:rsid w:val="00AD7815"/>
    <w:rsid w:val="00AD78E9"/>
    <w:rsid w:val="00AD79F3"/>
    <w:rsid w:val="00AD7A79"/>
    <w:rsid w:val="00AD7AB2"/>
    <w:rsid w:val="00AD7B80"/>
    <w:rsid w:val="00AD7EC4"/>
    <w:rsid w:val="00AE00AB"/>
    <w:rsid w:val="00AE0148"/>
    <w:rsid w:val="00AE0704"/>
    <w:rsid w:val="00AE097E"/>
    <w:rsid w:val="00AE0B74"/>
    <w:rsid w:val="00AE0E27"/>
    <w:rsid w:val="00AE0E47"/>
    <w:rsid w:val="00AE0EF0"/>
    <w:rsid w:val="00AE0FBC"/>
    <w:rsid w:val="00AE10FC"/>
    <w:rsid w:val="00AE111F"/>
    <w:rsid w:val="00AE1251"/>
    <w:rsid w:val="00AE1297"/>
    <w:rsid w:val="00AE1437"/>
    <w:rsid w:val="00AE175E"/>
    <w:rsid w:val="00AE193C"/>
    <w:rsid w:val="00AE196D"/>
    <w:rsid w:val="00AE1AB3"/>
    <w:rsid w:val="00AE1BEF"/>
    <w:rsid w:val="00AE1CE2"/>
    <w:rsid w:val="00AE1E12"/>
    <w:rsid w:val="00AE1E52"/>
    <w:rsid w:val="00AE2174"/>
    <w:rsid w:val="00AE217E"/>
    <w:rsid w:val="00AE2195"/>
    <w:rsid w:val="00AE2207"/>
    <w:rsid w:val="00AE239F"/>
    <w:rsid w:val="00AE23A2"/>
    <w:rsid w:val="00AE256E"/>
    <w:rsid w:val="00AE25C0"/>
    <w:rsid w:val="00AE2697"/>
    <w:rsid w:val="00AE277D"/>
    <w:rsid w:val="00AE2910"/>
    <w:rsid w:val="00AE2ACE"/>
    <w:rsid w:val="00AE2C1B"/>
    <w:rsid w:val="00AE2C9F"/>
    <w:rsid w:val="00AE2CB2"/>
    <w:rsid w:val="00AE2F9D"/>
    <w:rsid w:val="00AE31FA"/>
    <w:rsid w:val="00AE335C"/>
    <w:rsid w:val="00AE346D"/>
    <w:rsid w:val="00AE34C4"/>
    <w:rsid w:val="00AE34FD"/>
    <w:rsid w:val="00AE3619"/>
    <w:rsid w:val="00AE375C"/>
    <w:rsid w:val="00AE384C"/>
    <w:rsid w:val="00AE39D6"/>
    <w:rsid w:val="00AE3C07"/>
    <w:rsid w:val="00AE3C7F"/>
    <w:rsid w:val="00AE3D53"/>
    <w:rsid w:val="00AE3D8C"/>
    <w:rsid w:val="00AE3E61"/>
    <w:rsid w:val="00AE3EDC"/>
    <w:rsid w:val="00AE3F33"/>
    <w:rsid w:val="00AE3F38"/>
    <w:rsid w:val="00AE3FCB"/>
    <w:rsid w:val="00AE3FF2"/>
    <w:rsid w:val="00AE40CF"/>
    <w:rsid w:val="00AE4186"/>
    <w:rsid w:val="00AE4464"/>
    <w:rsid w:val="00AE479B"/>
    <w:rsid w:val="00AE48A2"/>
    <w:rsid w:val="00AE49D8"/>
    <w:rsid w:val="00AE4D2B"/>
    <w:rsid w:val="00AE4E4C"/>
    <w:rsid w:val="00AE546F"/>
    <w:rsid w:val="00AE58ED"/>
    <w:rsid w:val="00AE59C6"/>
    <w:rsid w:val="00AE5A4C"/>
    <w:rsid w:val="00AE5B66"/>
    <w:rsid w:val="00AE5D85"/>
    <w:rsid w:val="00AE5DF8"/>
    <w:rsid w:val="00AE5E25"/>
    <w:rsid w:val="00AE5E6E"/>
    <w:rsid w:val="00AE6009"/>
    <w:rsid w:val="00AE61D9"/>
    <w:rsid w:val="00AE626D"/>
    <w:rsid w:val="00AE6429"/>
    <w:rsid w:val="00AE6440"/>
    <w:rsid w:val="00AE65BD"/>
    <w:rsid w:val="00AE6646"/>
    <w:rsid w:val="00AE66A6"/>
    <w:rsid w:val="00AE66E5"/>
    <w:rsid w:val="00AE6891"/>
    <w:rsid w:val="00AE68D9"/>
    <w:rsid w:val="00AE6962"/>
    <w:rsid w:val="00AE6A1E"/>
    <w:rsid w:val="00AE6C9C"/>
    <w:rsid w:val="00AE6CE1"/>
    <w:rsid w:val="00AE7162"/>
    <w:rsid w:val="00AE741C"/>
    <w:rsid w:val="00AE7545"/>
    <w:rsid w:val="00AE7547"/>
    <w:rsid w:val="00AE76D0"/>
    <w:rsid w:val="00AE7782"/>
    <w:rsid w:val="00AE78A1"/>
    <w:rsid w:val="00AF0076"/>
    <w:rsid w:val="00AF0144"/>
    <w:rsid w:val="00AF0574"/>
    <w:rsid w:val="00AF0616"/>
    <w:rsid w:val="00AF09D6"/>
    <w:rsid w:val="00AF0CBA"/>
    <w:rsid w:val="00AF11D2"/>
    <w:rsid w:val="00AF1291"/>
    <w:rsid w:val="00AF151D"/>
    <w:rsid w:val="00AF153A"/>
    <w:rsid w:val="00AF17B1"/>
    <w:rsid w:val="00AF18AD"/>
    <w:rsid w:val="00AF1A89"/>
    <w:rsid w:val="00AF1C69"/>
    <w:rsid w:val="00AF1D77"/>
    <w:rsid w:val="00AF1E29"/>
    <w:rsid w:val="00AF1E6C"/>
    <w:rsid w:val="00AF1EC7"/>
    <w:rsid w:val="00AF1FD3"/>
    <w:rsid w:val="00AF2167"/>
    <w:rsid w:val="00AF228E"/>
    <w:rsid w:val="00AF269E"/>
    <w:rsid w:val="00AF2808"/>
    <w:rsid w:val="00AF2881"/>
    <w:rsid w:val="00AF28B5"/>
    <w:rsid w:val="00AF297D"/>
    <w:rsid w:val="00AF2A5E"/>
    <w:rsid w:val="00AF2B4B"/>
    <w:rsid w:val="00AF2CD7"/>
    <w:rsid w:val="00AF2D4D"/>
    <w:rsid w:val="00AF2EF0"/>
    <w:rsid w:val="00AF2F1B"/>
    <w:rsid w:val="00AF2FB3"/>
    <w:rsid w:val="00AF2FBD"/>
    <w:rsid w:val="00AF301B"/>
    <w:rsid w:val="00AF30B1"/>
    <w:rsid w:val="00AF3345"/>
    <w:rsid w:val="00AF336A"/>
    <w:rsid w:val="00AF35E3"/>
    <w:rsid w:val="00AF3766"/>
    <w:rsid w:val="00AF38EF"/>
    <w:rsid w:val="00AF3972"/>
    <w:rsid w:val="00AF39AF"/>
    <w:rsid w:val="00AF3AD1"/>
    <w:rsid w:val="00AF3AE3"/>
    <w:rsid w:val="00AF3D9F"/>
    <w:rsid w:val="00AF3DF1"/>
    <w:rsid w:val="00AF4050"/>
    <w:rsid w:val="00AF4086"/>
    <w:rsid w:val="00AF41ED"/>
    <w:rsid w:val="00AF43C2"/>
    <w:rsid w:val="00AF4426"/>
    <w:rsid w:val="00AF4456"/>
    <w:rsid w:val="00AF4562"/>
    <w:rsid w:val="00AF4613"/>
    <w:rsid w:val="00AF473B"/>
    <w:rsid w:val="00AF48B3"/>
    <w:rsid w:val="00AF499C"/>
    <w:rsid w:val="00AF4AB1"/>
    <w:rsid w:val="00AF4D28"/>
    <w:rsid w:val="00AF4D9D"/>
    <w:rsid w:val="00AF4DD9"/>
    <w:rsid w:val="00AF52B1"/>
    <w:rsid w:val="00AF5350"/>
    <w:rsid w:val="00AF5399"/>
    <w:rsid w:val="00AF53AC"/>
    <w:rsid w:val="00AF5506"/>
    <w:rsid w:val="00AF556A"/>
    <w:rsid w:val="00AF55B9"/>
    <w:rsid w:val="00AF56BA"/>
    <w:rsid w:val="00AF589C"/>
    <w:rsid w:val="00AF590D"/>
    <w:rsid w:val="00AF596C"/>
    <w:rsid w:val="00AF5A43"/>
    <w:rsid w:val="00AF5BAF"/>
    <w:rsid w:val="00AF5BC0"/>
    <w:rsid w:val="00AF5C97"/>
    <w:rsid w:val="00AF5F16"/>
    <w:rsid w:val="00AF62EF"/>
    <w:rsid w:val="00AF632C"/>
    <w:rsid w:val="00AF6543"/>
    <w:rsid w:val="00AF67F0"/>
    <w:rsid w:val="00AF6B61"/>
    <w:rsid w:val="00AF6C5A"/>
    <w:rsid w:val="00AF6E9E"/>
    <w:rsid w:val="00AF705B"/>
    <w:rsid w:val="00AF7112"/>
    <w:rsid w:val="00AF740E"/>
    <w:rsid w:val="00AF744A"/>
    <w:rsid w:val="00AF76E2"/>
    <w:rsid w:val="00AF77D3"/>
    <w:rsid w:val="00AF7967"/>
    <w:rsid w:val="00AF799F"/>
    <w:rsid w:val="00AF7A2C"/>
    <w:rsid w:val="00AF7A6F"/>
    <w:rsid w:val="00AF7B69"/>
    <w:rsid w:val="00AF7E62"/>
    <w:rsid w:val="00AF7FB3"/>
    <w:rsid w:val="00AF7FEA"/>
    <w:rsid w:val="00B00049"/>
    <w:rsid w:val="00B00113"/>
    <w:rsid w:val="00B0015D"/>
    <w:rsid w:val="00B0025E"/>
    <w:rsid w:val="00B002AD"/>
    <w:rsid w:val="00B00391"/>
    <w:rsid w:val="00B00665"/>
    <w:rsid w:val="00B00862"/>
    <w:rsid w:val="00B00C57"/>
    <w:rsid w:val="00B00D31"/>
    <w:rsid w:val="00B01021"/>
    <w:rsid w:val="00B0119B"/>
    <w:rsid w:val="00B011B9"/>
    <w:rsid w:val="00B011C3"/>
    <w:rsid w:val="00B0137E"/>
    <w:rsid w:val="00B015E6"/>
    <w:rsid w:val="00B01660"/>
    <w:rsid w:val="00B0168B"/>
    <w:rsid w:val="00B01812"/>
    <w:rsid w:val="00B018ED"/>
    <w:rsid w:val="00B0197B"/>
    <w:rsid w:val="00B01A05"/>
    <w:rsid w:val="00B01A4B"/>
    <w:rsid w:val="00B01B32"/>
    <w:rsid w:val="00B01BB5"/>
    <w:rsid w:val="00B01D73"/>
    <w:rsid w:val="00B02169"/>
    <w:rsid w:val="00B02267"/>
    <w:rsid w:val="00B02346"/>
    <w:rsid w:val="00B02799"/>
    <w:rsid w:val="00B0294C"/>
    <w:rsid w:val="00B02953"/>
    <w:rsid w:val="00B02C75"/>
    <w:rsid w:val="00B02D3A"/>
    <w:rsid w:val="00B02D8D"/>
    <w:rsid w:val="00B02E07"/>
    <w:rsid w:val="00B02E85"/>
    <w:rsid w:val="00B02EEE"/>
    <w:rsid w:val="00B0305B"/>
    <w:rsid w:val="00B0309F"/>
    <w:rsid w:val="00B0315F"/>
    <w:rsid w:val="00B03198"/>
    <w:rsid w:val="00B03377"/>
    <w:rsid w:val="00B03383"/>
    <w:rsid w:val="00B033A4"/>
    <w:rsid w:val="00B03544"/>
    <w:rsid w:val="00B0371E"/>
    <w:rsid w:val="00B03890"/>
    <w:rsid w:val="00B03A69"/>
    <w:rsid w:val="00B03B89"/>
    <w:rsid w:val="00B03BAF"/>
    <w:rsid w:val="00B03C34"/>
    <w:rsid w:val="00B03C7A"/>
    <w:rsid w:val="00B03CB5"/>
    <w:rsid w:val="00B03CD6"/>
    <w:rsid w:val="00B03D1F"/>
    <w:rsid w:val="00B03D72"/>
    <w:rsid w:val="00B03E9D"/>
    <w:rsid w:val="00B03EBE"/>
    <w:rsid w:val="00B03F0A"/>
    <w:rsid w:val="00B04014"/>
    <w:rsid w:val="00B04173"/>
    <w:rsid w:val="00B04386"/>
    <w:rsid w:val="00B043F5"/>
    <w:rsid w:val="00B04A8A"/>
    <w:rsid w:val="00B04AFC"/>
    <w:rsid w:val="00B04C06"/>
    <w:rsid w:val="00B04D01"/>
    <w:rsid w:val="00B04EC5"/>
    <w:rsid w:val="00B04EFD"/>
    <w:rsid w:val="00B04F87"/>
    <w:rsid w:val="00B05059"/>
    <w:rsid w:val="00B05259"/>
    <w:rsid w:val="00B052AE"/>
    <w:rsid w:val="00B052EB"/>
    <w:rsid w:val="00B05628"/>
    <w:rsid w:val="00B05947"/>
    <w:rsid w:val="00B05982"/>
    <w:rsid w:val="00B059FE"/>
    <w:rsid w:val="00B05B53"/>
    <w:rsid w:val="00B05BF0"/>
    <w:rsid w:val="00B05D82"/>
    <w:rsid w:val="00B05D9A"/>
    <w:rsid w:val="00B05DA6"/>
    <w:rsid w:val="00B05EEE"/>
    <w:rsid w:val="00B05FD1"/>
    <w:rsid w:val="00B060F6"/>
    <w:rsid w:val="00B0617B"/>
    <w:rsid w:val="00B0628D"/>
    <w:rsid w:val="00B063C0"/>
    <w:rsid w:val="00B067F3"/>
    <w:rsid w:val="00B068F9"/>
    <w:rsid w:val="00B06A16"/>
    <w:rsid w:val="00B06B32"/>
    <w:rsid w:val="00B06E8D"/>
    <w:rsid w:val="00B070AE"/>
    <w:rsid w:val="00B07136"/>
    <w:rsid w:val="00B0726A"/>
    <w:rsid w:val="00B075E3"/>
    <w:rsid w:val="00B075EB"/>
    <w:rsid w:val="00B076B4"/>
    <w:rsid w:val="00B07A31"/>
    <w:rsid w:val="00B07C63"/>
    <w:rsid w:val="00B07C98"/>
    <w:rsid w:val="00B07C9C"/>
    <w:rsid w:val="00B07C9D"/>
    <w:rsid w:val="00B07F2B"/>
    <w:rsid w:val="00B10078"/>
    <w:rsid w:val="00B1042B"/>
    <w:rsid w:val="00B10653"/>
    <w:rsid w:val="00B10B2D"/>
    <w:rsid w:val="00B10EDD"/>
    <w:rsid w:val="00B11018"/>
    <w:rsid w:val="00B11143"/>
    <w:rsid w:val="00B11186"/>
    <w:rsid w:val="00B1118D"/>
    <w:rsid w:val="00B11296"/>
    <w:rsid w:val="00B112F9"/>
    <w:rsid w:val="00B11678"/>
    <w:rsid w:val="00B1186C"/>
    <w:rsid w:val="00B11B0E"/>
    <w:rsid w:val="00B11CAC"/>
    <w:rsid w:val="00B11DA4"/>
    <w:rsid w:val="00B11DB9"/>
    <w:rsid w:val="00B11E31"/>
    <w:rsid w:val="00B12002"/>
    <w:rsid w:val="00B123AB"/>
    <w:rsid w:val="00B123FF"/>
    <w:rsid w:val="00B127D4"/>
    <w:rsid w:val="00B1285C"/>
    <w:rsid w:val="00B128A8"/>
    <w:rsid w:val="00B128FA"/>
    <w:rsid w:val="00B12913"/>
    <w:rsid w:val="00B1299D"/>
    <w:rsid w:val="00B12BD9"/>
    <w:rsid w:val="00B12BF5"/>
    <w:rsid w:val="00B12DD9"/>
    <w:rsid w:val="00B12E22"/>
    <w:rsid w:val="00B12F00"/>
    <w:rsid w:val="00B13000"/>
    <w:rsid w:val="00B130CC"/>
    <w:rsid w:val="00B13234"/>
    <w:rsid w:val="00B1351F"/>
    <w:rsid w:val="00B1356D"/>
    <w:rsid w:val="00B138F1"/>
    <w:rsid w:val="00B13B93"/>
    <w:rsid w:val="00B13C8B"/>
    <w:rsid w:val="00B13CFD"/>
    <w:rsid w:val="00B13D12"/>
    <w:rsid w:val="00B13D35"/>
    <w:rsid w:val="00B13D55"/>
    <w:rsid w:val="00B13D57"/>
    <w:rsid w:val="00B140E2"/>
    <w:rsid w:val="00B1417E"/>
    <w:rsid w:val="00B141FD"/>
    <w:rsid w:val="00B1428F"/>
    <w:rsid w:val="00B14678"/>
    <w:rsid w:val="00B14711"/>
    <w:rsid w:val="00B1474A"/>
    <w:rsid w:val="00B14947"/>
    <w:rsid w:val="00B14A18"/>
    <w:rsid w:val="00B14B98"/>
    <w:rsid w:val="00B14B99"/>
    <w:rsid w:val="00B14C06"/>
    <w:rsid w:val="00B14D8B"/>
    <w:rsid w:val="00B1521F"/>
    <w:rsid w:val="00B152A8"/>
    <w:rsid w:val="00B152FD"/>
    <w:rsid w:val="00B15773"/>
    <w:rsid w:val="00B15A6E"/>
    <w:rsid w:val="00B15A93"/>
    <w:rsid w:val="00B15A9D"/>
    <w:rsid w:val="00B15B27"/>
    <w:rsid w:val="00B15BAA"/>
    <w:rsid w:val="00B15C0F"/>
    <w:rsid w:val="00B15C21"/>
    <w:rsid w:val="00B15F15"/>
    <w:rsid w:val="00B16311"/>
    <w:rsid w:val="00B16477"/>
    <w:rsid w:val="00B16607"/>
    <w:rsid w:val="00B16639"/>
    <w:rsid w:val="00B16731"/>
    <w:rsid w:val="00B1692C"/>
    <w:rsid w:val="00B16991"/>
    <w:rsid w:val="00B16D7E"/>
    <w:rsid w:val="00B170D8"/>
    <w:rsid w:val="00B17132"/>
    <w:rsid w:val="00B173A1"/>
    <w:rsid w:val="00B173A3"/>
    <w:rsid w:val="00B1748D"/>
    <w:rsid w:val="00B177E3"/>
    <w:rsid w:val="00B17857"/>
    <w:rsid w:val="00B179F9"/>
    <w:rsid w:val="00B17B6F"/>
    <w:rsid w:val="00B17C83"/>
    <w:rsid w:val="00B17E69"/>
    <w:rsid w:val="00B201ED"/>
    <w:rsid w:val="00B20374"/>
    <w:rsid w:val="00B20427"/>
    <w:rsid w:val="00B20951"/>
    <w:rsid w:val="00B20ACB"/>
    <w:rsid w:val="00B20CEE"/>
    <w:rsid w:val="00B20FB4"/>
    <w:rsid w:val="00B211EF"/>
    <w:rsid w:val="00B212A9"/>
    <w:rsid w:val="00B2132B"/>
    <w:rsid w:val="00B213E8"/>
    <w:rsid w:val="00B214CD"/>
    <w:rsid w:val="00B216CF"/>
    <w:rsid w:val="00B21793"/>
    <w:rsid w:val="00B21818"/>
    <w:rsid w:val="00B21873"/>
    <w:rsid w:val="00B21AA1"/>
    <w:rsid w:val="00B21BE5"/>
    <w:rsid w:val="00B21E11"/>
    <w:rsid w:val="00B21F95"/>
    <w:rsid w:val="00B21FE4"/>
    <w:rsid w:val="00B21FF6"/>
    <w:rsid w:val="00B22101"/>
    <w:rsid w:val="00B2210B"/>
    <w:rsid w:val="00B2221D"/>
    <w:rsid w:val="00B222E3"/>
    <w:rsid w:val="00B2230F"/>
    <w:rsid w:val="00B2233E"/>
    <w:rsid w:val="00B2259A"/>
    <w:rsid w:val="00B2260D"/>
    <w:rsid w:val="00B2283B"/>
    <w:rsid w:val="00B22A9D"/>
    <w:rsid w:val="00B22AD0"/>
    <w:rsid w:val="00B22C0E"/>
    <w:rsid w:val="00B22CA9"/>
    <w:rsid w:val="00B22DD6"/>
    <w:rsid w:val="00B22E02"/>
    <w:rsid w:val="00B22ECC"/>
    <w:rsid w:val="00B23098"/>
    <w:rsid w:val="00B231E6"/>
    <w:rsid w:val="00B23203"/>
    <w:rsid w:val="00B2325F"/>
    <w:rsid w:val="00B237DF"/>
    <w:rsid w:val="00B23924"/>
    <w:rsid w:val="00B23E14"/>
    <w:rsid w:val="00B23E4A"/>
    <w:rsid w:val="00B23F3D"/>
    <w:rsid w:val="00B23FC0"/>
    <w:rsid w:val="00B23FC1"/>
    <w:rsid w:val="00B24282"/>
    <w:rsid w:val="00B242EB"/>
    <w:rsid w:val="00B2430E"/>
    <w:rsid w:val="00B24331"/>
    <w:rsid w:val="00B2452D"/>
    <w:rsid w:val="00B2455A"/>
    <w:rsid w:val="00B24A53"/>
    <w:rsid w:val="00B24A60"/>
    <w:rsid w:val="00B24DE0"/>
    <w:rsid w:val="00B24F75"/>
    <w:rsid w:val="00B25082"/>
    <w:rsid w:val="00B25133"/>
    <w:rsid w:val="00B2515E"/>
    <w:rsid w:val="00B259C9"/>
    <w:rsid w:val="00B259DD"/>
    <w:rsid w:val="00B25A7A"/>
    <w:rsid w:val="00B25B70"/>
    <w:rsid w:val="00B25DD9"/>
    <w:rsid w:val="00B25E0A"/>
    <w:rsid w:val="00B262F0"/>
    <w:rsid w:val="00B264BB"/>
    <w:rsid w:val="00B26726"/>
    <w:rsid w:val="00B26883"/>
    <w:rsid w:val="00B26AC0"/>
    <w:rsid w:val="00B26BA2"/>
    <w:rsid w:val="00B26CFB"/>
    <w:rsid w:val="00B26E27"/>
    <w:rsid w:val="00B26FD3"/>
    <w:rsid w:val="00B2710A"/>
    <w:rsid w:val="00B27338"/>
    <w:rsid w:val="00B273FD"/>
    <w:rsid w:val="00B2762C"/>
    <w:rsid w:val="00B27716"/>
    <w:rsid w:val="00B278E1"/>
    <w:rsid w:val="00B27901"/>
    <w:rsid w:val="00B27A1A"/>
    <w:rsid w:val="00B27A3B"/>
    <w:rsid w:val="00B3001C"/>
    <w:rsid w:val="00B30029"/>
    <w:rsid w:val="00B30152"/>
    <w:rsid w:val="00B302E2"/>
    <w:rsid w:val="00B302F5"/>
    <w:rsid w:val="00B3049A"/>
    <w:rsid w:val="00B3059C"/>
    <w:rsid w:val="00B305B7"/>
    <w:rsid w:val="00B305D8"/>
    <w:rsid w:val="00B3060B"/>
    <w:rsid w:val="00B30724"/>
    <w:rsid w:val="00B3083E"/>
    <w:rsid w:val="00B30A27"/>
    <w:rsid w:val="00B30B44"/>
    <w:rsid w:val="00B30C37"/>
    <w:rsid w:val="00B30E2F"/>
    <w:rsid w:val="00B30E65"/>
    <w:rsid w:val="00B30EAC"/>
    <w:rsid w:val="00B3115E"/>
    <w:rsid w:val="00B3132D"/>
    <w:rsid w:val="00B31335"/>
    <w:rsid w:val="00B313BC"/>
    <w:rsid w:val="00B315A5"/>
    <w:rsid w:val="00B3168D"/>
    <w:rsid w:val="00B31944"/>
    <w:rsid w:val="00B319D7"/>
    <w:rsid w:val="00B31A52"/>
    <w:rsid w:val="00B31BFC"/>
    <w:rsid w:val="00B31F9F"/>
    <w:rsid w:val="00B3244F"/>
    <w:rsid w:val="00B32605"/>
    <w:rsid w:val="00B326F7"/>
    <w:rsid w:val="00B3282F"/>
    <w:rsid w:val="00B328CE"/>
    <w:rsid w:val="00B328D6"/>
    <w:rsid w:val="00B329EE"/>
    <w:rsid w:val="00B32AB4"/>
    <w:rsid w:val="00B32C2E"/>
    <w:rsid w:val="00B32E19"/>
    <w:rsid w:val="00B32EC9"/>
    <w:rsid w:val="00B32EFC"/>
    <w:rsid w:val="00B3307E"/>
    <w:rsid w:val="00B330B6"/>
    <w:rsid w:val="00B33463"/>
    <w:rsid w:val="00B3380C"/>
    <w:rsid w:val="00B3385D"/>
    <w:rsid w:val="00B33867"/>
    <w:rsid w:val="00B33B4B"/>
    <w:rsid w:val="00B33BAA"/>
    <w:rsid w:val="00B33E3B"/>
    <w:rsid w:val="00B33FC2"/>
    <w:rsid w:val="00B34229"/>
    <w:rsid w:val="00B3423E"/>
    <w:rsid w:val="00B342E4"/>
    <w:rsid w:val="00B34407"/>
    <w:rsid w:val="00B34440"/>
    <w:rsid w:val="00B34529"/>
    <w:rsid w:val="00B34790"/>
    <w:rsid w:val="00B3484A"/>
    <w:rsid w:val="00B3487C"/>
    <w:rsid w:val="00B34909"/>
    <w:rsid w:val="00B34AE2"/>
    <w:rsid w:val="00B34F5E"/>
    <w:rsid w:val="00B3506E"/>
    <w:rsid w:val="00B35072"/>
    <w:rsid w:val="00B350CC"/>
    <w:rsid w:val="00B3524A"/>
    <w:rsid w:val="00B3527C"/>
    <w:rsid w:val="00B353C3"/>
    <w:rsid w:val="00B35592"/>
    <w:rsid w:val="00B35624"/>
    <w:rsid w:val="00B35730"/>
    <w:rsid w:val="00B35838"/>
    <w:rsid w:val="00B35861"/>
    <w:rsid w:val="00B35912"/>
    <w:rsid w:val="00B35999"/>
    <w:rsid w:val="00B35BE1"/>
    <w:rsid w:val="00B35E9E"/>
    <w:rsid w:val="00B360F4"/>
    <w:rsid w:val="00B36405"/>
    <w:rsid w:val="00B364B2"/>
    <w:rsid w:val="00B366D1"/>
    <w:rsid w:val="00B367A9"/>
    <w:rsid w:val="00B369A4"/>
    <w:rsid w:val="00B36A02"/>
    <w:rsid w:val="00B36B10"/>
    <w:rsid w:val="00B36CF4"/>
    <w:rsid w:val="00B36D20"/>
    <w:rsid w:val="00B36D41"/>
    <w:rsid w:val="00B36E2E"/>
    <w:rsid w:val="00B36EFA"/>
    <w:rsid w:val="00B36FAB"/>
    <w:rsid w:val="00B371A0"/>
    <w:rsid w:val="00B373D0"/>
    <w:rsid w:val="00B37494"/>
    <w:rsid w:val="00B374E9"/>
    <w:rsid w:val="00B3754F"/>
    <w:rsid w:val="00B376B8"/>
    <w:rsid w:val="00B37B11"/>
    <w:rsid w:val="00B37D98"/>
    <w:rsid w:val="00B37E0C"/>
    <w:rsid w:val="00B37F35"/>
    <w:rsid w:val="00B37FBA"/>
    <w:rsid w:val="00B37FFC"/>
    <w:rsid w:val="00B40245"/>
    <w:rsid w:val="00B40326"/>
    <w:rsid w:val="00B404AF"/>
    <w:rsid w:val="00B405D5"/>
    <w:rsid w:val="00B406EA"/>
    <w:rsid w:val="00B4072C"/>
    <w:rsid w:val="00B4094D"/>
    <w:rsid w:val="00B40AA3"/>
    <w:rsid w:val="00B40CF5"/>
    <w:rsid w:val="00B40F5F"/>
    <w:rsid w:val="00B41163"/>
    <w:rsid w:val="00B412EC"/>
    <w:rsid w:val="00B413E1"/>
    <w:rsid w:val="00B4144A"/>
    <w:rsid w:val="00B414F0"/>
    <w:rsid w:val="00B4159D"/>
    <w:rsid w:val="00B41981"/>
    <w:rsid w:val="00B419CD"/>
    <w:rsid w:val="00B41CAC"/>
    <w:rsid w:val="00B41D4F"/>
    <w:rsid w:val="00B41D88"/>
    <w:rsid w:val="00B41E66"/>
    <w:rsid w:val="00B4209E"/>
    <w:rsid w:val="00B422DA"/>
    <w:rsid w:val="00B4232D"/>
    <w:rsid w:val="00B4242A"/>
    <w:rsid w:val="00B42677"/>
    <w:rsid w:val="00B4273C"/>
    <w:rsid w:val="00B42A3D"/>
    <w:rsid w:val="00B42B80"/>
    <w:rsid w:val="00B42FCE"/>
    <w:rsid w:val="00B430DB"/>
    <w:rsid w:val="00B43160"/>
    <w:rsid w:val="00B43518"/>
    <w:rsid w:val="00B4366C"/>
    <w:rsid w:val="00B43A05"/>
    <w:rsid w:val="00B43A2B"/>
    <w:rsid w:val="00B43A38"/>
    <w:rsid w:val="00B43AC6"/>
    <w:rsid w:val="00B43BFF"/>
    <w:rsid w:val="00B43C93"/>
    <w:rsid w:val="00B43E9B"/>
    <w:rsid w:val="00B43F0B"/>
    <w:rsid w:val="00B44269"/>
    <w:rsid w:val="00B44738"/>
    <w:rsid w:val="00B44757"/>
    <w:rsid w:val="00B44B0C"/>
    <w:rsid w:val="00B44BC9"/>
    <w:rsid w:val="00B44DC6"/>
    <w:rsid w:val="00B44E80"/>
    <w:rsid w:val="00B44F8A"/>
    <w:rsid w:val="00B456A3"/>
    <w:rsid w:val="00B45778"/>
    <w:rsid w:val="00B45931"/>
    <w:rsid w:val="00B45A23"/>
    <w:rsid w:val="00B45A99"/>
    <w:rsid w:val="00B45BFF"/>
    <w:rsid w:val="00B45D75"/>
    <w:rsid w:val="00B45E29"/>
    <w:rsid w:val="00B45E60"/>
    <w:rsid w:val="00B4617B"/>
    <w:rsid w:val="00B46538"/>
    <w:rsid w:val="00B46A12"/>
    <w:rsid w:val="00B46C26"/>
    <w:rsid w:val="00B46CC5"/>
    <w:rsid w:val="00B46E1F"/>
    <w:rsid w:val="00B46E95"/>
    <w:rsid w:val="00B46FE3"/>
    <w:rsid w:val="00B470CA"/>
    <w:rsid w:val="00B47231"/>
    <w:rsid w:val="00B47534"/>
    <w:rsid w:val="00B4759B"/>
    <w:rsid w:val="00B4774D"/>
    <w:rsid w:val="00B47B6A"/>
    <w:rsid w:val="00B47B75"/>
    <w:rsid w:val="00B47B9D"/>
    <w:rsid w:val="00B47DF1"/>
    <w:rsid w:val="00B47E36"/>
    <w:rsid w:val="00B5005B"/>
    <w:rsid w:val="00B5014B"/>
    <w:rsid w:val="00B5040D"/>
    <w:rsid w:val="00B50412"/>
    <w:rsid w:val="00B50505"/>
    <w:rsid w:val="00B506EB"/>
    <w:rsid w:val="00B50707"/>
    <w:rsid w:val="00B50B35"/>
    <w:rsid w:val="00B50D66"/>
    <w:rsid w:val="00B50DBF"/>
    <w:rsid w:val="00B50F5E"/>
    <w:rsid w:val="00B51086"/>
    <w:rsid w:val="00B51132"/>
    <w:rsid w:val="00B51236"/>
    <w:rsid w:val="00B51907"/>
    <w:rsid w:val="00B51A8F"/>
    <w:rsid w:val="00B51B81"/>
    <w:rsid w:val="00B51BD4"/>
    <w:rsid w:val="00B51C7E"/>
    <w:rsid w:val="00B521EE"/>
    <w:rsid w:val="00B52239"/>
    <w:rsid w:val="00B524AB"/>
    <w:rsid w:val="00B5281D"/>
    <w:rsid w:val="00B529CC"/>
    <w:rsid w:val="00B52CBE"/>
    <w:rsid w:val="00B52EF4"/>
    <w:rsid w:val="00B531F6"/>
    <w:rsid w:val="00B532D3"/>
    <w:rsid w:val="00B532E9"/>
    <w:rsid w:val="00B53458"/>
    <w:rsid w:val="00B53535"/>
    <w:rsid w:val="00B53616"/>
    <w:rsid w:val="00B537AD"/>
    <w:rsid w:val="00B537BA"/>
    <w:rsid w:val="00B538DF"/>
    <w:rsid w:val="00B538E8"/>
    <w:rsid w:val="00B538EA"/>
    <w:rsid w:val="00B53E8E"/>
    <w:rsid w:val="00B5416B"/>
    <w:rsid w:val="00B54398"/>
    <w:rsid w:val="00B54428"/>
    <w:rsid w:val="00B54515"/>
    <w:rsid w:val="00B545CE"/>
    <w:rsid w:val="00B546FF"/>
    <w:rsid w:val="00B5475B"/>
    <w:rsid w:val="00B54939"/>
    <w:rsid w:val="00B54996"/>
    <w:rsid w:val="00B54ADA"/>
    <w:rsid w:val="00B54BE8"/>
    <w:rsid w:val="00B54C3E"/>
    <w:rsid w:val="00B54DA0"/>
    <w:rsid w:val="00B551CA"/>
    <w:rsid w:val="00B55485"/>
    <w:rsid w:val="00B559BF"/>
    <w:rsid w:val="00B55A79"/>
    <w:rsid w:val="00B55A7F"/>
    <w:rsid w:val="00B55C65"/>
    <w:rsid w:val="00B560D0"/>
    <w:rsid w:val="00B56172"/>
    <w:rsid w:val="00B56223"/>
    <w:rsid w:val="00B5624E"/>
    <w:rsid w:val="00B56598"/>
    <w:rsid w:val="00B56AF5"/>
    <w:rsid w:val="00B56B03"/>
    <w:rsid w:val="00B56B07"/>
    <w:rsid w:val="00B56C88"/>
    <w:rsid w:val="00B56CD9"/>
    <w:rsid w:val="00B56E7D"/>
    <w:rsid w:val="00B56E82"/>
    <w:rsid w:val="00B57227"/>
    <w:rsid w:val="00B5722C"/>
    <w:rsid w:val="00B574F7"/>
    <w:rsid w:val="00B576B4"/>
    <w:rsid w:val="00B57915"/>
    <w:rsid w:val="00B5794D"/>
    <w:rsid w:val="00B57955"/>
    <w:rsid w:val="00B57B2E"/>
    <w:rsid w:val="00B57B9C"/>
    <w:rsid w:val="00B57BF9"/>
    <w:rsid w:val="00B57C02"/>
    <w:rsid w:val="00B57DAF"/>
    <w:rsid w:val="00B57DBB"/>
    <w:rsid w:val="00B57E62"/>
    <w:rsid w:val="00B60107"/>
    <w:rsid w:val="00B602C1"/>
    <w:rsid w:val="00B602C9"/>
    <w:rsid w:val="00B602CD"/>
    <w:rsid w:val="00B6032E"/>
    <w:rsid w:val="00B6071D"/>
    <w:rsid w:val="00B6083E"/>
    <w:rsid w:val="00B6092F"/>
    <w:rsid w:val="00B609A6"/>
    <w:rsid w:val="00B60BEF"/>
    <w:rsid w:val="00B60E1F"/>
    <w:rsid w:val="00B612E3"/>
    <w:rsid w:val="00B61354"/>
    <w:rsid w:val="00B613A1"/>
    <w:rsid w:val="00B61464"/>
    <w:rsid w:val="00B61523"/>
    <w:rsid w:val="00B61870"/>
    <w:rsid w:val="00B61964"/>
    <w:rsid w:val="00B61B5A"/>
    <w:rsid w:val="00B61BEA"/>
    <w:rsid w:val="00B61C77"/>
    <w:rsid w:val="00B61EAA"/>
    <w:rsid w:val="00B62002"/>
    <w:rsid w:val="00B620E7"/>
    <w:rsid w:val="00B628A9"/>
    <w:rsid w:val="00B629D2"/>
    <w:rsid w:val="00B62A19"/>
    <w:rsid w:val="00B62D2F"/>
    <w:rsid w:val="00B62D84"/>
    <w:rsid w:val="00B63136"/>
    <w:rsid w:val="00B6316D"/>
    <w:rsid w:val="00B63686"/>
    <w:rsid w:val="00B638EF"/>
    <w:rsid w:val="00B63C17"/>
    <w:rsid w:val="00B63D6D"/>
    <w:rsid w:val="00B63EAB"/>
    <w:rsid w:val="00B63F81"/>
    <w:rsid w:val="00B64040"/>
    <w:rsid w:val="00B640AA"/>
    <w:rsid w:val="00B64164"/>
    <w:rsid w:val="00B64274"/>
    <w:rsid w:val="00B644A2"/>
    <w:rsid w:val="00B64526"/>
    <w:rsid w:val="00B645D5"/>
    <w:rsid w:val="00B646C8"/>
    <w:rsid w:val="00B647C8"/>
    <w:rsid w:val="00B647FF"/>
    <w:rsid w:val="00B64B2E"/>
    <w:rsid w:val="00B64D62"/>
    <w:rsid w:val="00B6501E"/>
    <w:rsid w:val="00B65091"/>
    <w:rsid w:val="00B650E3"/>
    <w:rsid w:val="00B65117"/>
    <w:rsid w:val="00B6525B"/>
    <w:rsid w:val="00B65359"/>
    <w:rsid w:val="00B65429"/>
    <w:rsid w:val="00B655B5"/>
    <w:rsid w:val="00B65752"/>
    <w:rsid w:val="00B6598F"/>
    <w:rsid w:val="00B65ACA"/>
    <w:rsid w:val="00B65B8E"/>
    <w:rsid w:val="00B65DD0"/>
    <w:rsid w:val="00B65DD9"/>
    <w:rsid w:val="00B6611C"/>
    <w:rsid w:val="00B66373"/>
    <w:rsid w:val="00B6638C"/>
    <w:rsid w:val="00B66608"/>
    <w:rsid w:val="00B666DA"/>
    <w:rsid w:val="00B668B7"/>
    <w:rsid w:val="00B6695E"/>
    <w:rsid w:val="00B669E9"/>
    <w:rsid w:val="00B66A0D"/>
    <w:rsid w:val="00B66AAC"/>
    <w:rsid w:val="00B66BEE"/>
    <w:rsid w:val="00B66BFA"/>
    <w:rsid w:val="00B66C0F"/>
    <w:rsid w:val="00B66CAE"/>
    <w:rsid w:val="00B66D1A"/>
    <w:rsid w:val="00B66F75"/>
    <w:rsid w:val="00B67096"/>
    <w:rsid w:val="00B67194"/>
    <w:rsid w:val="00B672C3"/>
    <w:rsid w:val="00B674BE"/>
    <w:rsid w:val="00B674D7"/>
    <w:rsid w:val="00B677CF"/>
    <w:rsid w:val="00B67AAA"/>
    <w:rsid w:val="00B67B1B"/>
    <w:rsid w:val="00B67B4E"/>
    <w:rsid w:val="00B67CFF"/>
    <w:rsid w:val="00B67D62"/>
    <w:rsid w:val="00B67D88"/>
    <w:rsid w:val="00B70192"/>
    <w:rsid w:val="00B70365"/>
    <w:rsid w:val="00B70552"/>
    <w:rsid w:val="00B7055F"/>
    <w:rsid w:val="00B70663"/>
    <w:rsid w:val="00B7080E"/>
    <w:rsid w:val="00B708FF"/>
    <w:rsid w:val="00B709C4"/>
    <w:rsid w:val="00B70CAD"/>
    <w:rsid w:val="00B70F2D"/>
    <w:rsid w:val="00B70F99"/>
    <w:rsid w:val="00B71244"/>
    <w:rsid w:val="00B7130D"/>
    <w:rsid w:val="00B71340"/>
    <w:rsid w:val="00B7143C"/>
    <w:rsid w:val="00B7155C"/>
    <w:rsid w:val="00B71742"/>
    <w:rsid w:val="00B7188D"/>
    <w:rsid w:val="00B718A7"/>
    <w:rsid w:val="00B71956"/>
    <w:rsid w:val="00B71996"/>
    <w:rsid w:val="00B71A40"/>
    <w:rsid w:val="00B71AEE"/>
    <w:rsid w:val="00B71B80"/>
    <w:rsid w:val="00B71C63"/>
    <w:rsid w:val="00B71D45"/>
    <w:rsid w:val="00B71D64"/>
    <w:rsid w:val="00B72049"/>
    <w:rsid w:val="00B720A2"/>
    <w:rsid w:val="00B720F3"/>
    <w:rsid w:val="00B72109"/>
    <w:rsid w:val="00B72324"/>
    <w:rsid w:val="00B723AF"/>
    <w:rsid w:val="00B723E2"/>
    <w:rsid w:val="00B7244B"/>
    <w:rsid w:val="00B72831"/>
    <w:rsid w:val="00B72DDA"/>
    <w:rsid w:val="00B72E1B"/>
    <w:rsid w:val="00B72E31"/>
    <w:rsid w:val="00B72F1F"/>
    <w:rsid w:val="00B72FA4"/>
    <w:rsid w:val="00B730BF"/>
    <w:rsid w:val="00B73435"/>
    <w:rsid w:val="00B734C2"/>
    <w:rsid w:val="00B735B7"/>
    <w:rsid w:val="00B735E1"/>
    <w:rsid w:val="00B738BF"/>
    <w:rsid w:val="00B73994"/>
    <w:rsid w:val="00B73AEE"/>
    <w:rsid w:val="00B73B8B"/>
    <w:rsid w:val="00B73BA0"/>
    <w:rsid w:val="00B73C96"/>
    <w:rsid w:val="00B73CF3"/>
    <w:rsid w:val="00B73E05"/>
    <w:rsid w:val="00B73F80"/>
    <w:rsid w:val="00B73F82"/>
    <w:rsid w:val="00B74045"/>
    <w:rsid w:val="00B741F0"/>
    <w:rsid w:val="00B7423E"/>
    <w:rsid w:val="00B744DF"/>
    <w:rsid w:val="00B746A0"/>
    <w:rsid w:val="00B746E2"/>
    <w:rsid w:val="00B747D4"/>
    <w:rsid w:val="00B747EA"/>
    <w:rsid w:val="00B7481C"/>
    <w:rsid w:val="00B7490D"/>
    <w:rsid w:val="00B749B4"/>
    <w:rsid w:val="00B74A10"/>
    <w:rsid w:val="00B74B48"/>
    <w:rsid w:val="00B74B79"/>
    <w:rsid w:val="00B74B80"/>
    <w:rsid w:val="00B74BF4"/>
    <w:rsid w:val="00B74C43"/>
    <w:rsid w:val="00B74E13"/>
    <w:rsid w:val="00B74EB7"/>
    <w:rsid w:val="00B75255"/>
    <w:rsid w:val="00B75330"/>
    <w:rsid w:val="00B75348"/>
    <w:rsid w:val="00B754CE"/>
    <w:rsid w:val="00B75502"/>
    <w:rsid w:val="00B756E8"/>
    <w:rsid w:val="00B7573C"/>
    <w:rsid w:val="00B75821"/>
    <w:rsid w:val="00B7582C"/>
    <w:rsid w:val="00B7587B"/>
    <w:rsid w:val="00B7595B"/>
    <w:rsid w:val="00B759AD"/>
    <w:rsid w:val="00B759B5"/>
    <w:rsid w:val="00B76030"/>
    <w:rsid w:val="00B76065"/>
    <w:rsid w:val="00B7606E"/>
    <w:rsid w:val="00B76235"/>
    <w:rsid w:val="00B76395"/>
    <w:rsid w:val="00B763BD"/>
    <w:rsid w:val="00B763C6"/>
    <w:rsid w:val="00B763F0"/>
    <w:rsid w:val="00B76429"/>
    <w:rsid w:val="00B76541"/>
    <w:rsid w:val="00B76621"/>
    <w:rsid w:val="00B76764"/>
    <w:rsid w:val="00B768DB"/>
    <w:rsid w:val="00B76A9E"/>
    <w:rsid w:val="00B76C82"/>
    <w:rsid w:val="00B76CD6"/>
    <w:rsid w:val="00B7702B"/>
    <w:rsid w:val="00B770A9"/>
    <w:rsid w:val="00B77179"/>
    <w:rsid w:val="00B7736E"/>
    <w:rsid w:val="00B7764F"/>
    <w:rsid w:val="00B7765E"/>
    <w:rsid w:val="00B7778E"/>
    <w:rsid w:val="00B77845"/>
    <w:rsid w:val="00B77B8F"/>
    <w:rsid w:val="00B77EF4"/>
    <w:rsid w:val="00B77EF8"/>
    <w:rsid w:val="00B77F40"/>
    <w:rsid w:val="00B77FAE"/>
    <w:rsid w:val="00B77FDA"/>
    <w:rsid w:val="00B80036"/>
    <w:rsid w:val="00B803B8"/>
    <w:rsid w:val="00B80539"/>
    <w:rsid w:val="00B80685"/>
    <w:rsid w:val="00B80759"/>
    <w:rsid w:val="00B80785"/>
    <w:rsid w:val="00B807F7"/>
    <w:rsid w:val="00B80866"/>
    <w:rsid w:val="00B808C7"/>
    <w:rsid w:val="00B80AC2"/>
    <w:rsid w:val="00B80AD9"/>
    <w:rsid w:val="00B80C7F"/>
    <w:rsid w:val="00B80EDC"/>
    <w:rsid w:val="00B80FED"/>
    <w:rsid w:val="00B81123"/>
    <w:rsid w:val="00B81313"/>
    <w:rsid w:val="00B81723"/>
    <w:rsid w:val="00B8172E"/>
    <w:rsid w:val="00B81775"/>
    <w:rsid w:val="00B8192C"/>
    <w:rsid w:val="00B81B45"/>
    <w:rsid w:val="00B81B9E"/>
    <w:rsid w:val="00B81EA2"/>
    <w:rsid w:val="00B81EBD"/>
    <w:rsid w:val="00B820D5"/>
    <w:rsid w:val="00B82267"/>
    <w:rsid w:val="00B822AC"/>
    <w:rsid w:val="00B8233C"/>
    <w:rsid w:val="00B824FE"/>
    <w:rsid w:val="00B826B9"/>
    <w:rsid w:val="00B826E2"/>
    <w:rsid w:val="00B828CA"/>
    <w:rsid w:val="00B82DE7"/>
    <w:rsid w:val="00B8326A"/>
    <w:rsid w:val="00B8343B"/>
    <w:rsid w:val="00B83497"/>
    <w:rsid w:val="00B834AA"/>
    <w:rsid w:val="00B836D6"/>
    <w:rsid w:val="00B83989"/>
    <w:rsid w:val="00B839F6"/>
    <w:rsid w:val="00B83A13"/>
    <w:rsid w:val="00B83A37"/>
    <w:rsid w:val="00B83B58"/>
    <w:rsid w:val="00B83BAC"/>
    <w:rsid w:val="00B83BC2"/>
    <w:rsid w:val="00B83CC9"/>
    <w:rsid w:val="00B83DA2"/>
    <w:rsid w:val="00B83E00"/>
    <w:rsid w:val="00B84275"/>
    <w:rsid w:val="00B843F8"/>
    <w:rsid w:val="00B847D2"/>
    <w:rsid w:val="00B84871"/>
    <w:rsid w:val="00B84ADD"/>
    <w:rsid w:val="00B84CA2"/>
    <w:rsid w:val="00B84D1D"/>
    <w:rsid w:val="00B8505A"/>
    <w:rsid w:val="00B85082"/>
    <w:rsid w:val="00B85148"/>
    <w:rsid w:val="00B85463"/>
    <w:rsid w:val="00B8547B"/>
    <w:rsid w:val="00B85753"/>
    <w:rsid w:val="00B85A3F"/>
    <w:rsid w:val="00B85AB6"/>
    <w:rsid w:val="00B85C72"/>
    <w:rsid w:val="00B85DA5"/>
    <w:rsid w:val="00B86032"/>
    <w:rsid w:val="00B86038"/>
    <w:rsid w:val="00B8606A"/>
    <w:rsid w:val="00B86103"/>
    <w:rsid w:val="00B86109"/>
    <w:rsid w:val="00B8616D"/>
    <w:rsid w:val="00B86268"/>
    <w:rsid w:val="00B862E5"/>
    <w:rsid w:val="00B86763"/>
    <w:rsid w:val="00B869E0"/>
    <w:rsid w:val="00B86B6C"/>
    <w:rsid w:val="00B86BF4"/>
    <w:rsid w:val="00B86C53"/>
    <w:rsid w:val="00B871A0"/>
    <w:rsid w:val="00B8737B"/>
    <w:rsid w:val="00B87454"/>
    <w:rsid w:val="00B87A2D"/>
    <w:rsid w:val="00B87A98"/>
    <w:rsid w:val="00B87B2B"/>
    <w:rsid w:val="00B87D57"/>
    <w:rsid w:val="00B87D60"/>
    <w:rsid w:val="00B87E16"/>
    <w:rsid w:val="00B87E39"/>
    <w:rsid w:val="00B900D2"/>
    <w:rsid w:val="00B9032E"/>
    <w:rsid w:val="00B90913"/>
    <w:rsid w:val="00B90FB1"/>
    <w:rsid w:val="00B911F6"/>
    <w:rsid w:val="00B915BB"/>
    <w:rsid w:val="00B91740"/>
    <w:rsid w:val="00B91758"/>
    <w:rsid w:val="00B919D3"/>
    <w:rsid w:val="00B91D2D"/>
    <w:rsid w:val="00B91D92"/>
    <w:rsid w:val="00B91E1D"/>
    <w:rsid w:val="00B91FAA"/>
    <w:rsid w:val="00B92161"/>
    <w:rsid w:val="00B9216B"/>
    <w:rsid w:val="00B921A7"/>
    <w:rsid w:val="00B9220A"/>
    <w:rsid w:val="00B9230B"/>
    <w:rsid w:val="00B92325"/>
    <w:rsid w:val="00B9239C"/>
    <w:rsid w:val="00B92427"/>
    <w:rsid w:val="00B925A5"/>
    <w:rsid w:val="00B925A8"/>
    <w:rsid w:val="00B926FE"/>
    <w:rsid w:val="00B928D0"/>
    <w:rsid w:val="00B92A1D"/>
    <w:rsid w:val="00B92B9A"/>
    <w:rsid w:val="00B92F23"/>
    <w:rsid w:val="00B93641"/>
    <w:rsid w:val="00B9367D"/>
    <w:rsid w:val="00B9373B"/>
    <w:rsid w:val="00B93768"/>
    <w:rsid w:val="00B9382E"/>
    <w:rsid w:val="00B93881"/>
    <w:rsid w:val="00B9388F"/>
    <w:rsid w:val="00B93AF1"/>
    <w:rsid w:val="00B93CF9"/>
    <w:rsid w:val="00B93D45"/>
    <w:rsid w:val="00B93D6A"/>
    <w:rsid w:val="00B93E5B"/>
    <w:rsid w:val="00B94110"/>
    <w:rsid w:val="00B94213"/>
    <w:rsid w:val="00B94301"/>
    <w:rsid w:val="00B94413"/>
    <w:rsid w:val="00B9441B"/>
    <w:rsid w:val="00B9442C"/>
    <w:rsid w:val="00B94711"/>
    <w:rsid w:val="00B94830"/>
    <w:rsid w:val="00B9495F"/>
    <w:rsid w:val="00B94B52"/>
    <w:rsid w:val="00B94D80"/>
    <w:rsid w:val="00B94EF9"/>
    <w:rsid w:val="00B950A2"/>
    <w:rsid w:val="00B954D4"/>
    <w:rsid w:val="00B9553F"/>
    <w:rsid w:val="00B95722"/>
    <w:rsid w:val="00B9589D"/>
    <w:rsid w:val="00B95997"/>
    <w:rsid w:val="00B95A37"/>
    <w:rsid w:val="00B95BEC"/>
    <w:rsid w:val="00B95F3E"/>
    <w:rsid w:val="00B960B1"/>
    <w:rsid w:val="00B96128"/>
    <w:rsid w:val="00B96206"/>
    <w:rsid w:val="00B96281"/>
    <w:rsid w:val="00B96543"/>
    <w:rsid w:val="00B966FC"/>
    <w:rsid w:val="00B9686D"/>
    <w:rsid w:val="00B96A25"/>
    <w:rsid w:val="00B96A94"/>
    <w:rsid w:val="00B96A9C"/>
    <w:rsid w:val="00B96ABC"/>
    <w:rsid w:val="00B96AC5"/>
    <w:rsid w:val="00B96C7F"/>
    <w:rsid w:val="00B96DE2"/>
    <w:rsid w:val="00B96E16"/>
    <w:rsid w:val="00B96E4D"/>
    <w:rsid w:val="00B9703A"/>
    <w:rsid w:val="00B970F1"/>
    <w:rsid w:val="00B972B8"/>
    <w:rsid w:val="00B972FA"/>
    <w:rsid w:val="00B973FE"/>
    <w:rsid w:val="00B97455"/>
    <w:rsid w:val="00B9748E"/>
    <w:rsid w:val="00B97537"/>
    <w:rsid w:val="00B9759B"/>
    <w:rsid w:val="00B977DE"/>
    <w:rsid w:val="00B97874"/>
    <w:rsid w:val="00B978DC"/>
    <w:rsid w:val="00B979CF"/>
    <w:rsid w:val="00B97A5F"/>
    <w:rsid w:val="00B97B57"/>
    <w:rsid w:val="00B97D70"/>
    <w:rsid w:val="00B97E4F"/>
    <w:rsid w:val="00BA0168"/>
    <w:rsid w:val="00BA0299"/>
    <w:rsid w:val="00BA02B4"/>
    <w:rsid w:val="00BA05DA"/>
    <w:rsid w:val="00BA07BA"/>
    <w:rsid w:val="00BA0881"/>
    <w:rsid w:val="00BA090E"/>
    <w:rsid w:val="00BA0B9E"/>
    <w:rsid w:val="00BA0DA3"/>
    <w:rsid w:val="00BA0E64"/>
    <w:rsid w:val="00BA0E88"/>
    <w:rsid w:val="00BA0E9B"/>
    <w:rsid w:val="00BA10AD"/>
    <w:rsid w:val="00BA1302"/>
    <w:rsid w:val="00BA1690"/>
    <w:rsid w:val="00BA1774"/>
    <w:rsid w:val="00BA1878"/>
    <w:rsid w:val="00BA1897"/>
    <w:rsid w:val="00BA1986"/>
    <w:rsid w:val="00BA19F8"/>
    <w:rsid w:val="00BA1A15"/>
    <w:rsid w:val="00BA1BEE"/>
    <w:rsid w:val="00BA201F"/>
    <w:rsid w:val="00BA2147"/>
    <w:rsid w:val="00BA2398"/>
    <w:rsid w:val="00BA252D"/>
    <w:rsid w:val="00BA2636"/>
    <w:rsid w:val="00BA2674"/>
    <w:rsid w:val="00BA27A9"/>
    <w:rsid w:val="00BA2815"/>
    <w:rsid w:val="00BA2A23"/>
    <w:rsid w:val="00BA2B70"/>
    <w:rsid w:val="00BA2C47"/>
    <w:rsid w:val="00BA2DAC"/>
    <w:rsid w:val="00BA2E78"/>
    <w:rsid w:val="00BA3071"/>
    <w:rsid w:val="00BA30DF"/>
    <w:rsid w:val="00BA30FD"/>
    <w:rsid w:val="00BA341E"/>
    <w:rsid w:val="00BA3500"/>
    <w:rsid w:val="00BA3514"/>
    <w:rsid w:val="00BA379A"/>
    <w:rsid w:val="00BA38E6"/>
    <w:rsid w:val="00BA3CB9"/>
    <w:rsid w:val="00BA41AC"/>
    <w:rsid w:val="00BA42C7"/>
    <w:rsid w:val="00BA4422"/>
    <w:rsid w:val="00BA4442"/>
    <w:rsid w:val="00BA45DE"/>
    <w:rsid w:val="00BA464D"/>
    <w:rsid w:val="00BA488F"/>
    <w:rsid w:val="00BA48F8"/>
    <w:rsid w:val="00BA4932"/>
    <w:rsid w:val="00BA4A9D"/>
    <w:rsid w:val="00BA4F62"/>
    <w:rsid w:val="00BA503E"/>
    <w:rsid w:val="00BA53DD"/>
    <w:rsid w:val="00BA53E4"/>
    <w:rsid w:val="00BA5499"/>
    <w:rsid w:val="00BA551F"/>
    <w:rsid w:val="00BA5593"/>
    <w:rsid w:val="00BA55CA"/>
    <w:rsid w:val="00BA56DB"/>
    <w:rsid w:val="00BA56EF"/>
    <w:rsid w:val="00BA5883"/>
    <w:rsid w:val="00BA5BC3"/>
    <w:rsid w:val="00BA5D06"/>
    <w:rsid w:val="00BA5D55"/>
    <w:rsid w:val="00BA5F2C"/>
    <w:rsid w:val="00BA6042"/>
    <w:rsid w:val="00BA6056"/>
    <w:rsid w:val="00BA6204"/>
    <w:rsid w:val="00BA637F"/>
    <w:rsid w:val="00BA63D9"/>
    <w:rsid w:val="00BA67E4"/>
    <w:rsid w:val="00BA68B0"/>
    <w:rsid w:val="00BA6990"/>
    <w:rsid w:val="00BA6AAC"/>
    <w:rsid w:val="00BA6AFC"/>
    <w:rsid w:val="00BA6B66"/>
    <w:rsid w:val="00BA6C4F"/>
    <w:rsid w:val="00BA6DB7"/>
    <w:rsid w:val="00BA6FDE"/>
    <w:rsid w:val="00BA7019"/>
    <w:rsid w:val="00BA72C5"/>
    <w:rsid w:val="00BA73BC"/>
    <w:rsid w:val="00BA73E5"/>
    <w:rsid w:val="00BA7500"/>
    <w:rsid w:val="00BA75E4"/>
    <w:rsid w:val="00BA7602"/>
    <w:rsid w:val="00BA7811"/>
    <w:rsid w:val="00BA78E3"/>
    <w:rsid w:val="00BA791A"/>
    <w:rsid w:val="00BA796C"/>
    <w:rsid w:val="00BA797F"/>
    <w:rsid w:val="00BA7C52"/>
    <w:rsid w:val="00BA7DC2"/>
    <w:rsid w:val="00BA7EF1"/>
    <w:rsid w:val="00BA7F0D"/>
    <w:rsid w:val="00BB01D6"/>
    <w:rsid w:val="00BB03CD"/>
    <w:rsid w:val="00BB04C3"/>
    <w:rsid w:val="00BB06B4"/>
    <w:rsid w:val="00BB095B"/>
    <w:rsid w:val="00BB0AC3"/>
    <w:rsid w:val="00BB0BA0"/>
    <w:rsid w:val="00BB0CA2"/>
    <w:rsid w:val="00BB0E8A"/>
    <w:rsid w:val="00BB0ECB"/>
    <w:rsid w:val="00BB0F03"/>
    <w:rsid w:val="00BB0FEC"/>
    <w:rsid w:val="00BB11D4"/>
    <w:rsid w:val="00BB1408"/>
    <w:rsid w:val="00BB1653"/>
    <w:rsid w:val="00BB1769"/>
    <w:rsid w:val="00BB1858"/>
    <w:rsid w:val="00BB19A9"/>
    <w:rsid w:val="00BB1CC2"/>
    <w:rsid w:val="00BB1CC4"/>
    <w:rsid w:val="00BB1CF3"/>
    <w:rsid w:val="00BB2290"/>
    <w:rsid w:val="00BB231A"/>
    <w:rsid w:val="00BB2355"/>
    <w:rsid w:val="00BB2554"/>
    <w:rsid w:val="00BB2587"/>
    <w:rsid w:val="00BB25B8"/>
    <w:rsid w:val="00BB281B"/>
    <w:rsid w:val="00BB2854"/>
    <w:rsid w:val="00BB291B"/>
    <w:rsid w:val="00BB2BA3"/>
    <w:rsid w:val="00BB2E07"/>
    <w:rsid w:val="00BB2ED9"/>
    <w:rsid w:val="00BB2F78"/>
    <w:rsid w:val="00BB30CF"/>
    <w:rsid w:val="00BB3159"/>
    <w:rsid w:val="00BB3252"/>
    <w:rsid w:val="00BB32BD"/>
    <w:rsid w:val="00BB32D9"/>
    <w:rsid w:val="00BB32DF"/>
    <w:rsid w:val="00BB33BD"/>
    <w:rsid w:val="00BB350F"/>
    <w:rsid w:val="00BB36AA"/>
    <w:rsid w:val="00BB3928"/>
    <w:rsid w:val="00BB39B2"/>
    <w:rsid w:val="00BB3BB9"/>
    <w:rsid w:val="00BB3C14"/>
    <w:rsid w:val="00BB3CF3"/>
    <w:rsid w:val="00BB3D9C"/>
    <w:rsid w:val="00BB3E38"/>
    <w:rsid w:val="00BB45BB"/>
    <w:rsid w:val="00BB4602"/>
    <w:rsid w:val="00BB4622"/>
    <w:rsid w:val="00BB4678"/>
    <w:rsid w:val="00BB4867"/>
    <w:rsid w:val="00BB4877"/>
    <w:rsid w:val="00BB49BF"/>
    <w:rsid w:val="00BB4C54"/>
    <w:rsid w:val="00BB4CEF"/>
    <w:rsid w:val="00BB4E36"/>
    <w:rsid w:val="00BB5302"/>
    <w:rsid w:val="00BB532E"/>
    <w:rsid w:val="00BB5621"/>
    <w:rsid w:val="00BB56FD"/>
    <w:rsid w:val="00BB5777"/>
    <w:rsid w:val="00BB577A"/>
    <w:rsid w:val="00BB5919"/>
    <w:rsid w:val="00BB5B79"/>
    <w:rsid w:val="00BB5D30"/>
    <w:rsid w:val="00BB5E91"/>
    <w:rsid w:val="00BB5EC3"/>
    <w:rsid w:val="00BB5FFC"/>
    <w:rsid w:val="00BB613C"/>
    <w:rsid w:val="00BB616F"/>
    <w:rsid w:val="00BB6407"/>
    <w:rsid w:val="00BB67DA"/>
    <w:rsid w:val="00BB67FA"/>
    <w:rsid w:val="00BB6882"/>
    <w:rsid w:val="00BB689E"/>
    <w:rsid w:val="00BB6971"/>
    <w:rsid w:val="00BB6A6A"/>
    <w:rsid w:val="00BB6BF5"/>
    <w:rsid w:val="00BB6E89"/>
    <w:rsid w:val="00BB6F9C"/>
    <w:rsid w:val="00BB6FC0"/>
    <w:rsid w:val="00BB73AF"/>
    <w:rsid w:val="00BB7599"/>
    <w:rsid w:val="00BB78EA"/>
    <w:rsid w:val="00BB7927"/>
    <w:rsid w:val="00BB792F"/>
    <w:rsid w:val="00BB7A2E"/>
    <w:rsid w:val="00BB7AD2"/>
    <w:rsid w:val="00BB7EF6"/>
    <w:rsid w:val="00BB7F97"/>
    <w:rsid w:val="00BC016D"/>
    <w:rsid w:val="00BC02BA"/>
    <w:rsid w:val="00BC0323"/>
    <w:rsid w:val="00BC033B"/>
    <w:rsid w:val="00BC0454"/>
    <w:rsid w:val="00BC04ED"/>
    <w:rsid w:val="00BC0B94"/>
    <w:rsid w:val="00BC0C0C"/>
    <w:rsid w:val="00BC0C4F"/>
    <w:rsid w:val="00BC0C9C"/>
    <w:rsid w:val="00BC0CD4"/>
    <w:rsid w:val="00BC0D91"/>
    <w:rsid w:val="00BC0E13"/>
    <w:rsid w:val="00BC105D"/>
    <w:rsid w:val="00BC1191"/>
    <w:rsid w:val="00BC1254"/>
    <w:rsid w:val="00BC12A4"/>
    <w:rsid w:val="00BC1A08"/>
    <w:rsid w:val="00BC1A80"/>
    <w:rsid w:val="00BC1C3E"/>
    <w:rsid w:val="00BC1CBC"/>
    <w:rsid w:val="00BC1CC1"/>
    <w:rsid w:val="00BC1D00"/>
    <w:rsid w:val="00BC2093"/>
    <w:rsid w:val="00BC22C0"/>
    <w:rsid w:val="00BC247F"/>
    <w:rsid w:val="00BC25D7"/>
    <w:rsid w:val="00BC25F5"/>
    <w:rsid w:val="00BC2754"/>
    <w:rsid w:val="00BC2760"/>
    <w:rsid w:val="00BC27B0"/>
    <w:rsid w:val="00BC2C94"/>
    <w:rsid w:val="00BC2CC2"/>
    <w:rsid w:val="00BC2D7B"/>
    <w:rsid w:val="00BC2DFE"/>
    <w:rsid w:val="00BC2E3C"/>
    <w:rsid w:val="00BC2EF5"/>
    <w:rsid w:val="00BC30FE"/>
    <w:rsid w:val="00BC3593"/>
    <w:rsid w:val="00BC35D7"/>
    <w:rsid w:val="00BC38EF"/>
    <w:rsid w:val="00BC3907"/>
    <w:rsid w:val="00BC39E7"/>
    <w:rsid w:val="00BC3A89"/>
    <w:rsid w:val="00BC3AC7"/>
    <w:rsid w:val="00BC3C0D"/>
    <w:rsid w:val="00BC3F0F"/>
    <w:rsid w:val="00BC42C6"/>
    <w:rsid w:val="00BC449C"/>
    <w:rsid w:val="00BC45C8"/>
    <w:rsid w:val="00BC46B2"/>
    <w:rsid w:val="00BC46B4"/>
    <w:rsid w:val="00BC473D"/>
    <w:rsid w:val="00BC4A69"/>
    <w:rsid w:val="00BC5029"/>
    <w:rsid w:val="00BC5073"/>
    <w:rsid w:val="00BC519D"/>
    <w:rsid w:val="00BC5335"/>
    <w:rsid w:val="00BC547A"/>
    <w:rsid w:val="00BC5938"/>
    <w:rsid w:val="00BC598E"/>
    <w:rsid w:val="00BC5A60"/>
    <w:rsid w:val="00BC6248"/>
    <w:rsid w:val="00BC62DB"/>
    <w:rsid w:val="00BC6304"/>
    <w:rsid w:val="00BC63AE"/>
    <w:rsid w:val="00BC64A7"/>
    <w:rsid w:val="00BC64AB"/>
    <w:rsid w:val="00BC65AD"/>
    <w:rsid w:val="00BC674E"/>
    <w:rsid w:val="00BC67FD"/>
    <w:rsid w:val="00BC684E"/>
    <w:rsid w:val="00BC6854"/>
    <w:rsid w:val="00BC685D"/>
    <w:rsid w:val="00BC6B09"/>
    <w:rsid w:val="00BC6B59"/>
    <w:rsid w:val="00BC6B91"/>
    <w:rsid w:val="00BC6FAD"/>
    <w:rsid w:val="00BC7053"/>
    <w:rsid w:val="00BC70F6"/>
    <w:rsid w:val="00BC716B"/>
    <w:rsid w:val="00BC7206"/>
    <w:rsid w:val="00BC727F"/>
    <w:rsid w:val="00BC72EE"/>
    <w:rsid w:val="00BC743F"/>
    <w:rsid w:val="00BC752A"/>
    <w:rsid w:val="00BC797E"/>
    <w:rsid w:val="00BC7A3D"/>
    <w:rsid w:val="00BC7DBF"/>
    <w:rsid w:val="00BC7DEE"/>
    <w:rsid w:val="00BC7EF7"/>
    <w:rsid w:val="00BD039A"/>
    <w:rsid w:val="00BD040A"/>
    <w:rsid w:val="00BD069F"/>
    <w:rsid w:val="00BD0859"/>
    <w:rsid w:val="00BD0A7C"/>
    <w:rsid w:val="00BD0BC2"/>
    <w:rsid w:val="00BD0D28"/>
    <w:rsid w:val="00BD0DF9"/>
    <w:rsid w:val="00BD0EAB"/>
    <w:rsid w:val="00BD1068"/>
    <w:rsid w:val="00BD12CA"/>
    <w:rsid w:val="00BD1414"/>
    <w:rsid w:val="00BD150D"/>
    <w:rsid w:val="00BD15D3"/>
    <w:rsid w:val="00BD15E1"/>
    <w:rsid w:val="00BD1867"/>
    <w:rsid w:val="00BD1885"/>
    <w:rsid w:val="00BD18AF"/>
    <w:rsid w:val="00BD1911"/>
    <w:rsid w:val="00BD1C9F"/>
    <w:rsid w:val="00BD1CCD"/>
    <w:rsid w:val="00BD1D03"/>
    <w:rsid w:val="00BD1DD6"/>
    <w:rsid w:val="00BD20C6"/>
    <w:rsid w:val="00BD212F"/>
    <w:rsid w:val="00BD21EA"/>
    <w:rsid w:val="00BD222C"/>
    <w:rsid w:val="00BD244C"/>
    <w:rsid w:val="00BD24DE"/>
    <w:rsid w:val="00BD24FB"/>
    <w:rsid w:val="00BD2507"/>
    <w:rsid w:val="00BD2568"/>
    <w:rsid w:val="00BD257F"/>
    <w:rsid w:val="00BD26F8"/>
    <w:rsid w:val="00BD27F5"/>
    <w:rsid w:val="00BD2A44"/>
    <w:rsid w:val="00BD2C0B"/>
    <w:rsid w:val="00BD2CDA"/>
    <w:rsid w:val="00BD2F2A"/>
    <w:rsid w:val="00BD2F81"/>
    <w:rsid w:val="00BD3038"/>
    <w:rsid w:val="00BD312E"/>
    <w:rsid w:val="00BD31CB"/>
    <w:rsid w:val="00BD3211"/>
    <w:rsid w:val="00BD32CE"/>
    <w:rsid w:val="00BD355A"/>
    <w:rsid w:val="00BD35B5"/>
    <w:rsid w:val="00BD3732"/>
    <w:rsid w:val="00BD3787"/>
    <w:rsid w:val="00BD38DA"/>
    <w:rsid w:val="00BD3A7F"/>
    <w:rsid w:val="00BD3AB7"/>
    <w:rsid w:val="00BD3BA9"/>
    <w:rsid w:val="00BD3C39"/>
    <w:rsid w:val="00BD3C71"/>
    <w:rsid w:val="00BD4010"/>
    <w:rsid w:val="00BD4286"/>
    <w:rsid w:val="00BD43A1"/>
    <w:rsid w:val="00BD4491"/>
    <w:rsid w:val="00BD4556"/>
    <w:rsid w:val="00BD472D"/>
    <w:rsid w:val="00BD4773"/>
    <w:rsid w:val="00BD47FA"/>
    <w:rsid w:val="00BD492B"/>
    <w:rsid w:val="00BD4A2F"/>
    <w:rsid w:val="00BD4A85"/>
    <w:rsid w:val="00BD4B60"/>
    <w:rsid w:val="00BD4CC4"/>
    <w:rsid w:val="00BD4F06"/>
    <w:rsid w:val="00BD57A4"/>
    <w:rsid w:val="00BD58CC"/>
    <w:rsid w:val="00BD5BE5"/>
    <w:rsid w:val="00BD5C16"/>
    <w:rsid w:val="00BD5C9F"/>
    <w:rsid w:val="00BD5CB5"/>
    <w:rsid w:val="00BD5CF5"/>
    <w:rsid w:val="00BD5D6D"/>
    <w:rsid w:val="00BD5E34"/>
    <w:rsid w:val="00BD624B"/>
    <w:rsid w:val="00BD62BC"/>
    <w:rsid w:val="00BD65A0"/>
    <w:rsid w:val="00BD6736"/>
    <w:rsid w:val="00BD694E"/>
    <w:rsid w:val="00BD6A47"/>
    <w:rsid w:val="00BD6A4B"/>
    <w:rsid w:val="00BD6C74"/>
    <w:rsid w:val="00BD6CC6"/>
    <w:rsid w:val="00BD6CE9"/>
    <w:rsid w:val="00BD6DE3"/>
    <w:rsid w:val="00BD6FA0"/>
    <w:rsid w:val="00BD761A"/>
    <w:rsid w:val="00BD776C"/>
    <w:rsid w:val="00BD7B87"/>
    <w:rsid w:val="00BD7C15"/>
    <w:rsid w:val="00BD7E40"/>
    <w:rsid w:val="00BD7EE4"/>
    <w:rsid w:val="00BD7FCA"/>
    <w:rsid w:val="00BE00ED"/>
    <w:rsid w:val="00BE0405"/>
    <w:rsid w:val="00BE0491"/>
    <w:rsid w:val="00BE0520"/>
    <w:rsid w:val="00BE062F"/>
    <w:rsid w:val="00BE0842"/>
    <w:rsid w:val="00BE0CF6"/>
    <w:rsid w:val="00BE0D7A"/>
    <w:rsid w:val="00BE0E7F"/>
    <w:rsid w:val="00BE111F"/>
    <w:rsid w:val="00BE1323"/>
    <w:rsid w:val="00BE132A"/>
    <w:rsid w:val="00BE15DE"/>
    <w:rsid w:val="00BE18CF"/>
    <w:rsid w:val="00BE1B02"/>
    <w:rsid w:val="00BE1BCA"/>
    <w:rsid w:val="00BE1C50"/>
    <w:rsid w:val="00BE1F93"/>
    <w:rsid w:val="00BE2223"/>
    <w:rsid w:val="00BE2332"/>
    <w:rsid w:val="00BE237A"/>
    <w:rsid w:val="00BE2536"/>
    <w:rsid w:val="00BE262B"/>
    <w:rsid w:val="00BE2826"/>
    <w:rsid w:val="00BE289D"/>
    <w:rsid w:val="00BE28CB"/>
    <w:rsid w:val="00BE294E"/>
    <w:rsid w:val="00BE2950"/>
    <w:rsid w:val="00BE2CB7"/>
    <w:rsid w:val="00BE304E"/>
    <w:rsid w:val="00BE30FB"/>
    <w:rsid w:val="00BE31BC"/>
    <w:rsid w:val="00BE3463"/>
    <w:rsid w:val="00BE353D"/>
    <w:rsid w:val="00BE3569"/>
    <w:rsid w:val="00BE357E"/>
    <w:rsid w:val="00BE3695"/>
    <w:rsid w:val="00BE39C7"/>
    <w:rsid w:val="00BE3AC8"/>
    <w:rsid w:val="00BE3BC5"/>
    <w:rsid w:val="00BE4086"/>
    <w:rsid w:val="00BE439B"/>
    <w:rsid w:val="00BE443E"/>
    <w:rsid w:val="00BE45F5"/>
    <w:rsid w:val="00BE4664"/>
    <w:rsid w:val="00BE47F6"/>
    <w:rsid w:val="00BE4B55"/>
    <w:rsid w:val="00BE4C5A"/>
    <w:rsid w:val="00BE4CC4"/>
    <w:rsid w:val="00BE51D3"/>
    <w:rsid w:val="00BE529C"/>
    <w:rsid w:val="00BE52A1"/>
    <w:rsid w:val="00BE52AF"/>
    <w:rsid w:val="00BE5496"/>
    <w:rsid w:val="00BE556C"/>
    <w:rsid w:val="00BE59EF"/>
    <w:rsid w:val="00BE5AA9"/>
    <w:rsid w:val="00BE5B9D"/>
    <w:rsid w:val="00BE5C70"/>
    <w:rsid w:val="00BE607B"/>
    <w:rsid w:val="00BE60C3"/>
    <w:rsid w:val="00BE6331"/>
    <w:rsid w:val="00BE6490"/>
    <w:rsid w:val="00BE6624"/>
    <w:rsid w:val="00BE68AF"/>
    <w:rsid w:val="00BE6EA3"/>
    <w:rsid w:val="00BE6F8F"/>
    <w:rsid w:val="00BE7187"/>
    <w:rsid w:val="00BE72D0"/>
    <w:rsid w:val="00BE7432"/>
    <w:rsid w:val="00BE74BB"/>
    <w:rsid w:val="00BE7AC5"/>
    <w:rsid w:val="00BE7B03"/>
    <w:rsid w:val="00BE7B36"/>
    <w:rsid w:val="00BE7C32"/>
    <w:rsid w:val="00BE7C5F"/>
    <w:rsid w:val="00BE7D6E"/>
    <w:rsid w:val="00BE7FE3"/>
    <w:rsid w:val="00BF0069"/>
    <w:rsid w:val="00BF0124"/>
    <w:rsid w:val="00BF069E"/>
    <w:rsid w:val="00BF0875"/>
    <w:rsid w:val="00BF0900"/>
    <w:rsid w:val="00BF09C7"/>
    <w:rsid w:val="00BF0A0C"/>
    <w:rsid w:val="00BF0BA8"/>
    <w:rsid w:val="00BF0C42"/>
    <w:rsid w:val="00BF0D8C"/>
    <w:rsid w:val="00BF1089"/>
    <w:rsid w:val="00BF1313"/>
    <w:rsid w:val="00BF1463"/>
    <w:rsid w:val="00BF150D"/>
    <w:rsid w:val="00BF1610"/>
    <w:rsid w:val="00BF1647"/>
    <w:rsid w:val="00BF18E5"/>
    <w:rsid w:val="00BF1918"/>
    <w:rsid w:val="00BF1C69"/>
    <w:rsid w:val="00BF1DC8"/>
    <w:rsid w:val="00BF2084"/>
    <w:rsid w:val="00BF208F"/>
    <w:rsid w:val="00BF2213"/>
    <w:rsid w:val="00BF22C0"/>
    <w:rsid w:val="00BF2428"/>
    <w:rsid w:val="00BF2526"/>
    <w:rsid w:val="00BF25CD"/>
    <w:rsid w:val="00BF25F5"/>
    <w:rsid w:val="00BF293F"/>
    <w:rsid w:val="00BF2A70"/>
    <w:rsid w:val="00BF2A88"/>
    <w:rsid w:val="00BF2D94"/>
    <w:rsid w:val="00BF2FEF"/>
    <w:rsid w:val="00BF3651"/>
    <w:rsid w:val="00BF3677"/>
    <w:rsid w:val="00BF36D7"/>
    <w:rsid w:val="00BF38AE"/>
    <w:rsid w:val="00BF391E"/>
    <w:rsid w:val="00BF39C8"/>
    <w:rsid w:val="00BF3B12"/>
    <w:rsid w:val="00BF3B66"/>
    <w:rsid w:val="00BF3C26"/>
    <w:rsid w:val="00BF3CCA"/>
    <w:rsid w:val="00BF3EAA"/>
    <w:rsid w:val="00BF3EC7"/>
    <w:rsid w:val="00BF3F96"/>
    <w:rsid w:val="00BF42C0"/>
    <w:rsid w:val="00BF4589"/>
    <w:rsid w:val="00BF46B6"/>
    <w:rsid w:val="00BF47A5"/>
    <w:rsid w:val="00BF4965"/>
    <w:rsid w:val="00BF4DBB"/>
    <w:rsid w:val="00BF4EBA"/>
    <w:rsid w:val="00BF4FA5"/>
    <w:rsid w:val="00BF50EE"/>
    <w:rsid w:val="00BF5153"/>
    <w:rsid w:val="00BF5306"/>
    <w:rsid w:val="00BF5395"/>
    <w:rsid w:val="00BF53BC"/>
    <w:rsid w:val="00BF559D"/>
    <w:rsid w:val="00BF5691"/>
    <w:rsid w:val="00BF56A1"/>
    <w:rsid w:val="00BF570A"/>
    <w:rsid w:val="00BF59DB"/>
    <w:rsid w:val="00BF5C0B"/>
    <w:rsid w:val="00BF5DAE"/>
    <w:rsid w:val="00BF5DC4"/>
    <w:rsid w:val="00BF5E1E"/>
    <w:rsid w:val="00BF5EF8"/>
    <w:rsid w:val="00BF609B"/>
    <w:rsid w:val="00BF60B1"/>
    <w:rsid w:val="00BF6225"/>
    <w:rsid w:val="00BF65DD"/>
    <w:rsid w:val="00BF6832"/>
    <w:rsid w:val="00BF6991"/>
    <w:rsid w:val="00BF69F8"/>
    <w:rsid w:val="00BF6D71"/>
    <w:rsid w:val="00BF6EE5"/>
    <w:rsid w:val="00BF708F"/>
    <w:rsid w:val="00BF7295"/>
    <w:rsid w:val="00BF733D"/>
    <w:rsid w:val="00BF73FB"/>
    <w:rsid w:val="00BF746D"/>
    <w:rsid w:val="00BF7501"/>
    <w:rsid w:val="00BF76FA"/>
    <w:rsid w:val="00BF7714"/>
    <w:rsid w:val="00BF7970"/>
    <w:rsid w:val="00BF7A3D"/>
    <w:rsid w:val="00BF7A51"/>
    <w:rsid w:val="00BF7ACF"/>
    <w:rsid w:val="00BF7AE1"/>
    <w:rsid w:val="00BF7E9D"/>
    <w:rsid w:val="00C00057"/>
    <w:rsid w:val="00C0018F"/>
    <w:rsid w:val="00C00317"/>
    <w:rsid w:val="00C006A6"/>
    <w:rsid w:val="00C006C1"/>
    <w:rsid w:val="00C0083E"/>
    <w:rsid w:val="00C00B73"/>
    <w:rsid w:val="00C00C6E"/>
    <w:rsid w:val="00C00CB9"/>
    <w:rsid w:val="00C00D14"/>
    <w:rsid w:val="00C012C7"/>
    <w:rsid w:val="00C01462"/>
    <w:rsid w:val="00C017DE"/>
    <w:rsid w:val="00C01B37"/>
    <w:rsid w:val="00C01D8B"/>
    <w:rsid w:val="00C0218F"/>
    <w:rsid w:val="00C0223A"/>
    <w:rsid w:val="00C022FE"/>
    <w:rsid w:val="00C02404"/>
    <w:rsid w:val="00C02647"/>
    <w:rsid w:val="00C02713"/>
    <w:rsid w:val="00C027B3"/>
    <w:rsid w:val="00C027CE"/>
    <w:rsid w:val="00C02966"/>
    <w:rsid w:val="00C02AA7"/>
    <w:rsid w:val="00C02CD5"/>
    <w:rsid w:val="00C02D26"/>
    <w:rsid w:val="00C02D94"/>
    <w:rsid w:val="00C02EA5"/>
    <w:rsid w:val="00C02F1E"/>
    <w:rsid w:val="00C03158"/>
    <w:rsid w:val="00C03272"/>
    <w:rsid w:val="00C0348F"/>
    <w:rsid w:val="00C034A0"/>
    <w:rsid w:val="00C03590"/>
    <w:rsid w:val="00C035CA"/>
    <w:rsid w:val="00C03699"/>
    <w:rsid w:val="00C03AEA"/>
    <w:rsid w:val="00C03BE7"/>
    <w:rsid w:val="00C03C44"/>
    <w:rsid w:val="00C03CD0"/>
    <w:rsid w:val="00C03E36"/>
    <w:rsid w:val="00C040B4"/>
    <w:rsid w:val="00C04337"/>
    <w:rsid w:val="00C044D1"/>
    <w:rsid w:val="00C0451C"/>
    <w:rsid w:val="00C04620"/>
    <w:rsid w:val="00C0472B"/>
    <w:rsid w:val="00C04858"/>
    <w:rsid w:val="00C04AA0"/>
    <w:rsid w:val="00C04B1C"/>
    <w:rsid w:val="00C04DE1"/>
    <w:rsid w:val="00C04E19"/>
    <w:rsid w:val="00C04F35"/>
    <w:rsid w:val="00C05123"/>
    <w:rsid w:val="00C05950"/>
    <w:rsid w:val="00C05CEE"/>
    <w:rsid w:val="00C05D66"/>
    <w:rsid w:val="00C05DA2"/>
    <w:rsid w:val="00C05F97"/>
    <w:rsid w:val="00C06295"/>
    <w:rsid w:val="00C06674"/>
    <w:rsid w:val="00C067F7"/>
    <w:rsid w:val="00C06A6A"/>
    <w:rsid w:val="00C06AD8"/>
    <w:rsid w:val="00C06ADE"/>
    <w:rsid w:val="00C06B15"/>
    <w:rsid w:val="00C06D57"/>
    <w:rsid w:val="00C06D65"/>
    <w:rsid w:val="00C07319"/>
    <w:rsid w:val="00C07578"/>
    <w:rsid w:val="00C076D2"/>
    <w:rsid w:val="00C077F3"/>
    <w:rsid w:val="00C0789C"/>
    <w:rsid w:val="00C07965"/>
    <w:rsid w:val="00C07A02"/>
    <w:rsid w:val="00C1004C"/>
    <w:rsid w:val="00C10200"/>
    <w:rsid w:val="00C104C0"/>
    <w:rsid w:val="00C1050A"/>
    <w:rsid w:val="00C1059A"/>
    <w:rsid w:val="00C106A3"/>
    <w:rsid w:val="00C10AF0"/>
    <w:rsid w:val="00C10BCD"/>
    <w:rsid w:val="00C10D67"/>
    <w:rsid w:val="00C11387"/>
    <w:rsid w:val="00C116D4"/>
    <w:rsid w:val="00C11776"/>
    <w:rsid w:val="00C11869"/>
    <w:rsid w:val="00C11874"/>
    <w:rsid w:val="00C11908"/>
    <w:rsid w:val="00C11971"/>
    <w:rsid w:val="00C11A45"/>
    <w:rsid w:val="00C11E1D"/>
    <w:rsid w:val="00C11F5A"/>
    <w:rsid w:val="00C11FAC"/>
    <w:rsid w:val="00C12008"/>
    <w:rsid w:val="00C1220E"/>
    <w:rsid w:val="00C1250B"/>
    <w:rsid w:val="00C1251D"/>
    <w:rsid w:val="00C12694"/>
    <w:rsid w:val="00C12A5A"/>
    <w:rsid w:val="00C12BFF"/>
    <w:rsid w:val="00C12EFB"/>
    <w:rsid w:val="00C12F73"/>
    <w:rsid w:val="00C1347C"/>
    <w:rsid w:val="00C1382B"/>
    <w:rsid w:val="00C139E1"/>
    <w:rsid w:val="00C13AFA"/>
    <w:rsid w:val="00C13FD4"/>
    <w:rsid w:val="00C13FDF"/>
    <w:rsid w:val="00C14049"/>
    <w:rsid w:val="00C1410B"/>
    <w:rsid w:val="00C1416B"/>
    <w:rsid w:val="00C14582"/>
    <w:rsid w:val="00C14843"/>
    <w:rsid w:val="00C148FE"/>
    <w:rsid w:val="00C14A8A"/>
    <w:rsid w:val="00C14DDB"/>
    <w:rsid w:val="00C14E3F"/>
    <w:rsid w:val="00C14F17"/>
    <w:rsid w:val="00C14F3A"/>
    <w:rsid w:val="00C15130"/>
    <w:rsid w:val="00C153B5"/>
    <w:rsid w:val="00C156C1"/>
    <w:rsid w:val="00C1594F"/>
    <w:rsid w:val="00C15AE0"/>
    <w:rsid w:val="00C15E77"/>
    <w:rsid w:val="00C15F1F"/>
    <w:rsid w:val="00C1613A"/>
    <w:rsid w:val="00C1638B"/>
    <w:rsid w:val="00C1644C"/>
    <w:rsid w:val="00C165B9"/>
    <w:rsid w:val="00C16708"/>
    <w:rsid w:val="00C16717"/>
    <w:rsid w:val="00C167DE"/>
    <w:rsid w:val="00C167FA"/>
    <w:rsid w:val="00C1699C"/>
    <w:rsid w:val="00C16A49"/>
    <w:rsid w:val="00C16BDF"/>
    <w:rsid w:val="00C16E50"/>
    <w:rsid w:val="00C16EE1"/>
    <w:rsid w:val="00C16F03"/>
    <w:rsid w:val="00C16FB9"/>
    <w:rsid w:val="00C1707F"/>
    <w:rsid w:val="00C170A6"/>
    <w:rsid w:val="00C17281"/>
    <w:rsid w:val="00C172C1"/>
    <w:rsid w:val="00C172E2"/>
    <w:rsid w:val="00C17A3B"/>
    <w:rsid w:val="00C17C9B"/>
    <w:rsid w:val="00C17E2F"/>
    <w:rsid w:val="00C201C7"/>
    <w:rsid w:val="00C201ED"/>
    <w:rsid w:val="00C2025C"/>
    <w:rsid w:val="00C20339"/>
    <w:rsid w:val="00C20604"/>
    <w:rsid w:val="00C20953"/>
    <w:rsid w:val="00C2097C"/>
    <w:rsid w:val="00C209CA"/>
    <w:rsid w:val="00C20C81"/>
    <w:rsid w:val="00C20FB8"/>
    <w:rsid w:val="00C20FC3"/>
    <w:rsid w:val="00C21267"/>
    <w:rsid w:val="00C2127B"/>
    <w:rsid w:val="00C212E1"/>
    <w:rsid w:val="00C2134B"/>
    <w:rsid w:val="00C2143A"/>
    <w:rsid w:val="00C214B5"/>
    <w:rsid w:val="00C21524"/>
    <w:rsid w:val="00C2157C"/>
    <w:rsid w:val="00C21844"/>
    <w:rsid w:val="00C2190F"/>
    <w:rsid w:val="00C219E5"/>
    <w:rsid w:val="00C21A23"/>
    <w:rsid w:val="00C21B28"/>
    <w:rsid w:val="00C21D75"/>
    <w:rsid w:val="00C21FD5"/>
    <w:rsid w:val="00C21FF7"/>
    <w:rsid w:val="00C224B6"/>
    <w:rsid w:val="00C226B7"/>
    <w:rsid w:val="00C22A4B"/>
    <w:rsid w:val="00C22B38"/>
    <w:rsid w:val="00C22BA3"/>
    <w:rsid w:val="00C22C49"/>
    <w:rsid w:val="00C22C7C"/>
    <w:rsid w:val="00C22E1F"/>
    <w:rsid w:val="00C22F7C"/>
    <w:rsid w:val="00C2303C"/>
    <w:rsid w:val="00C230C7"/>
    <w:rsid w:val="00C230F4"/>
    <w:rsid w:val="00C23340"/>
    <w:rsid w:val="00C23363"/>
    <w:rsid w:val="00C234EB"/>
    <w:rsid w:val="00C234EF"/>
    <w:rsid w:val="00C2367D"/>
    <w:rsid w:val="00C236E1"/>
    <w:rsid w:val="00C237E9"/>
    <w:rsid w:val="00C239B3"/>
    <w:rsid w:val="00C23B28"/>
    <w:rsid w:val="00C23CCA"/>
    <w:rsid w:val="00C23E06"/>
    <w:rsid w:val="00C23E53"/>
    <w:rsid w:val="00C24044"/>
    <w:rsid w:val="00C2449E"/>
    <w:rsid w:val="00C24648"/>
    <w:rsid w:val="00C24738"/>
    <w:rsid w:val="00C2474A"/>
    <w:rsid w:val="00C2483B"/>
    <w:rsid w:val="00C24BC6"/>
    <w:rsid w:val="00C24CAE"/>
    <w:rsid w:val="00C24CDC"/>
    <w:rsid w:val="00C24D6F"/>
    <w:rsid w:val="00C24DD1"/>
    <w:rsid w:val="00C24FDA"/>
    <w:rsid w:val="00C25113"/>
    <w:rsid w:val="00C25192"/>
    <w:rsid w:val="00C25327"/>
    <w:rsid w:val="00C25329"/>
    <w:rsid w:val="00C258C8"/>
    <w:rsid w:val="00C25B0F"/>
    <w:rsid w:val="00C25D89"/>
    <w:rsid w:val="00C25E98"/>
    <w:rsid w:val="00C264B0"/>
    <w:rsid w:val="00C26662"/>
    <w:rsid w:val="00C26865"/>
    <w:rsid w:val="00C268AD"/>
    <w:rsid w:val="00C26981"/>
    <w:rsid w:val="00C269A5"/>
    <w:rsid w:val="00C26C28"/>
    <w:rsid w:val="00C26CAB"/>
    <w:rsid w:val="00C27279"/>
    <w:rsid w:val="00C27347"/>
    <w:rsid w:val="00C274B2"/>
    <w:rsid w:val="00C2759A"/>
    <w:rsid w:val="00C276F1"/>
    <w:rsid w:val="00C277C0"/>
    <w:rsid w:val="00C27866"/>
    <w:rsid w:val="00C2799A"/>
    <w:rsid w:val="00C27ADF"/>
    <w:rsid w:val="00C27B1B"/>
    <w:rsid w:val="00C27C0E"/>
    <w:rsid w:val="00C27C26"/>
    <w:rsid w:val="00C27DF8"/>
    <w:rsid w:val="00C30029"/>
    <w:rsid w:val="00C3015A"/>
    <w:rsid w:val="00C30207"/>
    <w:rsid w:val="00C30327"/>
    <w:rsid w:val="00C3045C"/>
    <w:rsid w:val="00C3089A"/>
    <w:rsid w:val="00C3094F"/>
    <w:rsid w:val="00C30A04"/>
    <w:rsid w:val="00C30AFA"/>
    <w:rsid w:val="00C30E3D"/>
    <w:rsid w:val="00C31031"/>
    <w:rsid w:val="00C310DE"/>
    <w:rsid w:val="00C3113F"/>
    <w:rsid w:val="00C31435"/>
    <w:rsid w:val="00C316FA"/>
    <w:rsid w:val="00C31728"/>
    <w:rsid w:val="00C318F9"/>
    <w:rsid w:val="00C3199C"/>
    <w:rsid w:val="00C319DA"/>
    <w:rsid w:val="00C31B19"/>
    <w:rsid w:val="00C31C35"/>
    <w:rsid w:val="00C31D99"/>
    <w:rsid w:val="00C32025"/>
    <w:rsid w:val="00C320CF"/>
    <w:rsid w:val="00C3256B"/>
    <w:rsid w:val="00C325E2"/>
    <w:rsid w:val="00C3264B"/>
    <w:rsid w:val="00C32686"/>
    <w:rsid w:val="00C32783"/>
    <w:rsid w:val="00C327B6"/>
    <w:rsid w:val="00C32AAC"/>
    <w:rsid w:val="00C32B93"/>
    <w:rsid w:val="00C32F85"/>
    <w:rsid w:val="00C3319B"/>
    <w:rsid w:val="00C332A7"/>
    <w:rsid w:val="00C33316"/>
    <w:rsid w:val="00C33496"/>
    <w:rsid w:val="00C335EC"/>
    <w:rsid w:val="00C338CE"/>
    <w:rsid w:val="00C33A81"/>
    <w:rsid w:val="00C33F66"/>
    <w:rsid w:val="00C3414F"/>
    <w:rsid w:val="00C342D1"/>
    <w:rsid w:val="00C3438E"/>
    <w:rsid w:val="00C3439C"/>
    <w:rsid w:val="00C343C0"/>
    <w:rsid w:val="00C34616"/>
    <w:rsid w:val="00C3461A"/>
    <w:rsid w:val="00C346B0"/>
    <w:rsid w:val="00C348C7"/>
    <w:rsid w:val="00C34901"/>
    <w:rsid w:val="00C34A03"/>
    <w:rsid w:val="00C34AD6"/>
    <w:rsid w:val="00C34B0D"/>
    <w:rsid w:val="00C34B32"/>
    <w:rsid w:val="00C34C80"/>
    <w:rsid w:val="00C34DB3"/>
    <w:rsid w:val="00C34DDC"/>
    <w:rsid w:val="00C35505"/>
    <w:rsid w:val="00C35514"/>
    <w:rsid w:val="00C3560D"/>
    <w:rsid w:val="00C35785"/>
    <w:rsid w:val="00C358F7"/>
    <w:rsid w:val="00C35CFA"/>
    <w:rsid w:val="00C35FC4"/>
    <w:rsid w:val="00C36251"/>
    <w:rsid w:val="00C36402"/>
    <w:rsid w:val="00C36436"/>
    <w:rsid w:val="00C36475"/>
    <w:rsid w:val="00C36606"/>
    <w:rsid w:val="00C36718"/>
    <w:rsid w:val="00C36821"/>
    <w:rsid w:val="00C368A9"/>
    <w:rsid w:val="00C3696E"/>
    <w:rsid w:val="00C36A8A"/>
    <w:rsid w:val="00C36DA5"/>
    <w:rsid w:val="00C36EA4"/>
    <w:rsid w:val="00C370E2"/>
    <w:rsid w:val="00C37210"/>
    <w:rsid w:val="00C37225"/>
    <w:rsid w:val="00C37362"/>
    <w:rsid w:val="00C37409"/>
    <w:rsid w:val="00C375FF"/>
    <w:rsid w:val="00C3763D"/>
    <w:rsid w:val="00C376B5"/>
    <w:rsid w:val="00C376FC"/>
    <w:rsid w:val="00C3781E"/>
    <w:rsid w:val="00C37899"/>
    <w:rsid w:val="00C37A3C"/>
    <w:rsid w:val="00C37C83"/>
    <w:rsid w:val="00C37D03"/>
    <w:rsid w:val="00C40266"/>
    <w:rsid w:val="00C4037D"/>
    <w:rsid w:val="00C40694"/>
    <w:rsid w:val="00C4097B"/>
    <w:rsid w:val="00C40A45"/>
    <w:rsid w:val="00C40AD9"/>
    <w:rsid w:val="00C40D34"/>
    <w:rsid w:val="00C40D3D"/>
    <w:rsid w:val="00C413A9"/>
    <w:rsid w:val="00C415A6"/>
    <w:rsid w:val="00C41655"/>
    <w:rsid w:val="00C41662"/>
    <w:rsid w:val="00C417EE"/>
    <w:rsid w:val="00C419AD"/>
    <w:rsid w:val="00C41AA3"/>
    <w:rsid w:val="00C41AF3"/>
    <w:rsid w:val="00C41C70"/>
    <w:rsid w:val="00C41C7C"/>
    <w:rsid w:val="00C41DF9"/>
    <w:rsid w:val="00C41F04"/>
    <w:rsid w:val="00C41F0E"/>
    <w:rsid w:val="00C4224E"/>
    <w:rsid w:val="00C422E8"/>
    <w:rsid w:val="00C4232A"/>
    <w:rsid w:val="00C423C6"/>
    <w:rsid w:val="00C425C2"/>
    <w:rsid w:val="00C42886"/>
    <w:rsid w:val="00C42891"/>
    <w:rsid w:val="00C428BD"/>
    <w:rsid w:val="00C428E1"/>
    <w:rsid w:val="00C42941"/>
    <w:rsid w:val="00C42A7A"/>
    <w:rsid w:val="00C42AA4"/>
    <w:rsid w:val="00C42EA7"/>
    <w:rsid w:val="00C42F16"/>
    <w:rsid w:val="00C42F52"/>
    <w:rsid w:val="00C43058"/>
    <w:rsid w:val="00C433FD"/>
    <w:rsid w:val="00C4346C"/>
    <w:rsid w:val="00C43741"/>
    <w:rsid w:val="00C43856"/>
    <w:rsid w:val="00C438D5"/>
    <w:rsid w:val="00C43C42"/>
    <w:rsid w:val="00C43DBD"/>
    <w:rsid w:val="00C43E7A"/>
    <w:rsid w:val="00C43FC5"/>
    <w:rsid w:val="00C442FB"/>
    <w:rsid w:val="00C44392"/>
    <w:rsid w:val="00C44521"/>
    <w:rsid w:val="00C44BEA"/>
    <w:rsid w:val="00C44E76"/>
    <w:rsid w:val="00C44EDF"/>
    <w:rsid w:val="00C44FA3"/>
    <w:rsid w:val="00C45038"/>
    <w:rsid w:val="00C45072"/>
    <w:rsid w:val="00C45095"/>
    <w:rsid w:val="00C45311"/>
    <w:rsid w:val="00C45399"/>
    <w:rsid w:val="00C454E9"/>
    <w:rsid w:val="00C455A4"/>
    <w:rsid w:val="00C45709"/>
    <w:rsid w:val="00C45A05"/>
    <w:rsid w:val="00C45CBC"/>
    <w:rsid w:val="00C45CDA"/>
    <w:rsid w:val="00C45D41"/>
    <w:rsid w:val="00C46000"/>
    <w:rsid w:val="00C460BF"/>
    <w:rsid w:val="00C462CA"/>
    <w:rsid w:val="00C4631E"/>
    <w:rsid w:val="00C4646A"/>
    <w:rsid w:val="00C466B9"/>
    <w:rsid w:val="00C46759"/>
    <w:rsid w:val="00C4677B"/>
    <w:rsid w:val="00C46B64"/>
    <w:rsid w:val="00C46BE4"/>
    <w:rsid w:val="00C47044"/>
    <w:rsid w:val="00C4704D"/>
    <w:rsid w:val="00C4717D"/>
    <w:rsid w:val="00C47203"/>
    <w:rsid w:val="00C472E8"/>
    <w:rsid w:val="00C47485"/>
    <w:rsid w:val="00C478E7"/>
    <w:rsid w:val="00C47A39"/>
    <w:rsid w:val="00C47CD1"/>
    <w:rsid w:val="00C47DD5"/>
    <w:rsid w:val="00C47F49"/>
    <w:rsid w:val="00C47F84"/>
    <w:rsid w:val="00C5012A"/>
    <w:rsid w:val="00C50154"/>
    <w:rsid w:val="00C501FC"/>
    <w:rsid w:val="00C50420"/>
    <w:rsid w:val="00C504D2"/>
    <w:rsid w:val="00C50506"/>
    <w:rsid w:val="00C507B2"/>
    <w:rsid w:val="00C50818"/>
    <w:rsid w:val="00C50837"/>
    <w:rsid w:val="00C5097E"/>
    <w:rsid w:val="00C509F2"/>
    <w:rsid w:val="00C50AF6"/>
    <w:rsid w:val="00C50C1A"/>
    <w:rsid w:val="00C50C99"/>
    <w:rsid w:val="00C50D24"/>
    <w:rsid w:val="00C50E93"/>
    <w:rsid w:val="00C50FAC"/>
    <w:rsid w:val="00C5101D"/>
    <w:rsid w:val="00C511D0"/>
    <w:rsid w:val="00C5130B"/>
    <w:rsid w:val="00C51538"/>
    <w:rsid w:val="00C515A8"/>
    <w:rsid w:val="00C515EC"/>
    <w:rsid w:val="00C519FF"/>
    <w:rsid w:val="00C51A1E"/>
    <w:rsid w:val="00C51CA4"/>
    <w:rsid w:val="00C51CD2"/>
    <w:rsid w:val="00C51D5B"/>
    <w:rsid w:val="00C51D7C"/>
    <w:rsid w:val="00C51D91"/>
    <w:rsid w:val="00C52089"/>
    <w:rsid w:val="00C52091"/>
    <w:rsid w:val="00C525A8"/>
    <w:rsid w:val="00C5286A"/>
    <w:rsid w:val="00C52989"/>
    <w:rsid w:val="00C52B7B"/>
    <w:rsid w:val="00C52C98"/>
    <w:rsid w:val="00C52EA6"/>
    <w:rsid w:val="00C53199"/>
    <w:rsid w:val="00C53228"/>
    <w:rsid w:val="00C53236"/>
    <w:rsid w:val="00C532F1"/>
    <w:rsid w:val="00C53448"/>
    <w:rsid w:val="00C535A0"/>
    <w:rsid w:val="00C537D1"/>
    <w:rsid w:val="00C5393F"/>
    <w:rsid w:val="00C539BC"/>
    <w:rsid w:val="00C53A77"/>
    <w:rsid w:val="00C53ABB"/>
    <w:rsid w:val="00C53BB4"/>
    <w:rsid w:val="00C53F64"/>
    <w:rsid w:val="00C53FE0"/>
    <w:rsid w:val="00C54349"/>
    <w:rsid w:val="00C545E1"/>
    <w:rsid w:val="00C547D2"/>
    <w:rsid w:val="00C547D5"/>
    <w:rsid w:val="00C548CD"/>
    <w:rsid w:val="00C54919"/>
    <w:rsid w:val="00C5491B"/>
    <w:rsid w:val="00C54DB8"/>
    <w:rsid w:val="00C54DC2"/>
    <w:rsid w:val="00C54DE7"/>
    <w:rsid w:val="00C54DF5"/>
    <w:rsid w:val="00C54F11"/>
    <w:rsid w:val="00C54FD5"/>
    <w:rsid w:val="00C552DB"/>
    <w:rsid w:val="00C5585A"/>
    <w:rsid w:val="00C558C9"/>
    <w:rsid w:val="00C55A16"/>
    <w:rsid w:val="00C55A50"/>
    <w:rsid w:val="00C55A70"/>
    <w:rsid w:val="00C55A8D"/>
    <w:rsid w:val="00C55EF0"/>
    <w:rsid w:val="00C55F6E"/>
    <w:rsid w:val="00C56317"/>
    <w:rsid w:val="00C56363"/>
    <w:rsid w:val="00C563C2"/>
    <w:rsid w:val="00C563FA"/>
    <w:rsid w:val="00C5655F"/>
    <w:rsid w:val="00C566BB"/>
    <w:rsid w:val="00C56847"/>
    <w:rsid w:val="00C56848"/>
    <w:rsid w:val="00C56999"/>
    <w:rsid w:val="00C56C12"/>
    <w:rsid w:val="00C56ECE"/>
    <w:rsid w:val="00C56F30"/>
    <w:rsid w:val="00C5704A"/>
    <w:rsid w:val="00C57070"/>
    <w:rsid w:val="00C571C6"/>
    <w:rsid w:val="00C57453"/>
    <w:rsid w:val="00C576A3"/>
    <w:rsid w:val="00C57844"/>
    <w:rsid w:val="00C578D9"/>
    <w:rsid w:val="00C57A7F"/>
    <w:rsid w:val="00C57CDD"/>
    <w:rsid w:val="00C601F9"/>
    <w:rsid w:val="00C6037E"/>
    <w:rsid w:val="00C60527"/>
    <w:rsid w:val="00C6076F"/>
    <w:rsid w:val="00C608C4"/>
    <w:rsid w:val="00C60AF0"/>
    <w:rsid w:val="00C60B9F"/>
    <w:rsid w:val="00C60D10"/>
    <w:rsid w:val="00C60E80"/>
    <w:rsid w:val="00C60F8A"/>
    <w:rsid w:val="00C61019"/>
    <w:rsid w:val="00C61071"/>
    <w:rsid w:val="00C610D9"/>
    <w:rsid w:val="00C6111A"/>
    <w:rsid w:val="00C61185"/>
    <w:rsid w:val="00C614C8"/>
    <w:rsid w:val="00C615FF"/>
    <w:rsid w:val="00C6179F"/>
    <w:rsid w:val="00C61946"/>
    <w:rsid w:val="00C61D47"/>
    <w:rsid w:val="00C623A2"/>
    <w:rsid w:val="00C623CE"/>
    <w:rsid w:val="00C626B2"/>
    <w:rsid w:val="00C628AF"/>
    <w:rsid w:val="00C62C7C"/>
    <w:rsid w:val="00C630B8"/>
    <w:rsid w:val="00C630C9"/>
    <w:rsid w:val="00C630F8"/>
    <w:rsid w:val="00C63610"/>
    <w:rsid w:val="00C637B5"/>
    <w:rsid w:val="00C63A2F"/>
    <w:rsid w:val="00C63B79"/>
    <w:rsid w:val="00C63BD2"/>
    <w:rsid w:val="00C63BD3"/>
    <w:rsid w:val="00C63C8A"/>
    <w:rsid w:val="00C63ED0"/>
    <w:rsid w:val="00C63F10"/>
    <w:rsid w:val="00C6400E"/>
    <w:rsid w:val="00C64048"/>
    <w:rsid w:val="00C64251"/>
    <w:rsid w:val="00C64337"/>
    <w:rsid w:val="00C645D2"/>
    <w:rsid w:val="00C64835"/>
    <w:rsid w:val="00C648D2"/>
    <w:rsid w:val="00C64BEA"/>
    <w:rsid w:val="00C64D28"/>
    <w:rsid w:val="00C64E9F"/>
    <w:rsid w:val="00C64ECC"/>
    <w:rsid w:val="00C65159"/>
    <w:rsid w:val="00C65180"/>
    <w:rsid w:val="00C6523A"/>
    <w:rsid w:val="00C652E2"/>
    <w:rsid w:val="00C6538E"/>
    <w:rsid w:val="00C6551D"/>
    <w:rsid w:val="00C659A1"/>
    <w:rsid w:val="00C659F9"/>
    <w:rsid w:val="00C65B3C"/>
    <w:rsid w:val="00C65E09"/>
    <w:rsid w:val="00C65F19"/>
    <w:rsid w:val="00C66075"/>
    <w:rsid w:val="00C6635F"/>
    <w:rsid w:val="00C66497"/>
    <w:rsid w:val="00C66563"/>
    <w:rsid w:val="00C66757"/>
    <w:rsid w:val="00C66842"/>
    <w:rsid w:val="00C66951"/>
    <w:rsid w:val="00C66955"/>
    <w:rsid w:val="00C669EE"/>
    <w:rsid w:val="00C66C12"/>
    <w:rsid w:val="00C66D87"/>
    <w:rsid w:val="00C6737C"/>
    <w:rsid w:val="00C6741D"/>
    <w:rsid w:val="00C6744A"/>
    <w:rsid w:val="00C6755D"/>
    <w:rsid w:val="00C675AE"/>
    <w:rsid w:val="00C676FB"/>
    <w:rsid w:val="00C67796"/>
    <w:rsid w:val="00C6785B"/>
    <w:rsid w:val="00C679CE"/>
    <w:rsid w:val="00C67A06"/>
    <w:rsid w:val="00C67BC6"/>
    <w:rsid w:val="00C67E2C"/>
    <w:rsid w:val="00C67E4A"/>
    <w:rsid w:val="00C67F29"/>
    <w:rsid w:val="00C70072"/>
    <w:rsid w:val="00C7017D"/>
    <w:rsid w:val="00C7028A"/>
    <w:rsid w:val="00C702B1"/>
    <w:rsid w:val="00C705F4"/>
    <w:rsid w:val="00C70613"/>
    <w:rsid w:val="00C70AF0"/>
    <w:rsid w:val="00C70B91"/>
    <w:rsid w:val="00C710E6"/>
    <w:rsid w:val="00C71416"/>
    <w:rsid w:val="00C715A8"/>
    <w:rsid w:val="00C71943"/>
    <w:rsid w:val="00C71A74"/>
    <w:rsid w:val="00C72317"/>
    <w:rsid w:val="00C724AC"/>
    <w:rsid w:val="00C7285A"/>
    <w:rsid w:val="00C72AD6"/>
    <w:rsid w:val="00C731EB"/>
    <w:rsid w:val="00C732EB"/>
    <w:rsid w:val="00C73717"/>
    <w:rsid w:val="00C7374F"/>
    <w:rsid w:val="00C737AD"/>
    <w:rsid w:val="00C738F5"/>
    <w:rsid w:val="00C73AA7"/>
    <w:rsid w:val="00C73EDF"/>
    <w:rsid w:val="00C73F29"/>
    <w:rsid w:val="00C73F4F"/>
    <w:rsid w:val="00C73FA5"/>
    <w:rsid w:val="00C7401E"/>
    <w:rsid w:val="00C74156"/>
    <w:rsid w:val="00C74308"/>
    <w:rsid w:val="00C743D4"/>
    <w:rsid w:val="00C7455D"/>
    <w:rsid w:val="00C74799"/>
    <w:rsid w:val="00C74BD1"/>
    <w:rsid w:val="00C74C28"/>
    <w:rsid w:val="00C74E19"/>
    <w:rsid w:val="00C7502B"/>
    <w:rsid w:val="00C7513A"/>
    <w:rsid w:val="00C7514D"/>
    <w:rsid w:val="00C7544F"/>
    <w:rsid w:val="00C75584"/>
    <w:rsid w:val="00C755CA"/>
    <w:rsid w:val="00C75625"/>
    <w:rsid w:val="00C758D2"/>
    <w:rsid w:val="00C7596D"/>
    <w:rsid w:val="00C75AD1"/>
    <w:rsid w:val="00C75D68"/>
    <w:rsid w:val="00C76152"/>
    <w:rsid w:val="00C76194"/>
    <w:rsid w:val="00C76387"/>
    <w:rsid w:val="00C765D7"/>
    <w:rsid w:val="00C7685C"/>
    <w:rsid w:val="00C76885"/>
    <w:rsid w:val="00C768A3"/>
    <w:rsid w:val="00C76ADE"/>
    <w:rsid w:val="00C76DF8"/>
    <w:rsid w:val="00C76E79"/>
    <w:rsid w:val="00C77018"/>
    <w:rsid w:val="00C7703C"/>
    <w:rsid w:val="00C7710A"/>
    <w:rsid w:val="00C771CA"/>
    <w:rsid w:val="00C7735D"/>
    <w:rsid w:val="00C7756B"/>
    <w:rsid w:val="00C7761D"/>
    <w:rsid w:val="00C779F9"/>
    <w:rsid w:val="00C77A48"/>
    <w:rsid w:val="00C77A83"/>
    <w:rsid w:val="00C77B4C"/>
    <w:rsid w:val="00C77BAB"/>
    <w:rsid w:val="00C77EDF"/>
    <w:rsid w:val="00C77F65"/>
    <w:rsid w:val="00C8029D"/>
    <w:rsid w:val="00C802F4"/>
    <w:rsid w:val="00C804C1"/>
    <w:rsid w:val="00C805F0"/>
    <w:rsid w:val="00C80615"/>
    <w:rsid w:val="00C8082C"/>
    <w:rsid w:val="00C80889"/>
    <w:rsid w:val="00C8127F"/>
    <w:rsid w:val="00C812F8"/>
    <w:rsid w:val="00C814F2"/>
    <w:rsid w:val="00C815F6"/>
    <w:rsid w:val="00C817B6"/>
    <w:rsid w:val="00C81830"/>
    <w:rsid w:val="00C81831"/>
    <w:rsid w:val="00C819D3"/>
    <w:rsid w:val="00C81BAA"/>
    <w:rsid w:val="00C81C01"/>
    <w:rsid w:val="00C81CAC"/>
    <w:rsid w:val="00C81CC4"/>
    <w:rsid w:val="00C81E24"/>
    <w:rsid w:val="00C81F7D"/>
    <w:rsid w:val="00C827B5"/>
    <w:rsid w:val="00C828FF"/>
    <w:rsid w:val="00C82BF8"/>
    <w:rsid w:val="00C832C9"/>
    <w:rsid w:val="00C8337F"/>
    <w:rsid w:val="00C833E9"/>
    <w:rsid w:val="00C8352E"/>
    <w:rsid w:val="00C836BF"/>
    <w:rsid w:val="00C836F7"/>
    <w:rsid w:val="00C83980"/>
    <w:rsid w:val="00C839B1"/>
    <w:rsid w:val="00C83C15"/>
    <w:rsid w:val="00C83C88"/>
    <w:rsid w:val="00C83EA4"/>
    <w:rsid w:val="00C83EF2"/>
    <w:rsid w:val="00C83F53"/>
    <w:rsid w:val="00C84237"/>
    <w:rsid w:val="00C8423D"/>
    <w:rsid w:val="00C84372"/>
    <w:rsid w:val="00C847C0"/>
    <w:rsid w:val="00C848EE"/>
    <w:rsid w:val="00C84AFC"/>
    <w:rsid w:val="00C84B2A"/>
    <w:rsid w:val="00C84B39"/>
    <w:rsid w:val="00C84D8B"/>
    <w:rsid w:val="00C84E9C"/>
    <w:rsid w:val="00C84F37"/>
    <w:rsid w:val="00C84F65"/>
    <w:rsid w:val="00C8555C"/>
    <w:rsid w:val="00C85A37"/>
    <w:rsid w:val="00C85AD1"/>
    <w:rsid w:val="00C85B14"/>
    <w:rsid w:val="00C85C90"/>
    <w:rsid w:val="00C85D48"/>
    <w:rsid w:val="00C85D8B"/>
    <w:rsid w:val="00C85DC5"/>
    <w:rsid w:val="00C85EAA"/>
    <w:rsid w:val="00C861C5"/>
    <w:rsid w:val="00C86269"/>
    <w:rsid w:val="00C8626B"/>
    <w:rsid w:val="00C86434"/>
    <w:rsid w:val="00C864F5"/>
    <w:rsid w:val="00C86656"/>
    <w:rsid w:val="00C8679C"/>
    <w:rsid w:val="00C8683B"/>
    <w:rsid w:val="00C86855"/>
    <w:rsid w:val="00C869C5"/>
    <w:rsid w:val="00C86B02"/>
    <w:rsid w:val="00C86B8A"/>
    <w:rsid w:val="00C86EB9"/>
    <w:rsid w:val="00C86F08"/>
    <w:rsid w:val="00C86F7D"/>
    <w:rsid w:val="00C87076"/>
    <w:rsid w:val="00C870B0"/>
    <w:rsid w:val="00C87135"/>
    <w:rsid w:val="00C87201"/>
    <w:rsid w:val="00C87314"/>
    <w:rsid w:val="00C87521"/>
    <w:rsid w:val="00C876D3"/>
    <w:rsid w:val="00C8778E"/>
    <w:rsid w:val="00C87B89"/>
    <w:rsid w:val="00C87E2A"/>
    <w:rsid w:val="00C90014"/>
    <w:rsid w:val="00C9003A"/>
    <w:rsid w:val="00C90175"/>
    <w:rsid w:val="00C90195"/>
    <w:rsid w:val="00C905FC"/>
    <w:rsid w:val="00C9076A"/>
    <w:rsid w:val="00C90A62"/>
    <w:rsid w:val="00C90E53"/>
    <w:rsid w:val="00C911CF"/>
    <w:rsid w:val="00C91278"/>
    <w:rsid w:val="00C914F1"/>
    <w:rsid w:val="00C9175A"/>
    <w:rsid w:val="00C91782"/>
    <w:rsid w:val="00C91B51"/>
    <w:rsid w:val="00C91F87"/>
    <w:rsid w:val="00C91FB2"/>
    <w:rsid w:val="00C92007"/>
    <w:rsid w:val="00C92021"/>
    <w:rsid w:val="00C9215D"/>
    <w:rsid w:val="00C92188"/>
    <w:rsid w:val="00C9240A"/>
    <w:rsid w:val="00C92735"/>
    <w:rsid w:val="00C92774"/>
    <w:rsid w:val="00C927E7"/>
    <w:rsid w:val="00C92AB9"/>
    <w:rsid w:val="00C93290"/>
    <w:rsid w:val="00C932D3"/>
    <w:rsid w:val="00C934A6"/>
    <w:rsid w:val="00C936F0"/>
    <w:rsid w:val="00C9389A"/>
    <w:rsid w:val="00C93ADD"/>
    <w:rsid w:val="00C93BBB"/>
    <w:rsid w:val="00C93C52"/>
    <w:rsid w:val="00C93D5E"/>
    <w:rsid w:val="00C93E6D"/>
    <w:rsid w:val="00C93EB4"/>
    <w:rsid w:val="00C93ED6"/>
    <w:rsid w:val="00C93F80"/>
    <w:rsid w:val="00C9401B"/>
    <w:rsid w:val="00C941D0"/>
    <w:rsid w:val="00C94301"/>
    <w:rsid w:val="00C94335"/>
    <w:rsid w:val="00C94474"/>
    <w:rsid w:val="00C945D4"/>
    <w:rsid w:val="00C946D5"/>
    <w:rsid w:val="00C94857"/>
    <w:rsid w:val="00C94999"/>
    <w:rsid w:val="00C94E24"/>
    <w:rsid w:val="00C9520D"/>
    <w:rsid w:val="00C954BC"/>
    <w:rsid w:val="00C954DF"/>
    <w:rsid w:val="00C95794"/>
    <w:rsid w:val="00C958B1"/>
    <w:rsid w:val="00C95C12"/>
    <w:rsid w:val="00C95C4C"/>
    <w:rsid w:val="00C95C5E"/>
    <w:rsid w:val="00C95DEF"/>
    <w:rsid w:val="00C95E4B"/>
    <w:rsid w:val="00C95E5F"/>
    <w:rsid w:val="00C95EE9"/>
    <w:rsid w:val="00C95F9D"/>
    <w:rsid w:val="00C9602E"/>
    <w:rsid w:val="00C96066"/>
    <w:rsid w:val="00C96135"/>
    <w:rsid w:val="00C96156"/>
    <w:rsid w:val="00C964D7"/>
    <w:rsid w:val="00C9656F"/>
    <w:rsid w:val="00C967E1"/>
    <w:rsid w:val="00C96915"/>
    <w:rsid w:val="00C96B75"/>
    <w:rsid w:val="00C96D59"/>
    <w:rsid w:val="00C96EAE"/>
    <w:rsid w:val="00C96EF7"/>
    <w:rsid w:val="00C96F37"/>
    <w:rsid w:val="00C97120"/>
    <w:rsid w:val="00C97171"/>
    <w:rsid w:val="00C973B3"/>
    <w:rsid w:val="00C9755C"/>
    <w:rsid w:val="00C9775B"/>
    <w:rsid w:val="00C9786F"/>
    <w:rsid w:val="00C978D1"/>
    <w:rsid w:val="00C97995"/>
    <w:rsid w:val="00C97A35"/>
    <w:rsid w:val="00C97ACB"/>
    <w:rsid w:val="00C97AD6"/>
    <w:rsid w:val="00C97B3C"/>
    <w:rsid w:val="00C97D04"/>
    <w:rsid w:val="00C97FE2"/>
    <w:rsid w:val="00CA0042"/>
    <w:rsid w:val="00CA03AA"/>
    <w:rsid w:val="00CA03FB"/>
    <w:rsid w:val="00CA0402"/>
    <w:rsid w:val="00CA0523"/>
    <w:rsid w:val="00CA0552"/>
    <w:rsid w:val="00CA06F5"/>
    <w:rsid w:val="00CA06FB"/>
    <w:rsid w:val="00CA0B81"/>
    <w:rsid w:val="00CA0DB7"/>
    <w:rsid w:val="00CA0EF0"/>
    <w:rsid w:val="00CA12AD"/>
    <w:rsid w:val="00CA12DD"/>
    <w:rsid w:val="00CA1320"/>
    <w:rsid w:val="00CA13F5"/>
    <w:rsid w:val="00CA142C"/>
    <w:rsid w:val="00CA16E2"/>
    <w:rsid w:val="00CA1801"/>
    <w:rsid w:val="00CA1820"/>
    <w:rsid w:val="00CA18BE"/>
    <w:rsid w:val="00CA1A19"/>
    <w:rsid w:val="00CA1B6B"/>
    <w:rsid w:val="00CA1D27"/>
    <w:rsid w:val="00CA1DE3"/>
    <w:rsid w:val="00CA20FD"/>
    <w:rsid w:val="00CA2170"/>
    <w:rsid w:val="00CA217C"/>
    <w:rsid w:val="00CA25B5"/>
    <w:rsid w:val="00CA25E3"/>
    <w:rsid w:val="00CA2600"/>
    <w:rsid w:val="00CA264D"/>
    <w:rsid w:val="00CA2846"/>
    <w:rsid w:val="00CA2C4B"/>
    <w:rsid w:val="00CA2D9F"/>
    <w:rsid w:val="00CA2E65"/>
    <w:rsid w:val="00CA2E97"/>
    <w:rsid w:val="00CA3104"/>
    <w:rsid w:val="00CA327C"/>
    <w:rsid w:val="00CA37B3"/>
    <w:rsid w:val="00CA3917"/>
    <w:rsid w:val="00CA3ABA"/>
    <w:rsid w:val="00CA3C8C"/>
    <w:rsid w:val="00CA3F6D"/>
    <w:rsid w:val="00CA40B7"/>
    <w:rsid w:val="00CA40C3"/>
    <w:rsid w:val="00CA4167"/>
    <w:rsid w:val="00CA4424"/>
    <w:rsid w:val="00CA47BE"/>
    <w:rsid w:val="00CA49C2"/>
    <w:rsid w:val="00CA4D5C"/>
    <w:rsid w:val="00CA4FD3"/>
    <w:rsid w:val="00CA5022"/>
    <w:rsid w:val="00CA5073"/>
    <w:rsid w:val="00CA5174"/>
    <w:rsid w:val="00CA5215"/>
    <w:rsid w:val="00CA5557"/>
    <w:rsid w:val="00CA555E"/>
    <w:rsid w:val="00CA55C2"/>
    <w:rsid w:val="00CA5C46"/>
    <w:rsid w:val="00CA5D1D"/>
    <w:rsid w:val="00CA5D6E"/>
    <w:rsid w:val="00CA60AD"/>
    <w:rsid w:val="00CA611A"/>
    <w:rsid w:val="00CA61B3"/>
    <w:rsid w:val="00CA6237"/>
    <w:rsid w:val="00CA632D"/>
    <w:rsid w:val="00CA637C"/>
    <w:rsid w:val="00CA63BE"/>
    <w:rsid w:val="00CA644F"/>
    <w:rsid w:val="00CA64AF"/>
    <w:rsid w:val="00CA66FC"/>
    <w:rsid w:val="00CA6A87"/>
    <w:rsid w:val="00CA6BFE"/>
    <w:rsid w:val="00CA6C70"/>
    <w:rsid w:val="00CA6CD0"/>
    <w:rsid w:val="00CA6D20"/>
    <w:rsid w:val="00CA6FE9"/>
    <w:rsid w:val="00CA70B5"/>
    <w:rsid w:val="00CA7138"/>
    <w:rsid w:val="00CA72B3"/>
    <w:rsid w:val="00CA72CC"/>
    <w:rsid w:val="00CA7479"/>
    <w:rsid w:val="00CA77D7"/>
    <w:rsid w:val="00CA79D6"/>
    <w:rsid w:val="00CA7C5E"/>
    <w:rsid w:val="00CB00FC"/>
    <w:rsid w:val="00CB01CE"/>
    <w:rsid w:val="00CB01D7"/>
    <w:rsid w:val="00CB037F"/>
    <w:rsid w:val="00CB0481"/>
    <w:rsid w:val="00CB0767"/>
    <w:rsid w:val="00CB08E8"/>
    <w:rsid w:val="00CB0D34"/>
    <w:rsid w:val="00CB0D52"/>
    <w:rsid w:val="00CB0E5C"/>
    <w:rsid w:val="00CB0F5F"/>
    <w:rsid w:val="00CB10D9"/>
    <w:rsid w:val="00CB11C0"/>
    <w:rsid w:val="00CB1337"/>
    <w:rsid w:val="00CB157B"/>
    <w:rsid w:val="00CB1605"/>
    <w:rsid w:val="00CB16C1"/>
    <w:rsid w:val="00CB1880"/>
    <w:rsid w:val="00CB1A0B"/>
    <w:rsid w:val="00CB1A1B"/>
    <w:rsid w:val="00CB1C1D"/>
    <w:rsid w:val="00CB1D52"/>
    <w:rsid w:val="00CB1EB1"/>
    <w:rsid w:val="00CB1F6F"/>
    <w:rsid w:val="00CB2046"/>
    <w:rsid w:val="00CB22B3"/>
    <w:rsid w:val="00CB22D7"/>
    <w:rsid w:val="00CB2385"/>
    <w:rsid w:val="00CB2489"/>
    <w:rsid w:val="00CB251E"/>
    <w:rsid w:val="00CB2531"/>
    <w:rsid w:val="00CB2656"/>
    <w:rsid w:val="00CB2710"/>
    <w:rsid w:val="00CB2859"/>
    <w:rsid w:val="00CB2923"/>
    <w:rsid w:val="00CB2940"/>
    <w:rsid w:val="00CB2978"/>
    <w:rsid w:val="00CB2B06"/>
    <w:rsid w:val="00CB2B96"/>
    <w:rsid w:val="00CB2BA9"/>
    <w:rsid w:val="00CB2CDD"/>
    <w:rsid w:val="00CB2EB6"/>
    <w:rsid w:val="00CB2EDF"/>
    <w:rsid w:val="00CB31F5"/>
    <w:rsid w:val="00CB3578"/>
    <w:rsid w:val="00CB35E9"/>
    <w:rsid w:val="00CB366C"/>
    <w:rsid w:val="00CB3695"/>
    <w:rsid w:val="00CB379F"/>
    <w:rsid w:val="00CB37E6"/>
    <w:rsid w:val="00CB380D"/>
    <w:rsid w:val="00CB389D"/>
    <w:rsid w:val="00CB39BF"/>
    <w:rsid w:val="00CB3B04"/>
    <w:rsid w:val="00CB3F0D"/>
    <w:rsid w:val="00CB3FDF"/>
    <w:rsid w:val="00CB4079"/>
    <w:rsid w:val="00CB412E"/>
    <w:rsid w:val="00CB41E3"/>
    <w:rsid w:val="00CB44BD"/>
    <w:rsid w:val="00CB455D"/>
    <w:rsid w:val="00CB4652"/>
    <w:rsid w:val="00CB482C"/>
    <w:rsid w:val="00CB48D6"/>
    <w:rsid w:val="00CB49E3"/>
    <w:rsid w:val="00CB4D6E"/>
    <w:rsid w:val="00CB4D7E"/>
    <w:rsid w:val="00CB5231"/>
    <w:rsid w:val="00CB526C"/>
    <w:rsid w:val="00CB54C0"/>
    <w:rsid w:val="00CB556E"/>
    <w:rsid w:val="00CB55D6"/>
    <w:rsid w:val="00CB5607"/>
    <w:rsid w:val="00CB56C2"/>
    <w:rsid w:val="00CB5841"/>
    <w:rsid w:val="00CB585F"/>
    <w:rsid w:val="00CB58EF"/>
    <w:rsid w:val="00CB5BD2"/>
    <w:rsid w:val="00CB5C19"/>
    <w:rsid w:val="00CB5C22"/>
    <w:rsid w:val="00CB5C6E"/>
    <w:rsid w:val="00CB63F4"/>
    <w:rsid w:val="00CB67D2"/>
    <w:rsid w:val="00CB68D1"/>
    <w:rsid w:val="00CB69AF"/>
    <w:rsid w:val="00CB6BFD"/>
    <w:rsid w:val="00CB6DD6"/>
    <w:rsid w:val="00CB6FC7"/>
    <w:rsid w:val="00CB7478"/>
    <w:rsid w:val="00CB77D3"/>
    <w:rsid w:val="00CB7AFB"/>
    <w:rsid w:val="00CB7B6A"/>
    <w:rsid w:val="00CB7C25"/>
    <w:rsid w:val="00CB7DC8"/>
    <w:rsid w:val="00CC07D6"/>
    <w:rsid w:val="00CC094A"/>
    <w:rsid w:val="00CC0A09"/>
    <w:rsid w:val="00CC0A67"/>
    <w:rsid w:val="00CC0B5A"/>
    <w:rsid w:val="00CC0C0C"/>
    <w:rsid w:val="00CC0C3D"/>
    <w:rsid w:val="00CC0F34"/>
    <w:rsid w:val="00CC1044"/>
    <w:rsid w:val="00CC10B9"/>
    <w:rsid w:val="00CC10FA"/>
    <w:rsid w:val="00CC1107"/>
    <w:rsid w:val="00CC119C"/>
    <w:rsid w:val="00CC1243"/>
    <w:rsid w:val="00CC13CA"/>
    <w:rsid w:val="00CC1440"/>
    <w:rsid w:val="00CC144D"/>
    <w:rsid w:val="00CC1451"/>
    <w:rsid w:val="00CC14BF"/>
    <w:rsid w:val="00CC155D"/>
    <w:rsid w:val="00CC1776"/>
    <w:rsid w:val="00CC1A82"/>
    <w:rsid w:val="00CC20D8"/>
    <w:rsid w:val="00CC2143"/>
    <w:rsid w:val="00CC2206"/>
    <w:rsid w:val="00CC2750"/>
    <w:rsid w:val="00CC29EE"/>
    <w:rsid w:val="00CC31AA"/>
    <w:rsid w:val="00CC3472"/>
    <w:rsid w:val="00CC3499"/>
    <w:rsid w:val="00CC34C5"/>
    <w:rsid w:val="00CC3A43"/>
    <w:rsid w:val="00CC3B43"/>
    <w:rsid w:val="00CC3BCA"/>
    <w:rsid w:val="00CC3D64"/>
    <w:rsid w:val="00CC3DFB"/>
    <w:rsid w:val="00CC4344"/>
    <w:rsid w:val="00CC4479"/>
    <w:rsid w:val="00CC4596"/>
    <w:rsid w:val="00CC46AD"/>
    <w:rsid w:val="00CC497A"/>
    <w:rsid w:val="00CC4C1E"/>
    <w:rsid w:val="00CC4C56"/>
    <w:rsid w:val="00CC4EB4"/>
    <w:rsid w:val="00CC502F"/>
    <w:rsid w:val="00CC50E2"/>
    <w:rsid w:val="00CC52CB"/>
    <w:rsid w:val="00CC5362"/>
    <w:rsid w:val="00CC540D"/>
    <w:rsid w:val="00CC54C4"/>
    <w:rsid w:val="00CC5584"/>
    <w:rsid w:val="00CC574F"/>
    <w:rsid w:val="00CC57ED"/>
    <w:rsid w:val="00CC5B65"/>
    <w:rsid w:val="00CC5D3E"/>
    <w:rsid w:val="00CC5D6C"/>
    <w:rsid w:val="00CC5E50"/>
    <w:rsid w:val="00CC6003"/>
    <w:rsid w:val="00CC6060"/>
    <w:rsid w:val="00CC6190"/>
    <w:rsid w:val="00CC6230"/>
    <w:rsid w:val="00CC6244"/>
    <w:rsid w:val="00CC65B4"/>
    <w:rsid w:val="00CC65B7"/>
    <w:rsid w:val="00CC6684"/>
    <w:rsid w:val="00CC6723"/>
    <w:rsid w:val="00CC6979"/>
    <w:rsid w:val="00CC697B"/>
    <w:rsid w:val="00CC6AAF"/>
    <w:rsid w:val="00CC6B1C"/>
    <w:rsid w:val="00CC6BB3"/>
    <w:rsid w:val="00CC6BDE"/>
    <w:rsid w:val="00CC6CB8"/>
    <w:rsid w:val="00CC6CFD"/>
    <w:rsid w:val="00CC6E77"/>
    <w:rsid w:val="00CC6F77"/>
    <w:rsid w:val="00CC719F"/>
    <w:rsid w:val="00CC720D"/>
    <w:rsid w:val="00CC77AD"/>
    <w:rsid w:val="00CC77FD"/>
    <w:rsid w:val="00CC784E"/>
    <w:rsid w:val="00CC78D7"/>
    <w:rsid w:val="00CC79E7"/>
    <w:rsid w:val="00CC7C9C"/>
    <w:rsid w:val="00CC7DFD"/>
    <w:rsid w:val="00CC7E7E"/>
    <w:rsid w:val="00CC7ECD"/>
    <w:rsid w:val="00CC7F37"/>
    <w:rsid w:val="00CD0072"/>
    <w:rsid w:val="00CD021C"/>
    <w:rsid w:val="00CD0543"/>
    <w:rsid w:val="00CD055C"/>
    <w:rsid w:val="00CD0567"/>
    <w:rsid w:val="00CD061F"/>
    <w:rsid w:val="00CD0774"/>
    <w:rsid w:val="00CD0941"/>
    <w:rsid w:val="00CD0A9A"/>
    <w:rsid w:val="00CD0BD8"/>
    <w:rsid w:val="00CD119E"/>
    <w:rsid w:val="00CD11B5"/>
    <w:rsid w:val="00CD11F9"/>
    <w:rsid w:val="00CD1818"/>
    <w:rsid w:val="00CD1B63"/>
    <w:rsid w:val="00CD1C1A"/>
    <w:rsid w:val="00CD2100"/>
    <w:rsid w:val="00CD216D"/>
    <w:rsid w:val="00CD2360"/>
    <w:rsid w:val="00CD243C"/>
    <w:rsid w:val="00CD2472"/>
    <w:rsid w:val="00CD24A3"/>
    <w:rsid w:val="00CD25F0"/>
    <w:rsid w:val="00CD26A2"/>
    <w:rsid w:val="00CD270B"/>
    <w:rsid w:val="00CD2753"/>
    <w:rsid w:val="00CD27F7"/>
    <w:rsid w:val="00CD2A03"/>
    <w:rsid w:val="00CD2A9E"/>
    <w:rsid w:val="00CD2C34"/>
    <w:rsid w:val="00CD2C3F"/>
    <w:rsid w:val="00CD2E0B"/>
    <w:rsid w:val="00CD303A"/>
    <w:rsid w:val="00CD33E9"/>
    <w:rsid w:val="00CD34A1"/>
    <w:rsid w:val="00CD3553"/>
    <w:rsid w:val="00CD3627"/>
    <w:rsid w:val="00CD3644"/>
    <w:rsid w:val="00CD3870"/>
    <w:rsid w:val="00CD38BF"/>
    <w:rsid w:val="00CD3925"/>
    <w:rsid w:val="00CD39C4"/>
    <w:rsid w:val="00CD3A0C"/>
    <w:rsid w:val="00CD3BF4"/>
    <w:rsid w:val="00CD3FEF"/>
    <w:rsid w:val="00CD408C"/>
    <w:rsid w:val="00CD430F"/>
    <w:rsid w:val="00CD49F1"/>
    <w:rsid w:val="00CD49F7"/>
    <w:rsid w:val="00CD4B19"/>
    <w:rsid w:val="00CD4C98"/>
    <w:rsid w:val="00CD4CFA"/>
    <w:rsid w:val="00CD4F90"/>
    <w:rsid w:val="00CD52A0"/>
    <w:rsid w:val="00CD55EC"/>
    <w:rsid w:val="00CD57C3"/>
    <w:rsid w:val="00CD5B70"/>
    <w:rsid w:val="00CD5D75"/>
    <w:rsid w:val="00CD6057"/>
    <w:rsid w:val="00CD6252"/>
    <w:rsid w:val="00CD62B8"/>
    <w:rsid w:val="00CD62EF"/>
    <w:rsid w:val="00CD6310"/>
    <w:rsid w:val="00CD63CD"/>
    <w:rsid w:val="00CD6474"/>
    <w:rsid w:val="00CD65CE"/>
    <w:rsid w:val="00CD665D"/>
    <w:rsid w:val="00CD66B5"/>
    <w:rsid w:val="00CD673D"/>
    <w:rsid w:val="00CD67AE"/>
    <w:rsid w:val="00CD682A"/>
    <w:rsid w:val="00CD6865"/>
    <w:rsid w:val="00CD68F1"/>
    <w:rsid w:val="00CD6C48"/>
    <w:rsid w:val="00CD6CA0"/>
    <w:rsid w:val="00CD6DA3"/>
    <w:rsid w:val="00CD71A6"/>
    <w:rsid w:val="00CD7347"/>
    <w:rsid w:val="00CD745A"/>
    <w:rsid w:val="00CD7538"/>
    <w:rsid w:val="00CD767B"/>
    <w:rsid w:val="00CD794C"/>
    <w:rsid w:val="00CD7D2A"/>
    <w:rsid w:val="00CD7E4B"/>
    <w:rsid w:val="00CD7F50"/>
    <w:rsid w:val="00CE009E"/>
    <w:rsid w:val="00CE0103"/>
    <w:rsid w:val="00CE013C"/>
    <w:rsid w:val="00CE0357"/>
    <w:rsid w:val="00CE035C"/>
    <w:rsid w:val="00CE0467"/>
    <w:rsid w:val="00CE0598"/>
    <w:rsid w:val="00CE0654"/>
    <w:rsid w:val="00CE06DC"/>
    <w:rsid w:val="00CE0856"/>
    <w:rsid w:val="00CE0862"/>
    <w:rsid w:val="00CE0891"/>
    <w:rsid w:val="00CE08BB"/>
    <w:rsid w:val="00CE0952"/>
    <w:rsid w:val="00CE0AB2"/>
    <w:rsid w:val="00CE0B26"/>
    <w:rsid w:val="00CE0C23"/>
    <w:rsid w:val="00CE0C31"/>
    <w:rsid w:val="00CE0E26"/>
    <w:rsid w:val="00CE0E41"/>
    <w:rsid w:val="00CE0FCE"/>
    <w:rsid w:val="00CE0FDF"/>
    <w:rsid w:val="00CE121F"/>
    <w:rsid w:val="00CE12BC"/>
    <w:rsid w:val="00CE12C4"/>
    <w:rsid w:val="00CE1551"/>
    <w:rsid w:val="00CE16BE"/>
    <w:rsid w:val="00CE17E2"/>
    <w:rsid w:val="00CE1B68"/>
    <w:rsid w:val="00CE1CC9"/>
    <w:rsid w:val="00CE1E78"/>
    <w:rsid w:val="00CE1F1E"/>
    <w:rsid w:val="00CE20E2"/>
    <w:rsid w:val="00CE2305"/>
    <w:rsid w:val="00CE230F"/>
    <w:rsid w:val="00CE246B"/>
    <w:rsid w:val="00CE27F7"/>
    <w:rsid w:val="00CE2923"/>
    <w:rsid w:val="00CE29A0"/>
    <w:rsid w:val="00CE2A68"/>
    <w:rsid w:val="00CE2B92"/>
    <w:rsid w:val="00CE2D2B"/>
    <w:rsid w:val="00CE309C"/>
    <w:rsid w:val="00CE32E1"/>
    <w:rsid w:val="00CE33FD"/>
    <w:rsid w:val="00CE34BB"/>
    <w:rsid w:val="00CE34FB"/>
    <w:rsid w:val="00CE370F"/>
    <w:rsid w:val="00CE3A08"/>
    <w:rsid w:val="00CE3CD5"/>
    <w:rsid w:val="00CE3CE4"/>
    <w:rsid w:val="00CE3E33"/>
    <w:rsid w:val="00CE3EAF"/>
    <w:rsid w:val="00CE3F8D"/>
    <w:rsid w:val="00CE42AF"/>
    <w:rsid w:val="00CE4380"/>
    <w:rsid w:val="00CE43D8"/>
    <w:rsid w:val="00CE444D"/>
    <w:rsid w:val="00CE44D4"/>
    <w:rsid w:val="00CE4702"/>
    <w:rsid w:val="00CE47CF"/>
    <w:rsid w:val="00CE48E0"/>
    <w:rsid w:val="00CE4BDC"/>
    <w:rsid w:val="00CE4E37"/>
    <w:rsid w:val="00CE5020"/>
    <w:rsid w:val="00CE52EA"/>
    <w:rsid w:val="00CE5428"/>
    <w:rsid w:val="00CE54C2"/>
    <w:rsid w:val="00CE5503"/>
    <w:rsid w:val="00CE55AC"/>
    <w:rsid w:val="00CE5896"/>
    <w:rsid w:val="00CE5908"/>
    <w:rsid w:val="00CE5CA3"/>
    <w:rsid w:val="00CE5D20"/>
    <w:rsid w:val="00CE5E4D"/>
    <w:rsid w:val="00CE5EA7"/>
    <w:rsid w:val="00CE6161"/>
    <w:rsid w:val="00CE6241"/>
    <w:rsid w:val="00CE62A4"/>
    <w:rsid w:val="00CE68C9"/>
    <w:rsid w:val="00CE691F"/>
    <w:rsid w:val="00CE6921"/>
    <w:rsid w:val="00CE6A44"/>
    <w:rsid w:val="00CE6A64"/>
    <w:rsid w:val="00CE6A8A"/>
    <w:rsid w:val="00CE6B29"/>
    <w:rsid w:val="00CE6BE7"/>
    <w:rsid w:val="00CE6C1D"/>
    <w:rsid w:val="00CE6CC2"/>
    <w:rsid w:val="00CE6D36"/>
    <w:rsid w:val="00CE6EF7"/>
    <w:rsid w:val="00CE6F80"/>
    <w:rsid w:val="00CE70A6"/>
    <w:rsid w:val="00CE70E9"/>
    <w:rsid w:val="00CE7175"/>
    <w:rsid w:val="00CE71E6"/>
    <w:rsid w:val="00CE72B5"/>
    <w:rsid w:val="00CE73F6"/>
    <w:rsid w:val="00CE74E5"/>
    <w:rsid w:val="00CE74F5"/>
    <w:rsid w:val="00CE7A7C"/>
    <w:rsid w:val="00CE7B66"/>
    <w:rsid w:val="00CE7F58"/>
    <w:rsid w:val="00CF053E"/>
    <w:rsid w:val="00CF0581"/>
    <w:rsid w:val="00CF08C6"/>
    <w:rsid w:val="00CF0A03"/>
    <w:rsid w:val="00CF0B91"/>
    <w:rsid w:val="00CF0F8D"/>
    <w:rsid w:val="00CF1024"/>
    <w:rsid w:val="00CF10FF"/>
    <w:rsid w:val="00CF1188"/>
    <w:rsid w:val="00CF12EF"/>
    <w:rsid w:val="00CF1435"/>
    <w:rsid w:val="00CF1488"/>
    <w:rsid w:val="00CF14E4"/>
    <w:rsid w:val="00CF1933"/>
    <w:rsid w:val="00CF19DD"/>
    <w:rsid w:val="00CF1D2E"/>
    <w:rsid w:val="00CF1DA6"/>
    <w:rsid w:val="00CF1EC1"/>
    <w:rsid w:val="00CF1F15"/>
    <w:rsid w:val="00CF1F2E"/>
    <w:rsid w:val="00CF1FDC"/>
    <w:rsid w:val="00CF201F"/>
    <w:rsid w:val="00CF202B"/>
    <w:rsid w:val="00CF20A4"/>
    <w:rsid w:val="00CF23BD"/>
    <w:rsid w:val="00CF2414"/>
    <w:rsid w:val="00CF26DF"/>
    <w:rsid w:val="00CF28D4"/>
    <w:rsid w:val="00CF29A8"/>
    <w:rsid w:val="00CF2A6B"/>
    <w:rsid w:val="00CF2C12"/>
    <w:rsid w:val="00CF2C85"/>
    <w:rsid w:val="00CF2E09"/>
    <w:rsid w:val="00CF2F3A"/>
    <w:rsid w:val="00CF2FAD"/>
    <w:rsid w:val="00CF3691"/>
    <w:rsid w:val="00CF3800"/>
    <w:rsid w:val="00CF3899"/>
    <w:rsid w:val="00CF3A53"/>
    <w:rsid w:val="00CF3B7C"/>
    <w:rsid w:val="00CF3CFC"/>
    <w:rsid w:val="00CF3D08"/>
    <w:rsid w:val="00CF3F0D"/>
    <w:rsid w:val="00CF4094"/>
    <w:rsid w:val="00CF40BE"/>
    <w:rsid w:val="00CF41F0"/>
    <w:rsid w:val="00CF453B"/>
    <w:rsid w:val="00CF4644"/>
    <w:rsid w:val="00CF48EC"/>
    <w:rsid w:val="00CF48ED"/>
    <w:rsid w:val="00CF491A"/>
    <w:rsid w:val="00CF493B"/>
    <w:rsid w:val="00CF4940"/>
    <w:rsid w:val="00CF4A3D"/>
    <w:rsid w:val="00CF4A62"/>
    <w:rsid w:val="00CF4C3E"/>
    <w:rsid w:val="00CF4DDE"/>
    <w:rsid w:val="00CF5068"/>
    <w:rsid w:val="00CF5142"/>
    <w:rsid w:val="00CF52D2"/>
    <w:rsid w:val="00CF54FD"/>
    <w:rsid w:val="00CF550A"/>
    <w:rsid w:val="00CF5666"/>
    <w:rsid w:val="00CF56D2"/>
    <w:rsid w:val="00CF59A9"/>
    <w:rsid w:val="00CF5A95"/>
    <w:rsid w:val="00CF5C90"/>
    <w:rsid w:val="00CF6034"/>
    <w:rsid w:val="00CF6324"/>
    <w:rsid w:val="00CF65C2"/>
    <w:rsid w:val="00CF6B7B"/>
    <w:rsid w:val="00CF6C75"/>
    <w:rsid w:val="00CF6CC5"/>
    <w:rsid w:val="00CF6DCC"/>
    <w:rsid w:val="00CF6F07"/>
    <w:rsid w:val="00CF7156"/>
    <w:rsid w:val="00CF725B"/>
    <w:rsid w:val="00CF7372"/>
    <w:rsid w:val="00CF75C6"/>
    <w:rsid w:val="00CF76DC"/>
    <w:rsid w:val="00CF7A14"/>
    <w:rsid w:val="00CF7A40"/>
    <w:rsid w:val="00CF7CA4"/>
    <w:rsid w:val="00CF7F00"/>
    <w:rsid w:val="00D00009"/>
    <w:rsid w:val="00D0050B"/>
    <w:rsid w:val="00D0057A"/>
    <w:rsid w:val="00D00724"/>
    <w:rsid w:val="00D00912"/>
    <w:rsid w:val="00D00B91"/>
    <w:rsid w:val="00D00BBA"/>
    <w:rsid w:val="00D00E68"/>
    <w:rsid w:val="00D00FD3"/>
    <w:rsid w:val="00D0100B"/>
    <w:rsid w:val="00D0109E"/>
    <w:rsid w:val="00D011D8"/>
    <w:rsid w:val="00D0139B"/>
    <w:rsid w:val="00D014D7"/>
    <w:rsid w:val="00D0150B"/>
    <w:rsid w:val="00D015FC"/>
    <w:rsid w:val="00D01753"/>
    <w:rsid w:val="00D019EE"/>
    <w:rsid w:val="00D01B3A"/>
    <w:rsid w:val="00D01BCD"/>
    <w:rsid w:val="00D01CB7"/>
    <w:rsid w:val="00D02031"/>
    <w:rsid w:val="00D02057"/>
    <w:rsid w:val="00D02380"/>
    <w:rsid w:val="00D0248D"/>
    <w:rsid w:val="00D0250F"/>
    <w:rsid w:val="00D02654"/>
    <w:rsid w:val="00D028B6"/>
    <w:rsid w:val="00D02B3B"/>
    <w:rsid w:val="00D02CB7"/>
    <w:rsid w:val="00D02EAC"/>
    <w:rsid w:val="00D02ECE"/>
    <w:rsid w:val="00D0303E"/>
    <w:rsid w:val="00D0307D"/>
    <w:rsid w:val="00D0329A"/>
    <w:rsid w:val="00D03450"/>
    <w:rsid w:val="00D03548"/>
    <w:rsid w:val="00D03915"/>
    <w:rsid w:val="00D0393A"/>
    <w:rsid w:val="00D03AEB"/>
    <w:rsid w:val="00D03BA6"/>
    <w:rsid w:val="00D03CD0"/>
    <w:rsid w:val="00D03E7B"/>
    <w:rsid w:val="00D03ED0"/>
    <w:rsid w:val="00D03F62"/>
    <w:rsid w:val="00D0410C"/>
    <w:rsid w:val="00D041B2"/>
    <w:rsid w:val="00D04267"/>
    <w:rsid w:val="00D04505"/>
    <w:rsid w:val="00D0459D"/>
    <w:rsid w:val="00D0477F"/>
    <w:rsid w:val="00D047DA"/>
    <w:rsid w:val="00D048CF"/>
    <w:rsid w:val="00D049E8"/>
    <w:rsid w:val="00D04A3A"/>
    <w:rsid w:val="00D04ACF"/>
    <w:rsid w:val="00D04C59"/>
    <w:rsid w:val="00D04C64"/>
    <w:rsid w:val="00D04C76"/>
    <w:rsid w:val="00D0500E"/>
    <w:rsid w:val="00D057C9"/>
    <w:rsid w:val="00D059AC"/>
    <w:rsid w:val="00D05A7C"/>
    <w:rsid w:val="00D05AC6"/>
    <w:rsid w:val="00D05AD3"/>
    <w:rsid w:val="00D05BF1"/>
    <w:rsid w:val="00D05D9F"/>
    <w:rsid w:val="00D05FE7"/>
    <w:rsid w:val="00D06003"/>
    <w:rsid w:val="00D06068"/>
    <w:rsid w:val="00D060C6"/>
    <w:rsid w:val="00D0618F"/>
    <w:rsid w:val="00D063B5"/>
    <w:rsid w:val="00D063D3"/>
    <w:rsid w:val="00D064B9"/>
    <w:rsid w:val="00D064F1"/>
    <w:rsid w:val="00D065C6"/>
    <w:rsid w:val="00D0668E"/>
    <w:rsid w:val="00D06695"/>
    <w:rsid w:val="00D067AF"/>
    <w:rsid w:val="00D06901"/>
    <w:rsid w:val="00D069B6"/>
    <w:rsid w:val="00D06B9C"/>
    <w:rsid w:val="00D06C64"/>
    <w:rsid w:val="00D06D9D"/>
    <w:rsid w:val="00D06F28"/>
    <w:rsid w:val="00D06F5B"/>
    <w:rsid w:val="00D07073"/>
    <w:rsid w:val="00D070FF"/>
    <w:rsid w:val="00D0717E"/>
    <w:rsid w:val="00D07492"/>
    <w:rsid w:val="00D074A6"/>
    <w:rsid w:val="00D074B1"/>
    <w:rsid w:val="00D074D6"/>
    <w:rsid w:val="00D07917"/>
    <w:rsid w:val="00D07D2B"/>
    <w:rsid w:val="00D10018"/>
    <w:rsid w:val="00D102B6"/>
    <w:rsid w:val="00D102F7"/>
    <w:rsid w:val="00D106FE"/>
    <w:rsid w:val="00D107B2"/>
    <w:rsid w:val="00D107FF"/>
    <w:rsid w:val="00D10825"/>
    <w:rsid w:val="00D10853"/>
    <w:rsid w:val="00D1093D"/>
    <w:rsid w:val="00D10A58"/>
    <w:rsid w:val="00D10A7A"/>
    <w:rsid w:val="00D10F52"/>
    <w:rsid w:val="00D10FA9"/>
    <w:rsid w:val="00D11017"/>
    <w:rsid w:val="00D11297"/>
    <w:rsid w:val="00D11733"/>
    <w:rsid w:val="00D11925"/>
    <w:rsid w:val="00D11956"/>
    <w:rsid w:val="00D119A9"/>
    <w:rsid w:val="00D11A5A"/>
    <w:rsid w:val="00D11BF0"/>
    <w:rsid w:val="00D11D6E"/>
    <w:rsid w:val="00D11DAA"/>
    <w:rsid w:val="00D1229C"/>
    <w:rsid w:val="00D12367"/>
    <w:rsid w:val="00D12469"/>
    <w:rsid w:val="00D124D9"/>
    <w:rsid w:val="00D1286A"/>
    <w:rsid w:val="00D12B0E"/>
    <w:rsid w:val="00D12C23"/>
    <w:rsid w:val="00D12C6D"/>
    <w:rsid w:val="00D12D6E"/>
    <w:rsid w:val="00D12D71"/>
    <w:rsid w:val="00D12DFB"/>
    <w:rsid w:val="00D12E02"/>
    <w:rsid w:val="00D13122"/>
    <w:rsid w:val="00D131F6"/>
    <w:rsid w:val="00D13396"/>
    <w:rsid w:val="00D134B9"/>
    <w:rsid w:val="00D135B4"/>
    <w:rsid w:val="00D1361C"/>
    <w:rsid w:val="00D137D0"/>
    <w:rsid w:val="00D137F3"/>
    <w:rsid w:val="00D13870"/>
    <w:rsid w:val="00D139F7"/>
    <w:rsid w:val="00D13A11"/>
    <w:rsid w:val="00D13A51"/>
    <w:rsid w:val="00D13EC1"/>
    <w:rsid w:val="00D13FB6"/>
    <w:rsid w:val="00D14240"/>
    <w:rsid w:val="00D1434A"/>
    <w:rsid w:val="00D14369"/>
    <w:rsid w:val="00D144E4"/>
    <w:rsid w:val="00D1461B"/>
    <w:rsid w:val="00D146C4"/>
    <w:rsid w:val="00D14767"/>
    <w:rsid w:val="00D14A3D"/>
    <w:rsid w:val="00D14CA3"/>
    <w:rsid w:val="00D14CBA"/>
    <w:rsid w:val="00D14D17"/>
    <w:rsid w:val="00D14E34"/>
    <w:rsid w:val="00D14EB2"/>
    <w:rsid w:val="00D153CD"/>
    <w:rsid w:val="00D15465"/>
    <w:rsid w:val="00D154E6"/>
    <w:rsid w:val="00D154FA"/>
    <w:rsid w:val="00D15796"/>
    <w:rsid w:val="00D157C3"/>
    <w:rsid w:val="00D15894"/>
    <w:rsid w:val="00D158D7"/>
    <w:rsid w:val="00D15A03"/>
    <w:rsid w:val="00D16030"/>
    <w:rsid w:val="00D16070"/>
    <w:rsid w:val="00D1662E"/>
    <w:rsid w:val="00D16652"/>
    <w:rsid w:val="00D16691"/>
    <w:rsid w:val="00D16764"/>
    <w:rsid w:val="00D16882"/>
    <w:rsid w:val="00D16886"/>
    <w:rsid w:val="00D16AEA"/>
    <w:rsid w:val="00D16C3F"/>
    <w:rsid w:val="00D16CA7"/>
    <w:rsid w:val="00D16EBC"/>
    <w:rsid w:val="00D16F08"/>
    <w:rsid w:val="00D1702F"/>
    <w:rsid w:val="00D173A3"/>
    <w:rsid w:val="00D17585"/>
    <w:rsid w:val="00D17BA9"/>
    <w:rsid w:val="00D17C54"/>
    <w:rsid w:val="00D17C89"/>
    <w:rsid w:val="00D17E1B"/>
    <w:rsid w:val="00D17EB9"/>
    <w:rsid w:val="00D20053"/>
    <w:rsid w:val="00D2008C"/>
    <w:rsid w:val="00D204EF"/>
    <w:rsid w:val="00D204F8"/>
    <w:rsid w:val="00D20562"/>
    <w:rsid w:val="00D205CB"/>
    <w:rsid w:val="00D205F3"/>
    <w:rsid w:val="00D2066C"/>
    <w:rsid w:val="00D20A4E"/>
    <w:rsid w:val="00D20F86"/>
    <w:rsid w:val="00D2102A"/>
    <w:rsid w:val="00D21170"/>
    <w:rsid w:val="00D212DB"/>
    <w:rsid w:val="00D2150C"/>
    <w:rsid w:val="00D21593"/>
    <w:rsid w:val="00D2184F"/>
    <w:rsid w:val="00D21851"/>
    <w:rsid w:val="00D2188E"/>
    <w:rsid w:val="00D218D5"/>
    <w:rsid w:val="00D21A09"/>
    <w:rsid w:val="00D21E45"/>
    <w:rsid w:val="00D21E55"/>
    <w:rsid w:val="00D21FC7"/>
    <w:rsid w:val="00D2201E"/>
    <w:rsid w:val="00D220B2"/>
    <w:rsid w:val="00D223BB"/>
    <w:rsid w:val="00D22431"/>
    <w:rsid w:val="00D2254D"/>
    <w:rsid w:val="00D22760"/>
    <w:rsid w:val="00D227B9"/>
    <w:rsid w:val="00D2297E"/>
    <w:rsid w:val="00D22A74"/>
    <w:rsid w:val="00D22B9B"/>
    <w:rsid w:val="00D22E36"/>
    <w:rsid w:val="00D22EA5"/>
    <w:rsid w:val="00D22F48"/>
    <w:rsid w:val="00D22FDC"/>
    <w:rsid w:val="00D2307C"/>
    <w:rsid w:val="00D23088"/>
    <w:rsid w:val="00D23152"/>
    <w:rsid w:val="00D23491"/>
    <w:rsid w:val="00D23532"/>
    <w:rsid w:val="00D23614"/>
    <w:rsid w:val="00D23667"/>
    <w:rsid w:val="00D23726"/>
    <w:rsid w:val="00D2373A"/>
    <w:rsid w:val="00D2379D"/>
    <w:rsid w:val="00D237CB"/>
    <w:rsid w:val="00D23870"/>
    <w:rsid w:val="00D23D27"/>
    <w:rsid w:val="00D23DA4"/>
    <w:rsid w:val="00D23E90"/>
    <w:rsid w:val="00D240BC"/>
    <w:rsid w:val="00D242D7"/>
    <w:rsid w:val="00D24371"/>
    <w:rsid w:val="00D2439C"/>
    <w:rsid w:val="00D244EF"/>
    <w:rsid w:val="00D246E3"/>
    <w:rsid w:val="00D248BB"/>
    <w:rsid w:val="00D24AB3"/>
    <w:rsid w:val="00D24AF5"/>
    <w:rsid w:val="00D24B16"/>
    <w:rsid w:val="00D24B78"/>
    <w:rsid w:val="00D24E76"/>
    <w:rsid w:val="00D24F6D"/>
    <w:rsid w:val="00D2503D"/>
    <w:rsid w:val="00D254E0"/>
    <w:rsid w:val="00D255CE"/>
    <w:rsid w:val="00D25730"/>
    <w:rsid w:val="00D25816"/>
    <w:rsid w:val="00D2582B"/>
    <w:rsid w:val="00D25AF7"/>
    <w:rsid w:val="00D25AFB"/>
    <w:rsid w:val="00D25B3A"/>
    <w:rsid w:val="00D25B4C"/>
    <w:rsid w:val="00D25BBC"/>
    <w:rsid w:val="00D25C91"/>
    <w:rsid w:val="00D25D76"/>
    <w:rsid w:val="00D26085"/>
    <w:rsid w:val="00D26096"/>
    <w:rsid w:val="00D261CB"/>
    <w:rsid w:val="00D26308"/>
    <w:rsid w:val="00D2639E"/>
    <w:rsid w:val="00D2668B"/>
    <w:rsid w:val="00D26783"/>
    <w:rsid w:val="00D26CCB"/>
    <w:rsid w:val="00D26FA2"/>
    <w:rsid w:val="00D27233"/>
    <w:rsid w:val="00D276E1"/>
    <w:rsid w:val="00D277C7"/>
    <w:rsid w:val="00D2784B"/>
    <w:rsid w:val="00D279F1"/>
    <w:rsid w:val="00D27A16"/>
    <w:rsid w:val="00D27D3A"/>
    <w:rsid w:val="00D27E2A"/>
    <w:rsid w:val="00D27E60"/>
    <w:rsid w:val="00D27EDC"/>
    <w:rsid w:val="00D27EEE"/>
    <w:rsid w:val="00D27FF8"/>
    <w:rsid w:val="00D3002D"/>
    <w:rsid w:val="00D302F8"/>
    <w:rsid w:val="00D305B6"/>
    <w:rsid w:val="00D305BF"/>
    <w:rsid w:val="00D30665"/>
    <w:rsid w:val="00D3073A"/>
    <w:rsid w:val="00D30791"/>
    <w:rsid w:val="00D308E2"/>
    <w:rsid w:val="00D309C0"/>
    <w:rsid w:val="00D30EB5"/>
    <w:rsid w:val="00D30F67"/>
    <w:rsid w:val="00D311AD"/>
    <w:rsid w:val="00D311AF"/>
    <w:rsid w:val="00D3146F"/>
    <w:rsid w:val="00D3179A"/>
    <w:rsid w:val="00D31909"/>
    <w:rsid w:val="00D3195C"/>
    <w:rsid w:val="00D31A5F"/>
    <w:rsid w:val="00D31B3D"/>
    <w:rsid w:val="00D31E39"/>
    <w:rsid w:val="00D31EF4"/>
    <w:rsid w:val="00D3217A"/>
    <w:rsid w:val="00D321D1"/>
    <w:rsid w:val="00D322C3"/>
    <w:rsid w:val="00D3267A"/>
    <w:rsid w:val="00D327BE"/>
    <w:rsid w:val="00D327E8"/>
    <w:rsid w:val="00D3282F"/>
    <w:rsid w:val="00D328F5"/>
    <w:rsid w:val="00D32B4B"/>
    <w:rsid w:val="00D32B8B"/>
    <w:rsid w:val="00D32D85"/>
    <w:rsid w:val="00D32F77"/>
    <w:rsid w:val="00D32FEA"/>
    <w:rsid w:val="00D330D9"/>
    <w:rsid w:val="00D332EF"/>
    <w:rsid w:val="00D333B9"/>
    <w:rsid w:val="00D333C9"/>
    <w:rsid w:val="00D335BC"/>
    <w:rsid w:val="00D3367A"/>
    <w:rsid w:val="00D337F7"/>
    <w:rsid w:val="00D33BBC"/>
    <w:rsid w:val="00D33BC5"/>
    <w:rsid w:val="00D33C5E"/>
    <w:rsid w:val="00D340F9"/>
    <w:rsid w:val="00D34113"/>
    <w:rsid w:val="00D34185"/>
    <w:rsid w:val="00D34191"/>
    <w:rsid w:val="00D341CF"/>
    <w:rsid w:val="00D34289"/>
    <w:rsid w:val="00D34406"/>
    <w:rsid w:val="00D344A5"/>
    <w:rsid w:val="00D34712"/>
    <w:rsid w:val="00D3486C"/>
    <w:rsid w:val="00D34A23"/>
    <w:rsid w:val="00D34B81"/>
    <w:rsid w:val="00D34BF4"/>
    <w:rsid w:val="00D34C0F"/>
    <w:rsid w:val="00D34D5E"/>
    <w:rsid w:val="00D34DAA"/>
    <w:rsid w:val="00D34E5F"/>
    <w:rsid w:val="00D35021"/>
    <w:rsid w:val="00D3509F"/>
    <w:rsid w:val="00D3516D"/>
    <w:rsid w:val="00D3524E"/>
    <w:rsid w:val="00D3536A"/>
    <w:rsid w:val="00D3548F"/>
    <w:rsid w:val="00D3555F"/>
    <w:rsid w:val="00D3559F"/>
    <w:rsid w:val="00D35685"/>
    <w:rsid w:val="00D356F5"/>
    <w:rsid w:val="00D35820"/>
    <w:rsid w:val="00D35895"/>
    <w:rsid w:val="00D35B78"/>
    <w:rsid w:val="00D35BEE"/>
    <w:rsid w:val="00D35C8A"/>
    <w:rsid w:val="00D35E7B"/>
    <w:rsid w:val="00D35F84"/>
    <w:rsid w:val="00D3624D"/>
    <w:rsid w:val="00D3630A"/>
    <w:rsid w:val="00D3658C"/>
    <w:rsid w:val="00D3663B"/>
    <w:rsid w:val="00D3669A"/>
    <w:rsid w:val="00D36712"/>
    <w:rsid w:val="00D3676C"/>
    <w:rsid w:val="00D3690B"/>
    <w:rsid w:val="00D36926"/>
    <w:rsid w:val="00D369A5"/>
    <w:rsid w:val="00D36AE3"/>
    <w:rsid w:val="00D36C06"/>
    <w:rsid w:val="00D36F89"/>
    <w:rsid w:val="00D3705F"/>
    <w:rsid w:val="00D370D6"/>
    <w:rsid w:val="00D370EB"/>
    <w:rsid w:val="00D372C0"/>
    <w:rsid w:val="00D373A0"/>
    <w:rsid w:val="00D37555"/>
    <w:rsid w:val="00D37719"/>
    <w:rsid w:val="00D37759"/>
    <w:rsid w:val="00D377A2"/>
    <w:rsid w:val="00D378B9"/>
    <w:rsid w:val="00D379A7"/>
    <w:rsid w:val="00D37AF2"/>
    <w:rsid w:val="00D37B3C"/>
    <w:rsid w:val="00D37CF9"/>
    <w:rsid w:val="00D37F05"/>
    <w:rsid w:val="00D402EE"/>
    <w:rsid w:val="00D40415"/>
    <w:rsid w:val="00D40444"/>
    <w:rsid w:val="00D404AD"/>
    <w:rsid w:val="00D40703"/>
    <w:rsid w:val="00D40781"/>
    <w:rsid w:val="00D407B4"/>
    <w:rsid w:val="00D40921"/>
    <w:rsid w:val="00D40992"/>
    <w:rsid w:val="00D40B43"/>
    <w:rsid w:val="00D40C92"/>
    <w:rsid w:val="00D40D57"/>
    <w:rsid w:val="00D40FF4"/>
    <w:rsid w:val="00D4177B"/>
    <w:rsid w:val="00D41833"/>
    <w:rsid w:val="00D41964"/>
    <w:rsid w:val="00D41C2A"/>
    <w:rsid w:val="00D41D41"/>
    <w:rsid w:val="00D41DC3"/>
    <w:rsid w:val="00D41DD5"/>
    <w:rsid w:val="00D420B0"/>
    <w:rsid w:val="00D42118"/>
    <w:rsid w:val="00D422A6"/>
    <w:rsid w:val="00D422D1"/>
    <w:rsid w:val="00D422FD"/>
    <w:rsid w:val="00D42351"/>
    <w:rsid w:val="00D42508"/>
    <w:rsid w:val="00D427A2"/>
    <w:rsid w:val="00D42938"/>
    <w:rsid w:val="00D42960"/>
    <w:rsid w:val="00D42EB8"/>
    <w:rsid w:val="00D42F12"/>
    <w:rsid w:val="00D42F45"/>
    <w:rsid w:val="00D42FEA"/>
    <w:rsid w:val="00D42FF9"/>
    <w:rsid w:val="00D43333"/>
    <w:rsid w:val="00D4335F"/>
    <w:rsid w:val="00D4340F"/>
    <w:rsid w:val="00D43477"/>
    <w:rsid w:val="00D435E3"/>
    <w:rsid w:val="00D43ADC"/>
    <w:rsid w:val="00D43B66"/>
    <w:rsid w:val="00D43E33"/>
    <w:rsid w:val="00D43ED4"/>
    <w:rsid w:val="00D43EF6"/>
    <w:rsid w:val="00D43F2D"/>
    <w:rsid w:val="00D43FCB"/>
    <w:rsid w:val="00D44066"/>
    <w:rsid w:val="00D442A6"/>
    <w:rsid w:val="00D44371"/>
    <w:rsid w:val="00D4489D"/>
    <w:rsid w:val="00D448A4"/>
    <w:rsid w:val="00D4492F"/>
    <w:rsid w:val="00D44965"/>
    <w:rsid w:val="00D44B8C"/>
    <w:rsid w:val="00D44F08"/>
    <w:rsid w:val="00D45030"/>
    <w:rsid w:val="00D451A4"/>
    <w:rsid w:val="00D45360"/>
    <w:rsid w:val="00D45754"/>
    <w:rsid w:val="00D457CE"/>
    <w:rsid w:val="00D45A04"/>
    <w:rsid w:val="00D45F89"/>
    <w:rsid w:val="00D46202"/>
    <w:rsid w:val="00D465A7"/>
    <w:rsid w:val="00D4660A"/>
    <w:rsid w:val="00D46669"/>
    <w:rsid w:val="00D4666B"/>
    <w:rsid w:val="00D467CC"/>
    <w:rsid w:val="00D468EE"/>
    <w:rsid w:val="00D46937"/>
    <w:rsid w:val="00D469E6"/>
    <w:rsid w:val="00D46A50"/>
    <w:rsid w:val="00D46CDF"/>
    <w:rsid w:val="00D46D7A"/>
    <w:rsid w:val="00D46E0C"/>
    <w:rsid w:val="00D46E4F"/>
    <w:rsid w:val="00D46E7D"/>
    <w:rsid w:val="00D46EEE"/>
    <w:rsid w:val="00D46FE6"/>
    <w:rsid w:val="00D46FF9"/>
    <w:rsid w:val="00D47091"/>
    <w:rsid w:val="00D4721C"/>
    <w:rsid w:val="00D4722C"/>
    <w:rsid w:val="00D47425"/>
    <w:rsid w:val="00D474FF"/>
    <w:rsid w:val="00D475E7"/>
    <w:rsid w:val="00D47604"/>
    <w:rsid w:val="00D47778"/>
    <w:rsid w:val="00D47944"/>
    <w:rsid w:val="00D47AF3"/>
    <w:rsid w:val="00D47B48"/>
    <w:rsid w:val="00D47B5D"/>
    <w:rsid w:val="00D47C51"/>
    <w:rsid w:val="00D47D81"/>
    <w:rsid w:val="00D47E39"/>
    <w:rsid w:val="00D47F48"/>
    <w:rsid w:val="00D5026A"/>
    <w:rsid w:val="00D502FC"/>
    <w:rsid w:val="00D50570"/>
    <w:rsid w:val="00D5057D"/>
    <w:rsid w:val="00D50829"/>
    <w:rsid w:val="00D50844"/>
    <w:rsid w:val="00D50894"/>
    <w:rsid w:val="00D508B5"/>
    <w:rsid w:val="00D50B12"/>
    <w:rsid w:val="00D50B13"/>
    <w:rsid w:val="00D50BAB"/>
    <w:rsid w:val="00D50CA0"/>
    <w:rsid w:val="00D50CBF"/>
    <w:rsid w:val="00D50D7A"/>
    <w:rsid w:val="00D50F7C"/>
    <w:rsid w:val="00D510C1"/>
    <w:rsid w:val="00D5138A"/>
    <w:rsid w:val="00D513BB"/>
    <w:rsid w:val="00D51576"/>
    <w:rsid w:val="00D51930"/>
    <w:rsid w:val="00D51989"/>
    <w:rsid w:val="00D51A72"/>
    <w:rsid w:val="00D51A82"/>
    <w:rsid w:val="00D51AC2"/>
    <w:rsid w:val="00D51ADA"/>
    <w:rsid w:val="00D51AFA"/>
    <w:rsid w:val="00D51C09"/>
    <w:rsid w:val="00D51C89"/>
    <w:rsid w:val="00D51DAC"/>
    <w:rsid w:val="00D51DBB"/>
    <w:rsid w:val="00D51E55"/>
    <w:rsid w:val="00D51FED"/>
    <w:rsid w:val="00D52148"/>
    <w:rsid w:val="00D521E2"/>
    <w:rsid w:val="00D5233B"/>
    <w:rsid w:val="00D52424"/>
    <w:rsid w:val="00D5242B"/>
    <w:rsid w:val="00D52447"/>
    <w:rsid w:val="00D5255E"/>
    <w:rsid w:val="00D5286C"/>
    <w:rsid w:val="00D52B5D"/>
    <w:rsid w:val="00D52C19"/>
    <w:rsid w:val="00D52DDD"/>
    <w:rsid w:val="00D52E47"/>
    <w:rsid w:val="00D52EB0"/>
    <w:rsid w:val="00D52F72"/>
    <w:rsid w:val="00D530BA"/>
    <w:rsid w:val="00D53145"/>
    <w:rsid w:val="00D5323D"/>
    <w:rsid w:val="00D532DB"/>
    <w:rsid w:val="00D533D4"/>
    <w:rsid w:val="00D53479"/>
    <w:rsid w:val="00D534F8"/>
    <w:rsid w:val="00D535AD"/>
    <w:rsid w:val="00D537B3"/>
    <w:rsid w:val="00D539E3"/>
    <w:rsid w:val="00D53AD4"/>
    <w:rsid w:val="00D53C77"/>
    <w:rsid w:val="00D53CC4"/>
    <w:rsid w:val="00D53D48"/>
    <w:rsid w:val="00D53D6F"/>
    <w:rsid w:val="00D53F31"/>
    <w:rsid w:val="00D5401F"/>
    <w:rsid w:val="00D5410B"/>
    <w:rsid w:val="00D54185"/>
    <w:rsid w:val="00D54330"/>
    <w:rsid w:val="00D543D1"/>
    <w:rsid w:val="00D543D5"/>
    <w:rsid w:val="00D54685"/>
    <w:rsid w:val="00D54AC0"/>
    <w:rsid w:val="00D54C2A"/>
    <w:rsid w:val="00D54C37"/>
    <w:rsid w:val="00D54C49"/>
    <w:rsid w:val="00D54CB4"/>
    <w:rsid w:val="00D54E54"/>
    <w:rsid w:val="00D5505C"/>
    <w:rsid w:val="00D552BF"/>
    <w:rsid w:val="00D555AB"/>
    <w:rsid w:val="00D556B2"/>
    <w:rsid w:val="00D557AA"/>
    <w:rsid w:val="00D557C8"/>
    <w:rsid w:val="00D5583D"/>
    <w:rsid w:val="00D55897"/>
    <w:rsid w:val="00D559E0"/>
    <w:rsid w:val="00D55AA0"/>
    <w:rsid w:val="00D55AD5"/>
    <w:rsid w:val="00D55B53"/>
    <w:rsid w:val="00D55DFC"/>
    <w:rsid w:val="00D55F50"/>
    <w:rsid w:val="00D561CD"/>
    <w:rsid w:val="00D562DD"/>
    <w:rsid w:val="00D563AC"/>
    <w:rsid w:val="00D56524"/>
    <w:rsid w:val="00D56582"/>
    <w:rsid w:val="00D566B5"/>
    <w:rsid w:val="00D56728"/>
    <w:rsid w:val="00D56742"/>
    <w:rsid w:val="00D5688E"/>
    <w:rsid w:val="00D56944"/>
    <w:rsid w:val="00D5697B"/>
    <w:rsid w:val="00D56995"/>
    <w:rsid w:val="00D56BF6"/>
    <w:rsid w:val="00D5743B"/>
    <w:rsid w:val="00D574D3"/>
    <w:rsid w:val="00D57521"/>
    <w:rsid w:val="00D57780"/>
    <w:rsid w:val="00D5792B"/>
    <w:rsid w:val="00D579C8"/>
    <w:rsid w:val="00D579CA"/>
    <w:rsid w:val="00D57A8A"/>
    <w:rsid w:val="00D57C02"/>
    <w:rsid w:val="00D60093"/>
    <w:rsid w:val="00D600E0"/>
    <w:rsid w:val="00D60199"/>
    <w:rsid w:val="00D602E7"/>
    <w:rsid w:val="00D602F4"/>
    <w:rsid w:val="00D604AF"/>
    <w:rsid w:val="00D60856"/>
    <w:rsid w:val="00D60CD4"/>
    <w:rsid w:val="00D60D63"/>
    <w:rsid w:val="00D60E97"/>
    <w:rsid w:val="00D61526"/>
    <w:rsid w:val="00D6153E"/>
    <w:rsid w:val="00D61744"/>
    <w:rsid w:val="00D617D0"/>
    <w:rsid w:val="00D6184C"/>
    <w:rsid w:val="00D61AFB"/>
    <w:rsid w:val="00D61C4D"/>
    <w:rsid w:val="00D61EE2"/>
    <w:rsid w:val="00D62119"/>
    <w:rsid w:val="00D6229B"/>
    <w:rsid w:val="00D622E5"/>
    <w:rsid w:val="00D622F3"/>
    <w:rsid w:val="00D623BF"/>
    <w:rsid w:val="00D6250E"/>
    <w:rsid w:val="00D62547"/>
    <w:rsid w:val="00D62552"/>
    <w:rsid w:val="00D625DC"/>
    <w:rsid w:val="00D626A3"/>
    <w:rsid w:val="00D6294C"/>
    <w:rsid w:val="00D629E8"/>
    <w:rsid w:val="00D62AEB"/>
    <w:rsid w:val="00D62DDC"/>
    <w:rsid w:val="00D62F47"/>
    <w:rsid w:val="00D630C7"/>
    <w:rsid w:val="00D63102"/>
    <w:rsid w:val="00D63373"/>
    <w:rsid w:val="00D635E5"/>
    <w:rsid w:val="00D63611"/>
    <w:rsid w:val="00D6365C"/>
    <w:rsid w:val="00D637D9"/>
    <w:rsid w:val="00D63834"/>
    <w:rsid w:val="00D63907"/>
    <w:rsid w:val="00D63954"/>
    <w:rsid w:val="00D63D7E"/>
    <w:rsid w:val="00D63E14"/>
    <w:rsid w:val="00D63E6A"/>
    <w:rsid w:val="00D63FF5"/>
    <w:rsid w:val="00D64002"/>
    <w:rsid w:val="00D64005"/>
    <w:rsid w:val="00D64038"/>
    <w:rsid w:val="00D641A8"/>
    <w:rsid w:val="00D641DB"/>
    <w:rsid w:val="00D642BD"/>
    <w:rsid w:val="00D64678"/>
    <w:rsid w:val="00D646D6"/>
    <w:rsid w:val="00D64AA5"/>
    <w:rsid w:val="00D64B2E"/>
    <w:rsid w:val="00D64B9C"/>
    <w:rsid w:val="00D64E37"/>
    <w:rsid w:val="00D64F45"/>
    <w:rsid w:val="00D651CD"/>
    <w:rsid w:val="00D651E4"/>
    <w:rsid w:val="00D653DF"/>
    <w:rsid w:val="00D65449"/>
    <w:rsid w:val="00D6555F"/>
    <w:rsid w:val="00D65814"/>
    <w:rsid w:val="00D65908"/>
    <w:rsid w:val="00D65969"/>
    <w:rsid w:val="00D659A4"/>
    <w:rsid w:val="00D65ABF"/>
    <w:rsid w:val="00D6603A"/>
    <w:rsid w:val="00D660D0"/>
    <w:rsid w:val="00D66327"/>
    <w:rsid w:val="00D66623"/>
    <w:rsid w:val="00D666E1"/>
    <w:rsid w:val="00D66AEA"/>
    <w:rsid w:val="00D66C85"/>
    <w:rsid w:val="00D6703D"/>
    <w:rsid w:val="00D670C3"/>
    <w:rsid w:val="00D67104"/>
    <w:rsid w:val="00D674E4"/>
    <w:rsid w:val="00D675B9"/>
    <w:rsid w:val="00D675D0"/>
    <w:rsid w:val="00D67762"/>
    <w:rsid w:val="00D6778B"/>
    <w:rsid w:val="00D67929"/>
    <w:rsid w:val="00D67976"/>
    <w:rsid w:val="00D67A9F"/>
    <w:rsid w:val="00D67E7C"/>
    <w:rsid w:val="00D70036"/>
    <w:rsid w:val="00D700A7"/>
    <w:rsid w:val="00D700CE"/>
    <w:rsid w:val="00D70292"/>
    <w:rsid w:val="00D70327"/>
    <w:rsid w:val="00D7079A"/>
    <w:rsid w:val="00D707E3"/>
    <w:rsid w:val="00D70A11"/>
    <w:rsid w:val="00D70A47"/>
    <w:rsid w:val="00D70BB0"/>
    <w:rsid w:val="00D70DD9"/>
    <w:rsid w:val="00D70F39"/>
    <w:rsid w:val="00D713CA"/>
    <w:rsid w:val="00D714B1"/>
    <w:rsid w:val="00D714CF"/>
    <w:rsid w:val="00D7156B"/>
    <w:rsid w:val="00D715D7"/>
    <w:rsid w:val="00D71612"/>
    <w:rsid w:val="00D717BE"/>
    <w:rsid w:val="00D71ACE"/>
    <w:rsid w:val="00D71BC9"/>
    <w:rsid w:val="00D71C48"/>
    <w:rsid w:val="00D71DD3"/>
    <w:rsid w:val="00D71E4A"/>
    <w:rsid w:val="00D71E7D"/>
    <w:rsid w:val="00D71EE1"/>
    <w:rsid w:val="00D71EF4"/>
    <w:rsid w:val="00D71F7B"/>
    <w:rsid w:val="00D71FF3"/>
    <w:rsid w:val="00D726A3"/>
    <w:rsid w:val="00D726F7"/>
    <w:rsid w:val="00D728D1"/>
    <w:rsid w:val="00D72BED"/>
    <w:rsid w:val="00D72CE3"/>
    <w:rsid w:val="00D72F17"/>
    <w:rsid w:val="00D73238"/>
    <w:rsid w:val="00D73246"/>
    <w:rsid w:val="00D73273"/>
    <w:rsid w:val="00D7332C"/>
    <w:rsid w:val="00D733A9"/>
    <w:rsid w:val="00D734FC"/>
    <w:rsid w:val="00D735E3"/>
    <w:rsid w:val="00D736A6"/>
    <w:rsid w:val="00D73888"/>
    <w:rsid w:val="00D73A7D"/>
    <w:rsid w:val="00D73AB9"/>
    <w:rsid w:val="00D73B6E"/>
    <w:rsid w:val="00D73DC0"/>
    <w:rsid w:val="00D73E77"/>
    <w:rsid w:val="00D73F68"/>
    <w:rsid w:val="00D73F8C"/>
    <w:rsid w:val="00D74206"/>
    <w:rsid w:val="00D742A2"/>
    <w:rsid w:val="00D7433F"/>
    <w:rsid w:val="00D74360"/>
    <w:rsid w:val="00D74546"/>
    <w:rsid w:val="00D745C6"/>
    <w:rsid w:val="00D746F4"/>
    <w:rsid w:val="00D74A25"/>
    <w:rsid w:val="00D74B5D"/>
    <w:rsid w:val="00D74C4F"/>
    <w:rsid w:val="00D74D03"/>
    <w:rsid w:val="00D74D59"/>
    <w:rsid w:val="00D74DE3"/>
    <w:rsid w:val="00D74EFC"/>
    <w:rsid w:val="00D74F53"/>
    <w:rsid w:val="00D74F83"/>
    <w:rsid w:val="00D750FB"/>
    <w:rsid w:val="00D75286"/>
    <w:rsid w:val="00D75572"/>
    <w:rsid w:val="00D75751"/>
    <w:rsid w:val="00D758B7"/>
    <w:rsid w:val="00D75942"/>
    <w:rsid w:val="00D75A22"/>
    <w:rsid w:val="00D75AC1"/>
    <w:rsid w:val="00D75BC1"/>
    <w:rsid w:val="00D75D07"/>
    <w:rsid w:val="00D75E21"/>
    <w:rsid w:val="00D760C6"/>
    <w:rsid w:val="00D760F3"/>
    <w:rsid w:val="00D761A4"/>
    <w:rsid w:val="00D76401"/>
    <w:rsid w:val="00D765DA"/>
    <w:rsid w:val="00D76A0F"/>
    <w:rsid w:val="00D76D10"/>
    <w:rsid w:val="00D76FC0"/>
    <w:rsid w:val="00D77124"/>
    <w:rsid w:val="00D7721C"/>
    <w:rsid w:val="00D7731D"/>
    <w:rsid w:val="00D773A3"/>
    <w:rsid w:val="00D773BC"/>
    <w:rsid w:val="00D77471"/>
    <w:rsid w:val="00D775A5"/>
    <w:rsid w:val="00D775BD"/>
    <w:rsid w:val="00D775EF"/>
    <w:rsid w:val="00D775F3"/>
    <w:rsid w:val="00D776D7"/>
    <w:rsid w:val="00D777EA"/>
    <w:rsid w:val="00D77B45"/>
    <w:rsid w:val="00D77C8B"/>
    <w:rsid w:val="00D77CBC"/>
    <w:rsid w:val="00D77D48"/>
    <w:rsid w:val="00D77DCA"/>
    <w:rsid w:val="00D77EF7"/>
    <w:rsid w:val="00D77FBF"/>
    <w:rsid w:val="00D801C2"/>
    <w:rsid w:val="00D801F6"/>
    <w:rsid w:val="00D803E9"/>
    <w:rsid w:val="00D8046B"/>
    <w:rsid w:val="00D80792"/>
    <w:rsid w:val="00D807C0"/>
    <w:rsid w:val="00D808D9"/>
    <w:rsid w:val="00D80BD2"/>
    <w:rsid w:val="00D80C59"/>
    <w:rsid w:val="00D80D23"/>
    <w:rsid w:val="00D80E56"/>
    <w:rsid w:val="00D810DD"/>
    <w:rsid w:val="00D81113"/>
    <w:rsid w:val="00D812E0"/>
    <w:rsid w:val="00D81446"/>
    <w:rsid w:val="00D8152D"/>
    <w:rsid w:val="00D815D2"/>
    <w:rsid w:val="00D8162C"/>
    <w:rsid w:val="00D8186C"/>
    <w:rsid w:val="00D818ED"/>
    <w:rsid w:val="00D81A4B"/>
    <w:rsid w:val="00D81C25"/>
    <w:rsid w:val="00D81CF9"/>
    <w:rsid w:val="00D81D63"/>
    <w:rsid w:val="00D81D66"/>
    <w:rsid w:val="00D820DC"/>
    <w:rsid w:val="00D8211D"/>
    <w:rsid w:val="00D823F0"/>
    <w:rsid w:val="00D82772"/>
    <w:rsid w:val="00D82923"/>
    <w:rsid w:val="00D82A8C"/>
    <w:rsid w:val="00D82AE0"/>
    <w:rsid w:val="00D82C16"/>
    <w:rsid w:val="00D82F9F"/>
    <w:rsid w:val="00D82FD0"/>
    <w:rsid w:val="00D8303A"/>
    <w:rsid w:val="00D833EE"/>
    <w:rsid w:val="00D8341C"/>
    <w:rsid w:val="00D83495"/>
    <w:rsid w:val="00D83575"/>
    <w:rsid w:val="00D835B2"/>
    <w:rsid w:val="00D8364E"/>
    <w:rsid w:val="00D8365F"/>
    <w:rsid w:val="00D83775"/>
    <w:rsid w:val="00D83871"/>
    <w:rsid w:val="00D839D1"/>
    <w:rsid w:val="00D83CD9"/>
    <w:rsid w:val="00D83CE2"/>
    <w:rsid w:val="00D8402A"/>
    <w:rsid w:val="00D84162"/>
    <w:rsid w:val="00D84212"/>
    <w:rsid w:val="00D84230"/>
    <w:rsid w:val="00D84558"/>
    <w:rsid w:val="00D84650"/>
    <w:rsid w:val="00D8483C"/>
    <w:rsid w:val="00D8498C"/>
    <w:rsid w:val="00D84A49"/>
    <w:rsid w:val="00D84C7D"/>
    <w:rsid w:val="00D84DAB"/>
    <w:rsid w:val="00D84DDF"/>
    <w:rsid w:val="00D84EDF"/>
    <w:rsid w:val="00D85214"/>
    <w:rsid w:val="00D8527B"/>
    <w:rsid w:val="00D85293"/>
    <w:rsid w:val="00D8533C"/>
    <w:rsid w:val="00D853BA"/>
    <w:rsid w:val="00D8545F"/>
    <w:rsid w:val="00D8583A"/>
    <w:rsid w:val="00D85869"/>
    <w:rsid w:val="00D85A30"/>
    <w:rsid w:val="00D85BC3"/>
    <w:rsid w:val="00D85DAB"/>
    <w:rsid w:val="00D85F4C"/>
    <w:rsid w:val="00D86044"/>
    <w:rsid w:val="00D86124"/>
    <w:rsid w:val="00D861A8"/>
    <w:rsid w:val="00D86526"/>
    <w:rsid w:val="00D865E2"/>
    <w:rsid w:val="00D86A35"/>
    <w:rsid w:val="00D86B1C"/>
    <w:rsid w:val="00D86BFF"/>
    <w:rsid w:val="00D86C9A"/>
    <w:rsid w:val="00D86D44"/>
    <w:rsid w:val="00D870F2"/>
    <w:rsid w:val="00D871A3"/>
    <w:rsid w:val="00D87262"/>
    <w:rsid w:val="00D87289"/>
    <w:rsid w:val="00D90008"/>
    <w:rsid w:val="00D9003A"/>
    <w:rsid w:val="00D9031D"/>
    <w:rsid w:val="00D903CE"/>
    <w:rsid w:val="00D906AA"/>
    <w:rsid w:val="00D9070C"/>
    <w:rsid w:val="00D9081B"/>
    <w:rsid w:val="00D909F6"/>
    <w:rsid w:val="00D90B2F"/>
    <w:rsid w:val="00D90C10"/>
    <w:rsid w:val="00D90DF3"/>
    <w:rsid w:val="00D91079"/>
    <w:rsid w:val="00D911BF"/>
    <w:rsid w:val="00D911CB"/>
    <w:rsid w:val="00D9123D"/>
    <w:rsid w:val="00D912FB"/>
    <w:rsid w:val="00D917EB"/>
    <w:rsid w:val="00D91842"/>
    <w:rsid w:val="00D91B9A"/>
    <w:rsid w:val="00D91C1D"/>
    <w:rsid w:val="00D91DFD"/>
    <w:rsid w:val="00D91E03"/>
    <w:rsid w:val="00D91E4C"/>
    <w:rsid w:val="00D921BC"/>
    <w:rsid w:val="00D924E8"/>
    <w:rsid w:val="00D9264F"/>
    <w:rsid w:val="00D92691"/>
    <w:rsid w:val="00D926AC"/>
    <w:rsid w:val="00D926B1"/>
    <w:rsid w:val="00D92966"/>
    <w:rsid w:val="00D92AAA"/>
    <w:rsid w:val="00D92B9C"/>
    <w:rsid w:val="00D92BD1"/>
    <w:rsid w:val="00D92D24"/>
    <w:rsid w:val="00D93029"/>
    <w:rsid w:val="00D93353"/>
    <w:rsid w:val="00D93373"/>
    <w:rsid w:val="00D93404"/>
    <w:rsid w:val="00D93450"/>
    <w:rsid w:val="00D9345A"/>
    <w:rsid w:val="00D934A2"/>
    <w:rsid w:val="00D93590"/>
    <w:rsid w:val="00D935A1"/>
    <w:rsid w:val="00D935BD"/>
    <w:rsid w:val="00D936FE"/>
    <w:rsid w:val="00D93BFB"/>
    <w:rsid w:val="00D93DD9"/>
    <w:rsid w:val="00D93E14"/>
    <w:rsid w:val="00D93E1D"/>
    <w:rsid w:val="00D93E81"/>
    <w:rsid w:val="00D93EEC"/>
    <w:rsid w:val="00D940D5"/>
    <w:rsid w:val="00D94195"/>
    <w:rsid w:val="00D9437A"/>
    <w:rsid w:val="00D943F0"/>
    <w:rsid w:val="00D945B8"/>
    <w:rsid w:val="00D94648"/>
    <w:rsid w:val="00D9475F"/>
    <w:rsid w:val="00D9481B"/>
    <w:rsid w:val="00D949DC"/>
    <w:rsid w:val="00D94A6C"/>
    <w:rsid w:val="00D94B30"/>
    <w:rsid w:val="00D94B69"/>
    <w:rsid w:val="00D94C2C"/>
    <w:rsid w:val="00D94C58"/>
    <w:rsid w:val="00D94CD6"/>
    <w:rsid w:val="00D94D6E"/>
    <w:rsid w:val="00D94DEC"/>
    <w:rsid w:val="00D94ECF"/>
    <w:rsid w:val="00D9508F"/>
    <w:rsid w:val="00D952A8"/>
    <w:rsid w:val="00D957A2"/>
    <w:rsid w:val="00D9583E"/>
    <w:rsid w:val="00D95877"/>
    <w:rsid w:val="00D9597D"/>
    <w:rsid w:val="00D95BC6"/>
    <w:rsid w:val="00D95C36"/>
    <w:rsid w:val="00D95EE4"/>
    <w:rsid w:val="00D95F96"/>
    <w:rsid w:val="00D9605E"/>
    <w:rsid w:val="00D962AA"/>
    <w:rsid w:val="00D96D13"/>
    <w:rsid w:val="00D9734C"/>
    <w:rsid w:val="00D97400"/>
    <w:rsid w:val="00D97454"/>
    <w:rsid w:val="00D97558"/>
    <w:rsid w:val="00D97750"/>
    <w:rsid w:val="00D977FA"/>
    <w:rsid w:val="00D978F5"/>
    <w:rsid w:val="00D9798F"/>
    <w:rsid w:val="00D97AE8"/>
    <w:rsid w:val="00D97DE5"/>
    <w:rsid w:val="00D97DF7"/>
    <w:rsid w:val="00D97E16"/>
    <w:rsid w:val="00DA003A"/>
    <w:rsid w:val="00DA0122"/>
    <w:rsid w:val="00DA0163"/>
    <w:rsid w:val="00DA0228"/>
    <w:rsid w:val="00DA038D"/>
    <w:rsid w:val="00DA0788"/>
    <w:rsid w:val="00DA09EA"/>
    <w:rsid w:val="00DA0B23"/>
    <w:rsid w:val="00DA0C01"/>
    <w:rsid w:val="00DA0DB4"/>
    <w:rsid w:val="00DA0EE8"/>
    <w:rsid w:val="00DA0EED"/>
    <w:rsid w:val="00DA1140"/>
    <w:rsid w:val="00DA14B3"/>
    <w:rsid w:val="00DA1535"/>
    <w:rsid w:val="00DA16E4"/>
    <w:rsid w:val="00DA174F"/>
    <w:rsid w:val="00DA17B3"/>
    <w:rsid w:val="00DA1818"/>
    <w:rsid w:val="00DA1A22"/>
    <w:rsid w:val="00DA1CB6"/>
    <w:rsid w:val="00DA1D29"/>
    <w:rsid w:val="00DA1F38"/>
    <w:rsid w:val="00DA1FE6"/>
    <w:rsid w:val="00DA207E"/>
    <w:rsid w:val="00DA209F"/>
    <w:rsid w:val="00DA20D2"/>
    <w:rsid w:val="00DA220D"/>
    <w:rsid w:val="00DA2352"/>
    <w:rsid w:val="00DA24CB"/>
    <w:rsid w:val="00DA26D6"/>
    <w:rsid w:val="00DA2A5E"/>
    <w:rsid w:val="00DA2CBF"/>
    <w:rsid w:val="00DA2D8A"/>
    <w:rsid w:val="00DA2E13"/>
    <w:rsid w:val="00DA2EFF"/>
    <w:rsid w:val="00DA3207"/>
    <w:rsid w:val="00DA3348"/>
    <w:rsid w:val="00DA36A1"/>
    <w:rsid w:val="00DA36F0"/>
    <w:rsid w:val="00DA371E"/>
    <w:rsid w:val="00DA390F"/>
    <w:rsid w:val="00DA396B"/>
    <w:rsid w:val="00DA3B3E"/>
    <w:rsid w:val="00DA3B96"/>
    <w:rsid w:val="00DA3E9C"/>
    <w:rsid w:val="00DA41B4"/>
    <w:rsid w:val="00DA4224"/>
    <w:rsid w:val="00DA42EA"/>
    <w:rsid w:val="00DA440D"/>
    <w:rsid w:val="00DA4601"/>
    <w:rsid w:val="00DA46FE"/>
    <w:rsid w:val="00DA48CE"/>
    <w:rsid w:val="00DA4A43"/>
    <w:rsid w:val="00DA4A5A"/>
    <w:rsid w:val="00DA4A69"/>
    <w:rsid w:val="00DA4B0C"/>
    <w:rsid w:val="00DA507C"/>
    <w:rsid w:val="00DA5536"/>
    <w:rsid w:val="00DA55F6"/>
    <w:rsid w:val="00DA561C"/>
    <w:rsid w:val="00DA56BD"/>
    <w:rsid w:val="00DA57BA"/>
    <w:rsid w:val="00DA595F"/>
    <w:rsid w:val="00DA5982"/>
    <w:rsid w:val="00DA59CD"/>
    <w:rsid w:val="00DA5B4F"/>
    <w:rsid w:val="00DA5CED"/>
    <w:rsid w:val="00DA5E1B"/>
    <w:rsid w:val="00DA5EB6"/>
    <w:rsid w:val="00DA5F48"/>
    <w:rsid w:val="00DA6054"/>
    <w:rsid w:val="00DA6335"/>
    <w:rsid w:val="00DA645A"/>
    <w:rsid w:val="00DA650F"/>
    <w:rsid w:val="00DA66C6"/>
    <w:rsid w:val="00DA6819"/>
    <w:rsid w:val="00DA6863"/>
    <w:rsid w:val="00DA6992"/>
    <w:rsid w:val="00DA6B24"/>
    <w:rsid w:val="00DA6EC3"/>
    <w:rsid w:val="00DA7299"/>
    <w:rsid w:val="00DA7477"/>
    <w:rsid w:val="00DA76F7"/>
    <w:rsid w:val="00DA779A"/>
    <w:rsid w:val="00DA7957"/>
    <w:rsid w:val="00DA7BCB"/>
    <w:rsid w:val="00DA7C02"/>
    <w:rsid w:val="00DA7C21"/>
    <w:rsid w:val="00DA7C2C"/>
    <w:rsid w:val="00DA7CD8"/>
    <w:rsid w:val="00DA7E93"/>
    <w:rsid w:val="00DA7FC6"/>
    <w:rsid w:val="00DB011B"/>
    <w:rsid w:val="00DB0429"/>
    <w:rsid w:val="00DB05DC"/>
    <w:rsid w:val="00DB06CE"/>
    <w:rsid w:val="00DB06EA"/>
    <w:rsid w:val="00DB0A2F"/>
    <w:rsid w:val="00DB0A30"/>
    <w:rsid w:val="00DB0AD7"/>
    <w:rsid w:val="00DB0BE1"/>
    <w:rsid w:val="00DB0C50"/>
    <w:rsid w:val="00DB0CC4"/>
    <w:rsid w:val="00DB0D65"/>
    <w:rsid w:val="00DB0D9A"/>
    <w:rsid w:val="00DB0EFA"/>
    <w:rsid w:val="00DB10F1"/>
    <w:rsid w:val="00DB13C7"/>
    <w:rsid w:val="00DB14FA"/>
    <w:rsid w:val="00DB169A"/>
    <w:rsid w:val="00DB175D"/>
    <w:rsid w:val="00DB1779"/>
    <w:rsid w:val="00DB1924"/>
    <w:rsid w:val="00DB1CF0"/>
    <w:rsid w:val="00DB1E61"/>
    <w:rsid w:val="00DB1EA1"/>
    <w:rsid w:val="00DB21FD"/>
    <w:rsid w:val="00DB2337"/>
    <w:rsid w:val="00DB2488"/>
    <w:rsid w:val="00DB2854"/>
    <w:rsid w:val="00DB292A"/>
    <w:rsid w:val="00DB2BCC"/>
    <w:rsid w:val="00DB2D17"/>
    <w:rsid w:val="00DB2D45"/>
    <w:rsid w:val="00DB2FE8"/>
    <w:rsid w:val="00DB301B"/>
    <w:rsid w:val="00DB32A9"/>
    <w:rsid w:val="00DB32C0"/>
    <w:rsid w:val="00DB3434"/>
    <w:rsid w:val="00DB34A0"/>
    <w:rsid w:val="00DB355B"/>
    <w:rsid w:val="00DB35DC"/>
    <w:rsid w:val="00DB362B"/>
    <w:rsid w:val="00DB390A"/>
    <w:rsid w:val="00DB3A16"/>
    <w:rsid w:val="00DB3C19"/>
    <w:rsid w:val="00DB3E3C"/>
    <w:rsid w:val="00DB3E5D"/>
    <w:rsid w:val="00DB3FBD"/>
    <w:rsid w:val="00DB4097"/>
    <w:rsid w:val="00DB412F"/>
    <w:rsid w:val="00DB4208"/>
    <w:rsid w:val="00DB442E"/>
    <w:rsid w:val="00DB4442"/>
    <w:rsid w:val="00DB44D3"/>
    <w:rsid w:val="00DB4530"/>
    <w:rsid w:val="00DB4538"/>
    <w:rsid w:val="00DB45A7"/>
    <w:rsid w:val="00DB45B0"/>
    <w:rsid w:val="00DB46CB"/>
    <w:rsid w:val="00DB48DF"/>
    <w:rsid w:val="00DB4C44"/>
    <w:rsid w:val="00DB4C73"/>
    <w:rsid w:val="00DB4E75"/>
    <w:rsid w:val="00DB51C2"/>
    <w:rsid w:val="00DB5228"/>
    <w:rsid w:val="00DB5385"/>
    <w:rsid w:val="00DB546B"/>
    <w:rsid w:val="00DB5767"/>
    <w:rsid w:val="00DB5864"/>
    <w:rsid w:val="00DB5BD5"/>
    <w:rsid w:val="00DB5CD2"/>
    <w:rsid w:val="00DB5ECE"/>
    <w:rsid w:val="00DB608B"/>
    <w:rsid w:val="00DB6313"/>
    <w:rsid w:val="00DB638D"/>
    <w:rsid w:val="00DB68BF"/>
    <w:rsid w:val="00DB68DD"/>
    <w:rsid w:val="00DB69A7"/>
    <w:rsid w:val="00DB69B6"/>
    <w:rsid w:val="00DB6C25"/>
    <w:rsid w:val="00DB6C38"/>
    <w:rsid w:val="00DB702D"/>
    <w:rsid w:val="00DB70E2"/>
    <w:rsid w:val="00DB74BE"/>
    <w:rsid w:val="00DB750B"/>
    <w:rsid w:val="00DB76A5"/>
    <w:rsid w:val="00DB76E5"/>
    <w:rsid w:val="00DB7765"/>
    <w:rsid w:val="00DB77C2"/>
    <w:rsid w:val="00DB784D"/>
    <w:rsid w:val="00DB7B6F"/>
    <w:rsid w:val="00DB7DDC"/>
    <w:rsid w:val="00DC0095"/>
    <w:rsid w:val="00DC0652"/>
    <w:rsid w:val="00DC075C"/>
    <w:rsid w:val="00DC09B6"/>
    <w:rsid w:val="00DC0B76"/>
    <w:rsid w:val="00DC0D87"/>
    <w:rsid w:val="00DC0DE2"/>
    <w:rsid w:val="00DC0EC9"/>
    <w:rsid w:val="00DC1097"/>
    <w:rsid w:val="00DC1171"/>
    <w:rsid w:val="00DC119E"/>
    <w:rsid w:val="00DC143A"/>
    <w:rsid w:val="00DC1519"/>
    <w:rsid w:val="00DC168E"/>
    <w:rsid w:val="00DC1915"/>
    <w:rsid w:val="00DC19F6"/>
    <w:rsid w:val="00DC1D71"/>
    <w:rsid w:val="00DC1FAB"/>
    <w:rsid w:val="00DC2050"/>
    <w:rsid w:val="00DC223C"/>
    <w:rsid w:val="00DC25A3"/>
    <w:rsid w:val="00DC267A"/>
    <w:rsid w:val="00DC2747"/>
    <w:rsid w:val="00DC28E8"/>
    <w:rsid w:val="00DC296F"/>
    <w:rsid w:val="00DC2BB1"/>
    <w:rsid w:val="00DC2E30"/>
    <w:rsid w:val="00DC2EBE"/>
    <w:rsid w:val="00DC3104"/>
    <w:rsid w:val="00DC31B0"/>
    <w:rsid w:val="00DC3226"/>
    <w:rsid w:val="00DC3338"/>
    <w:rsid w:val="00DC3370"/>
    <w:rsid w:val="00DC3499"/>
    <w:rsid w:val="00DC349E"/>
    <w:rsid w:val="00DC36A1"/>
    <w:rsid w:val="00DC38FA"/>
    <w:rsid w:val="00DC3A6D"/>
    <w:rsid w:val="00DC3B06"/>
    <w:rsid w:val="00DC3FEC"/>
    <w:rsid w:val="00DC4036"/>
    <w:rsid w:val="00DC44C2"/>
    <w:rsid w:val="00DC4744"/>
    <w:rsid w:val="00DC4909"/>
    <w:rsid w:val="00DC4B0D"/>
    <w:rsid w:val="00DC4D0E"/>
    <w:rsid w:val="00DC4D7E"/>
    <w:rsid w:val="00DC4EC1"/>
    <w:rsid w:val="00DC50E0"/>
    <w:rsid w:val="00DC51AF"/>
    <w:rsid w:val="00DC53EC"/>
    <w:rsid w:val="00DC5C67"/>
    <w:rsid w:val="00DC5E54"/>
    <w:rsid w:val="00DC610C"/>
    <w:rsid w:val="00DC616C"/>
    <w:rsid w:val="00DC6497"/>
    <w:rsid w:val="00DC650D"/>
    <w:rsid w:val="00DC667C"/>
    <w:rsid w:val="00DC68D4"/>
    <w:rsid w:val="00DC68D6"/>
    <w:rsid w:val="00DC68F5"/>
    <w:rsid w:val="00DC6BF1"/>
    <w:rsid w:val="00DC6D45"/>
    <w:rsid w:val="00DC6DBF"/>
    <w:rsid w:val="00DC6DC5"/>
    <w:rsid w:val="00DC71E3"/>
    <w:rsid w:val="00DC783B"/>
    <w:rsid w:val="00DC784F"/>
    <w:rsid w:val="00DC7AE4"/>
    <w:rsid w:val="00DC7B69"/>
    <w:rsid w:val="00DC7D60"/>
    <w:rsid w:val="00DC7FF2"/>
    <w:rsid w:val="00DD0025"/>
    <w:rsid w:val="00DD019A"/>
    <w:rsid w:val="00DD01F8"/>
    <w:rsid w:val="00DD024E"/>
    <w:rsid w:val="00DD0625"/>
    <w:rsid w:val="00DD0919"/>
    <w:rsid w:val="00DD09EA"/>
    <w:rsid w:val="00DD0A19"/>
    <w:rsid w:val="00DD0B00"/>
    <w:rsid w:val="00DD0B9D"/>
    <w:rsid w:val="00DD0C23"/>
    <w:rsid w:val="00DD10FE"/>
    <w:rsid w:val="00DD1448"/>
    <w:rsid w:val="00DD15DD"/>
    <w:rsid w:val="00DD1887"/>
    <w:rsid w:val="00DD1A55"/>
    <w:rsid w:val="00DD1CBE"/>
    <w:rsid w:val="00DD1DE9"/>
    <w:rsid w:val="00DD1EBC"/>
    <w:rsid w:val="00DD1EF9"/>
    <w:rsid w:val="00DD20E9"/>
    <w:rsid w:val="00DD20F8"/>
    <w:rsid w:val="00DD21E6"/>
    <w:rsid w:val="00DD23EE"/>
    <w:rsid w:val="00DD2488"/>
    <w:rsid w:val="00DD2564"/>
    <w:rsid w:val="00DD27C6"/>
    <w:rsid w:val="00DD2ADF"/>
    <w:rsid w:val="00DD2B04"/>
    <w:rsid w:val="00DD2BD3"/>
    <w:rsid w:val="00DD2E77"/>
    <w:rsid w:val="00DD2F1D"/>
    <w:rsid w:val="00DD3034"/>
    <w:rsid w:val="00DD30A0"/>
    <w:rsid w:val="00DD30CF"/>
    <w:rsid w:val="00DD321F"/>
    <w:rsid w:val="00DD3229"/>
    <w:rsid w:val="00DD33A2"/>
    <w:rsid w:val="00DD3423"/>
    <w:rsid w:val="00DD344D"/>
    <w:rsid w:val="00DD3918"/>
    <w:rsid w:val="00DD3984"/>
    <w:rsid w:val="00DD3CFE"/>
    <w:rsid w:val="00DD3DA2"/>
    <w:rsid w:val="00DD3E0E"/>
    <w:rsid w:val="00DD47A6"/>
    <w:rsid w:val="00DD49E5"/>
    <w:rsid w:val="00DD4A74"/>
    <w:rsid w:val="00DD4CEF"/>
    <w:rsid w:val="00DD4E57"/>
    <w:rsid w:val="00DD4ECB"/>
    <w:rsid w:val="00DD4F01"/>
    <w:rsid w:val="00DD4F74"/>
    <w:rsid w:val="00DD5071"/>
    <w:rsid w:val="00DD51F4"/>
    <w:rsid w:val="00DD51FE"/>
    <w:rsid w:val="00DD52F1"/>
    <w:rsid w:val="00DD5524"/>
    <w:rsid w:val="00DD56F9"/>
    <w:rsid w:val="00DD5F34"/>
    <w:rsid w:val="00DD5F63"/>
    <w:rsid w:val="00DD602D"/>
    <w:rsid w:val="00DD6172"/>
    <w:rsid w:val="00DD62E7"/>
    <w:rsid w:val="00DD6471"/>
    <w:rsid w:val="00DD67D8"/>
    <w:rsid w:val="00DD67DA"/>
    <w:rsid w:val="00DD68F7"/>
    <w:rsid w:val="00DD695A"/>
    <w:rsid w:val="00DD69B5"/>
    <w:rsid w:val="00DD6AA1"/>
    <w:rsid w:val="00DD6B89"/>
    <w:rsid w:val="00DD6C0A"/>
    <w:rsid w:val="00DD6F93"/>
    <w:rsid w:val="00DD70A8"/>
    <w:rsid w:val="00DD7188"/>
    <w:rsid w:val="00DD71EC"/>
    <w:rsid w:val="00DD7278"/>
    <w:rsid w:val="00DD72A1"/>
    <w:rsid w:val="00DD72CB"/>
    <w:rsid w:val="00DD7459"/>
    <w:rsid w:val="00DD76A5"/>
    <w:rsid w:val="00DD76E6"/>
    <w:rsid w:val="00DD77C8"/>
    <w:rsid w:val="00DD7A16"/>
    <w:rsid w:val="00DD7AC8"/>
    <w:rsid w:val="00DD7B9C"/>
    <w:rsid w:val="00DE029D"/>
    <w:rsid w:val="00DE0470"/>
    <w:rsid w:val="00DE0615"/>
    <w:rsid w:val="00DE07E9"/>
    <w:rsid w:val="00DE08B4"/>
    <w:rsid w:val="00DE08E4"/>
    <w:rsid w:val="00DE0BB5"/>
    <w:rsid w:val="00DE0C39"/>
    <w:rsid w:val="00DE0F09"/>
    <w:rsid w:val="00DE0FC7"/>
    <w:rsid w:val="00DE104A"/>
    <w:rsid w:val="00DE11C3"/>
    <w:rsid w:val="00DE14B1"/>
    <w:rsid w:val="00DE1584"/>
    <w:rsid w:val="00DE1771"/>
    <w:rsid w:val="00DE19A5"/>
    <w:rsid w:val="00DE1AD4"/>
    <w:rsid w:val="00DE1B63"/>
    <w:rsid w:val="00DE1BA3"/>
    <w:rsid w:val="00DE1FA2"/>
    <w:rsid w:val="00DE208E"/>
    <w:rsid w:val="00DE21A0"/>
    <w:rsid w:val="00DE22F0"/>
    <w:rsid w:val="00DE287D"/>
    <w:rsid w:val="00DE2A44"/>
    <w:rsid w:val="00DE2B41"/>
    <w:rsid w:val="00DE2B98"/>
    <w:rsid w:val="00DE2D0C"/>
    <w:rsid w:val="00DE2E62"/>
    <w:rsid w:val="00DE2F78"/>
    <w:rsid w:val="00DE3143"/>
    <w:rsid w:val="00DE3352"/>
    <w:rsid w:val="00DE33A3"/>
    <w:rsid w:val="00DE347F"/>
    <w:rsid w:val="00DE36D7"/>
    <w:rsid w:val="00DE393A"/>
    <w:rsid w:val="00DE3ADD"/>
    <w:rsid w:val="00DE3DBF"/>
    <w:rsid w:val="00DE404C"/>
    <w:rsid w:val="00DE4216"/>
    <w:rsid w:val="00DE4425"/>
    <w:rsid w:val="00DE446B"/>
    <w:rsid w:val="00DE4518"/>
    <w:rsid w:val="00DE463B"/>
    <w:rsid w:val="00DE4712"/>
    <w:rsid w:val="00DE47E1"/>
    <w:rsid w:val="00DE499D"/>
    <w:rsid w:val="00DE4CE5"/>
    <w:rsid w:val="00DE4EAB"/>
    <w:rsid w:val="00DE4FB8"/>
    <w:rsid w:val="00DE512D"/>
    <w:rsid w:val="00DE53B0"/>
    <w:rsid w:val="00DE53EF"/>
    <w:rsid w:val="00DE564B"/>
    <w:rsid w:val="00DE5657"/>
    <w:rsid w:val="00DE56C2"/>
    <w:rsid w:val="00DE57B1"/>
    <w:rsid w:val="00DE57B8"/>
    <w:rsid w:val="00DE58E7"/>
    <w:rsid w:val="00DE5987"/>
    <w:rsid w:val="00DE5C2B"/>
    <w:rsid w:val="00DE5D4D"/>
    <w:rsid w:val="00DE5D91"/>
    <w:rsid w:val="00DE5EA8"/>
    <w:rsid w:val="00DE5FD3"/>
    <w:rsid w:val="00DE60AA"/>
    <w:rsid w:val="00DE624C"/>
    <w:rsid w:val="00DE630B"/>
    <w:rsid w:val="00DE6336"/>
    <w:rsid w:val="00DE63F7"/>
    <w:rsid w:val="00DE6490"/>
    <w:rsid w:val="00DE64FB"/>
    <w:rsid w:val="00DE64FD"/>
    <w:rsid w:val="00DE670F"/>
    <w:rsid w:val="00DE682F"/>
    <w:rsid w:val="00DE68D2"/>
    <w:rsid w:val="00DE68D8"/>
    <w:rsid w:val="00DE68EA"/>
    <w:rsid w:val="00DE69FE"/>
    <w:rsid w:val="00DE6B74"/>
    <w:rsid w:val="00DE6BAD"/>
    <w:rsid w:val="00DE6C1B"/>
    <w:rsid w:val="00DE6D75"/>
    <w:rsid w:val="00DE6DB1"/>
    <w:rsid w:val="00DE6E3A"/>
    <w:rsid w:val="00DE6EF8"/>
    <w:rsid w:val="00DE70CC"/>
    <w:rsid w:val="00DE728A"/>
    <w:rsid w:val="00DE7432"/>
    <w:rsid w:val="00DE7734"/>
    <w:rsid w:val="00DE79CB"/>
    <w:rsid w:val="00DE7C1E"/>
    <w:rsid w:val="00DE7EBC"/>
    <w:rsid w:val="00DE7EDC"/>
    <w:rsid w:val="00DE7EE7"/>
    <w:rsid w:val="00DE7F37"/>
    <w:rsid w:val="00DE7FAD"/>
    <w:rsid w:val="00DF004D"/>
    <w:rsid w:val="00DF00BB"/>
    <w:rsid w:val="00DF0238"/>
    <w:rsid w:val="00DF0507"/>
    <w:rsid w:val="00DF0889"/>
    <w:rsid w:val="00DF0935"/>
    <w:rsid w:val="00DF0FC3"/>
    <w:rsid w:val="00DF1137"/>
    <w:rsid w:val="00DF11DB"/>
    <w:rsid w:val="00DF13AF"/>
    <w:rsid w:val="00DF14B2"/>
    <w:rsid w:val="00DF14CA"/>
    <w:rsid w:val="00DF14F6"/>
    <w:rsid w:val="00DF150D"/>
    <w:rsid w:val="00DF181A"/>
    <w:rsid w:val="00DF1AB7"/>
    <w:rsid w:val="00DF1B00"/>
    <w:rsid w:val="00DF1DEA"/>
    <w:rsid w:val="00DF1EDB"/>
    <w:rsid w:val="00DF1FF5"/>
    <w:rsid w:val="00DF20CE"/>
    <w:rsid w:val="00DF22A8"/>
    <w:rsid w:val="00DF22B2"/>
    <w:rsid w:val="00DF259D"/>
    <w:rsid w:val="00DF26F0"/>
    <w:rsid w:val="00DF28E1"/>
    <w:rsid w:val="00DF2D29"/>
    <w:rsid w:val="00DF2DA8"/>
    <w:rsid w:val="00DF2E9C"/>
    <w:rsid w:val="00DF3186"/>
    <w:rsid w:val="00DF33B1"/>
    <w:rsid w:val="00DF33EC"/>
    <w:rsid w:val="00DF36C6"/>
    <w:rsid w:val="00DF3701"/>
    <w:rsid w:val="00DF3703"/>
    <w:rsid w:val="00DF38AA"/>
    <w:rsid w:val="00DF3C1F"/>
    <w:rsid w:val="00DF3C91"/>
    <w:rsid w:val="00DF3E19"/>
    <w:rsid w:val="00DF3EDB"/>
    <w:rsid w:val="00DF401B"/>
    <w:rsid w:val="00DF404A"/>
    <w:rsid w:val="00DF4282"/>
    <w:rsid w:val="00DF4369"/>
    <w:rsid w:val="00DF4438"/>
    <w:rsid w:val="00DF4502"/>
    <w:rsid w:val="00DF467D"/>
    <w:rsid w:val="00DF4B84"/>
    <w:rsid w:val="00DF4C80"/>
    <w:rsid w:val="00DF4CC0"/>
    <w:rsid w:val="00DF4FE2"/>
    <w:rsid w:val="00DF50A1"/>
    <w:rsid w:val="00DF52D2"/>
    <w:rsid w:val="00DF5353"/>
    <w:rsid w:val="00DF5826"/>
    <w:rsid w:val="00DF59B2"/>
    <w:rsid w:val="00DF5BE4"/>
    <w:rsid w:val="00DF6080"/>
    <w:rsid w:val="00DF61A1"/>
    <w:rsid w:val="00DF6310"/>
    <w:rsid w:val="00DF663A"/>
    <w:rsid w:val="00DF66CB"/>
    <w:rsid w:val="00DF6723"/>
    <w:rsid w:val="00DF6CF7"/>
    <w:rsid w:val="00DF6EAC"/>
    <w:rsid w:val="00DF72B4"/>
    <w:rsid w:val="00DF7333"/>
    <w:rsid w:val="00DF74DF"/>
    <w:rsid w:val="00DF772D"/>
    <w:rsid w:val="00DF77E8"/>
    <w:rsid w:val="00DF7984"/>
    <w:rsid w:val="00DF7986"/>
    <w:rsid w:val="00DF7B04"/>
    <w:rsid w:val="00DF7C79"/>
    <w:rsid w:val="00DF7F31"/>
    <w:rsid w:val="00DF7F4C"/>
    <w:rsid w:val="00DF7F83"/>
    <w:rsid w:val="00E00148"/>
    <w:rsid w:val="00E00512"/>
    <w:rsid w:val="00E00899"/>
    <w:rsid w:val="00E00D74"/>
    <w:rsid w:val="00E00EDE"/>
    <w:rsid w:val="00E00FC4"/>
    <w:rsid w:val="00E010EC"/>
    <w:rsid w:val="00E01177"/>
    <w:rsid w:val="00E014DB"/>
    <w:rsid w:val="00E014E2"/>
    <w:rsid w:val="00E016E5"/>
    <w:rsid w:val="00E01E19"/>
    <w:rsid w:val="00E01E4C"/>
    <w:rsid w:val="00E01EFB"/>
    <w:rsid w:val="00E02059"/>
    <w:rsid w:val="00E02184"/>
    <w:rsid w:val="00E022FB"/>
    <w:rsid w:val="00E0297E"/>
    <w:rsid w:val="00E02AC1"/>
    <w:rsid w:val="00E02ACF"/>
    <w:rsid w:val="00E02D41"/>
    <w:rsid w:val="00E03433"/>
    <w:rsid w:val="00E03647"/>
    <w:rsid w:val="00E03857"/>
    <w:rsid w:val="00E038BE"/>
    <w:rsid w:val="00E03917"/>
    <w:rsid w:val="00E03D9F"/>
    <w:rsid w:val="00E03F7B"/>
    <w:rsid w:val="00E03FB3"/>
    <w:rsid w:val="00E04295"/>
    <w:rsid w:val="00E042AD"/>
    <w:rsid w:val="00E04593"/>
    <w:rsid w:val="00E0478F"/>
    <w:rsid w:val="00E04851"/>
    <w:rsid w:val="00E04945"/>
    <w:rsid w:val="00E049E0"/>
    <w:rsid w:val="00E04AF6"/>
    <w:rsid w:val="00E04C86"/>
    <w:rsid w:val="00E04CF1"/>
    <w:rsid w:val="00E05088"/>
    <w:rsid w:val="00E0512F"/>
    <w:rsid w:val="00E053BF"/>
    <w:rsid w:val="00E05596"/>
    <w:rsid w:val="00E05652"/>
    <w:rsid w:val="00E05A7A"/>
    <w:rsid w:val="00E05B34"/>
    <w:rsid w:val="00E05E1E"/>
    <w:rsid w:val="00E05E28"/>
    <w:rsid w:val="00E0603F"/>
    <w:rsid w:val="00E0604D"/>
    <w:rsid w:val="00E0615B"/>
    <w:rsid w:val="00E06264"/>
    <w:rsid w:val="00E062E2"/>
    <w:rsid w:val="00E06365"/>
    <w:rsid w:val="00E065D2"/>
    <w:rsid w:val="00E065DC"/>
    <w:rsid w:val="00E066C4"/>
    <w:rsid w:val="00E06946"/>
    <w:rsid w:val="00E06A33"/>
    <w:rsid w:val="00E06B13"/>
    <w:rsid w:val="00E06DBC"/>
    <w:rsid w:val="00E07047"/>
    <w:rsid w:val="00E070A9"/>
    <w:rsid w:val="00E070CC"/>
    <w:rsid w:val="00E070CF"/>
    <w:rsid w:val="00E070F8"/>
    <w:rsid w:val="00E0714D"/>
    <w:rsid w:val="00E07553"/>
    <w:rsid w:val="00E07730"/>
    <w:rsid w:val="00E07A03"/>
    <w:rsid w:val="00E07A0F"/>
    <w:rsid w:val="00E07A7A"/>
    <w:rsid w:val="00E07C88"/>
    <w:rsid w:val="00E07D19"/>
    <w:rsid w:val="00E07D5A"/>
    <w:rsid w:val="00E07DCF"/>
    <w:rsid w:val="00E07E36"/>
    <w:rsid w:val="00E07E83"/>
    <w:rsid w:val="00E07F9B"/>
    <w:rsid w:val="00E1007E"/>
    <w:rsid w:val="00E10195"/>
    <w:rsid w:val="00E101C7"/>
    <w:rsid w:val="00E101EF"/>
    <w:rsid w:val="00E103DD"/>
    <w:rsid w:val="00E10B52"/>
    <w:rsid w:val="00E10BA1"/>
    <w:rsid w:val="00E10C59"/>
    <w:rsid w:val="00E10C6D"/>
    <w:rsid w:val="00E10F1F"/>
    <w:rsid w:val="00E11219"/>
    <w:rsid w:val="00E11286"/>
    <w:rsid w:val="00E112FA"/>
    <w:rsid w:val="00E114C2"/>
    <w:rsid w:val="00E114EE"/>
    <w:rsid w:val="00E1168B"/>
    <w:rsid w:val="00E119EA"/>
    <w:rsid w:val="00E11A4A"/>
    <w:rsid w:val="00E11E73"/>
    <w:rsid w:val="00E11E8F"/>
    <w:rsid w:val="00E11EBD"/>
    <w:rsid w:val="00E120E8"/>
    <w:rsid w:val="00E12199"/>
    <w:rsid w:val="00E1219E"/>
    <w:rsid w:val="00E121C7"/>
    <w:rsid w:val="00E121DE"/>
    <w:rsid w:val="00E1221C"/>
    <w:rsid w:val="00E12393"/>
    <w:rsid w:val="00E12604"/>
    <w:rsid w:val="00E1280F"/>
    <w:rsid w:val="00E12943"/>
    <w:rsid w:val="00E12A27"/>
    <w:rsid w:val="00E12A8C"/>
    <w:rsid w:val="00E12B01"/>
    <w:rsid w:val="00E12D4A"/>
    <w:rsid w:val="00E12DE6"/>
    <w:rsid w:val="00E1307A"/>
    <w:rsid w:val="00E13162"/>
    <w:rsid w:val="00E13352"/>
    <w:rsid w:val="00E13826"/>
    <w:rsid w:val="00E138EE"/>
    <w:rsid w:val="00E13A25"/>
    <w:rsid w:val="00E13B09"/>
    <w:rsid w:val="00E13D4A"/>
    <w:rsid w:val="00E13E4A"/>
    <w:rsid w:val="00E13FBE"/>
    <w:rsid w:val="00E141F0"/>
    <w:rsid w:val="00E14202"/>
    <w:rsid w:val="00E142EC"/>
    <w:rsid w:val="00E1467E"/>
    <w:rsid w:val="00E14A02"/>
    <w:rsid w:val="00E14B97"/>
    <w:rsid w:val="00E14BBA"/>
    <w:rsid w:val="00E14BD6"/>
    <w:rsid w:val="00E14EFC"/>
    <w:rsid w:val="00E15134"/>
    <w:rsid w:val="00E15674"/>
    <w:rsid w:val="00E156DB"/>
    <w:rsid w:val="00E15AFE"/>
    <w:rsid w:val="00E15DA7"/>
    <w:rsid w:val="00E16080"/>
    <w:rsid w:val="00E16183"/>
    <w:rsid w:val="00E16195"/>
    <w:rsid w:val="00E16201"/>
    <w:rsid w:val="00E16268"/>
    <w:rsid w:val="00E1638F"/>
    <w:rsid w:val="00E1640E"/>
    <w:rsid w:val="00E167CF"/>
    <w:rsid w:val="00E16822"/>
    <w:rsid w:val="00E16AB6"/>
    <w:rsid w:val="00E16E74"/>
    <w:rsid w:val="00E16F2A"/>
    <w:rsid w:val="00E16FEE"/>
    <w:rsid w:val="00E170F0"/>
    <w:rsid w:val="00E17332"/>
    <w:rsid w:val="00E1769E"/>
    <w:rsid w:val="00E1783B"/>
    <w:rsid w:val="00E178BA"/>
    <w:rsid w:val="00E17916"/>
    <w:rsid w:val="00E179FC"/>
    <w:rsid w:val="00E17B4F"/>
    <w:rsid w:val="00E17B98"/>
    <w:rsid w:val="00E17C64"/>
    <w:rsid w:val="00E17EB6"/>
    <w:rsid w:val="00E200CA"/>
    <w:rsid w:val="00E202E9"/>
    <w:rsid w:val="00E2038C"/>
    <w:rsid w:val="00E20509"/>
    <w:rsid w:val="00E20A81"/>
    <w:rsid w:val="00E20B8F"/>
    <w:rsid w:val="00E20BD1"/>
    <w:rsid w:val="00E20D17"/>
    <w:rsid w:val="00E20DF0"/>
    <w:rsid w:val="00E2107C"/>
    <w:rsid w:val="00E21098"/>
    <w:rsid w:val="00E2110E"/>
    <w:rsid w:val="00E2118D"/>
    <w:rsid w:val="00E21192"/>
    <w:rsid w:val="00E21205"/>
    <w:rsid w:val="00E21330"/>
    <w:rsid w:val="00E21667"/>
    <w:rsid w:val="00E21ED7"/>
    <w:rsid w:val="00E21F29"/>
    <w:rsid w:val="00E220A8"/>
    <w:rsid w:val="00E22253"/>
    <w:rsid w:val="00E22683"/>
    <w:rsid w:val="00E22751"/>
    <w:rsid w:val="00E22780"/>
    <w:rsid w:val="00E22C61"/>
    <w:rsid w:val="00E22CD7"/>
    <w:rsid w:val="00E22F35"/>
    <w:rsid w:val="00E230F5"/>
    <w:rsid w:val="00E23108"/>
    <w:rsid w:val="00E23247"/>
    <w:rsid w:val="00E23285"/>
    <w:rsid w:val="00E232F7"/>
    <w:rsid w:val="00E23554"/>
    <w:rsid w:val="00E2386F"/>
    <w:rsid w:val="00E2389A"/>
    <w:rsid w:val="00E23AAE"/>
    <w:rsid w:val="00E23D94"/>
    <w:rsid w:val="00E23EE4"/>
    <w:rsid w:val="00E23F50"/>
    <w:rsid w:val="00E2428B"/>
    <w:rsid w:val="00E2431A"/>
    <w:rsid w:val="00E247B4"/>
    <w:rsid w:val="00E247F6"/>
    <w:rsid w:val="00E24891"/>
    <w:rsid w:val="00E24DDD"/>
    <w:rsid w:val="00E24E41"/>
    <w:rsid w:val="00E24EF1"/>
    <w:rsid w:val="00E25034"/>
    <w:rsid w:val="00E25193"/>
    <w:rsid w:val="00E252BF"/>
    <w:rsid w:val="00E25386"/>
    <w:rsid w:val="00E253C7"/>
    <w:rsid w:val="00E2544F"/>
    <w:rsid w:val="00E25548"/>
    <w:rsid w:val="00E255ED"/>
    <w:rsid w:val="00E258B7"/>
    <w:rsid w:val="00E259D5"/>
    <w:rsid w:val="00E25A45"/>
    <w:rsid w:val="00E25B53"/>
    <w:rsid w:val="00E25B97"/>
    <w:rsid w:val="00E25F90"/>
    <w:rsid w:val="00E25FE2"/>
    <w:rsid w:val="00E2602D"/>
    <w:rsid w:val="00E2610C"/>
    <w:rsid w:val="00E263BC"/>
    <w:rsid w:val="00E266B8"/>
    <w:rsid w:val="00E2672E"/>
    <w:rsid w:val="00E2679F"/>
    <w:rsid w:val="00E267D4"/>
    <w:rsid w:val="00E26925"/>
    <w:rsid w:val="00E26ADC"/>
    <w:rsid w:val="00E26E74"/>
    <w:rsid w:val="00E26F18"/>
    <w:rsid w:val="00E26FAC"/>
    <w:rsid w:val="00E27037"/>
    <w:rsid w:val="00E27074"/>
    <w:rsid w:val="00E2726D"/>
    <w:rsid w:val="00E272DD"/>
    <w:rsid w:val="00E27347"/>
    <w:rsid w:val="00E27453"/>
    <w:rsid w:val="00E274E1"/>
    <w:rsid w:val="00E27558"/>
    <w:rsid w:val="00E275CB"/>
    <w:rsid w:val="00E276CA"/>
    <w:rsid w:val="00E2785D"/>
    <w:rsid w:val="00E2786A"/>
    <w:rsid w:val="00E278C2"/>
    <w:rsid w:val="00E279A2"/>
    <w:rsid w:val="00E27AD5"/>
    <w:rsid w:val="00E27B0B"/>
    <w:rsid w:val="00E27BA1"/>
    <w:rsid w:val="00E27E95"/>
    <w:rsid w:val="00E27FF0"/>
    <w:rsid w:val="00E301CD"/>
    <w:rsid w:val="00E3025B"/>
    <w:rsid w:val="00E308A4"/>
    <w:rsid w:val="00E30960"/>
    <w:rsid w:val="00E30B2F"/>
    <w:rsid w:val="00E30BA1"/>
    <w:rsid w:val="00E30BCF"/>
    <w:rsid w:val="00E30C78"/>
    <w:rsid w:val="00E30DB7"/>
    <w:rsid w:val="00E30E19"/>
    <w:rsid w:val="00E30ED8"/>
    <w:rsid w:val="00E3109F"/>
    <w:rsid w:val="00E3116D"/>
    <w:rsid w:val="00E311D5"/>
    <w:rsid w:val="00E3123A"/>
    <w:rsid w:val="00E31377"/>
    <w:rsid w:val="00E31599"/>
    <w:rsid w:val="00E315B3"/>
    <w:rsid w:val="00E315CF"/>
    <w:rsid w:val="00E3161D"/>
    <w:rsid w:val="00E317A4"/>
    <w:rsid w:val="00E31B26"/>
    <w:rsid w:val="00E31B33"/>
    <w:rsid w:val="00E31B7A"/>
    <w:rsid w:val="00E31F50"/>
    <w:rsid w:val="00E32318"/>
    <w:rsid w:val="00E3232D"/>
    <w:rsid w:val="00E3234C"/>
    <w:rsid w:val="00E324FA"/>
    <w:rsid w:val="00E325E7"/>
    <w:rsid w:val="00E327CE"/>
    <w:rsid w:val="00E3299B"/>
    <w:rsid w:val="00E32A99"/>
    <w:rsid w:val="00E32ABD"/>
    <w:rsid w:val="00E3310B"/>
    <w:rsid w:val="00E3328A"/>
    <w:rsid w:val="00E33295"/>
    <w:rsid w:val="00E333AE"/>
    <w:rsid w:val="00E335A2"/>
    <w:rsid w:val="00E336E3"/>
    <w:rsid w:val="00E33D33"/>
    <w:rsid w:val="00E33D9E"/>
    <w:rsid w:val="00E340C2"/>
    <w:rsid w:val="00E34326"/>
    <w:rsid w:val="00E34814"/>
    <w:rsid w:val="00E34847"/>
    <w:rsid w:val="00E3489A"/>
    <w:rsid w:val="00E34CFA"/>
    <w:rsid w:val="00E34D0B"/>
    <w:rsid w:val="00E34D35"/>
    <w:rsid w:val="00E34E00"/>
    <w:rsid w:val="00E35487"/>
    <w:rsid w:val="00E35551"/>
    <w:rsid w:val="00E3559C"/>
    <w:rsid w:val="00E356DA"/>
    <w:rsid w:val="00E357D1"/>
    <w:rsid w:val="00E35AF9"/>
    <w:rsid w:val="00E35BB7"/>
    <w:rsid w:val="00E35CAF"/>
    <w:rsid w:val="00E35E49"/>
    <w:rsid w:val="00E35E4F"/>
    <w:rsid w:val="00E35E8C"/>
    <w:rsid w:val="00E36133"/>
    <w:rsid w:val="00E36220"/>
    <w:rsid w:val="00E36425"/>
    <w:rsid w:val="00E364CB"/>
    <w:rsid w:val="00E3661E"/>
    <w:rsid w:val="00E36639"/>
    <w:rsid w:val="00E368F6"/>
    <w:rsid w:val="00E36910"/>
    <w:rsid w:val="00E369A8"/>
    <w:rsid w:val="00E36A3A"/>
    <w:rsid w:val="00E36BCB"/>
    <w:rsid w:val="00E36BFF"/>
    <w:rsid w:val="00E36C28"/>
    <w:rsid w:val="00E36D98"/>
    <w:rsid w:val="00E36E0B"/>
    <w:rsid w:val="00E36E1A"/>
    <w:rsid w:val="00E36E81"/>
    <w:rsid w:val="00E37137"/>
    <w:rsid w:val="00E3732D"/>
    <w:rsid w:val="00E37420"/>
    <w:rsid w:val="00E37472"/>
    <w:rsid w:val="00E37662"/>
    <w:rsid w:val="00E3774F"/>
    <w:rsid w:val="00E377A7"/>
    <w:rsid w:val="00E37872"/>
    <w:rsid w:val="00E379BF"/>
    <w:rsid w:val="00E37C2C"/>
    <w:rsid w:val="00E37DDB"/>
    <w:rsid w:val="00E401B8"/>
    <w:rsid w:val="00E401D7"/>
    <w:rsid w:val="00E40400"/>
    <w:rsid w:val="00E40449"/>
    <w:rsid w:val="00E408C5"/>
    <w:rsid w:val="00E40939"/>
    <w:rsid w:val="00E409AA"/>
    <w:rsid w:val="00E40C0E"/>
    <w:rsid w:val="00E40C35"/>
    <w:rsid w:val="00E41377"/>
    <w:rsid w:val="00E41398"/>
    <w:rsid w:val="00E416A2"/>
    <w:rsid w:val="00E416A6"/>
    <w:rsid w:val="00E41718"/>
    <w:rsid w:val="00E41AE6"/>
    <w:rsid w:val="00E41E52"/>
    <w:rsid w:val="00E41E6A"/>
    <w:rsid w:val="00E41E90"/>
    <w:rsid w:val="00E41FDE"/>
    <w:rsid w:val="00E42160"/>
    <w:rsid w:val="00E4235A"/>
    <w:rsid w:val="00E423A3"/>
    <w:rsid w:val="00E4253F"/>
    <w:rsid w:val="00E4257E"/>
    <w:rsid w:val="00E42705"/>
    <w:rsid w:val="00E42757"/>
    <w:rsid w:val="00E42841"/>
    <w:rsid w:val="00E428CB"/>
    <w:rsid w:val="00E429CE"/>
    <w:rsid w:val="00E42B70"/>
    <w:rsid w:val="00E42BBA"/>
    <w:rsid w:val="00E42CF6"/>
    <w:rsid w:val="00E42D58"/>
    <w:rsid w:val="00E42F4B"/>
    <w:rsid w:val="00E42FAB"/>
    <w:rsid w:val="00E43131"/>
    <w:rsid w:val="00E4316E"/>
    <w:rsid w:val="00E43A18"/>
    <w:rsid w:val="00E43C94"/>
    <w:rsid w:val="00E43CE8"/>
    <w:rsid w:val="00E442C4"/>
    <w:rsid w:val="00E4440B"/>
    <w:rsid w:val="00E44548"/>
    <w:rsid w:val="00E44B01"/>
    <w:rsid w:val="00E44BB5"/>
    <w:rsid w:val="00E44C42"/>
    <w:rsid w:val="00E450BF"/>
    <w:rsid w:val="00E453E2"/>
    <w:rsid w:val="00E454CF"/>
    <w:rsid w:val="00E45560"/>
    <w:rsid w:val="00E455B3"/>
    <w:rsid w:val="00E455EC"/>
    <w:rsid w:val="00E455F2"/>
    <w:rsid w:val="00E456F5"/>
    <w:rsid w:val="00E45739"/>
    <w:rsid w:val="00E458AB"/>
    <w:rsid w:val="00E458F6"/>
    <w:rsid w:val="00E459EA"/>
    <w:rsid w:val="00E45AE7"/>
    <w:rsid w:val="00E45C25"/>
    <w:rsid w:val="00E45CC0"/>
    <w:rsid w:val="00E4609F"/>
    <w:rsid w:val="00E4620D"/>
    <w:rsid w:val="00E46A11"/>
    <w:rsid w:val="00E46A7F"/>
    <w:rsid w:val="00E46CF3"/>
    <w:rsid w:val="00E4730A"/>
    <w:rsid w:val="00E47514"/>
    <w:rsid w:val="00E4761F"/>
    <w:rsid w:val="00E4767E"/>
    <w:rsid w:val="00E4790F"/>
    <w:rsid w:val="00E47AD1"/>
    <w:rsid w:val="00E47C8A"/>
    <w:rsid w:val="00E47D21"/>
    <w:rsid w:val="00E50175"/>
    <w:rsid w:val="00E504A3"/>
    <w:rsid w:val="00E50778"/>
    <w:rsid w:val="00E508C1"/>
    <w:rsid w:val="00E50A41"/>
    <w:rsid w:val="00E50A74"/>
    <w:rsid w:val="00E50A7E"/>
    <w:rsid w:val="00E50B55"/>
    <w:rsid w:val="00E50CD1"/>
    <w:rsid w:val="00E50D6C"/>
    <w:rsid w:val="00E50EB0"/>
    <w:rsid w:val="00E50F6F"/>
    <w:rsid w:val="00E510E8"/>
    <w:rsid w:val="00E510F4"/>
    <w:rsid w:val="00E51280"/>
    <w:rsid w:val="00E5136C"/>
    <w:rsid w:val="00E51377"/>
    <w:rsid w:val="00E5138F"/>
    <w:rsid w:val="00E514FB"/>
    <w:rsid w:val="00E51507"/>
    <w:rsid w:val="00E518C3"/>
    <w:rsid w:val="00E51980"/>
    <w:rsid w:val="00E519AA"/>
    <w:rsid w:val="00E51C6A"/>
    <w:rsid w:val="00E51CD0"/>
    <w:rsid w:val="00E51CF3"/>
    <w:rsid w:val="00E51D6E"/>
    <w:rsid w:val="00E51EBE"/>
    <w:rsid w:val="00E51F68"/>
    <w:rsid w:val="00E51FA2"/>
    <w:rsid w:val="00E5222F"/>
    <w:rsid w:val="00E524E0"/>
    <w:rsid w:val="00E52628"/>
    <w:rsid w:val="00E526F4"/>
    <w:rsid w:val="00E52936"/>
    <w:rsid w:val="00E529BC"/>
    <w:rsid w:val="00E52B2D"/>
    <w:rsid w:val="00E52BB4"/>
    <w:rsid w:val="00E52C56"/>
    <w:rsid w:val="00E52D45"/>
    <w:rsid w:val="00E53496"/>
    <w:rsid w:val="00E534AA"/>
    <w:rsid w:val="00E535D4"/>
    <w:rsid w:val="00E5361C"/>
    <w:rsid w:val="00E537A9"/>
    <w:rsid w:val="00E5381F"/>
    <w:rsid w:val="00E53AE1"/>
    <w:rsid w:val="00E53CB5"/>
    <w:rsid w:val="00E53D04"/>
    <w:rsid w:val="00E53E3C"/>
    <w:rsid w:val="00E53FFF"/>
    <w:rsid w:val="00E54214"/>
    <w:rsid w:val="00E54381"/>
    <w:rsid w:val="00E5438A"/>
    <w:rsid w:val="00E543D7"/>
    <w:rsid w:val="00E5441E"/>
    <w:rsid w:val="00E54433"/>
    <w:rsid w:val="00E544BD"/>
    <w:rsid w:val="00E54650"/>
    <w:rsid w:val="00E54797"/>
    <w:rsid w:val="00E547E2"/>
    <w:rsid w:val="00E5485D"/>
    <w:rsid w:val="00E54937"/>
    <w:rsid w:val="00E549CF"/>
    <w:rsid w:val="00E54AC2"/>
    <w:rsid w:val="00E54C57"/>
    <w:rsid w:val="00E54DD9"/>
    <w:rsid w:val="00E54EAA"/>
    <w:rsid w:val="00E54EDE"/>
    <w:rsid w:val="00E54F13"/>
    <w:rsid w:val="00E54F34"/>
    <w:rsid w:val="00E550BB"/>
    <w:rsid w:val="00E554D2"/>
    <w:rsid w:val="00E5577B"/>
    <w:rsid w:val="00E55859"/>
    <w:rsid w:val="00E558E9"/>
    <w:rsid w:val="00E55A5D"/>
    <w:rsid w:val="00E55A8B"/>
    <w:rsid w:val="00E55BFA"/>
    <w:rsid w:val="00E55F97"/>
    <w:rsid w:val="00E561FC"/>
    <w:rsid w:val="00E562EF"/>
    <w:rsid w:val="00E56509"/>
    <w:rsid w:val="00E56559"/>
    <w:rsid w:val="00E56592"/>
    <w:rsid w:val="00E56649"/>
    <w:rsid w:val="00E56749"/>
    <w:rsid w:val="00E56775"/>
    <w:rsid w:val="00E5695A"/>
    <w:rsid w:val="00E569F6"/>
    <w:rsid w:val="00E56AF4"/>
    <w:rsid w:val="00E56CA1"/>
    <w:rsid w:val="00E57017"/>
    <w:rsid w:val="00E5705A"/>
    <w:rsid w:val="00E571D9"/>
    <w:rsid w:val="00E57502"/>
    <w:rsid w:val="00E575BF"/>
    <w:rsid w:val="00E5773E"/>
    <w:rsid w:val="00E579AB"/>
    <w:rsid w:val="00E579AE"/>
    <w:rsid w:val="00E57AB6"/>
    <w:rsid w:val="00E57BC4"/>
    <w:rsid w:val="00E57EE3"/>
    <w:rsid w:val="00E6001D"/>
    <w:rsid w:val="00E6020C"/>
    <w:rsid w:val="00E602BF"/>
    <w:rsid w:val="00E60427"/>
    <w:rsid w:val="00E60638"/>
    <w:rsid w:val="00E6089E"/>
    <w:rsid w:val="00E60AE1"/>
    <w:rsid w:val="00E60B34"/>
    <w:rsid w:val="00E60F7B"/>
    <w:rsid w:val="00E61145"/>
    <w:rsid w:val="00E611CB"/>
    <w:rsid w:val="00E611F3"/>
    <w:rsid w:val="00E61251"/>
    <w:rsid w:val="00E61276"/>
    <w:rsid w:val="00E615C1"/>
    <w:rsid w:val="00E61D0A"/>
    <w:rsid w:val="00E61ED4"/>
    <w:rsid w:val="00E61F36"/>
    <w:rsid w:val="00E62056"/>
    <w:rsid w:val="00E62257"/>
    <w:rsid w:val="00E6233E"/>
    <w:rsid w:val="00E62535"/>
    <w:rsid w:val="00E62576"/>
    <w:rsid w:val="00E626FE"/>
    <w:rsid w:val="00E6280D"/>
    <w:rsid w:val="00E6296E"/>
    <w:rsid w:val="00E629D8"/>
    <w:rsid w:val="00E62E23"/>
    <w:rsid w:val="00E62F5A"/>
    <w:rsid w:val="00E63054"/>
    <w:rsid w:val="00E630DF"/>
    <w:rsid w:val="00E632BC"/>
    <w:rsid w:val="00E632EA"/>
    <w:rsid w:val="00E63328"/>
    <w:rsid w:val="00E6358D"/>
    <w:rsid w:val="00E635BC"/>
    <w:rsid w:val="00E636BA"/>
    <w:rsid w:val="00E636BF"/>
    <w:rsid w:val="00E636CA"/>
    <w:rsid w:val="00E638D8"/>
    <w:rsid w:val="00E639BC"/>
    <w:rsid w:val="00E63B10"/>
    <w:rsid w:val="00E63DB9"/>
    <w:rsid w:val="00E63DE1"/>
    <w:rsid w:val="00E640A1"/>
    <w:rsid w:val="00E64261"/>
    <w:rsid w:val="00E642D8"/>
    <w:rsid w:val="00E642EA"/>
    <w:rsid w:val="00E64305"/>
    <w:rsid w:val="00E6453D"/>
    <w:rsid w:val="00E64653"/>
    <w:rsid w:val="00E64BAC"/>
    <w:rsid w:val="00E64EA9"/>
    <w:rsid w:val="00E65220"/>
    <w:rsid w:val="00E6523B"/>
    <w:rsid w:val="00E65478"/>
    <w:rsid w:val="00E65491"/>
    <w:rsid w:val="00E654CA"/>
    <w:rsid w:val="00E656E8"/>
    <w:rsid w:val="00E65719"/>
    <w:rsid w:val="00E6588E"/>
    <w:rsid w:val="00E658B1"/>
    <w:rsid w:val="00E658E2"/>
    <w:rsid w:val="00E65C1D"/>
    <w:rsid w:val="00E65CC9"/>
    <w:rsid w:val="00E65F6C"/>
    <w:rsid w:val="00E65FF4"/>
    <w:rsid w:val="00E66011"/>
    <w:rsid w:val="00E66114"/>
    <w:rsid w:val="00E66354"/>
    <w:rsid w:val="00E66374"/>
    <w:rsid w:val="00E6639F"/>
    <w:rsid w:val="00E66637"/>
    <w:rsid w:val="00E6668F"/>
    <w:rsid w:val="00E66779"/>
    <w:rsid w:val="00E66829"/>
    <w:rsid w:val="00E668D1"/>
    <w:rsid w:val="00E6693E"/>
    <w:rsid w:val="00E66970"/>
    <w:rsid w:val="00E66B4D"/>
    <w:rsid w:val="00E66FE2"/>
    <w:rsid w:val="00E67158"/>
    <w:rsid w:val="00E67159"/>
    <w:rsid w:val="00E6740C"/>
    <w:rsid w:val="00E67602"/>
    <w:rsid w:val="00E67607"/>
    <w:rsid w:val="00E677BE"/>
    <w:rsid w:val="00E67954"/>
    <w:rsid w:val="00E67C92"/>
    <w:rsid w:val="00E67D26"/>
    <w:rsid w:val="00E70014"/>
    <w:rsid w:val="00E700E8"/>
    <w:rsid w:val="00E702D7"/>
    <w:rsid w:val="00E703DD"/>
    <w:rsid w:val="00E70597"/>
    <w:rsid w:val="00E7059C"/>
    <w:rsid w:val="00E707E2"/>
    <w:rsid w:val="00E709E5"/>
    <w:rsid w:val="00E70B27"/>
    <w:rsid w:val="00E70D44"/>
    <w:rsid w:val="00E70ECB"/>
    <w:rsid w:val="00E711D4"/>
    <w:rsid w:val="00E7124C"/>
    <w:rsid w:val="00E712CE"/>
    <w:rsid w:val="00E71480"/>
    <w:rsid w:val="00E7187B"/>
    <w:rsid w:val="00E71AC8"/>
    <w:rsid w:val="00E71B98"/>
    <w:rsid w:val="00E71DF9"/>
    <w:rsid w:val="00E71E6F"/>
    <w:rsid w:val="00E720C0"/>
    <w:rsid w:val="00E72136"/>
    <w:rsid w:val="00E723E8"/>
    <w:rsid w:val="00E7257D"/>
    <w:rsid w:val="00E7270A"/>
    <w:rsid w:val="00E7286F"/>
    <w:rsid w:val="00E728D3"/>
    <w:rsid w:val="00E729B5"/>
    <w:rsid w:val="00E729F4"/>
    <w:rsid w:val="00E72B2F"/>
    <w:rsid w:val="00E72B94"/>
    <w:rsid w:val="00E72FBC"/>
    <w:rsid w:val="00E731D5"/>
    <w:rsid w:val="00E73291"/>
    <w:rsid w:val="00E733FD"/>
    <w:rsid w:val="00E73437"/>
    <w:rsid w:val="00E73524"/>
    <w:rsid w:val="00E736F4"/>
    <w:rsid w:val="00E73B8E"/>
    <w:rsid w:val="00E73BE3"/>
    <w:rsid w:val="00E73C65"/>
    <w:rsid w:val="00E73D3F"/>
    <w:rsid w:val="00E73DD4"/>
    <w:rsid w:val="00E73E3F"/>
    <w:rsid w:val="00E73FC2"/>
    <w:rsid w:val="00E7419D"/>
    <w:rsid w:val="00E744A3"/>
    <w:rsid w:val="00E74573"/>
    <w:rsid w:val="00E746C3"/>
    <w:rsid w:val="00E746CD"/>
    <w:rsid w:val="00E748C4"/>
    <w:rsid w:val="00E7495C"/>
    <w:rsid w:val="00E74AD1"/>
    <w:rsid w:val="00E74D89"/>
    <w:rsid w:val="00E74E01"/>
    <w:rsid w:val="00E74E41"/>
    <w:rsid w:val="00E74F59"/>
    <w:rsid w:val="00E74F6C"/>
    <w:rsid w:val="00E74FF4"/>
    <w:rsid w:val="00E752D4"/>
    <w:rsid w:val="00E7534C"/>
    <w:rsid w:val="00E75358"/>
    <w:rsid w:val="00E75437"/>
    <w:rsid w:val="00E7561A"/>
    <w:rsid w:val="00E75902"/>
    <w:rsid w:val="00E75B13"/>
    <w:rsid w:val="00E75C08"/>
    <w:rsid w:val="00E75D5F"/>
    <w:rsid w:val="00E75E31"/>
    <w:rsid w:val="00E75FCE"/>
    <w:rsid w:val="00E7626A"/>
    <w:rsid w:val="00E76501"/>
    <w:rsid w:val="00E76572"/>
    <w:rsid w:val="00E765C0"/>
    <w:rsid w:val="00E76762"/>
    <w:rsid w:val="00E76B5F"/>
    <w:rsid w:val="00E76D1C"/>
    <w:rsid w:val="00E76E17"/>
    <w:rsid w:val="00E76E89"/>
    <w:rsid w:val="00E76E98"/>
    <w:rsid w:val="00E76EAD"/>
    <w:rsid w:val="00E76F12"/>
    <w:rsid w:val="00E76FE8"/>
    <w:rsid w:val="00E76FFD"/>
    <w:rsid w:val="00E77192"/>
    <w:rsid w:val="00E771C5"/>
    <w:rsid w:val="00E7741D"/>
    <w:rsid w:val="00E77442"/>
    <w:rsid w:val="00E77454"/>
    <w:rsid w:val="00E7790D"/>
    <w:rsid w:val="00E7798D"/>
    <w:rsid w:val="00E77AF9"/>
    <w:rsid w:val="00E77C66"/>
    <w:rsid w:val="00E77EFE"/>
    <w:rsid w:val="00E80305"/>
    <w:rsid w:val="00E803FE"/>
    <w:rsid w:val="00E80512"/>
    <w:rsid w:val="00E8083E"/>
    <w:rsid w:val="00E809CB"/>
    <w:rsid w:val="00E809D3"/>
    <w:rsid w:val="00E80AD2"/>
    <w:rsid w:val="00E80B26"/>
    <w:rsid w:val="00E80C1E"/>
    <w:rsid w:val="00E80F43"/>
    <w:rsid w:val="00E810BE"/>
    <w:rsid w:val="00E81251"/>
    <w:rsid w:val="00E81287"/>
    <w:rsid w:val="00E812E7"/>
    <w:rsid w:val="00E81590"/>
    <w:rsid w:val="00E817F7"/>
    <w:rsid w:val="00E818D8"/>
    <w:rsid w:val="00E818EB"/>
    <w:rsid w:val="00E819D1"/>
    <w:rsid w:val="00E81C60"/>
    <w:rsid w:val="00E81D20"/>
    <w:rsid w:val="00E81D83"/>
    <w:rsid w:val="00E81F17"/>
    <w:rsid w:val="00E81F3F"/>
    <w:rsid w:val="00E82118"/>
    <w:rsid w:val="00E822CF"/>
    <w:rsid w:val="00E82442"/>
    <w:rsid w:val="00E8247F"/>
    <w:rsid w:val="00E82B03"/>
    <w:rsid w:val="00E82CAF"/>
    <w:rsid w:val="00E82D03"/>
    <w:rsid w:val="00E82D66"/>
    <w:rsid w:val="00E82D77"/>
    <w:rsid w:val="00E82EF6"/>
    <w:rsid w:val="00E8327D"/>
    <w:rsid w:val="00E835ED"/>
    <w:rsid w:val="00E8360B"/>
    <w:rsid w:val="00E83757"/>
    <w:rsid w:val="00E838FA"/>
    <w:rsid w:val="00E83916"/>
    <w:rsid w:val="00E83920"/>
    <w:rsid w:val="00E83956"/>
    <w:rsid w:val="00E8395B"/>
    <w:rsid w:val="00E839D8"/>
    <w:rsid w:val="00E83AC8"/>
    <w:rsid w:val="00E83C33"/>
    <w:rsid w:val="00E83CA3"/>
    <w:rsid w:val="00E83D0B"/>
    <w:rsid w:val="00E83D79"/>
    <w:rsid w:val="00E83E56"/>
    <w:rsid w:val="00E83E8E"/>
    <w:rsid w:val="00E83F47"/>
    <w:rsid w:val="00E841C3"/>
    <w:rsid w:val="00E84292"/>
    <w:rsid w:val="00E84414"/>
    <w:rsid w:val="00E84435"/>
    <w:rsid w:val="00E8453B"/>
    <w:rsid w:val="00E845A5"/>
    <w:rsid w:val="00E8476D"/>
    <w:rsid w:val="00E849F9"/>
    <w:rsid w:val="00E849FD"/>
    <w:rsid w:val="00E84BA1"/>
    <w:rsid w:val="00E8505D"/>
    <w:rsid w:val="00E85084"/>
    <w:rsid w:val="00E85108"/>
    <w:rsid w:val="00E8521F"/>
    <w:rsid w:val="00E8534E"/>
    <w:rsid w:val="00E8541D"/>
    <w:rsid w:val="00E8545F"/>
    <w:rsid w:val="00E855A9"/>
    <w:rsid w:val="00E8569B"/>
    <w:rsid w:val="00E8592C"/>
    <w:rsid w:val="00E8593A"/>
    <w:rsid w:val="00E85A79"/>
    <w:rsid w:val="00E85A99"/>
    <w:rsid w:val="00E85ABE"/>
    <w:rsid w:val="00E85C1B"/>
    <w:rsid w:val="00E85DDD"/>
    <w:rsid w:val="00E86267"/>
    <w:rsid w:val="00E8645E"/>
    <w:rsid w:val="00E86480"/>
    <w:rsid w:val="00E864B5"/>
    <w:rsid w:val="00E86519"/>
    <w:rsid w:val="00E86566"/>
    <w:rsid w:val="00E86649"/>
    <w:rsid w:val="00E86699"/>
    <w:rsid w:val="00E866ED"/>
    <w:rsid w:val="00E86786"/>
    <w:rsid w:val="00E867CC"/>
    <w:rsid w:val="00E8680C"/>
    <w:rsid w:val="00E86BCC"/>
    <w:rsid w:val="00E86D40"/>
    <w:rsid w:val="00E86EDE"/>
    <w:rsid w:val="00E86F06"/>
    <w:rsid w:val="00E870BD"/>
    <w:rsid w:val="00E87137"/>
    <w:rsid w:val="00E87195"/>
    <w:rsid w:val="00E872CA"/>
    <w:rsid w:val="00E872CD"/>
    <w:rsid w:val="00E872DB"/>
    <w:rsid w:val="00E8752F"/>
    <w:rsid w:val="00E87633"/>
    <w:rsid w:val="00E8763D"/>
    <w:rsid w:val="00E8783D"/>
    <w:rsid w:val="00E87856"/>
    <w:rsid w:val="00E8796E"/>
    <w:rsid w:val="00E87A71"/>
    <w:rsid w:val="00E87AEF"/>
    <w:rsid w:val="00E87BE7"/>
    <w:rsid w:val="00E87C8D"/>
    <w:rsid w:val="00E87D11"/>
    <w:rsid w:val="00E87D8F"/>
    <w:rsid w:val="00E9007E"/>
    <w:rsid w:val="00E900E1"/>
    <w:rsid w:val="00E90347"/>
    <w:rsid w:val="00E903B1"/>
    <w:rsid w:val="00E905EA"/>
    <w:rsid w:val="00E906C0"/>
    <w:rsid w:val="00E90980"/>
    <w:rsid w:val="00E9120A"/>
    <w:rsid w:val="00E9123A"/>
    <w:rsid w:val="00E9142C"/>
    <w:rsid w:val="00E91509"/>
    <w:rsid w:val="00E917F0"/>
    <w:rsid w:val="00E91869"/>
    <w:rsid w:val="00E91883"/>
    <w:rsid w:val="00E91A60"/>
    <w:rsid w:val="00E91B1E"/>
    <w:rsid w:val="00E91C93"/>
    <w:rsid w:val="00E92486"/>
    <w:rsid w:val="00E927B6"/>
    <w:rsid w:val="00E92958"/>
    <w:rsid w:val="00E92C8F"/>
    <w:rsid w:val="00E93158"/>
    <w:rsid w:val="00E932B4"/>
    <w:rsid w:val="00E932B7"/>
    <w:rsid w:val="00E935FD"/>
    <w:rsid w:val="00E93619"/>
    <w:rsid w:val="00E939C6"/>
    <w:rsid w:val="00E939FC"/>
    <w:rsid w:val="00E93C00"/>
    <w:rsid w:val="00E93C17"/>
    <w:rsid w:val="00E93C6A"/>
    <w:rsid w:val="00E93E7D"/>
    <w:rsid w:val="00E9407D"/>
    <w:rsid w:val="00E940BC"/>
    <w:rsid w:val="00E940DC"/>
    <w:rsid w:val="00E94202"/>
    <w:rsid w:val="00E9444F"/>
    <w:rsid w:val="00E944E3"/>
    <w:rsid w:val="00E945D8"/>
    <w:rsid w:val="00E945F3"/>
    <w:rsid w:val="00E94747"/>
    <w:rsid w:val="00E94907"/>
    <w:rsid w:val="00E949BB"/>
    <w:rsid w:val="00E94CBE"/>
    <w:rsid w:val="00E95076"/>
    <w:rsid w:val="00E950A8"/>
    <w:rsid w:val="00E95264"/>
    <w:rsid w:val="00E953DC"/>
    <w:rsid w:val="00E954A0"/>
    <w:rsid w:val="00E954B6"/>
    <w:rsid w:val="00E9567C"/>
    <w:rsid w:val="00E9575E"/>
    <w:rsid w:val="00E9591B"/>
    <w:rsid w:val="00E95D4A"/>
    <w:rsid w:val="00E95DA6"/>
    <w:rsid w:val="00E95FA4"/>
    <w:rsid w:val="00E95FCF"/>
    <w:rsid w:val="00E960D0"/>
    <w:rsid w:val="00E960F4"/>
    <w:rsid w:val="00E96374"/>
    <w:rsid w:val="00E9638D"/>
    <w:rsid w:val="00E96660"/>
    <w:rsid w:val="00E969FA"/>
    <w:rsid w:val="00E96DAB"/>
    <w:rsid w:val="00E96E7B"/>
    <w:rsid w:val="00E96F75"/>
    <w:rsid w:val="00E970E1"/>
    <w:rsid w:val="00E971D6"/>
    <w:rsid w:val="00E975B8"/>
    <w:rsid w:val="00E97613"/>
    <w:rsid w:val="00E97784"/>
    <w:rsid w:val="00E97803"/>
    <w:rsid w:val="00E97831"/>
    <w:rsid w:val="00E97E83"/>
    <w:rsid w:val="00E97F58"/>
    <w:rsid w:val="00E97F5A"/>
    <w:rsid w:val="00EA028C"/>
    <w:rsid w:val="00EA0345"/>
    <w:rsid w:val="00EA05FB"/>
    <w:rsid w:val="00EA06B9"/>
    <w:rsid w:val="00EA0723"/>
    <w:rsid w:val="00EA074A"/>
    <w:rsid w:val="00EA0A8A"/>
    <w:rsid w:val="00EA0B24"/>
    <w:rsid w:val="00EA0C7B"/>
    <w:rsid w:val="00EA0D61"/>
    <w:rsid w:val="00EA124A"/>
    <w:rsid w:val="00EA14C5"/>
    <w:rsid w:val="00EA15BD"/>
    <w:rsid w:val="00EA1624"/>
    <w:rsid w:val="00EA16D7"/>
    <w:rsid w:val="00EA19BC"/>
    <w:rsid w:val="00EA1A9D"/>
    <w:rsid w:val="00EA1CD9"/>
    <w:rsid w:val="00EA1DCC"/>
    <w:rsid w:val="00EA1E58"/>
    <w:rsid w:val="00EA1E61"/>
    <w:rsid w:val="00EA20A5"/>
    <w:rsid w:val="00EA221B"/>
    <w:rsid w:val="00EA238C"/>
    <w:rsid w:val="00EA238E"/>
    <w:rsid w:val="00EA2622"/>
    <w:rsid w:val="00EA26EC"/>
    <w:rsid w:val="00EA2863"/>
    <w:rsid w:val="00EA2A1D"/>
    <w:rsid w:val="00EA2B19"/>
    <w:rsid w:val="00EA3214"/>
    <w:rsid w:val="00EA3229"/>
    <w:rsid w:val="00EA326C"/>
    <w:rsid w:val="00EA33F9"/>
    <w:rsid w:val="00EA37D5"/>
    <w:rsid w:val="00EA3CF8"/>
    <w:rsid w:val="00EA3EB8"/>
    <w:rsid w:val="00EA4076"/>
    <w:rsid w:val="00EA40BB"/>
    <w:rsid w:val="00EA411A"/>
    <w:rsid w:val="00EA4124"/>
    <w:rsid w:val="00EA41E7"/>
    <w:rsid w:val="00EA430B"/>
    <w:rsid w:val="00EA4736"/>
    <w:rsid w:val="00EA4778"/>
    <w:rsid w:val="00EA4C81"/>
    <w:rsid w:val="00EA4C9B"/>
    <w:rsid w:val="00EA4CB7"/>
    <w:rsid w:val="00EA4F96"/>
    <w:rsid w:val="00EA50A8"/>
    <w:rsid w:val="00EA50B1"/>
    <w:rsid w:val="00EA530E"/>
    <w:rsid w:val="00EA5332"/>
    <w:rsid w:val="00EA5692"/>
    <w:rsid w:val="00EA5A34"/>
    <w:rsid w:val="00EA5B91"/>
    <w:rsid w:val="00EA5CAA"/>
    <w:rsid w:val="00EA5E3F"/>
    <w:rsid w:val="00EA6002"/>
    <w:rsid w:val="00EA6552"/>
    <w:rsid w:val="00EA668E"/>
    <w:rsid w:val="00EA669E"/>
    <w:rsid w:val="00EA681A"/>
    <w:rsid w:val="00EA6918"/>
    <w:rsid w:val="00EA69D2"/>
    <w:rsid w:val="00EA6AE0"/>
    <w:rsid w:val="00EA6B84"/>
    <w:rsid w:val="00EA6CAB"/>
    <w:rsid w:val="00EA6D8E"/>
    <w:rsid w:val="00EA7076"/>
    <w:rsid w:val="00EA7189"/>
    <w:rsid w:val="00EA71FB"/>
    <w:rsid w:val="00EA7257"/>
    <w:rsid w:val="00EA7339"/>
    <w:rsid w:val="00EA7372"/>
    <w:rsid w:val="00EA7398"/>
    <w:rsid w:val="00EA74CC"/>
    <w:rsid w:val="00EA758C"/>
    <w:rsid w:val="00EA7699"/>
    <w:rsid w:val="00EA76FB"/>
    <w:rsid w:val="00EA7761"/>
    <w:rsid w:val="00EA78D0"/>
    <w:rsid w:val="00EA7979"/>
    <w:rsid w:val="00EA7A81"/>
    <w:rsid w:val="00EA7EB9"/>
    <w:rsid w:val="00EB007E"/>
    <w:rsid w:val="00EB01C6"/>
    <w:rsid w:val="00EB0220"/>
    <w:rsid w:val="00EB044E"/>
    <w:rsid w:val="00EB05CC"/>
    <w:rsid w:val="00EB0842"/>
    <w:rsid w:val="00EB08A4"/>
    <w:rsid w:val="00EB09A9"/>
    <w:rsid w:val="00EB0A02"/>
    <w:rsid w:val="00EB0A10"/>
    <w:rsid w:val="00EB0AC4"/>
    <w:rsid w:val="00EB0AE8"/>
    <w:rsid w:val="00EB0C29"/>
    <w:rsid w:val="00EB1203"/>
    <w:rsid w:val="00EB138F"/>
    <w:rsid w:val="00EB15E5"/>
    <w:rsid w:val="00EB174F"/>
    <w:rsid w:val="00EB18FD"/>
    <w:rsid w:val="00EB19F8"/>
    <w:rsid w:val="00EB1A95"/>
    <w:rsid w:val="00EB1FD6"/>
    <w:rsid w:val="00EB208F"/>
    <w:rsid w:val="00EB214D"/>
    <w:rsid w:val="00EB236F"/>
    <w:rsid w:val="00EB2384"/>
    <w:rsid w:val="00EB23F3"/>
    <w:rsid w:val="00EB248A"/>
    <w:rsid w:val="00EB27E5"/>
    <w:rsid w:val="00EB2B39"/>
    <w:rsid w:val="00EB2C0A"/>
    <w:rsid w:val="00EB2D5A"/>
    <w:rsid w:val="00EB2D60"/>
    <w:rsid w:val="00EB3088"/>
    <w:rsid w:val="00EB31F0"/>
    <w:rsid w:val="00EB329F"/>
    <w:rsid w:val="00EB32B6"/>
    <w:rsid w:val="00EB33F5"/>
    <w:rsid w:val="00EB3446"/>
    <w:rsid w:val="00EB36CE"/>
    <w:rsid w:val="00EB37D6"/>
    <w:rsid w:val="00EB3BE2"/>
    <w:rsid w:val="00EB3E0A"/>
    <w:rsid w:val="00EB4028"/>
    <w:rsid w:val="00EB4585"/>
    <w:rsid w:val="00EB458C"/>
    <w:rsid w:val="00EB45E2"/>
    <w:rsid w:val="00EB497F"/>
    <w:rsid w:val="00EB4B24"/>
    <w:rsid w:val="00EB5181"/>
    <w:rsid w:val="00EB51BE"/>
    <w:rsid w:val="00EB5264"/>
    <w:rsid w:val="00EB52CD"/>
    <w:rsid w:val="00EB554E"/>
    <w:rsid w:val="00EB599A"/>
    <w:rsid w:val="00EB5A34"/>
    <w:rsid w:val="00EB5A87"/>
    <w:rsid w:val="00EB5B67"/>
    <w:rsid w:val="00EB5CB5"/>
    <w:rsid w:val="00EB5CF3"/>
    <w:rsid w:val="00EB5DD8"/>
    <w:rsid w:val="00EB5DDE"/>
    <w:rsid w:val="00EB5E5D"/>
    <w:rsid w:val="00EB6213"/>
    <w:rsid w:val="00EB6235"/>
    <w:rsid w:val="00EB65B6"/>
    <w:rsid w:val="00EB6636"/>
    <w:rsid w:val="00EB6812"/>
    <w:rsid w:val="00EB6B71"/>
    <w:rsid w:val="00EB6B89"/>
    <w:rsid w:val="00EB6C77"/>
    <w:rsid w:val="00EB6D43"/>
    <w:rsid w:val="00EB7184"/>
    <w:rsid w:val="00EB722E"/>
    <w:rsid w:val="00EB788E"/>
    <w:rsid w:val="00EB792C"/>
    <w:rsid w:val="00EB7930"/>
    <w:rsid w:val="00EB7A03"/>
    <w:rsid w:val="00EB7D3E"/>
    <w:rsid w:val="00EB7E7E"/>
    <w:rsid w:val="00EC0215"/>
    <w:rsid w:val="00EC0568"/>
    <w:rsid w:val="00EC06FF"/>
    <w:rsid w:val="00EC096A"/>
    <w:rsid w:val="00EC0A0F"/>
    <w:rsid w:val="00EC0AE6"/>
    <w:rsid w:val="00EC0D1E"/>
    <w:rsid w:val="00EC0DFB"/>
    <w:rsid w:val="00EC0EF8"/>
    <w:rsid w:val="00EC1152"/>
    <w:rsid w:val="00EC1210"/>
    <w:rsid w:val="00EC122A"/>
    <w:rsid w:val="00EC13DC"/>
    <w:rsid w:val="00EC1406"/>
    <w:rsid w:val="00EC155D"/>
    <w:rsid w:val="00EC15D1"/>
    <w:rsid w:val="00EC15E1"/>
    <w:rsid w:val="00EC16E4"/>
    <w:rsid w:val="00EC17D5"/>
    <w:rsid w:val="00EC19D4"/>
    <w:rsid w:val="00EC19F8"/>
    <w:rsid w:val="00EC1AE1"/>
    <w:rsid w:val="00EC1AFC"/>
    <w:rsid w:val="00EC1F05"/>
    <w:rsid w:val="00EC1F32"/>
    <w:rsid w:val="00EC1FCF"/>
    <w:rsid w:val="00EC2447"/>
    <w:rsid w:val="00EC24A2"/>
    <w:rsid w:val="00EC2545"/>
    <w:rsid w:val="00EC2648"/>
    <w:rsid w:val="00EC2A5B"/>
    <w:rsid w:val="00EC2B90"/>
    <w:rsid w:val="00EC2C34"/>
    <w:rsid w:val="00EC2D34"/>
    <w:rsid w:val="00EC2EEE"/>
    <w:rsid w:val="00EC320A"/>
    <w:rsid w:val="00EC377B"/>
    <w:rsid w:val="00EC3950"/>
    <w:rsid w:val="00EC39BD"/>
    <w:rsid w:val="00EC3A1C"/>
    <w:rsid w:val="00EC3AFD"/>
    <w:rsid w:val="00EC3B08"/>
    <w:rsid w:val="00EC408D"/>
    <w:rsid w:val="00EC40AB"/>
    <w:rsid w:val="00EC43E9"/>
    <w:rsid w:val="00EC443A"/>
    <w:rsid w:val="00EC461A"/>
    <w:rsid w:val="00EC4628"/>
    <w:rsid w:val="00EC4859"/>
    <w:rsid w:val="00EC495D"/>
    <w:rsid w:val="00EC49E6"/>
    <w:rsid w:val="00EC4AAF"/>
    <w:rsid w:val="00EC4B1F"/>
    <w:rsid w:val="00EC4C3F"/>
    <w:rsid w:val="00EC4E5E"/>
    <w:rsid w:val="00EC507B"/>
    <w:rsid w:val="00EC529A"/>
    <w:rsid w:val="00EC5327"/>
    <w:rsid w:val="00EC5330"/>
    <w:rsid w:val="00EC5492"/>
    <w:rsid w:val="00EC55FD"/>
    <w:rsid w:val="00EC5921"/>
    <w:rsid w:val="00EC5AA4"/>
    <w:rsid w:val="00EC5CA4"/>
    <w:rsid w:val="00EC5D73"/>
    <w:rsid w:val="00EC5F08"/>
    <w:rsid w:val="00EC5FA6"/>
    <w:rsid w:val="00EC615E"/>
    <w:rsid w:val="00EC6294"/>
    <w:rsid w:val="00EC6589"/>
    <w:rsid w:val="00EC6711"/>
    <w:rsid w:val="00EC6839"/>
    <w:rsid w:val="00EC68E6"/>
    <w:rsid w:val="00EC68F3"/>
    <w:rsid w:val="00EC6907"/>
    <w:rsid w:val="00EC704B"/>
    <w:rsid w:val="00EC7A6A"/>
    <w:rsid w:val="00EC7B6F"/>
    <w:rsid w:val="00EC7CAC"/>
    <w:rsid w:val="00EC7D16"/>
    <w:rsid w:val="00EC7D51"/>
    <w:rsid w:val="00EC7EC6"/>
    <w:rsid w:val="00ED00DC"/>
    <w:rsid w:val="00ED02DF"/>
    <w:rsid w:val="00ED0311"/>
    <w:rsid w:val="00ED0837"/>
    <w:rsid w:val="00ED0933"/>
    <w:rsid w:val="00ED0AE0"/>
    <w:rsid w:val="00ED0B3A"/>
    <w:rsid w:val="00ED0C6C"/>
    <w:rsid w:val="00ED0D9E"/>
    <w:rsid w:val="00ED0ED6"/>
    <w:rsid w:val="00ED0F18"/>
    <w:rsid w:val="00ED0FA1"/>
    <w:rsid w:val="00ED10EB"/>
    <w:rsid w:val="00ED10F0"/>
    <w:rsid w:val="00ED1226"/>
    <w:rsid w:val="00ED123E"/>
    <w:rsid w:val="00ED1427"/>
    <w:rsid w:val="00ED1488"/>
    <w:rsid w:val="00ED150D"/>
    <w:rsid w:val="00ED15DD"/>
    <w:rsid w:val="00ED1732"/>
    <w:rsid w:val="00ED1ACC"/>
    <w:rsid w:val="00ED1B5D"/>
    <w:rsid w:val="00ED1CAA"/>
    <w:rsid w:val="00ED1DE7"/>
    <w:rsid w:val="00ED20B9"/>
    <w:rsid w:val="00ED22F8"/>
    <w:rsid w:val="00ED25EE"/>
    <w:rsid w:val="00ED26E2"/>
    <w:rsid w:val="00ED2766"/>
    <w:rsid w:val="00ED2A9A"/>
    <w:rsid w:val="00ED2B2F"/>
    <w:rsid w:val="00ED2B92"/>
    <w:rsid w:val="00ED2CCF"/>
    <w:rsid w:val="00ED2CD0"/>
    <w:rsid w:val="00ED2DC0"/>
    <w:rsid w:val="00ED2E0E"/>
    <w:rsid w:val="00ED2FAE"/>
    <w:rsid w:val="00ED2FEF"/>
    <w:rsid w:val="00ED31AC"/>
    <w:rsid w:val="00ED323E"/>
    <w:rsid w:val="00ED33A4"/>
    <w:rsid w:val="00ED33CF"/>
    <w:rsid w:val="00ED34A6"/>
    <w:rsid w:val="00ED355A"/>
    <w:rsid w:val="00ED3571"/>
    <w:rsid w:val="00ED372E"/>
    <w:rsid w:val="00ED383E"/>
    <w:rsid w:val="00ED388A"/>
    <w:rsid w:val="00ED3CFC"/>
    <w:rsid w:val="00ED3D72"/>
    <w:rsid w:val="00ED3EEF"/>
    <w:rsid w:val="00ED4022"/>
    <w:rsid w:val="00ED4026"/>
    <w:rsid w:val="00ED41EE"/>
    <w:rsid w:val="00ED430C"/>
    <w:rsid w:val="00ED437A"/>
    <w:rsid w:val="00ED438E"/>
    <w:rsid w:val="00ED47CA"/>
    <w:rsid w:val="00ED4A56"/>
    <w:rsid w:val="00ED4BED"/>
    <w:rsid w:val="00ED4CDF"/>
    <w:rsid w:val="00ED4D4A"/>
    <w:rsid w:val="00ED4E8D"/>
    <w:rsid w:val="00ED4E9E"/>
    <w:rsid w:val="00ED4EEE"/>
    <w:rsid w:val="00ED50EF"/>
    <w:rsid w:val="00ED54F3"/>
    <w:rsid w:val="00ED5510"/>
    <w:rsid w:val="00ED5528"/>
    <w:rsid w:val="00ED562C"/>
    <w:rsid w:val="00ED562F"/>
    <w:rsid w:val="00ED563C"/>
    <w:rsid w:val="00ED5700"/>
    <w:rsid w:val="00ED58BA"/>
    <w:rsid w:val="00ED5961"/>
    <w:rsid w:val="00ED5A15"/>
    <w:rsid w:val="00ED5B9D"/>
    <w:rsid w:val="00ED5C3E"/>
    <w:rsid w:val="00ED5D52"/>
    <w:rsid w:val="00ED5E1A"/>
    <w:rsid w:val="00ED5E49"/>
    <w:rsid w:val="00ED5F29"/>
    <w:rsid w:val="00ED5F5A"/>
    <w:rsid w:val="00ED5F9E"/>
    <w:rsid w:val="00ED5FE0"/>
    <w:rsid w:val="00ED603E"/>
    <w:rsid w:val="00ED60CC"/>
    <w:rsid w:val="00ED6198"/>
    <w:rsid w:val="00ED61EA"/>
    <w:rsid w:val="00ED641A"/>
    <w:rsid w:val="00ED65D9"/>
    <w:rsid w:val="00ED663E"/>
    <w:rsid w:val="00ED6996"/>
    <w:rsid w:val="00ED71AF"/>
    <w:rsid w:val="00ED73B8"/>
    <w:rsid w:val="00ED7424"/>
    <w:rsid w:val="00ED77BC"/>
    <w:rsid w:val="00ED77BE"/>
    <w:rsid w:val="00ED7AAD"/>
    <w:rsid w:val="00ED7CE3"/>
    <w:rsid w:val="00ED7D07"/>
    <w:rsid w:val="00ED7EB1"/>
    <w:rsid w:val="00ED7EBC"/>
    <w:rsid w:val="00ED7F73"/>
    <w:rsid w:val="00ED7F9B"/>
    <w:rsid w:val="00EE0289"/>
    <w:rsid w:val="00EE0365"/>
    <w:rsid w:val="00EE0459"/>
    <w:rsid w:val="00EE0504"/>
    <w:rsid w:val="00EE050D"/>
    <w:rsid w:val="00EE08A8"/>
    <w:rsid w:val="00EE0C33"/>
    <w:rsid w:val="00EE0CED"/>
    <w:rsid w:val="00EE0DBC"/>
    <w:rsid w:val="00EE0F0C"/>
    <w:rsid w:val="00EE0F47"/>
    <w:rsid w:val="00EE1181"/>
    <w:rsid w:val="00EE126D"/>
    <w:rsid w:val="00EE1333"/>
    <w:rsid w:val="00EE135F"/>
    <w:rsid w:val="00EE1933"/>
    <w:rsid w:val="00EE1A58"/>
    <w:rsid w:val="00EE1A9F"/>
    <w:rsid w:val="00EE1BC9"/>
    <w:rsid w:val="00EE1F69"/>
    <w:rsid w:val="00EE20D1"/>
    <w:rsid w:val="00EE21E5"/>
    <w:rsid w:val="00EE2285"/>
    <w:rsid w:val="00EE23C0"/>
    <w:rsid w:val="00EE241A"/>
    <w:rsid w:val="00EE244B"/>
    <w:rsid w:val="00EE2500"/>
    <w:rsid w:val="00EE260D"/>
    <w:rsid w:val="00EE2673"/>
    <w:rsid w:val="00EE26E8"/>
    <w:rsid w:val="00EE2904"/>
    <w:rsid w:val="00EE294F"/>
    <w:rsid w:val="00EE2A7F"/>
    <w:rsid w:val="00EE2C88"/>
    <w:rsid w:val="00EE2DE5"/>
    <w:rsid w:val="00EE343B"/>
    <w:rsid w:val="00EE34C4"/>
    <w:rsid w:val="00EE3507"/>
    <w:rsid w:val="00EE368F"/>
    <w:rsid w:val="00EE3D00"/>
    <w:rsid w:val="00EE3D04"/>
    <w:rsid w:val="00EE3E03"/>
    <w:rsid w:val="00EE4019"/>
    <w:rsid w:val="00EE41F3"/>
    <w:rsid w:val="00EE4884"/>
    <w:rsid w:val="00EE4A3A"/>
    <w:rsid w:val="00EE4B0F"/>
    <w:rsid w:val="00EE4B42"/>
    <w:rsid w:val="00EE4CF3"/>
    <w:rsid w:val="00EE4ECD"/>
    <w:rsid w:val="00EE501E"/>
    <w:rsid w:val="00EE5148"/>
    <w:rsid w:val="00EE514E"/>
    <w:rsid w:val="00EE52CB"/>
    <w:rsid w:val="00EE5492"/>
    <w:rsid w:val="00EE55A2"/>
    <w:rsid w:val="00EE561D"/>
    <w:rsid w:val="00EE593D"/>
    <w:rsid w:val="00EE5A63"/>
    <w:rsid w:val="00EE5D94"/>
    <w:rsid w:val="00EE5EE2"/>
    <w:rsid w:val="00EE61AC"/>
    <w:rsid w:val="00EE6227"/>
    <w:rsid w:val="00EE6393"/>
    <w:rsid w:val="00EE639C"/>
    <w:rsid w:val="00EE63F8"/>
    <w:rsid w:val="00EE662C"/>
    <w:rsid w:val="00EE69BA"/>
    <w:rsid w:val="00EE6A8E"/>
    <w:rsid w:val="00EE6B3E"/>
    <w:rsid w:val="00EE6B4E"/>
    <w:rsid w:val="00EE6B6E"/>
    <w:rsid w:val="00EE6BD9"/>
    <w:rsid w:val="00EE6DCD"/>
    <w:rsid w:val="00EE710A"/>
    <w:rsid w:val="00EE71C4"/>
    <w:rsid w:val="00EE73EA"/>
    <w:rsid w:val="00EE7443"/>
    <w:rsid w:val="00EE744E"/>
    <w:rsid w:val="00EE76B9"/>
    <w:rsid w:val="00EE77D9"/>
    <w:rsid w:val="00EE78A7"/>
    <w:rsid w:val="00EE7B3F"/>
    <w:rsid w:val="00EE7F97"/>
    <w:rsid w:val="00EF0118"/>
    <w:rsid w:val="00EF0271"/>
    <w:rsid w:val="00EF04A6"/>
    <w:rsid w:val="00EF04DE"/>
    <w:rsid w:val="00EF0613"/>
    <w:rsid w:val="00EF0633"/>
    <w:rsid w:val="00EF0705"/>
    <w:rsid w:val="00EF0886"/>
    <w:rsid w:val="00EF08E9"/>
    <w:rsid w:val="00EF0BB3"/>
    <w:rsid w:val="00EF0BBF"/>
    <w:rsid w:val="00EF0DA8"/>
    <w:rsid w:val="00EF0FA3"/>
    <w:rsid w:val="00EF10B1"/>
    <w:rsid w:val="00EF10CD"/>
    <w:rsid w:val="00EF1226"/>
    <w:rsid w:val="00EF133A"/>
    <w:rsid w:val="00EF192B"/>
    <w:rsid w:val="00EF1AE3"/>
    <w:rsid w:val="00EF1B76"/>
    <w:rsid w:val="00EF1CBA"/>
    <w:rsid w:val="00EF1DCB"/>
    <w:rsid w:val="00EF1EE7"/>
    <w:rsid w:val="00EF244D"/>
    <w:rsid w:val="00EF2541"/>
    <w:rsid w:val="00EF2546"/>
    <w:rsid w:val="00EF2588"/>
    <w:rsid w:val="00EF259A"/>
    <w:rsid w:val="00EF25D9"/>
    <w:rsid w:val="00EF262B"/>
    <w:rsid w:val="00EF2876"/>
    <w:rsid w:val="00EF29CD"/>
    <w:rsid w:val="00EF2AE2"/>
    <w:rsid w:val="00EF2B46"/>
    <w:rsid w:val="00EF2D2E"/>
    <w:rsid w:val="00EF2EAE"/>
    <w:rsid w:val="00EF30BB"/>
    <w:rsid w:val="00EF30E6"/>
    <w:rsid w:val="00EF3117"/>
    <w:rsid w:val="00EF3373"/>
    <w:rsid w:val="00EF3385"/>
    <w:rsid w:val="00EF3464"/>
    <w:rsid w:val="00EF34C2"/>
    <w:rsid w:val="00EF356F"/>
    <w:rsid w:val="00EF35AB"/>
    <w:rsid w:val="00EF35D2"/>
    <w:rsid w:val="00EF3656"/>
    <w:rsid w:val="00EF375B"/>
    <w:rsid w:val="00EF377A"/>
    <w:rsid w:val="00EF383B"/>
    <w:rsid w:val="00EF3B74"/>
    <w:rsid w:val="00EF3BE5"/>
    <w:rsid w:val="00EF3C6A"/>
    <w:rsid w:val="00EF3D09"/>
    <w:rsid w:val="00EF3E72"/>
    <w:rsid w:val="00EF3F52"/>
    <w:rsid w:val="00EF41DE"/>
    <w:rsid w:val="00EF42EC"/>
    <w:rsid w:val="00EF453B"/>
    <w:rsid w:val="00EF456E"/>
    <w:rsid w:val="00EF45B7"/>
    <w:rsid w:val="00EF4985"/>
    <w:rsid w:val="00EF4997"/>
    <w:rsid w:val="00EF4AA8"/>
    <w:rsid w:val="00EF4D28"/>
    <w:rsid w:val="00EF4DF2"/>
    <w:rsid w:val="00EF4F1A"/>
    <w:rsid w:val="00EF5112"/>
    <w:rsid w:val="00EF53C1"/>
    <w:rsid w:val="00EF5807"/>
    <w:rsid w:val="00EF58E2"/>
    <w:rsid w:val="00EF5A7A"/>
    <w:rsid w:val="00EF5B1A"/>
    <w:rsid w:val="00EF5C6B"/>
    <w:rsid w:val="00EF5C6C"/>
    <w:rsid w:val="00EF5CCA"/>
    <w:rsid w:val="00EF5DD4"/>
    <w:rsid w:val="00EF5E15"/>
    <w:rsid w:val="00EF614C"/>
    <w:rsid w:val="00EF64CC"/>
    <w:rsid w:val="00EF6554"/>
    <w:rsid w:val="00EF6600"/>
    <w:rsid w:val="00EF68C9"/>
    <w:rsid w:val="00EF6AF3"/>
    <w:rsid w:val="00EF6E7E"/>
    <w:rsid w:val="00EF6F9E"/>
    <w:rsid w:val="00EF7001"/>
    <w:rsid w:val="00EF7072"/>
    <w:rsid w:val="00EF719B"/>
    <w:rsid w:val="00EF71A5"/>
    <w:rsid w:val="00EF71BF"/>
    <w:rsid w:val="00EF72F4"/>
    <w:rsid w:val="00EF7379"/>
    <w:rsid w:val="00EF758F"/>
    <w:rsid w:val="00EF759F"/>
    <w:rsid w:val="00EF7619"/>
    <w:rsid w:val="00EF7745"/>
    <w:rsid w:val="00EF7763"/>
    <w:rsid w:val="00EF77EE"/>
    <w:rsid w:val="00EF7969"/>
    <w:rsid w:val="00EF7A63"/>
    <w:rsid w:val="00EF7D83"/>
    <w:rsid w:val="00EF7E7E"/>
    <w:rsid w:val="00EF7EC9"/>
    <w:rsid w:val="00EF7F46"/>
    <w:rsid w:val="00EF7F7F"/>
    <w:rsid w:val="00F0018A"/>
    <w:rsid w:val="00F00600"/>
    <w:rsid w:val="00F006DB"/>
    <w:rsid w:val="00F009A8"/>
    <w:rsid w:val="00F00A57"/>
    <w:rsid w:val="00F00B64"/>
    <w:rsid w:val="00F00C32"/>
    <w:rsid w:val="00F00D04"/>
    <w:rsid w:val="00F01063"/>
    <w:rsid w:val="00F01172"/>
    <w:rsid w:val="00F01177"/>
    <w:rsid w:val="00F0132A"/>
    <w:rsid w:val="00F01484"/>
    <w:rsid w:val="00F014DE"/>
    <w:rsid w:val="00F016B3"/>
    <w:rsid w:val="00F01950"/>
    <w:rsid w:val="00F01BDB"/>
    <w:rsid w:val="00F02299"/>
    <w:rsid w:val="00F0250A"/>
    <w:rsid w:val="00F02639"/>
    <w:rsid w:val="00F027FE"/>
    <w:rsid w:val="00F02850"/>
    <w:rsid w:val="00F02B2E"/>
    <w:rsid w:val="00F02C60"/>
    <w:rsid w:val="00F02EC7"/>
    <w:rsid w:val="00F02FF1"/>
    <w:rsid w:val="00F030D4"/>
    <w:rsid w:val="00F030F8"/>
    <w:rsid w:val="00F0372C"/>
    <w:rsid w:val="00F03D49"/>
    <w:rsid w:val="00F03D55"/>
    <w:rsid w:val="00F0412A"/>
    <w:rsid w:val="00F041C1"/>
    <w:rsid w:val="00F041E2"/>
    <w:rsid w:val="00F04296"/>
    <w:rsid w:val="00F04392"/>
    <w:rsid w:val="00F04439"/>
    <w:rsid w:val="00F0451A"/>
    <w:rsid w:val="00F04851"/>
    <w:rsid w:val="00F04873"/>
    <w:rsid w:val="00F04AF0"/>
    <w:rsid w:val="00F04B70"/>
    <w:rsid w:val="00F04B78"/>
    <w:rsid w:val="00F04D5D"/>
    <w:rsid w:val="00F04D60"/>
    <w:rsid w:val="00F04DAD"/>
    <w:rsid w:val="00F04E57"/>
    <w:rsid w:val="00F04EA2"/>
    <w:rsid w:val="00F04EAE"/>
    <w:rsid w:val="00F050E8"/>
    <w:rsid w:val="00F05457"/>
    <w:rsid w:val="00F0549B"/>
    <w:rsid w:val="00F05580"/>
    <w:rsid w:val="00F05723"/>
    <w:rsid w:val="00F05A9D"/>
    <w:rsid w:val="00F05C76"/>
    <w:rsid w:val="00F05D7B"/>
    <w:rsid w:val="00F05E7E"/>
    <w:rsid w:val="00F0600F"/>
    <w:rsid w:val="00F06010"/>
    <w:rsid w:val="00F061E5"/>
    <w:rsid w:val="00F062F1"/>
    <w:rsid w:val="00F064F2"/>
    <w:rsid w:val="00F066D5"/>
    <w:rsid w:val="00F068BC"/>
    <w:rsid w:val="00F06B81"/>
    <w:rsid w:val="00F06BA6"/>
    <w:rsid w:val="00F06CB6"/>
    <w:rsid w:val="00F06D69"/>
    <w:rsid w:val="00F06E20"/>
    <w:rsid w:val="00F06E35"/>
    <w:rsid w:val="00F06ED9"/>
    <w:rsid w:val="00F07279"/>
    <w:rsid w:val="00F0733D"/>
    <w:rsid w:val="00F0765E"/>
    <w:rsid w:val="00F0775B"/>
    <w:rsid w:val="00F078AA"/>
    <w:rsid w:val="00F07A40"/>
    <w:rsid w:val="00F07B64"/>
    <w:rsid w:val="00F07C5D"/>
    <w:rsid w:val="00F07ED8"/>
    <w:rsid w:val="00F07F9E"/>
    <w:rsid w:val="00F07FCF"/>
    <w:rsid w:val="00F100B3"/>
    <w:rsid w:val="00F101E5"/>
    <w:rsid w:val="00F1036B"/>
    <w:rsid w:val="00F1037C"/>
    <w:rsid w:val="00F103C1"/>
    <w:rsid w:val="00F1049F"/>
    <w:rsid w:val="00F1080F"/>
    <w:rsid w:val="00F10D04"/>
    <w:rsid w:val="00F10D50"/>
    <w:rsid w:val="00F10D60"/>
    <w:rsid w:val="00F11128"/>
    <w:rsid w:val="00F111D4"/>
    <w:rsid w:val="00F113E9"/>
    <w:rsid w:val="00F11404"/>
    <w:rsid w:val="00F115BE"/>
    <w:rsid w:val="00F118C1"/>
    <w:rsid w:val="00F11AB9"/>
    <w:rsid w:val="00F11B03"/>
    <w:rsid w:val="00F12266"/>
    <w:rsid w:val="00F1239A"/>
    <w:rsid w:val="00F1258B"/>
    <w:rsid w:val="00F12621"/>
    <w:rsid w:val="00F1284F"/>
    <w:rsid w:val="00F128AA"/>
    <w:rsid w:val="00F12A01"/>
    <w:rsid w:val="00F12B23"/>
    <w:rsid w:val="00F12D3F"/>
    <w:rsid w:val="00F12FC7"/>
    <w:rsid w:val="00F13237"/>
    <w:rsid w:val="00F132EE"/>
    <w:rsid w:val="00F137F7"/>
    <w:rsid w:val="00F13A23"/>
    <w:rsid w:val="00F13D8A"/>
    <w:rsid w:val="00F13DAA"/>
    <w:rsid w:val="00F140B5"/>
    <w:rsid w:val="00F14216"/>
    <w:rsid w:val="00F143A8"/>
    <w:rsid w:val="00F14550"/>
    <w:rsid w:val="00F14572"/>
    <w:rsid w:val="00F14743"/>
    <w:rsid w:val="00F14923"/>
    <w:rsid w:val="00F1499F"/>
    <w:rsid w:val="00F14D0C"/>
    <w:rsid w:val="00F151DE"/>
    <w:rsid w:val="00F1526B"/>
    <w:rsid w:val="00F15718"/>
    <w:rsid w:val="00F15894"/>
    <w:rsid w:val="00F15907"/>
    <w:rsid w:val="00F15D37"/>
    <w:rsid w:val="00F15D52"/>
    <w:rsid w:val="00F15E59"/>
    <w:rsid w:val="00F15FAA"/>
    <w:rsid w:val="00F162DD"/>
    <w:rsid w:val="00F168D4"/>
    <w:rsid w:val="00F16932"/>
    <w:rsid w:val="00F16ADA"/>
    <w:rsid w:val="00F16DB0"/>
    <w:rsid w:val="00F16E8B"/>
    <w:rsid w:val="00F17009"/>
    <w:rsid w:val="00F1707B"/>
    <w:rsid w:val="00F1752B"/>
    <w:rsid w:val="00F17898"/>
    <w:rsid w:val="00F17991"/>
    <w:rsid w:val="00F17AA7"/>
    <w:rsid w:val="00F17B25"/>
    <w:rsid w:val="00F17E52"/>
    <w:rsid w:val="00F17F55"/>
    <w:rsid w:val="00F20279"/>
    <w:rsid w:val="00F2045C"/>
    <w:rsid w:val="00F205F4"/>
    <w:rsid w:val="00F20661"/>
    <w:rsid w:val="00F207E2"/>
    <w:rsid w:val="00F2083A"/>
    <w:rsid w:val="00F208FA"/>
    <w:rsid w:val="00F209D9"/>
    <w:rsid w:val="00F209DC"/>
    <w:rsid w:val="00F20A2B"/>
    <w:rsid w:val="00F20B00"/>
    <w:rsid w:val="00F20B3E"/>
    <w:rsid w:val="00F20CA4"/>
    <w:rsid w:val="00F20FFB"/>
    <w:rsid w:val="00F21109"/>
    <w:rsid w:val="00F211B0"/>
    <w:rsid w:val="00F21354"/>
    <w:rsid w:val="00F2155F"/>
    <w:rsid w:val="00F215EB"/>
    <w:rsid w:val="00F2166B"/>
    <w:rsid w:val="00F21788"/>
    <w:rsid w:val="00F218E8"/>
    <w:rsid w:val="00F2199B"/>
    <w:rsid w:val="00F21BFF"/>
    <w:rsid w:val="00F21CD8"/>
    <w:rsid w:val="00F21F16"/>
    <w:rsid w:val="00F22060"/>
    <w:rsid w:val="00F22072"/>
    <w:rsid w:val="00F22295"/>
    <w:rsid w:val="00F222A7"/>
    <w:rsid w:val="00F222C6"/>
    <w:rsid w:val="00F223C5"/>
    <w:rsid w:val="00F223E1"/>
    <w:rsid w:val="00F226BB"/>
    <w:rsid w:val="00F22A87"/>
    <w:rsid w:val="00F22A93"/>
    <w:rsid w:val="00F22B28"/>
    <w:rsid w:val="00F22EDE"/>
    <w:rsid w:val="00F2313E"/>
    <w:rsid w:val="00F231C9"/>
    <w:rsid w:val="00F2327C"/>
    <w:rsid w:val="00F233B3"/>
    <w:rsid w:val="00F233B6"/>
    <w:rsid w:val="00F23415"/>
    <w:rsid w:val="00F2385D"/>
    <w:rsid w:val="00F2395B"/>
    <w:rsid w:val="00F23A37"/>
    <w:rsid w:val="00F23ADD"/>
    <w:rsid w:val="00F23B1D"/>
    <w:rsid w:val="00F23EE8"/>
    <w:rsid w:val="00F23F6C"/>
    <w:rsid w:val="00F240D7"/>
    <w:rsid w:val="00F2426B"/>
    <w:rsid w:val="00F24395"/>
    <w:rsid w:val="00F243AA"/>
    <w:rsid w:val="00F243B9"/>
    <w:rsid w:val="00F243BE"/>
    <w:rsid w:val="00F243F3"/>
    <w:rsid w:val="00F245F3"/>
    <w:rsid w:val="00F24710"/>
    <w:rsid w:val="00F248F9"/>
    <w:rsid w:val="00F24943"/>
    <w:rsid w:val="00F24991"/>
    <w:rsid w:val="00F24B68"/>
    <w:rsid w:val="00F24C69"/>
    <w:rsid w:val="00F24C6B"/>
    <w:rsid w:val="00F24D86"/>
    <w:rsid w:val="00F24EBB"/>
    <w:rsid w:val="00F252DC"/>
    <w:rsid w:val="00F25552"/>
    <w:rsid w:val="00F255BC"/>
    <w:rsid w:val="00F2574D"/>
    <w:rsid w:val="00F258FF"/>
    <w:rsid w:val="00F25A27"/>
    <w:rsid w:val="00F25B5B"/>
    <w:rsid w:val="00F25BBA"/>
    <w:rsid w:val="00F25E37"/>
    <w:rsid w:val="00F2610D"/>
    <w:rsid w:val="00F2614B"/>
    <w:rsid w:val="00F261D3"/>
    <w:rsid w:val="00F26202"/>
    <w:rsid w:val="00F26232"/>
    <w:rsid w:val="00F263C6"/>
    <w:rsid w:val="00F26562"/>
    <w:rsid w:val="00F265AC"/>
    <w:rsid w:val="00F26821"/>
    <w:rsid w:val="00F26852"/>
    <w:rsid w:val="00F269E6"/>
    <w:rsid w:val="00F26BDE"/>
    <w:rsid w:val="00F26D3C"/>
    <w:rsid w:val="00F26DA5"/>
    <w:rsid w:val="00F26E54"/>
    <w:rsid w:val="00F2700D"/>
    <w:rsid w:val="00F27702"/>
    <w:rsid w:val="00F277A7"/>
    <w:rsid w:val="00F277F3"/>
    <w:rsid w:val="00F27B24"/>
    <w:rsid w:val="00F27BB2"/>
    <w:rsid w:val="00F27CF1"/>
    <w:rsid w:val="00F27D80"/>
    <w:rsid w:val="00F27DB1"/>
    <w:rsid w:val="00F27FB1"/>
    <w:rsid w:val="00F3032E"/>
    <w:rsid w:val="00F30391"/>
    <w:rsid w:val="00F303E4"/>
    <w:rsid w:val="00F304EA"/>
    <w:rsid w:val="00F305F1"/>
    <w:rsid w:val="00F307A8"/>
    <w:rsid w:val="00F307BC"/>
    <w:rsid w:val="00F30C59"/>
    <w:rsid w:val="00F30CE7"/>
    <w:rsid w:val="00F30CEC"/>
    <w:rsid w:val="00F30D28"/>
    <w:rsid w:val="00F312DF"/>
    <w:rsid w:val="00F31303"/>
    <w:rsid w:val="00F31630"/>
    <w:rsid w:val="00F316C8"/>
    <w:rsid w:val="00F31A72"/>
    <w:rsid w:val="00F31A97"/>
    <w:rsid w:val="00F31AC0"/>
    <w:rsid w:val="00F31D0F"/>
    <w:rsid w:val="00F31EE4"/>
    <w:rsid w:val="00F31F6C"/>
    <w:rsid w:val="00F31FB8"/>
    <w:rsid w:val="00F3207F"/>
    <w:rsid w:val="00F3223D"/>
    <w:rsid w:val="00F323A0"/>
    <w:rsid w:val="00F323C7"/>
    <w:rsid w:val="00F324AD"/>
    <w:rsid w:val="00F324C4"/>
    <w:rsid w:val="00F32610"/>
    <w:rsid w:val="00F329E1"/>
    <w:rsid w:val="00F32A4B"/>
    <w:rsid w:val="00F32BC8"/>
    <w:rsid w:val="00F32DF4"/>
    <w:rsid w:val="00F32EA2"/>
    <w:rsid w:val="00F32EE0"/>
    <w:rsid w:val="00F33282"/>
    <w:rsid w:val="00F3343D"/>
    <w:rsid w:val="00F334D2"/>
    <w:rsid w:val="00F336B4"/>
    <w:rsid w:val="00F33723"/>
    <w:rsid w:val="00F33846"/>
    <w:rsid w:val="00F33849"/>
    <w:rsid w:val="00F33AB1"/>
    <w:rsid w:val="00F33AB7"/>
    <w:rsid w:val="00F33E29"/>
    <w:rsid w:val="00F33E2E"/>
    <w:rsid w:val="00F33E65"/>
    <w:rsid w:val="00F34002"/>
    <w:rsid w:val="00F3400E"/>
    <w:rsid w:val="00F340DC"/>
    <w:rsid w:val="00F340EF"/>
    <w:rsid w:val="00F34200"/>
    <w:rsid w:val="00F3427B"/>
    <w:rsid w:val="00F3451E"/>
    <w:rsid w:val="00F348B9"/>
    <w:rsid w:val="00F348F6"/>
    <w:rsid w:val="00F34AB8"/>
    <w:rsid w:val="00F34BD4"/>
    <w:rsid w:val="00F34D3E"/>
    <w:rsid w:val="00F34FDB"/>
    <w:rsid w:val="00F351E9"/>
    <w:rsid w:val="00F35280"/>
    <w:rsid w:val="00F352A5"/>
    <w:rsid w:val="00F3539C"/>
    <w:rsid w:val="00F35412"/>
    <w:rsid w:val="00F35581"/>
    <w:rsid w:val="00F3589A"/>
    <w:rsid w:val="00F35A8B"/>
    <w:rsid w:val="00F35ADE"/>
    <w:rsid w:val="00F35B62"/>
    <w:rsid w:val="00F35BB0"/>
    <w:rsid w:val="00F35CFC"/>
    <w:rsid w:val="00F35D88"/>
    <w:rsid w:val="00F35E92"/>
    <w:rsid w:val="00F35F90"/>
    <w:rsid w:val="00F36113"/>
    <w:rsid w:val="00F3639C"/>
    <w:rsid w:val="00F363CE"/>
    <w:rsid w:val="00F36426"/>
    <w:rsid w:val="00F3642F"/>
    <w:rsid w:val="00F364A1"/>
    <w:rsid w:val="00F365C1"/>
    <w:rsid w:val="00F36658"/>
    <w:rsid w:val="00F367CB"/>
    <w:rsid w:val="00F367F3"/>
    <w:rsid w:val="00F36968"/>
    <w:rsid w:val="00F369B8"/>
    <w:rsid w:val="00F36C0C"/>
    <w:rsid w:val="00F36CE3"/>
    <w:rsid w:val="00F36D96"/>
    <w:rsid w:val="00F3710D"/>
    <w:rsid w:val="00F371E8"/>
    <w:rsid w:val="00F3738B"/>
    <w:rsid w:val="00F37471"/>
    <w:rsid w:val="00F37581"/>
    <w:rsid w:val="00F37661"/>
    <w:rsid w:val="00F37674"/>
    <w:rsid w:val="00F37BF1"/>
    <w:rsid w:val="00F37C37"/>
    <w:rsid w:val="00F400A9"/>
    <w:rsid w:val="00F402F6"/>
    <w:rsid w:val="00F40377"/>
    <w:rsid w:val="00F40457"/>
    <w:rsid w:val="00F4050E"/>
    <w:rsid w:val="00F4057E"/>
    <w:rsid w:val="00F4064F"/>
    <w:rsid w:val="00F40675"/>
    <w:rsid w:val="00F4071B"/>
    <w:rsid w:val="00F40874"/>
    <w:rsid w:val="00F40987"/>
    <w:rsid w:val="00F409CF"/>
    <w:rsid w:val="00F40ADF"/>
    <w:rsid w:val="00F40DE2"/>
    <w:rsid w:val="00F40E53"/>
    <w:rsid w:val="00F4149B"/>
    <w:rsid w:val="00F4155C"/>
    <w:rsid w:val="00F4161A"/>
    <w:rsid w:val="00F41697"/>
    <w:rsid w:val="00F41746"/>
    <w:rsid w:val="00F41A37"/>
    <w:rsid w:val="00F41A3D"/>
    <w:rsid w:val="00F41AB2"/>
    <w:rsid w:val="00F41BCD"/>
    <w:rsid w:val="00F41D0F"/>
    <w:rsid w:val="00F41EFA"/>
    <w:rsid w:val="00F41F45"/>
    <w:rsid w:val="00F41FE1"/>
    <w:rsid w:val="00F421CA"/>
    <w:rsid w:val="00F42260"/>
    <w:rsid w:val="00F42263"/>
    <w:rsid w:val="00F423A3"/>
    <w:rsid w:val="00F425A5"/>
    <w:rsid w:val="00F4291C"/>
    <w:rsid w:val="00F42939"/>
    <w:rsid w:val="00F4294F"/>
    <w:rsid w:val="00F429FF"/>
    <w:rsid w:val="00F42CEF"/>
    <w:rsid w:val="00F42D8A"/>
    <w:rsid w:val="00F42F50"/>
    <w:rsid w:val="00F43071"/>
    <w:rsid w:val="00F4309E"/>
    <w:rsid w:val="00F430C8"/>
    <w:rsid w:val="00F430CB"/>
    <w:rsid w:val="00F432B4"/>
    <w:rsid w:val="00F43350"/>
    <w:rsid w:val="00F43612"/>
    <w:rsid w:val="00F4362B"/>
    <w:rsid w:val="00F43853"/>
    <w:rsid w:val="00F43DD8"/>
    <w:rsid w:val="00F43E67"/>
    <w:rsid w:val="00F4407E"/>
    <w:rsid w:val="00F441C3"/>
    <w:rsid w:val="00F44352"/>
    <w:rsid w:val="00F44614"/>
    <w:rsid w:val="00F4490C"/>
    <w:rsid w:val="00F44923"/>
    <w:rsid w:val="00F44BE4"/>
    <w:rsid w:val="00F44D61"/>
    <w:rsid w:val="00F44F90"/>
    <w:rsid w:val="00F44FBE"/>
    <w:rsid w:val="00F45133"/>
    <w:rsid w:val="00F4515E"/>
    <w:rsid w:val="00F452DD"/>
    <w:rsid w:val="00F45347"/>
    <w:rsid w:val="00F4549E"/>
    <w:rsid w:val="00F45682"/>
    <w:rsid w:val="00F456CB"/>
    <w:rsid w:val="00F456F4"/>
    <w:rsid w:val="00F4570E"/>
    <w:rsid w:val="00F45714"/>
    <w:rsid w:val="00F4586A"/>
    <w:rsid w:val="00F4586E"/>
    <w:rsid w:val="00F45A03"/>
    <w:rsid w:val="00F45A56"/>
    <w:rsid w:val="00F45AEA"/>
    <w:rsid w:val="00F45D04"/>
    <w:rsid w:val="00F45D21"/>
    <w:rsid w:val="00F45E21"/>
    <w:rsid w:val="00F45E45"/>
    <w:rsid w:val="00F45E70"/>
    <w:rsid w:val="00F45E95"/>
    <w:rsid w:val="00F45E9F"/>
    <w:rsid w:val="00F460BC"/>
    <w:rsid w:val="00F46330"/>
    <w:rsid w:val="00F467DD"/>
    <w:rsid w:val="00F46A2F"/>
    <w:rsid w:val="00F46AE1"/>
    <w:rsid w:val="00F46B67"/>
    <w:rsid w:val="00F46C44"/>
    <w:rsid w:val="00F46DFF"/>
    <w:rsid w:val="00F46E23"/>
    <w:rsid w:val="00F46E94"/>
    <w:rsid w:val="00F46E9A"/>
    <w:rsid w:val="00F47161"/>
    <w:rsid w:val="00F4729A"/>
    <w:rsid w:val="00F473BD"/>
    <w:rsid w:val="00F4763B"/>
    <w:rsid w:val="00F47641"/>
    <w:rsid w:val="00F476B0"/>
    <w:rsid w:val="00F476FE"/>
    <w:rsid w:val="00F47872"/>
    <w:rsid w:val="00F47916"/>
    <w:rsid w:val="00F4792E"/>
    <w:rsid w:val="00F47A0C"/>
    <w:rsid w:val="00F47A18"/>
    <w:rsid w:val="00F47A1F"/>
    <w:rsid w:val="00F47A23"/>
    <w:rsid w:val="00F47B71"/>
    <w:rsid w:val="00F47B8A"/>
    <w:rsid w:val="00F47C3B"/>
    <w:rsid w:val="00F47D98"/>
    <w:rsid w:val="00F47FA7"/>
    <w:rsid w:val="00F50341"/>
    <w:rsid w:val="00F503B8"/>
    <w:rsid w:val="00F50462"/>
    <w:rsid w:val="00F50713"/>
    <w:rsid w:val="00F50842"/>
    <w:rsid w:val="00F50AB4"/>
    <w:rsid w:val="00F50C9B"/>
    <w:rsid w:val="00F50D12"/>
    <w:rsid w:val="00F50D8A"/>
    <w:rsid w:val="00F50D8E"/>
    <w:rsid w:val="00F50FCE"/>
    <w:rsid w:val="00F51002"/>
    <w:rsid w:val="00F510DC"/>
    <w:rsid w:val="00F51103"/>
    <w:rsid w:val="00F51410"/>
    <w:rsid w:val="00F51744"/>
    <w:rsid w:val="00F51790"/>
    <w:rsid w:val="00F51793"/>
    <w:rsid w:val="00F51A35"/>
    <w:rsid w:val="00F51A58"/>
    <w:rsid w:val="00F51AA7"/>
    <w:rsid w:val="00F51B65"/>
    <w:rsid w:val="00F51B93"/>
    <w:rsid w:val="00F51C00"/>
    <w:rsid w:val="00F51CD6"/>
    <w:rsid w:val="00F51D76"/>
    <w:rsid w:val="00F51E1A"/>
    <w:rsid w:val="00F51E63"/>
    <w:rsid w:val="00F51F3B"/>
    <w:rsid w:val="00F52043"/>
    <w:rsid w:val="00F5213D"/>
    <w:rsid w:val="00F522D1"/>
    <w:rsid w:val="00F523C4"/>
    <w:rsid w:val="00F52486"/>
    <w:rsid w:val="00F527F0"/>
    <w:rsid w:val="00F5298A"/>
    <w:rsid w:val="00F529A9"/>
    <w:rsid w:val="00F53004"/>
    <w:rsid w:val="00F5305F"/>
    <w:rsid w:val="00F5313A"/>
    <w:rsid w:val="00F531B1"/>
    <w:rsid w:val="00F531E1"/>
    <w:rsid w:val="00F53229"/>
    <w:rsid w:val="00F5334F"/>
    <w:rsid w:val="00F5349A"/>
    <w:rsid w:val="00F534CB"/>
    <w:rsid w:val="00F536D3"/>
    <w:rsid w:val="00F539DB"/>
    <w:rsid w:val="00F53A5B"/>
    <w:rsid w:val="00F53C5A"/>
    <w:rsid w:val="00F53F82"/>
    <w:rsid w:val="00F53FE7"/>
    <w:rsid w:val="00F5426F"/>
    <w:rsid w:val="00F5427C"/>
    <w:rsid w:val="00F5435B"/>
    <w:rsid w:val="00F543C0"/>
    <w:rsid w:val="00F54421"/>
    <w:rsid w:val="00F544D4"/>
    <w:rsid w:val="00F546A7"/>
    <w:rsid w:val="00F547B8"/>
    <w:rsid w:val="00F549BF"/>
    <w:rsid w:val="00F54AE1"/>
    <w:rsid w:val="00F54B77"/>
    <w:rsid w:val="00F54C02"/>
    <w:rsid w:val="00F54D4E"/>
    <w:rsid w:val="00F54D69"/>
    <w:rsid w:val="00F54EEC"/>
    <w:rsid w:val="00F551D4"/>
    <w:rsid w:val="00F55452"/>
    <w:rsid w:val="00F555CA"/>
    <w:rsid w:val="00F556FD"/>
    <w:rsid w:val="00F55805"/>
    <w:rsid w:val="00F5598E"/>
    <w:rsid w:val="00F55DA7"/>
    <w:rsid w:val="00F55E86"/>
    <w:rsid w:val="00F5611A"/>
    <w:rsid w:val="00F5624E"/>
    <w:rsid w:val="00F562BE"/>
    <w:rsid w:val="00F56324"/>
    <w:rsid w:val="00F56471"/>
    <w:rsid w:val="00F56677"/>
    <w:rsid w:val="00F56997"/>
    <w:rsid w:val="00F569DC"/>
    <w:rsid w:val="00F56A41"/>
    <w:rsid w:val="00F56AEA"/>
    <w:rsid w:val="00F56D2B"/>
    <w:rsid w:val="00F56DA5"/>
    <w:rsid w:val="00F56DC5"/>
    <w:rsid w:val="00F57001"/>
    <w:rsid w:val="00F5700C"/>
    <w:rsid w:val="00F57092"/>
    <w:rsid w:val="00F570A5"/>
    <w:rsid w:val="00F5711E"/>
    <w:rsid w:val="00F57266"/>
    <w:rsid w:val="00F572A4"/>
    <w:rsid w:val="00F57317"/>
    <w:rsid w:val="00F5735A"/>
    <w:rsid w:val="00F57619"/>
    <w:rsid w:val="00F576D0"/>
    <w:rsid w:val="00F576FA"/>
    <w:rsid w:val="00F57B2D"/>
    <w:rsid w:val="00F57C35"/>
    <w:rsid w:val="00F57D0F"/>
    <w:rsid w:val="00F57DE4"/>
    <w:rsid w:val="00F60093"/>
    <w:rsid w:val="00F605C3"/>
    <w:rsid w:val="00F6061B"/>
    <w:rsid w:val="00F6091D"/>
    <w:rsid w:val="00F60AE8"/>
    <w:rsid w:val="00F60D3E"/>
    <w:rsid w:val="00F60E37"/>
    <w:rsid w:val="00F60F2C"/>
    <w:rsid w:val="00F6111A"/>
    <w:rsid w:val="00F6129A"/>
    <w:rsid w:val="00F6153B"/>
    <w:rsid w:val="00F61578"/>
    <w:rsid w:val="00F61601"/>
    <w:rsid w:val="00F61660"/>
    <w:rsid w:val="00F616BE"/>
    <w:rsid w:val="00F61722"/>
    <w:rsid w:val="00F617BF"/>
    <w:rsid w:val="00F61BE1"/>
    <w:rsid w:val="00F61D71"/>
    <w:rsid w:val="00F61E4E"/>
    <w:rsid w:val="00F61E51"/>
    <w:rsid w:val="00F61FB1"/>
    <w:rsid w:val="00F620B7"/>
    <w:rsid w:val="00F62244"/>
    <w:rsid w:val="00F622FC"/>
    <w:rsid w:val="00F624ED"/>
    <w:rsid w:val="00F62649"/>
    <w:rsid w:val="00F62691"/>
    <w:rsid w:val="00F6274F"/>
    <w:rsid w:val="00F628FC"/>
    <w:rsid w:val="00F62E24"/>
    <w:rsid w:val="00F630A7"/>
    <w:rsid w:val="00F63405"/>
    <w:rsid w:val="00F637B2"/>
    <w:rsid w:val="00F6382E"/>
    <w:rsid w:val="00F638A7"/>
    <w:rsid w:val="00F6394B"/>
    <w:rsid w:val="00F63AE5"/>
    <w:rsid w:val="00F63B46"/>
    <w:rsid w:val="00F63BC8"/>
    <w:rsid w:val="00F63C9C"/>
    <w:rsid w:val="00F63E16"/>
    <w:rsid w:val="00F63E64"/>
    <w:rsid w:val="00F63EFE"/>
    <w:rsid w:val="00F64149"/>
    <w:rsid w:val="00F64457"/>
    <w:rsid w:val="00F64612"/>
    <w:rsid w:val="00F646CA"/>
    <w:rsid w:val="00F64818"/>
    <w:rsid w:val="00F6490C"/>
    <w:rsid w:val="00F6498C"/>
    <w:rsid w:val="00F64CFA"/>
    <w:rsid w:val="00F64F26"/>
    <w:rsid w:val="00F64F57"/>
    <w:rsid w:val="00F65016"/>
    <w:rsid w:val="00F65075"/>
    <w:rsid w:val="00F650E2"/>
    <w:rsid w:val="00F6514A"/>
    <w:rsid w:val="00F65405"/>
    <w:rsid w:val="00F656CA"/>
    <w:rsid w:val="00F65877"/>
    <w:rsid w:val="00F65B09"/>
    <w:rsid w:val="00F65B1B"/>
    <w:rsid w:val="00F65DB6"/>
    <w:rsid w:val="00F65DF3"/>
    <w:rsid w:val="00F65F3C"/>
    <w:rsid w:val="00F66104"/>
    <w:rsid w:val="00F66108"/>
    <w:rsid w:val="00F6612E"/>
    <w:rsid w:val="00F661D2"/>
    <w:rsid w:val="00F66411"/>
    <w:rsid w:val="00F664C8"/>
    <w:rsid w:val="00F666DF"/>
    <w:rsid w:val="00F666E8"/>
    <w:rsid w:val="00F6674E"/>
    <w:rsid w:val="00F667E7"/>
    <w:rsid w:val="00F66818"/>
    <w:rsid w:val="00F66C99"/>
    <w:rsid w:val="00F66E4A"/>
    <w:rsid w:val="00F67192"/>
    <w:rsid w:val="00F673B0"/>
    <w:rsid w:val="00F673E5"/>
    <w:rsid w:val="00F67446"/>
    <w:rsid w:val="00F674E8"/>
    <w:rsid w:val="00F675E0"/>
    <w:rsid w:val="00F678C8"/>
    <w:rsid w:val="00F67A15"/>
    <w:rsid w:val="00F67A95"/>
    <w:rsid w:val="00F67E05"/>
    <w:rsid w:val="00F67E70"/>
    <w:rsid w:val="00F67E99"/>
    <w:rsid w:val="00F67EA8"/>
    <w:rsid w:val="00F67F13"/>
    <w:rsid w:val="00F702CC"/>
    <w:rsid w:val="00F703B2"/>
    <w:rsid w:val="00F703D1"/>
    <w:rsid w:val="00F705D6"/>
    <w:rsid w:val="00F70636"/>
    <w:rsid w:val="00F706F3"/>
    <w:rsid w:val="00F708F9"/>
    <w:rsid w:val="00F70B44"/>
    <w:rsid w:val="00F70D65"/>
    <w:rsid w:val="00F70E41"/>
    <w:rsid w:val="00F7101E"/>
    <w:rsid w:val="00F713A2"/>
    <w:rsid w:val="00F714C3"/>
    <w:rsid w:val="00F7172C"/>
    <w:rsid w:val="00F7176D"/>
    <w:rsid w:val="00F71C12"/>
    <w:rsid w:val="00F71C17"/>
    <w:rsid w:val="00F71FE0"/>
    <w:rsid w:val="00F72158"/>
    <w:rsid w:val="00F72205"/>
    <w:rsid w:val="00F722D4"/>
    <w:rsid w:val="00F72382"/>
    <w:rsid w:val="00F723F3"/>
    <w:rsid w:val="00F72515"/>
    <w:rsid w:val="00F72935"/>
    <w:rsid w:val="00F7295F"/>
    <w:rsid w:val="00F72B51"/>
    <w:rsid w:val="00F72C15"/>
    <w:rsid w:val="00F72C62"/>
    <w:rsid w:val="00F72C77"/>
    <w:rsid w:val="00F72D6F"/>
    <w:rsid w:val="00F72D91"/>
    <w:rsid w:val="00F73001"/>
    <w:rsid w:val="00F731A1"/>
    <w:rsid w:val="00F73301"/>
    <w:rsid w:val="00F73404"/>
    <w:rsid w:val="00F7357F"/>
    <w:rsid w:val="00F73B9F"/>
    <w:rsid w:val="00F73C1E"/>
    <w:rsid w:val="00F73C9A"/>
    <w:rsid w:val="00F73CB3"/>
    <w:rsid w:val="00F73D10"/>
    <w:rsid w:val="00F73F19"/>
    <w:rsid w:val="00F740E1"/>
    <w:rsid w:val="00F7418B"/>
    <w:rsid w:val="00F741A0"/>
    <w:rsid w:val="00F7430D"/>
    <w:rsid w:val="00F7444F"/>
    <w:rsid w:val="00F74460"/>
    <w:rsid w:val="00F744FD"/>
    <w:rsid w:val="00F746A2"/>
    <w:rsid w:val="00F7472A"/>
    <w:rsid w:val="00F74793"/>
    <w:rsid w:val="00F74ADB"/>
    <w:rsid w:val="00F74AF3"/>
    <w:rsid w:val="00F74B8E"/>
    <w:rsid w:val="00F74C3B"/>
    <w:rsid w:val="00F74D4E"/>
    <w:rsid w:val="00F74E22"/>
    <w:rsid w:val="00F74F56"/>
    <w:rsid w:val="00F74F59"/>
    <w:rsid w:val="00F7506F"/>
    <w:rsid w:val="00F75089"/>
    <w:rsid w:val="00F75188"/>
    <w:rsid w:val="00F75307"/>
    <w:rsid w:val="00F7534C"/>
    <w:rsid w:val="00F755A2"/>
    <w:rsid w:val="00F75742"/>
    <w:rsid w:val="00F75F25"/>
    <w:rsid w:val="00F75FDC"/>
    <w:rsid w:val="00F761B4"/>
    <w:rsid w:val="00F762F7"/>
    <w:rsid w:val="00F7639D"/>
    <w:rsid w:val="00F763FD"/>
    <w:rsid w:val="00F76479"/>
    <w:rsid w:val="00F7670C"/>
    <w:rsid w:val="00F76871"/>
    <w:rsid w:val="00F76957"/>
    <w:rsid w:val="00F76EF5"/>
    <w:rsid w:val="00F76F9E"/>
    <w:rsid w:val="00F77194"/>
    <w:rsid w:val="00F77411"/>
    <w:rsid w:val="00F7775E"/>
    <w:rsid w:val="00F777B8"/>
    <w:rsid w:val="00F777DA"/>
    <w:rsid w:val="00F777FA"/>
    <w:rsid w:val="00F778BF"/>
    <w:rsid w:val="00F77B4D"/>
    <w:rsid w:val="00F77DB1"/>
    <w:rsid w:val="00F77DED"/>
    <w:rsid w:val="00F803BB"/>
    <w:rsid w:val="00F80416"/>
    <w:rsid w:val="00F807FE"/>
    <w:rsid w:val="00F8081D"/>
    <w:rsid w:val="00F80D2D"/>
    <w:rsid w:val="00F80D3E"/>
    <w:rsid w:val="00F80D5C"/>
    <w:rsid w:val="00F80EB4"/>
    <w:rsid w:val="00F80F21"/>
    <w:rsid w:val="00F810B5"/>
    <w:rsid w:val="00F81240"/>
    <w:rsid w:val="00F81282"/>
    <w:rsid w:val="00F8128B"/>
    <w:rsid w:val="00F81361"/>
    <w:rsid w:val="00F8136E"/>
    <w:rsid w:val="00F819B1"/>
    <w:rsid w:val="00F819C3"/>
    <w:rsid w:val="00F81AE8"/>
    <w:rsid w:val="00F81B4B"/>
    <w:rsid w:val="00F81BE4"/>
    <w:rsid w:val="00F81D8B"/>
    <w:rsid w:val="00F81DC3"/>
    <w:rsid w:val="00F81DED"/>
    <w:rsid w:val="00F81F22"/>
    <w:rsid w:val="00F81FA4"/>
    <w:rsid w:val="00F81FC8"/>
    <w:rsid w:val="00F820AE"/>
    <w:rsid w:val="00F8224A"/>
    <w:rsid w:val="00F82280"/>
    <w:rsid w:val="00F82447"/>
    <w:rsid w:val="00F825BE"/>
    <w:rsid w:val="00F826AF"/>
    <w:rsid w:val="00F8274D"/>
    <w:rsid w:val="00F8288C"/>
    <w:rsid w:val="00F82A2C"/>
    <w:rsid w:val="00F82BBA"/>
    <w:rsid w:val="00F82C24"/>
    <w:rsid w:val="00F82E04"/>
    <w:rsid w:val="00F83099"/>
    <w:rsid w:val="00F831A5"/>
    <w:rsid w:val="00F83291"/>
    <w:rsid w:val="00F83AC2"/>
    <w:rsid w:val="00F83DAF"/>
    <w:rsid w:val="00F83F12"/>
    <w:rsid w:val="00F83F80"/>
    <w:rsid w:val="00F8408A"/>
    <w:rsid w:val="00F8425C"/>
    <w:rsid w:val="00F842B1"/>
    <w:rsid w:val="00F845BF"/>
    <w:rsid w:val="00F8486B"/>
    <w:rsid w:val="00F84DA8"/>
    <w:rsid w:val="00F84F00"/>
    <w:rsid w:val="00F8516E"/>
    <w:rsid w:val="00F85200"/>
    <w:rsid w:val="00F8522F"/>
    <w:rsid w:val="00F85288"/>
    <w:rsid w:val="00F85621"/>
    <w:rsid w:val="00F85920"/>
    <w:rsid w:val="00F85B90"/>
    <w:rsid w:val="00F85B94"/>
    <w:rsid w:val="00F85C9C"/>
    <w:rsid w:val="00F85DC3"/>
    <w:rsid w:val="00F861E8"/>
    <w:rsid w:val="00F86204"/>
    <w:rsid w:val="00F8681B"/>
    <w:rsid w:val="00F86A4D"/>
    <w:rsid w:val="00F86B26"/>
    <w:rsid w:val="00F86B45"/>
    <w:rsid w:val="00F86BE5"/>
    <w:rsid w:val="00F86C30"/>
    <w:rsid w:val="00F8702B"/>
    <w:rsid w:val="00F87370"/>
    <w:rsid w:val="00F87AC4"/>
    <w:rsid w:val="00F87B44"/>
    <w:rsid w:val="00F87DCC"/>
    <w:rsid w:val="00F87EE7"/>
    <w:rsid w:val="00F87FF0"/>
    <w:rsid w:val="00F900D3"/>
    <w:rsid w:val="00F9038E"/>
    <w:rsid w:val="00F903F6"/>
    <w:rsid w:val="00F905F5"/>
    <w:rsid w:val="00F90849"/>
    <w:rsid w:val="00F9097D"/>
    <w:rsid w:val="00F90B7A"/>
    <w:rsid w:val="00F90BCE"/>
    <w:rsid w:val="00F90F7C"/>
    <w:rsid w:val="00F9125B"/>
    <w:rsid w:val="00F91288"/>
    <w:rsid w:val="00F912E0"/>
    <w:rsid w:val="00F9156A"/>
    <w:rsid w:val="00F91773"/>
    <w:rsid w:val="00F91868"/>
    <w:rsid w:val="00F91E5D"/>
    <w:rsid w:val="00F91F57"/>
    <w:rsid w:val="00F91F73"/>
    <w:rsid w:val="00F922F1"/>
    <w:rsid w:val="00F92302"/>
    <w:rsid w:val="00F92783"/>
    <w:rsid w:val="00F928DD"/>
    <w:rsid w:val="00F92A16"/>
    <w:rsid w:val="00F92A68"/>
    <w:rsid w:val="00F92CA1"/>
    <w:rsid w:val="00F92F0F"/>
    <w:rsid w:val="00F92F3E"/>
    <w:rsid w:val="00F92FEE"/>
    <w:rsid w:val="00F93739"/>
    <w:rsid w:val="00F938C9"/>
    <w:rsid w:val="00F939B2"/>
    <w:rsid w:val="00F93BAE"/>
    <w:rsid w:val="00F93C98"/>
    <w:rsid w:val="00F93EA6"/>
    <w:rsid w:val="00F93F69"/>
    <w:rsid w:val="00F93FBE"/>
    <w:rsid w:val="00F940E6"/>
    <w:rsid w:val="00F94169"/>
    <w:rsid w:val="00F9443F"/>
    <w:rsid w:val="00F944FA"/>
    <w:rsid w:val="00F94504"/>
    <w:rsid w:val="00F9473B"/>
    <w:rsid w:val="00F94902"/>
    <w:rsid w:val="00F949ED"/>
    <w:rsid w:val="00F94EB2"/>
    <w:rsid w:val="00F94F39"/>
    <w:rsid w:val="00F950A9"/>
    <w:rsid w:val="00F950CF"/>
    <w:rsid w:val="00F951DB"/>
    <w:rsid w:val="00F9552D"/>
    <w:rsid w:val="00F95566"/>
    <w:rsid w:val="00F955D2"/>
    <w:rsid w:val="00F956BA"/>
    <w:rsid w:val="00F95A7F"/>
    <w:rsid w:val="00F95A9C"/>
    <w:rsid w:val="00F95AF9"/>
    <w:rsid w:val="00F95B8D"/>
    <w:rsid w:val="00F960BC"/>
    <w:rsid w:val="00F96143"/>
    <w:rsid w:val="00F962F2"/>
    <w:rsid w:val="00F96397"/>
    <w:rsid w:val="00F963CE"/>
    <w:rsid w:val="00F96406"/>
    <w:rsid w:val="00F96471"/>
    <w:rsid w:val="00F964EB"/>
    <w:rsid w:val="00F9676C"/>
    <w:rsid w:val="00F96868"/>
    <w:rsid w:val="00F96BF4"/>
    <w:rsid w:val="00F96C13"/>
    <w:rsid w:val="00F96E80"/>
    <w:rsid w:val="00F96FDA"/>
    <w:rsid w:val="00F97445"/>
    <w:rsid w:val="00F974D0"/>
    <w:rsid w:val="00F975E8"/>
    <w:rsid w:val="00F9766A"/>
    <w:rsid w:val="00F97682"/>
    <w:rsid w:val="00F976BD"/>
    <w:rsid w:val="00F97A01"/>
    <w:rsid w:val="00F97A84"/>
    <w:rsid w:val="00FA010D"/>
    <w:rsid w:val="00FA0137"/>
    <w:rsid w:val="00FA01A6"/>
    <w:rsid w:val="00FA0223"/>
    <w:rsid w:val="00FA041B"/>
    <w:rsid w:val="00FA045F"/>
    <w:rsid w:val="00FA0520"/>
    <w:rsid w:val="00FA052F"/>
    <w:rsid w:val="00FA05A5"/>
    <w:rsid w:val="00FA069C"/>
    <w:rsid w:val="00FA073F"/>
    <w:rsid w:val="00FA077B"/>
    <w:rsid w:val="00FA0794"/>
    <w:rsid w:val="00FA0998"/>
    <w:rsid w:val="00FA09FD"/>
    <w:rsid w:val="00FA0C70"/>
    <w:rsid w:val="00FA0CE7"/>
    <w:rsid w:val="00FA0E61"/>
    <w:rsid w:val="00FA10D3"/>
    <w:rsid w:val="00FA1388"/>
    <w:rsid w:val="00FA150D"/>
    <w:rsid w:val="00FA1547"/>
    <w:rsid w:val="00FA1B57"/>
    <w:rsid w:val="00FA1EB9"/>
    <w:rsid w:val="00FA1EC8"/>
    <w:rsid w:val="00FA1FDE"/>
    <w:rsid w:val="00FA1FE7"/>
    <w:rsid w:val="00FA2086"/>
    <w:rsid w:val="00FA20EA"/>
    <w:rsid w:val="00FA2123"/>
    <w:rsid w:val="00FA22AA"/>
    <w:rsid w:val="00FA22AC"/>
    <w:rsid w:val="00FA22CF"/>
    <w:rsid w:val="00FA23A1"/>
    <w:rsid w:val="00FA2448"/>
    <w:rsid w:val="00FA244C"/>
    <w:rsid w:val="00FA24D9"/>
    <w:rsid w:val="00FA24FA"/>
    <w:rsid w:val="00FA25A4"/>
    <w:rsid w:val="00FA25AF"/>
    <w:rsid w:val="00FA26D5"/>
    <w:rsid w:val="00FA28AC"/>
    <w:rsid w:val="00FA2BA7"/>
    <w:rsid w:val="00FA2C7C"/>
    <w:rsid w:val="00FA2C9D"/>
    <w:rsid w:val="00FA2CD2"/>
    <w:rsid w:val="00FA3155"/>
    <w:rsid w:val="00FA33C3"/>
    <w:rsid w:val="00FA33C5"/>
    <w:rsid w:val="00FA3447"/>
    <w:rsid w:val="00FA34CE"/>
    <w:rsid w:val="00FA394E"/>
    <w:rsid w:val="00FA39B7"/>
    <w:rsid w:val="00FA3A9C"/>
    <w:rsid w:val="00FA3AE9"/>
    <w:rsid w:val="00FA3BDD"/>
    <w:rsid w:val="00FA3C62"/>
    <w:rsid w:val="00FA3E4E"/>
    <w:rsid w:val="00FA3F03"/>
    <w:rsid w:val="00FA3F17"/>
    <w:rsid w:val="00FA3F44"/>
    <w:rsid w:val="00FA40C9"/>
    <w:rsid w:val="00FA40DE"/>
    <w:rsid w:val="00FA4101"/>
    <w:rsid w:val="00FA4559"/>
    <w:rsid w:val="00FA47BD"/>
    <w:rsid w:val="00FA4AD4"/>
    <w:rsid w:val="00FA4BC2"/>
    <w:rsid w:val="00FA4CE1"/>
    <w:rsid w:val="00FA4D65"/>
    <w:rsid w:val="00FA52E2"/>
    <w:rsid w:val="00FA533F"/>
    <w:rsid w:val="00FA562A"/>
    <w:rsid w:val="00FA57C8"/>
    <w:rsid w:val="00FA57D0"/>
    <w:rsid w:val="00FA5AFC"/>
    <w:rsid w:val="00FA5B5B"/>
    <w:rsid w:val="00FA5BA6"/>
    <w:rsid w:val="00FA5DA9"/>
    <w:rsid w:val="00FA5DC4"/>
    <w:rsid w:val="00FA5F19"/>
    <w:rsid w:val="00FA5F46"/>
    <w:rsid w:val="00FA6190"/>
    <w:rsid w:val="00FA620A"/>
    <w:rsid w:val="00FA6234"/>
    <w:rsid w:val="00FA62B4"/>
    <w:rsid w:val="00FA6603"/>
    <w:rsid w:val="00FA6830"/>
    <w:rsid w:val="00FA688F"/>
    <w:rsid w:val="00FA69B3"/>
    <w:rsid w:val="00FA6CE1"/>
    <w:rsid w:val="00FA6F53"/>
    <w:rsid w:val="00FA6FA4"/>
    <w:rsid w:val="00FA6FF7"/>
    <w:rsid w:val="00FA71DD"/>
    <w:rsid w:val="00FA7410"/>
    <w:rsid w:val="00FA762B"/>
    <w:rsid w:val="00FA7A62"/>
    <w:rsid w:val="00FA7A93"/>
    <w:rsid w:val="00FA7AA1"/>
    <w:rsid w:val="00FA7B0F"/>
    <w:rsid w:val="00FA7B1C"/>
    <w:rsid w:val="00FA7CDE"/>
    <w:rsid w:val="00FA7D3D"/>
    <w:rsid w:val="00FB01F8"/>
    <w:rsid w:val="00FB05B0"/>
    <w:rsid w:val="00FB0718"/>
    <w:rsid w:val="00FB07D2"/>
    <w:rsid w:val="00FB0829"/>
    <w:rsid w:val="00FB0906"/>
    <w:rsid w:val="00FB0967"/>
    <w:rsid w:val="00FB0AC9"/>
    <w:rsid w:val="00FB0CE4"/>
    <w:rsid w:val="00FB0F45"/>
    <w:rsid w:val="00FB0F89"/>
    <w:rsid w:val="00FB11BF"/>
    <w:rsid w:val="00FB1417"/>
    <w:rsid w:val="00FB14D6"/>
    <w:rsid w:val="00FB183B"/>
    <w:rsid w:val="00FB1BCD"/>
    <w:rsid w:val="00FB1BCE"/>
    <w:rsid w:val="00FB1D2A"/>
    <w:rsid w:val="00FB1EDC"/>
    <w:rsid w:val="00FB204C"/>
    <w:rsid w:val="00FB2222"/>
    <w:rsid w:val="00FB255F"/>
    <w:rsid w:val="00FB25CB"/>
    <w:rsid w:val="00FB271D"/>
    <w:rsid w:val="00FB280A"/>
    <w:rsid w:val="00FB284B"/>
    <w:rsid w:val="00FB2943"/>
    <w:rsid w:val="00FB2BD1"/>
    <w:rsid w:val="00FB2C6F"/>
    <w:rsid w:val="00FB2C80"/>
    <w:rsid w:val="00FB2CB7"/>
    <w:rsid w:val="00FB2CF8"/>
    <w:rsid w:val="00FB2D43"/>
    <w:rsid w:val="00FB3069"/>
    <w:rsid w:val="00FB307A"/>
    <w:rsid w:val="00FB30AF"/>
    <w:rsid w:val="00FB3538"/>
    <w:rsid w:val="00FB356B"/>
    <w:rsid w:val="00FB3592"/>
    <w:rsid w:val="00FB36C2"/>
    <w:rsid w:val="00FB3787"/>
    <w:rsid w:val="00FB38D6"/>
    <w:rsid w:val="00FB3AD3"/>
    <w:rsid w:val="00FB3C9D"/>
    <w:rsid w:val="00FB3CFB"/>
    <w:rsid w:val="00FB3D05"/>
    <w:rsid w:val="00FB40A5"/>
    <w:rsid w:val="00FB41B5"/>
    <w:rsid w:val="00FB43D1"/>
    <w:rsid w:val="00FB43F3"/>
    <w:rsid w:val="00FB4405"/>
    <w:rsid w:val="00FB47CE"/>
    <w:rsid w:val="00FB4A23"/>
    <w:rsid w:val="00FB4BE3"/>
    <w:rsid w:val="00FB5064"/>
    <w:rsid w:val="00FB5115"/>
    <w:rsid w:val="00FB514A"/>
    <w:rsid w:val="00FB5161"/>
    <w:rsid w:val="00FB53B5"/>
    <w:rsid w:val="00FB5493"/>
    <w:rsid w:val="00FB54A6"/>
    <w:rsid w:val="00FB570E"/>
    <w:rsid w:val="00FB5A87"/>
    <w:rsid w:val="00FB5AC1"/>
    <w:rsid w:val="00FB5D21"/>
    <w:rsid w:val="00FB5DFD"/>
    <w:rsid w:val="00FB5E66"/>
    <w:rsid w:val="00FB61CD"/>
    <w:rsid w:val="00FB63ED"/>
    <w:rsid w:val="00FB65E6"/>
    <w:rsid w:val="00FB6635"/>
    <w:rsid w:val="00FB66E5"/>
    <w:rsid w:val="00FB6760"/>
    <w:rsid w:val="00FB6796"/>
    <w:rsid w:val="00FB68D1"/>
    <w:rsid w:val="00FB69DA"/>
    <w:rsid w:val="00FB6B2A"/>
    <w:rsid w:val="00FB6B70"/>
    <w:rsid w:val="00FB6F95"/>
    <w:rsid w:val="00FB705F"/>
    <w:rsid w:val="00FB70BE"/>
    <w:rsid w:val="00FB72CD"/>
    <w:rsid w:val="00FB7451"/>
    <w:rsid w:val="00FB76ED"/>
    <w:rsid w:val="00FB7715"/>
    <w:rsid w:val="00FB7888"/>
    <w:rsid w:val="00FB797B"/>
    <w:rsid w:val="00FB7B23"/>
    <w:rsid w:val="00FB7C30"/>
    <w:rsid w:val="00FB7E46"/>
    <w:rsid w:val="00FB7E6F"/>
    <w:rsid w:val="00FB7F9F"/>
    <w:rsid w:val="00FC04AE"/>
    <w:rsid w:val="00FC05B0"/>
    <w:rsid w:val="00FC07F7"/>
    <w:rsid w:val="00FC08B5"/>
    <w:rsid w:val="00FC094B"/>
    <w:rsid w:val="00FC0AC5"/>
    <w:rsid w:val="00FC0BC1"/>
    <w:rsid w:val="00FC0BC6"/>
    <w:rsid w:val="00FC0D85"/>
    <w:rsid w:val="00FC0E52"/>
    <w:rsid w:val="00FC0E86"/>
    <w:rsid w:val="00FC0EA9"/>
    <w:rsid w:val="00FC114D"/>
    <w:rsid w:val="00FC124D"/>
    <w:rsid w:val="00FC1365"/>
    <w:rsid w:val="00FC139F"/>
    <w:rsid w:val="00FC1547"/>
    <w:rsid w:val="00FC155E"/>
    <w:rsid w:val="00FC1579"/>
    <w:rsid w:val="00FC1770"/>
    <w:rsid w:val="00FC1781"/>
    <w:rsid w:val="00FC1914"/>
    <w:rsid w:val="00FC1B2F"/>
    <w:rsid w:val="00FC24E7"/>
    <w:rsid w:val="00FC26D9"/>
    <w:rsid w:val="00FC2856"/>
    <w:rsid w:val="00FC2A03"/>
    <w:rsid w:val="00FC2B2F"/>
    <w:rsid w:val="00FC2B9C"/>
    <w:rsid w:val="00FC2E1F"/>
    <w:rsid w:val="00FC2E59"/>
    <w:rsid w:val="00FC2F0B"/>
    <w:rsid w:val="00FC336F"/>
    <w:rsid w:val="00FC3416"/>
    <w:rsid w:val="00FC3578"/>
    <w:rsid w:val="00FC37AB"/>
    <w:rsid w:val="00FC3A14"/>
    <w:rsid w:val="00FC3ED7"/>
    <w:rsid w:val="00FC443C"/>
    <w:rsid w:val="00FC449F"/>
    <w:rsid w:val="00FC46C9"/>
    <w:rsid w:val="00FC4760"/>
    <w:rsid w:val="00FC498B"/>
    <w:rsid w:val="00FC4A58"/>
    <w:rsid w:val="00FC4A94"/>
    <w:rsid w:val="00FC4C8F"/>
    <w:rsid w:val="00FC4EEA"/>
    <w:rsid w:val="00FC5054"/>
    <w:rsid w:val="00FC5263"/>
    <w:rsid w:val="00FC5441"/>
    <w:rsid w:val="00FC5640"/>
    <w:rsid w:val="00FC56C0"/>
    <w:rsid w:val="00FC5785"/>
    <w:rsid w:val="00FC5817"/>
    <w:rsid w:val="00FC58B9"/>
    <w:rsid w:val="00FC5A9D"/>
    <w:rsid w:val="00FC5B6C"/>
    <w:rsid w:val="00FC5C60"/>
    <w:rsid w:val="00FC5F06"/>
    <w:rsid w:val="00FC605A"/>
    <w:rsid w:val="00FC60D2"/>
    <w:rsid w:val="00FC6118"/>
    <w:rsid w:val="00FC6178"/>
    <w:rsid w:val="00FC6205"/>
    <w:rsid w:val="00FC641F"/>
    <w:rsid w:val="00FC6435"/>
    <w:rsid w:val="00FC67B4"/>
    <w:rsid w:val="00FC695E"/>
    <w:rsid w:val="00FC6B34"/>
    <w:rsid w:val="00FC6E71"/>
    <w:rsid w:val="00FC712C"/>
    <w:rsid w:val="00FC7278"/>
    <w:rsid w:val="00FC7565"/>
    <w:rsid w:val="00FC768B"/>
    <w:rsid w:val="00FC77B4"/>
    <w:rsid w:val="00FC77DD"/>
    <w:rsid w:val="00FC7A00"/>
    <w:rsid w:val="00FC7A86"/>
    <w:rsid w:val="00FC7ACA"/>
    <w:rsid w:val="00FC7D90"/>
    <w:rsid w:val="00FC7DFD"/>
    <w:rsid w:val="00FC7E83"/>
    <w:rsid w:val="00FD0141"/>
    <w:rsid w:val="00FD0226"/>
    <w:rsid w:val="00FD0357"/>
    <w:rsid w:val="00FD03BC"/>
    <w:rsid w:val="00FD0566"/>
    <w:rsid w:val="00FD0642"/>
    <w:rsid w:val="00FD06B3"/>
    <w:rsid w:val="00FD07A2"/>
    <w:rsid w:val="00FD0806"/>
    <w:rsid w:val="00FD0871"/>
    <w:rsid w:val="00FD0A10"/>
    <w:rsid w:val="00FD0D03"/>
    <w:rsid w:val="00FD0E69"/>
    <w:rsid w:val="00FD0FC6"/>
    <w:rsid w:val="00FD123B"/>
    <w:rsid w:val="00FD13AB"/>
    <w:rsid w:val="00FD141C"/>
    <w:rsid w:val="00FD177A"/>
    <w:rsid w:val="00FD1A04"/>
    <w:rsid w:val="00FD1C74"/>
    <w:rsid w:val="00FD1D4B"/>
    <w:rsid w:val="00FD1D9C"/>
    <w:rsid w:val="00FD1DBB"/>
    <w:rsid w:val="00FD1DBF"/>
    <w:rsid w:val="00FD1FE1"/>
    <w:rsid w:val="00FD2054"/>
    <w:rsid w:val="00FD2135"/>
    <w:rsid w:val="00FD222E"/>
    <w:rsid w:val="00FD22C3"/>
    <w:rsid w:val="00FD2300"/>
    <w:rsid w:val="00FD2415"/>
    <w:rsid w:val="00FD2472"/>
    <w:rsid w:val="00FD2635"/>
    <w:rsid w:val="00FD271D"/>
    <w:rsid w:val="00FD2BFE"/>
    <w:rsid w:val="00FD2C9E"/>
    <w:rsid w:val="00FD2E0B"/>
    <w:rsid w:val="00FD2FA0"/>
    <w:rsid w:val="00FD3202"/>
    <w:rsid w:val="00FD3275"/>
    <w:rsid w:val="00FD376B"/>
    <w:rsid w:val="00FD396A"/>
    <w:rsid w:val="00FD3B34"/>
    <w:rsid w:val="00FD3D1C"/>
    <w:rsid w:val="00FD3D95"/>
    <w:rsid w:val="00FD3E46"/>
    <w:rsid w:val="00FD3FE5"/>
    <w:rsid w:val="00FD41D8"/>
    <w:rsid w:val="00FD42CD"/>
    <w:rsid w:val="00FD4328"/>
    <w:rsid w:val="00FD4820"/>
    <w:rsid w:val="00FD48F8"/>
    <w:rsid w:val="00FD4B74"/>
    <w:rsid w:val="00FD4BC2"/>
    <w:rsid w:val="00FD4EAB"/>
    <w:rsid w:val="00FD4F21"/>
    <w:rsid w:val="00FD50D7"/>
    <w:rsid w:val="00FD5176"/>
    <w:rsid w:val="00FD5177"/>
    <w:rsid w:val="00FD5208"/>
    <w:rsid w:val="00FD5278"/>
    <w:rsid w:val="00FD52AD"/>
    <w:rsid w:val="00FD536E"/>
    <w:rsid w:val="00FD53A9"/>
    <w:rsid w:val="00FD55A9"/>
    <w:rsid w:val="00FD55D6"/>
    <w:rsid w:val="00FD5707"/>
    <w:rsid w:val="00FD5811"/>
    <w:rsid w:val="00FD59BB"/>
    <w:rsid w:val="00FD5AD8"/>
    <w:rsid w:val="00FD5C68"/>
    <w:rsid w:val="00FD5CA0"/>
    <w:rsid w:val="00FD5D63"/>
    <w:rsid w:val="00FD5E2F"/>
    <w:rsid w:val="00FD609F"/>
    <w:rsid w:val="00FD62C1"/>
    <w:rsid w:val="00FD62F4"/>
    <w:rsid w:val="00FD63BB"/>
    <w:rsid w:val="00FD663F"/>
    <w:rsid w:val="00FD666C"/>
    <w:rsid w:val="00FD6897"/>
    <w:rsid w:val="00FD6921"/>
    <w:rsid w:val="00FD6BFB"/>
    <w:rsid w:val="00FD6D19"/>
    <w:rsid w:val="00FD6D3E"/>
    <w:rsid w:val="00FD6DB2"/>
    <w:rsid w:val="00FD6DC3"/>
    <w:rsid w:val="00FD6FF8"/>
    <w:rsid w:val="00FD73E8"/>
    <w:rsid w:val="00FD7565"/>
    <w:rsid w:val="00FD7597"/>
    <w:rsid w:val="00FD79BC"/>
    <w:rsid w:val="00FD7A48"/>
    <w:rsid w:val="00FD7CE0"/>
    <w:rsid w:val="00FD7D6E"/>
    <w:rsid w:val="00FD7EFD"/>
    <w:rsid w:val="00FE0007"/>
    <w:rsid w:val="00FE00EA"/>
    <w:rsid w:val="00FE0100"/>
    <w:rsid w:val="00FE018C"/>
    <w:rsid w:val="00FE01FF"/>
    <w:rsid w:val="00FE0475"/>
    <w:rsid w:val="00FE04AB"/>
    <w:rsid w:val="00FE0570"/>
    <w:rsid w:val="00FE05DD"/>
    <w:rsid w:val="00FE0A8E"/>
    <w:rsid w:val="00FE0C11"/>
    <w:rsid w:val="00FE1091"/>
    <w:rsid w:val="00FE10BD"/>
    <w:rsid w:val="00FE14D2"/>
    <w:rsid w:val="00FE15AF"/>
    <w:rsid w:val="00FE15B4"/>
    <w:rsid w:val="00FE16F2"/>
    <w:rsid w:val="00FE17C0"/>
    <w:rsid w:val="00FE17CC"/>
    <w:rsid w:val="00FE18BA"/>
    <w:rsid w:val="00FE18D7"/>
    <w:rsid w:val="00FE18FB"/>
    <w:rsid w:val="00FE1A19"/>
    <w:rsid w:val="00FE1B94"/>
    <w:rsid w:val="00FE1BFE"/>
    <w:rsid w:val="00FE1DB7"/>
    <w:rsid w:val="00FE21F7"/>
    <w:rsid w:val="00FE26C8"/>
    <w:rsid w:val="00FE289F"/>
    <w:rsid w:val="00FE292C"/>
    <w:rsid w:val="00FE2931"/>
    <w:rsid w:val="00FE2AB7"/>
    <w:rsid w:val="00FE2DA8"/>
    <w:rsid w:val="00FE2DBF"/>
    <w:rsid w:val="00FE319E"/>
    <w:rsid w:val="00FE3216"/>
    <w:rsid w:val="00FE334E"/>
    <w:rsid w:val="00FE3514"/>
    <w:rsid w:val="00FE3602"/>
    <w:rsid w:val="00FE3709"/>
    <w:rsid w:val="00FE38A4"/>
    <w:rsid w:val="00FE3B1A"/>
    <w:rsid w:val="00FE3EF0"/>
    <w:rsid w:val="00FE41D3"/>
    <w:rsid w:val="00FE4303"/>
    <w:rsid w:val="00FE4393"/>
    <w:rsid w:val="00FE442B"/>
    <w:rsid w:val="00FE448A"/>
    <w:rsid w:val="00FE45FA"/>
    <w:rsid w:val="00FE46B8"/>
    <w:rsid w:val="00FE478B"/>
    <w:rsid w:val="00FE4891"/>
    <w:rsid w:val="00FE4896"/>
    <w:rsid w:val="00FE4993"/>
    <w:rsid w:val="00FE4A69"/>
    <w:rsid w:val="00FE4B8E"/>
    <w:rsid w:val="00FE4BAE"/>
    <w:rsid w:val="00FE4BC9"/>
    <w:rsid w:val="00FE4C7C"/>
    <w:rsid w:val="00FE4D2B"/>
    <w:rsid w:val="00FE5032"/>
    <w:rsid w:val="00FE5043"/>
    <w:rsid w:val="00FE5245"/>
    <w:rsid w:val="00FE587E"/>
    <w:rsid w:val="00FE58D4"/>
    <w:rsid w:val="00FE5AC8"/>
    <w:rsid w:val="00FE5AF0"/>
    <w:rsid w:val="00FE5BC0"/>
    <w:rsid w:val="00FE5C9B"/>
    <w:rsid w:val="00FE5EC2"/>
    <w:rsid w:val="00FE60A1"/>
    <w:rsid w:val="00FE60CB"/>
    <w:rsid w:val="00FE6108"/>
    <w:rsid w:val="00FE6148"/>
    <w:rsid w:val="00FE6590"/>
    <w:rsid w:val="00FE66E9"/>
    <w:rsid w:val="00FE6815"/>
    <w:rsid w:val="00FE698C"/>
    <w:rsid w:val="00FE6CED"/>
    <w:rsid w:val="00FE6EDC"/>
    <w:rsid w:val="00FE6EEC"/>
    <w:rsid w:val="00FE6F22"/>
    <w:rsid w:val="00FE71B4"/>
    <w:rsid w:val="00FE71EE"/>
    <w:rsid w:val="00FE72BD"/>
    <w:rsid w:val="00FE7398"/>
    <w:rsid w:val="00FE79EE"/>
    <w:rsid w:val="00FE7A92"/>
    <w:rsid w:val="00FE7DDB"/>
    <w:rsid w:val="00FE7E1D"/>
    <w:rsid w:val="00FF02D4"/>
    <w:rsid w:val="00FF085C"/>
    <w:rsid w:val="00FF0A40"/>
    <w:rsid w:val="00FF0A43"/>
    <w:rsid w:val="00FF0CEE"/>
    <w:rsid w:val="00FF0E1E"/>
    <w:rsid w:val="00FF0E4A"/>
    <w:rsid w:val="00FF0E70"/>
    <w:rsid w:val="00FF1133"/>
    <w:rsid w:val="00FF12D0"/>
    <w:rsid w:val="00FF138E"/>
    <w:rsid w:val="00FF176A"/>
    <w:rsid w:val="00FF1848"/>
    <w:rsid w:val="00FF18E4"/>
    <w:rsid w:val="00FF19FD"/>
    <w:rsid w:val="00FF1A41"/>
    <w:rsid w:val="00FF1A62"/>
    <w:rsid w:val="00FF1BBB"/>
    <w:rsid w:val="00FF1C2C"/>
    <w:rsid w:val="00FF1C83"/>
    <w:rsid w:val="00FF1F62"/>
    <w:rsid w:val="00FF2030"/>
    <w:rsid w:val="00FF228A"/>
    <w:rsid w:val="00FF24BC"/>
    <w:rsid w:val="00FF253E"/>
    <w:rsid w:val="00FF261D"/>
    <w:rsid w:val="00FF2886"/>
    <w:rsid w:val="00FF2B4B"/>
    <w:rsid w:val="00FF2BAA"/>
    <w:rsid w:val="00FF2BB4"/>
    <w:rsid w:val="00FF319D"/>
    <w:rsid w:val="00FF31FD"/>
    <w:rsid w:val="00FF3294"/>
    <w:rsid w:val="00FF329F"/>
    <w:rsid w:val="00FF32BA"/>
    <w:rsid w:val="00FF3327"/>
    <w:rsid w:val="00FF3517"/>
    <w:rsid w:val="00FF3536"/>
    <w:rsid w:val="00FF3670"/>
    <w:rsid w:val="00FF3AAC"/>
    <w:rsid w:val="00FF3F75"/>
    <w:rsid w:val="00FF4238"/>
    <w:rsid w:val="00FF42A9"/>
    <w:rsid w:val="00FF4306"/>
    <w:rsid w:val="00FF4636"/>
    <w:rsid w:val="00FF465B"/>
    <w:rsid w:val="00FF46E3"/>
    <w:rsid w:val="00FF48CD"/>
    <w:rsid w:val="00FF48DD"/>
    <w:rsid w:val="00FF49D6"/>
    <w:rsid w:val="00FF4A60"/>
    <w:rsid w:val="00FF4ACD"/>
    <w:rsid w:val="00FF4BE7"/>
    <w:rsid w:val="00FF5470"/>
    <w:rsid w:val="00FF5482"/>
    <w:rsid w:val="00FF54D7"/>
    <w:rsid w:val="00FF54E7"/>
    <w:rsid w:val="00FF55B3"/>
    <w:rsid w:val="00FF578C"/>
    <w:rsid w:val="00FF584E"/>
    <w:rsid w:val="00FF5994"/>
    <w:rsid w:val="00FF5A95"/>
    <w:rsid w:val="00FF5DA6"/>
    <w:rsid w:val="00FF5F02"/>
    <w:rsid w:val="00FF61D6"/>
    <w:rsid w:val="00FF654D"/>
    <w:rsid w:val="00FF65E1"/>
    <w:rsid w:val="00FF67B5"/>
    <w:rsid w:val="00FF6B37"/>
    <w:rsid w:val="00FF6B5D"/>
    <w:rsid w:val="00FF6C1D"/>
    <w:rsid w:val="00FF6E50"/>
    <w:rsid w:val="00FF6EBB"/>
    <w:rsid w:val="00FF710D"/>
    <w:rsid w:val="00FF72EA"/>
    <w:rsid w:val="00FF7410"/>
    <w:rsid w:val="00FF7584"/>
    <w:rsid w:val="00FF784A"/>
    <w:rsid w:val="00FF7894"/>
    <w:rsid w:val="00FF7B43"/>
    <w:rsid w:val="00FF7C5E"/>
    <w:rsid w:val="00FF7D5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38" fillcolor="none [3200]" strokecolor="none [3212]">
      <v:fill color="none [3200]"/>
      <v:stroke color="none [3212]" weight="0"/>
      <v:shadow type="perspective" color="none [1601]" opacity=".5" offset="1pt" offset2="-1pt"/>
      <o:colormru v:ext="edit" colors="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nhideWhenUsed="0" w:qFormat="1"/>
    <w:lsdException w:name="heading 6" w:semiHidden="0" w:uiPriority="0" w:unhideWhenUsed="0" w:qFormat="1"/>
    <w:lsdException w:name="heading 7" w:locked="0" w:semiHidden="0" w:uiPriority="0" w:unhideWhenUsed="0" w:qFormat="1"/>
    <w:lsdException w:name="heading 8" w:semiHidden="0" w:uiPriority="0" w:unhideWhenUsed="0" w:qFormat="1"/>
    <w:lsdException w:name="heading 9" w:semiHidden="0" w:uiPriority="0" w:unhideWhenUsed="0" w:qFormat="1"/>
    <w:lsdException w:name="index 1" w:locked="0"/>
    <w:lsdException w:name="index 2" w:locked="0" w:uiPriority="0"/>
    <w:lsdException w:name="index 3" w:locked="0" w:uiPriority="0"/>
    <w:lsdException w:name="index 4" w:locked="0" w:uiPriority="0"/>
    <w:lsdException w:name="index 5" w:locked="0" w:uiPriority="0"/>
    <w:lsdException w:name="index 6" w:locked="0" w:uiPriority="0"/>
    <w:lsdException w:name="index 7" w:locked="0" w:uiPriority="0"/>
    <w:lsdException w:name="index 8" w:locked="0" w:uiPriority="0"/>
    <w:lsdException w:name="index 9" w:locked="0" w:uiPriority="0"/>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annotation text" w:locked="0" w:uiPriority="0"/>
    <w:lsdException w:name="header" w:locked="0"/>
    <w:lsdException w:name="footer" w:locked="0" w:qFormat="1"/>
    <w:lsdException w:name="index heading" w:locked="0" w:uiPriority="0"/>
    <w:lsdException w:name="caption" w:locked="0" w:uiPriority="0" w:unhideWhenUsed="0" w:qFormat="1"/>
    <w:lsdException w:name="table of figures" w:locked="0"/>
    <w:lsdException w:name="annotation reference" w:locked="0"/>
    <w:lsdException w:name="page number" w:semiHidden="0" w:unhideWhenUsed="0"/>
    <w:lsdException w:name="endnote reference" w:locked="0"/>
    <w:lsdException w:name="endnote text" w:locked="0" w:uiPriority="0"/>
    <w:lsdException w:name="toa heading" w:locked="0" w:uiPriority="0"/>
    <w:lsdException w:name="List Number" w:uiPriority="0" w:qFormat="1"/>
    <w:lsdException w:name="Title" w:semiHidden="0" w:uiPriority="0" w:unhideWhenUsed="0" w:qFormat="1"/>
    <w:lsdException w:name="Default Paragraph Font" w:locked="0" w:uiPriority="1"/>
    <w:lsdException w:name="Subtitle" w:semiHidden="0" w:uiPriority="0" w:unhideWhenUsed="0"/>
    <w:lsdException w:name="Hyperlink" w:locked="0"/>
    <w:lsdException w:name="Strong" w:semiHidden="0" w:uiPriority="22" w:unhideWhenUsed="0" w:qFormat="1"/>
    <w:lsdException w:name="Emphasis" w:semiHidden="0" w:uiPriority="20" w:unhideWhenUsed="0" w:qFormat="1"/>
    <w:lsdException w:name="Plain Text" w:locked="0" w:uiPriority="0"/>
    <w:lsdException w:name="HTML Top of Form" w:locked="0"/>
    <w:lsdException w:name="HTML Bottom of Form" w:locked="0"/>
    <w:lsdException w:name="Normal (Web)" w:locked="0"/>
    <w:lsdException w:name="Normal Table" w:locked="0"/>
    <w:lsdException w:name="annotation subject" w:locked="0" w:uiPriority="0"/>
    <w:lsdException w:name="No List" w:locked="0"/>
    <w:lsdException w:name="Table Simple 1" w:locked="0" w:uiPriority="0"/>
    <w:lsdException w:name="Balloon Text" w:locked="0"/>
    <w:lsdException w:name="Table Grid" w:locked="0" w:semiHidden="0" w:uiPriority="59" w:unhideWhenUsed="0"/>
    <w:lsdException w:name="Placeholder Text" w:locked="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0" w:unhideWhenUsed="0"/>
    <w:lsdException w:name="List Paragraph" w:semiHidden="0" w:unhideWhenUsed="0" w:qFormat="1"/>
    <w:lsdException w:name="Quote" w:locked="0"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normal)"/>
    <w:qFormat/>
    <w:rsid w:val="004A6E26"/>
    <w:pPr>
      <w:spacing w:after="220" w:line="280" w:lineRule="atLeast"/>
    </w:pPr>
    <w:rPr>
      <w:rFonts w:ascii="Times New Roman" w:hAnsi="Times New Roman"/>
      <w:sz w:val="22"/>
      <w:lang w:val="en-GB" w:eastAsia="en-US"/>
    </w:rPr>
  </w:style>
  <w:style w:type="paragraph" w:styleId="Heading1">
    <w:name w:val="heading 1"/>
    <w:basedOn w:val="Normal"/>
    <w:next w:val="Normal"/>
    <w:link w:val="Heading1Char"/>
    <w:qFormat/>
    <w:rsid w:val="00EB65B6"/>
    <w:pPr>
      <w:keepNext/>
      <w:numPr>
        <w:numId w:val="7"/>
      </w:numPr>
      <w:spacing w:after="300" w:line="240" w:lineRule="auto"/>
      <w:outlineLvl w:val="0"/>
    </w:pPr>
    <w:rPr>
      <w:rFonts w:ascii="Tahoma" w:hAnsi="Tahoma"/>
      <w:b/>
      <w:color w:val="000033"/>
      <w:kern w:val="28"/>
      <w:sz w:val="40"/>
    </w:rPr>
  </w:style>
  <w:style w:type="paragraph" w:styleId="Heading2">
    <w:name w:val="heading 2"/>
    <w:basedOn w:val="Normal"/>
    <w:next w:val="Normal"/>
    <w:link w:val="Heading2Char"/>
    <w:autoRedefine/>
    <w:qFormat/>
    <w:rsid w:val="002B6726"/>
    <w:pPr>
      <w:keepNext/>
      <w:numPr>
        <w:ilvl w:val="1"/>
        <w:numId w:val="7"/>
      </w:numPr>
      <w:spacing w:before="480" w:after="240" w:line="240" w:lineRule="auto"/>
      <w:ind w:left="720"/>
      <w:outlineLvl w:val="1"/>
    </w:pPr>
    <w:rPr>
      <w:rFonts w:ascii="Arial" w:hAnsi="Arial" w:cs="Arial"/>
      <w:b/>
      <w:color w:val="000033"/>
      <w:sz w:val="26"/>
      <w:szCs w:val="22"/>
    </w:rPr>
  </w:style>
  <w:style w:type="paragraph" w:styleId="Heading3">
    <w:name w:val="heading 3"/>
    <w:basedOn w:val="Normal"/>
    <w:next w:val="Normal"/>
    <w:link w:val="Heading3Char"/>
    <w:autoRedefine/>
    <w:qFormat/>
    <w:rsid w:val="009A0293"/>
    <w:pPr>
      <w:keepNext/>
      <w:numPr>
        <w:ilvl w:val="2"/>
        <w:numId w:val="7"/>
      </w:numPr>
      <w:tabs>
        <w:tab w:val="clear" w:pos="4842"/>
      </w:tabs>
      <w:spacing w:before="240" w:after="240" w:line="240" w:lineRule="auto"/>
      <w:ind w:left="720"/>
      <w:outlineLvl w:val="2"/>
    </w:pPr>
    <w:rPr>
      <w:rFonts w:ascii="Arial" w:hAnsi="Arial" w:cs="Arial"/>
      <w:b/>
      <w:color w:val="000033"/>
    </w:rPr>
  </w:style>
  <w:style w:type="paragraph" w:styleId="Heading4">
    <w:name w:val="heading 4"/>
    <w:basedOn w:val="Normal"/>
    <w:next w:val="Normal"/>
    <w:link w:val="Heading4Char"/>
    <w:qFormat/>
    <w:rsid w:val="002E7DBF"/>
    <w:pPr>
      <w:keepNext/>
      <w:spacing w:after="120" w:line="240" w:lineRule="auto"/>
      <w:outlineLvl w:val="3"/>
    </w:pPr>
    <w:rPr>
      <w:b/>
      <w:sz w:val="24"/>
    </w:rPr>
  </w:style>
  <w:style w:type="paragraph" w:styleId="Heading5">
    <w:name w:val="heading 5"/>
    <w:basedOn w:val="Normal"/>
    <w:next w:val="Normal"/>
    <w:link w:val="Heading5Char"/>
    <w:uiPriority w:val="99"/>
    <w:qFormat/>
    <w:locked/>
    <w:rsid w:val="00924F40"/>
    <w:pPr>
      <w:keepNext/>
      <w:spacing w:before="60" w:after="60" w:line="240" w:lineRule="auto"/>
      <w:outlineLvl w:val="4"/>
    </w:pPr>
    <w:rPr>
      <w:i/>
      <w:sz w:val="24"/>
    </w:rPr>
  </w:style>
  <w:style w:type="paragraph" w:styleId="Heading6">
    <w:name w:val="heading 6"/>
    <w:basedOn w:val="Normal"/>
    <w:next w:val="Normal"/>
    <w:link w:val="Heading6Char"/>
    <w:semiHidden/>
    <w:qFormat/>
    <w:locked/>
    <w:rsid w:val="00924F40"/>
    <w:pPr>
      <w:spacing w:before="240" w:after="60" w:line="240" w:lineRule="auto"/>
      <w:outlineLvl w:val="5"/>
    </w:pPr>
    <w:rPr>
      <w:bCs/>
      <w:i/>
      <w:color w:val="7F7F7F" w:themeColor="text1" w:themeTint="80"/>
      <w:szCs w:val="22"/>
    </w:rPr>
  </w:style>
  <w:style w:type="paragraph" w:styleId="Heading7">
    <w:name w:val="heading 7"/>
    <w:aliases w:val="Appendix"/>
    <w:basedOn w:val="Normal"/>
    <w:next w:val="Normal"/>
    <w:link w:val="Heading7Char"/>
    <w:semiHidden/>
    <w:qFormat/>
    <w:locked/>
    <w:rsid w:val="00924F40"/>
    <w:pPr>
      <w:spacing w:before="240" w:after="60" w:line="240" w:lineRule="auto"/>
      <w:outlineLvl w:val="6"/>
    </w:pPr>
    <w:rPr>
      <w:b/>
      <w:sz w:val="24"/>
      <w:szCs w:val="24"/>
      <w:lang w:val="en-AU" w:eastAsia="en-AU"/>
    </w:rPr>
  </w:style>
  <w:style w:type="paragraph" w:styleId="Heading8">
    <w:name w:val="heading 8"/>
    <w:basedOn w:val="Normal"/>
    <w:next w:val="Normal"/>
    <w:link w:val="Heading8Char"/>
    <w:semiHidden/>
    <w:qFormat/>
    <w:locked/>
    <w:rsid w:val="00924F40"/>
    <w:pPr>
      <w:spacing w:before="240" w:after="60"/>
      <w:outlineLvl w:val="7"/>
    </w:pPr>
    <w:rPr>
      <w:rFonts w:ascii="Arial" w:hAnsi="Arial"/>
      <w:i/>
      <w:sz w:val="20"/>
      <w:lang w:val="en-AU" w:eastAsia="en-AU"/>
    </w:rPr>
  </w:style>
  <w:style w:type="paragraph" w:styleId="Heading9">
    <w:name w:val="heading 9"/>
    <w:basedOn w:val="Normal"/>
    <w:next w:val="Normal"/>
    <w:link w:val="Heading9Char"/>
    <w:semiHidden/>
    <w:qFormat/>
    <w:locked/>
    <w:rsid w:val="00924F40"/>
    <w:pPr>
      <w:spacing w:before="240" w:after="60"/>
      <w:outlineLvl w:val="8"/>
    </w:pPr>
    <w:rPr>
      <w:rFonts w:ascii="Arial" w:hAnsi="Arial"/>
      <w:b/>
      <w:i/>
      <w:sz w:val="1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B65B6"/>
    <w:rPr>
      <w:rFonts w:ascii="Tahoma" w:hAnsi="Tahoma"/>
      <w:b/>
      <w:color w:val="000033"/>
      <w:kern w:val="28"/>
      <w:sz w:val="40"/>
      <w:lang w:val="en-GB" w:eastAsia="en-US"/>
    </w:rPr>
  </w:style>
  <w:style w:type="character" w:customStyle="1" w:styleId="Heading2Char">
    <w:name w:val="Heading 2 Char"/>
    <w:link w:val="Heading2"/>
    <w:locked/>
    <w:rsid w:val="002B6726"/>
    <w:rPr>
      <w:rFonts w:ascii="Arial" w:hAnsi="Arial" w:cs="Arial"/>
      <w:b/>
      <w:color w:val="000033"/>
      <w:sz w:val="26"/>
      <w:szCs w:val="22"/>
      <w:lang w:val="en-GB" w:eastAsia="en-US"/>
    </w:rPr>
  </w:style>
  <w:style w:type="character" w:customStyle="1" w:styleId="Heading3Char">
    <w:name w:val="Heading 3 Char"/>
    <w:link w:val="Heading3"/>
    <w:locked/>
    <w:rsid w:val="009A0293"/>
    <w:rPr>
      <w:rFonts w:ascii="Arial" w:hAnsi="Arial" w:cs="Arial"/>
      <w:b/>
      <w:color w:val="000033"/>
      <w:sz w:val="22"/>
      <w:lang w:val="en-GB" w:eastAsia="en-US"/>
    </w:rPr>
  </w:style>
  <w:style w:type="character" w:customStyle="1" w:styleId="Heading4Char">
    <w:name w:val="Heading 4 Char"/>
    <w:link w:val="Heading4"/>
    <w:locked/>
    <w:rsid w:val="002E7DBF"/>
    <w:rPr>
      <w:rFonts w:ascii="Times New Roman" w:hAnsi="Times New Roman"/>
      <w:b/>
      <w:sz w:val="24"/>
      <w:lang w:val="en-GB" w:eastAsia="en-US"/>
    </w:rPr>
  </w:style>
  <w:style w:type="character" w:customStyle="1" w:styleId="Heading5Char">
    <w:name w:val="Heading 5 Char"/>
    <w:link w:val="Heading5"/>
    <w:uiPriority w:val="99"/>
    <w:locked/>
    <w:rsid w:val="009852DB"/>
    <w:rPr>
      <w:rFonts w:ascii="Times New Roman" w:hAnsi="Times New Roman"/>
      <w:i/>
      <w:sz w:val="24"/>
      <w:lang w:val="en-GB" w:eastAsia="en-US"/>
    </w:rPr>
  </w:style>
  <w:style w:type="character" w:customStyle="1" w:styleId="Heading6Char">
    <w:name w:val="Heading 6 Char"/>
    <w:link w:val="Heading6"/>
    <w:semiHidden/>
    <w:locked/>
    <w:rsid w:val="009852DB"/>
    <w:rPr>
      <w:rFonts w:ascii="Times New Roman" w:hAnsi="Times New Roman"/>
      <w:bCs/>
      <w:i/>
      <w:color w:val="7F7F7F" w:themeColor="text1" w:themeTint="80"/>
      <w:sz w:val="22"/>
      <w:szCs w:val="22"/>
      <w:lang w:val="en-GB" w:eastAsia="en-US"/>
    </w:rPr>
  </w:style>
  <w:style w:type="character" w:customStyle="1" w:styleId="Heading7Char">
    <w:name w:val="Heading 7 Char"/>
    <w:aliases w:val="Appendix Char"/>
    <w:link w:val="Heading7"/>
    <w:semiHidden/>
    <w:locked/>
    <w:rsid w:val="009852DB"/>
    <w:rPr>
      <w:rFonts w:ascii="Times New Roman" w:hAnsi="Times New Roman"/>
      <w:b/>
      <w:sz w:val="24"/>
      <w:szCs w:val="24"/>
    </w:rPr>
  </w:style>
  <w:style w:type="character" w:customStyle="1" w:styleId="Heading8Char">
    <w:name w:val="Heading 8 Char"/>
    <w:link w:val="Heading8"/>
    <w:semiHidden/>
    <w:locked/>
    <w:rsid w:val="009852DB"/>
    <w:rPr>
      <w:rFonts w:ascii="Arial" w:hAnsi="Arial"/>
      <w:i/>
    </w:rPr>
  </w:style>
  <w:style w:type="character" w:customStyle="1" w:styleId="Heading9Char">
    <w:name w:val="Heading 9 Char"/>
    <w:link w:val="Heading9"/>
    <w:semiHidden/>
    <w:locked/>
    <w:rsid w:val="009852DB"/>
    <w:rPr>
      <w:rFonts w:ascii="Arial" w:hAnsi="Arial"/>
      <w:b/>
      <w:i/>
      <w:sz w:val="18"/>
    </w:rPr>
  </w:style>
  <w:style w:type="paragraph" w:customStyle="1" w:styleId="FigureName">
    <w:name w:val="Figure Name"/>
    <w:basedOn w:val="TableName"/>
    <w:next w:val="Normal"/>
    <w:qFormat/>
    <w:rsid w:val="00F7639D"/>
  </w:style>
  <w:style w:type="paragraph" w:customStyle="1" w:styleId="TableName">
    <w:name w:val="Table Name"/>
    <w:basedOn w:val="TableTextLeft"/>
    <w:link w:val="TableNameChar"/>
    <w:qFormat/>
    <w:rsid w:val="00F7639D"/>
    <w:pPr>
      <w:spacing w:before="120" w:after="120"/>
      <w:ind w:left="1080" w:hanging="1080"/>
    </w:pPr>
    <w:rPr>
      <w:b/>
      <w:sz w:val="20"/>
    </w:rPr>
  </w:style>
  <w:style w:type="paragraph" w:customStyle="1" w:styleId="TableTextLeft">
    <w:name w:val="Table Text Left"/>
    <w:uiPriority w:val="99"/>
    <w:qFormat/>
    <w:rsid w:val="008A6CA2"/>
    <w:pPr>
      <w:spacing w:before="40" w:after="40"/>
    </w:pPr>
    <w:rPr>
      <w:rFonts w:ascii="Arial Narrow" w:hAnsi="Arial Narrow"/>
      <w:sz w:val="18"/>
      <w:lang w:val="en-GB" w:eastAsia="en-US"/>
    </w:rPr>
  </w:style>
  <w:style w:type="character" w:customStyle="1" w:styleId="TableNameChar">
    <w:name w:val="Table Name Char"/>
    <w:link w:val="TableName"/>
    <w:locked/>
    <w:rsid w:val="008D7FA3"/>
    <w:rPr>
      <w:rFonts w:ascii="Arial Narrow" w:hAnsi="Arial Narrow" w:cs="Times New Roman"/>
      <w:b/>
    </w:rPr>
  </w:style>
  <w:style w:type="paragraph" w:styleId="Footer">
    <w:name w:val="footer"/>
    <w:aliases w:val="Footer (page number)"/>
    <w:basedOn w:val="Normal"/>
    <w:link w:val="FooterChar"/>
    <w:uiPriority w:val="99"/>
    <w:qFormat/>
    <w:rsid w:val="00280AFD"/>
    <w:pPr>
      <w:tabs>
        <w:tab w:val="right" w:pos="8732"/>
      </w:tabs>
      <w:spacing w:after="0" w:line="240" w:lineRule="atLeast"/>
    </w:pPr>
    <w:rPr>
      <w:i/>
      <w:color w:val="808080"/>
      <w:sz w:val="18"/>
    </w:rPr>
  </w:style>
  <w:style w:type="character" w:customStyle="1" w:styleId="FooterChar">
    <w:name w:val="Footer Char"/>
    <w:aliases w:val="Footer (page number) Char"/>
    <w:link w:val="Footer"/>
    <w:uiPriority w:val="99"/>
    <w:locked/>
    <w:rsid w:val="00280AFD"/>
    <w:rPr>
      <w:rFonts w:ascii="Times New Roman" w:hAnsi="Times New Roman"/>
      <w:i/>
      <w:color w:val="808080"/>
      <w:sz w:val="18"/>
      <w:lang w:val="en-GB" w:eastAsia="en-US"/>
    </w:rPr>
  </w:style>
  <w:style w:type="paragraph" w:customStyle="1" w:styleId="HeadingAppendix1">
    <w:name w:val="Heading Appendix 1"/>
    <w:basedOn w:val="Heading1"/>
    <w:qFormat/>
    <w:rsid w:val="000A4D58"/>
    <w:pPr>
      <w:numPr>
        <w:numId w:val="6"/>
      </w:numPr>
      <w:tabs>
        <w:tab w:val="left" w:pos="2693"/>
      </w:tabs>
    </w:pPr>
  </w:style>
  <w:style w:type="paragraph" w:styleId="FootnoteText">
    <w:name w:val="footnote text"/>
    <w:aliases w:val="Footnote,(NECG) Footnote Text,Footnote Text Char2,(NECG) Footnote Text Char,Footnote Text Char1 Char1"/>
    <w:basedOn w:val="Normal"/>
    <w:link w:val="FootnoteTextChar"/>
    <w:uiPriority w:val="99"/>
    <w:qFormat/>
    <w:rsid w:val="00847798"/>
    <w:pPr>
      <w:overflowPunct w:val="0"/>
      <w:autoSpaceDE w:val="0"/>
      <w:autoSpaceDN w:val="0"/>
      <w:adjustRightInd w:val="0"/>
      <w:spacing w:after="120" w:line="240" w:lineRule="auto"/>
      <w:textAlignment w:val="baseline"/>
    </w:pPr>
    <w:rPr>
      <w:sz w:val="18"/>
      <w:szCs w:val="18"/>
      <w:lang w:val="en-AU"/>
    </w:rPr>
  </w:style>
  <w:style w:type="character" w:customStyle="1" w:styleId="FootnoteTextChar">
    <w:name w:val="Footnote Text Char"/>
    <w:aliases w:val="Footnote Char,(NECG) Footnote Text Char1,Footnote Text Char2 Char,(NECG) Footnote Text Char Char,Footnote Text Char1 Char1 Char"/>
    <w:link w:val="FootnoteText"/>
    <w:uiPriority w:val="99"/>
    <w:locked/>
    <w:rsid w:val="00847798"/>
    <w:rPr>
      <w:rFonts w:ascii="Times New Roman" w:hAnsi="Times New Roman"/>
      <w:sz w:val="18"/>
      <w:szCs w:val="18"/>
      <w:lang w:eastAsia="en-US"/>
    </w:rPr>
  </w:style>
  <w:style w:type="paragraph" w:styleId="TableofFigures">
    <w:name w:val="table of figures"/>
    <w:basedOn w:val="Normal"/>
    <w:next w:val="Normal"/>
    <w:uiPriority w:val="99"/>
    <w:rsid w:val="00874740"/>
    <w:pPr>
      <w:tabs>
        <w:tab w:val="left" w:pos="1418"/>
        <w:tab w:val="right" w:pos="7655"/>
      </w:tabs>
      <w:ind w:left="1418" w:right="1418" w:hanging="1418"/>
    </w:pPr>
    <w:rPr>
      <w:noProof/>
    </w:rPr>
  </w:style>
  <w:style w:type="paragraph" w:styleId="TOC3">
    <w:name w:val="toc 3"/>
    <w:basedOn w:val="TOC2"/>
    <w:next w:val="Normal"/>
    <w:autoRedefine/>
    <w:uiPriority w:val="39"/>
    <w:rsid w:val="00F7639D"/>
    <w:pPr>
      <w:tabs>
        <w:tab w:val="left" w:pos="1800"/>
      </w:tabs>
      <w:ind w:left="1800"/>
    </w:pPr>
  </w:style>
  <w:style w:type="paragraph" w:styleId="TOC2">
    <w:name w:val="toc 2"/>
    <w:basedOn w:val="TOC1"/>
    <w:next w:val="Normal"/>
    <w:uiPriority w:val="39"/>
    <w:rsid w:val="00F7639D"/>
    <w:pPr>
      <w:tabs>
        <w:tab w:val="clear" w:pos="360"/>
        <w:tab w:val="left" w:pos="1080"/>
      </w:tabs>
      <w:spacing w:before="60" w:after="0"/>
      <w:ind w:left="1080" w:hanging="720"/>
    </w:pPr>
    <w:rPr>
      <w:b w:val="0"/>
    </w:rPr>
  </w:style>
  <w:style w:type="paragraph" w:styleId="TOC1">
    <w:name w:val="toc 1"/>
    <w:basedOn w:val="Normal"/>
    <w:next w:val="Normal"/>
    <w:uiPriority w:val="39"/>
    <w:rsid w:val="00CF6CC5"/>
    <w:pPr>
      <w:tabs>
        <w:tab w:val="left" w:pos="360"/>
        <w:tab w:val="right" w:pos="7655"/>
      </w:tabs>
      <w:spacing w:before="360" w:after="60" w:line="240" w:lineRule="auto"/>
      <w:ind w:left="357" w:right="1134" w:hanging="357"/>
    </w:pPr>
    <w:rPr>
      <w:b/>
      <w:noProof/>
      <w:szCs w:val="40"/>
    </w:rPr>
  </w:style>
  <w:style w:type="paragraph" w:styleId="Quote">
    <w:name w:val="Quote"/>
    <w:basedOn w:val="Normal"/>
    <w:link w:val="QuoteChar"/>
    <w:uiPriority w:val="99"/>
    <w:qFormat/>
    <w:rsid w:val="00924F40"/>
    <w:pPr>
      <w:spacing w:line="240" w:lineRule="atLeast"/>
      <w:ind w:left="360" w:right="360"/>
    </w:pPr>
    <w:rPr>
      <w:sz w:val="20"/>
      <w:lang w:val="en-AU" w:eastAsia="en-AU"/>
    </w:rPr>
  </w:style>
  <w:style w:type="character" w:customStyle="1" w:styleId="QuoteChar">
    <w:name w:val="Quote Char"/>
    <w:link w:val="Quote"/>
    <w:uiPriority w:val="99"/>
    <w:locked/>
    <w:rsid w:val="00924F40"/>
    <w:rPr>
      <w:rFonts w:ascii="Times New Roman" w:hAnsi="Times New Roman" w:cs="Times New Roman"/>
    </w:rPr>
  </w:style>
  <w:style w:type="paragraph" w:customStyle="1" w:styleId="Bullet">
    <w:name w:val="Bullet"/>
    <w:basedOn w:val="Normal"/>
    <w:link w:val="BulletChar"/>
    <w:qFormat/>
    <w:rsid w:val="008B275E"/>
    <w:pPr>
      <w:numPr>
        <w:numId w:val="1"/>
      </w:numPr>
      <w:spacing w:after="100"/>
    </w:pPr>
  </w:style>
  <w:style w:type="character" w:customStyle="1" w:styleId="BulletChar">
    <w:name w:val="Bullet Char"/>
    <w:link w:val="Bullet"/>
    <w:uiPriority w:val="99"/>
    <w:locked/>
    <w:rsid w:val="008B275E"/>
    <w:rPr>
      <w:rFonts w:ascii="Times New Roman" w:hAnsi="Times New Roman"/>
      <w:sz w:val="22"/>
      <w:lang w:val="en-GB" w:eastAsia="en-US"/>
    </w:rPr>
  </w:style>
  <w:style w:type="paragraph" w:customStyle="1" w:styleId="Heading1a">
    <w:name w:val="Heading 1a"/>
    <w:basedOn w:val="Heading1"/>
    <w:rsid w:val="000A4D58"/>
    <w:pPr>
      <w:numPr>
        <w:numId w:val="0"/>
      </w:numPr>
    </w:pPr>
    <w:rPr>
      <w:lang w:val="en-AU"/>
    </w:rPr>
  </w:style>
  <w:style w:type="paragraph" w:customStyle="1" w:styleId="TableHeadingLeft">
    <w:name w:val="Table Heading Left"/>
    <w:basedOn w:val="TableTextLeft"/>
    <w:uiPriority w:val="99"/>
    <w:rsid w:val="0025119B"/>
    <w:rPr>
      <w:b/>
    </w:rPr>
  </w:style>
  <w:style w:type="paragraph" w:customStyle="1" w:styleId="TableNotes">
    <w:name w:val="Table Notes"/>
    <w:basedOn w:val="TableTextLeft"/>
    <w:rsid w:val="00F7639D"/>
    <w:pPr>
      <w:keepLines/>
      <w:spacing w:before="60" w:after="0"/>
    </w:pPr>
    <w:rPr>
      <w:sz w:val="16"/>
    </w:rPr>
  </w:style>
  <w:style w:type="paragraph" w:customStyle="1" w:styleId="BulletLast">
    <w:name w:val="Bullet Last"/>
    <w:basedOn w:val="Normal"/>
    <w:qFormat/>
    <w:rsid w:val="008B275E"/>
    <w:pPr>
      <w:numPr>
        <w:numId w:val="5"/>
      </w:numPr>
      <w:ind w:left="681" w:hanging="397"/>
    </w:pPr>
  </w:style>
  <w:style w:type="paragraph" w:customStyle="1" w:styleId="TableBullet">
    <w:name w:val="Table Bullet"/>
    <w:basedOn w:val="TableTextLeft"/>
    <w:uiPriority w:val="99"/>
    <w:rsid w:val="00F7639D"/>
    <w:pPr>
      <w:numPr>
        <w:numId w:val="2"/>
      </w:numPr>
      <w:tabs>
        <w:tab w:val="left" w:pos="216"/>
      </w:tabs>
    </w:pPr>
  </w:style>
  <w:style w:type="paragraph" w:customStyle="1" w:styleId="TableNotesHanging">
    <w:name w:val="Table Notes Hanging"/>
    <w:basedOn w:val="TableNotes"/>
    <w:uiPriority w:val="99"/>
    <w:rsid w:val="00857C3E"/>
    <w:pPr>
      <w:ind w:left="737" w:hanging="737"/>
    </w:pPr>
  </w:style>
  <w:style w:type="character" w:styleId="Hyperlink">
    <w:name w:val="Hyperlink"/>
    <w:uiPriority w:val="99"/>
    <w:rsid w:val="00F7639D"/>
    <w:rPr>
      <w:rFonts w:ascii="Times New Roman" w:hAnsi="Times New Roman" w:cs="Times New Roman"/>
      <w:color w:val="000000"/>
      <w:sz w:val="22"/>
      <w:u w:val="none"/>
    </w:rPr>
  </w:style>
  <w:style w:type="paragraph" w:customStyle="1" w:styleId="TableNotesHangingLast">
    <w:name w:val="Table Notes Hanging Last"/>
    <w:basedOn w:val="TableNotesHanging"/>
    <w:uiPriority w:val="99"/>
    <w:rsid w:val="00857C3E"/>
    <w:pPr>
      <w:spacing w:after="320"/>
    </w:pPr>
  </w:style>
  <w:style w:type="paragraph" w:customStyle="1" w:styleId="TableNotesLast">
    <w:name w:val="Table Notes Last"/>
    <w:basedOn w:val="TableNotes"/>
    <w:rsid w:val="00F7639D"/>
    <w:pPr>
      <w:spacing w:after="320"/>
    </w:pPr>
  </w:style>
  <w:style w:type="paragraph" w:styleId="CommentText">
    <w:name w:val="annotation text"/>
    <w:basedOn w:val="Normal"/>
    <w:link w:val="CommentTextChar"/>
    <w:semiHidden/>
    <w:locked/>
    <w:rsid w:val="00474ECC"/>
    <w:rPr>
      <w:sz w:val="24"/>
      <w:szCs w:val="24"/>
    </w:rPr>
  </w:style>
  <w:style w:type="character" w:customStyle="1" w:styleId="CommentTextChar">
    <w:name w:val="Comment Text Char"/>
    <w:link w:val="CommentText"/>
    <w:semiHidden/>
    <w:locked/>
    <w:rsid w:val="00474ECC"/>
    <w:rPr>
      <w:rFonts w:ascii="Times New Roman" w:hAnsi="Times New Roman" w:cs="Times New Roman"/>
      <w:sz w:val="24"/>
      <w:szCs w:val="24"/>
    </w:rPr>
  </w:style>
  <w:style w:type="paragraph" w:styleId="CommentSubject">
    <w:name w:val="annotation subject"/>
    <w:basedOn w:val="CommentText"/>
    <w:next w:val="CommentText"/>
    <w:link w:val="CommentSubjectChar"/>
    <w:semiHidden/>
    <w:locked/>
    <w:rsid w:val="00474ECC"/>
    <w:rPr>
      <w:sz w:val="22"/>
      <w:szCs w:val="20"/>
    </w:rPr>
  </w:style>
  <w:style w:type="character" w:customStyle="1" w:styleId="CommentSubjectChar">
    <w:name w:val="Comment Subject Char"/>
    <w:basedOn w:val="CommentTextChar"/>
    <w:link w:val="CommentSubject"/>
    <w:semiHidden/>
    <w:locked/>
    <w:rsid w:val="00474ECC"/>
    <w:rPr>
      <w:rFonts w:ascii="Times New Roman" w:hAnsi="Times New Roman" w:cs="Times New Roman"/>
      <w:sz w:val="24"/>
      <w:szCs w:val="24"/>
    </w:rPr>
  </w:style>
  <w:style w:type="paragraph" w:styleId="EndnoteText">
    <w:name w:val="endnote text"/>
    <w:basedOn w:val="Normal"/>
    <w:link w:val="EndnoteTextChar"/>
    <w:semiHidden/>
    <w:locked/>
    <w:rsid w:val="00474ECC"/>
    <w:rPr>
      <w:sz w:val="20"/>
    </w:rPr>
  </w:style>
  <w:style w:type="character" w:customStyle="1" w:styleId="EndnoteTextChar">
    <w:name w:val="Endnote Text Char"/>
    <w:link w:val="EndnoteText"/>
    <w:semiHidden/>
    <w:locked/>
    <w:rsid w:val="00474ECC"/>
    <w:rPr>
      <w:rFonts w:ascii="Times New Roman" w:hAnsi="Times New Roman" w:cs="Times New Roman"/>
    </w:rPr>
  </w:style>
  <w:style w:type="paragraph" w:styleId="Index1">
    <w:name w:val="index 1"/>
    <w:basedOn w:val="Normal"/>
    <w:next w:val="Normal"/>
    <w:autoRedefine/>
    <w:uiPriority w:val="99"/>
    <w:semiHidden/>
    <w:locked/>
    <w:rsid w:val="00474ECC"/>
    <w:pPr>
      <w:ind w:left="220" w:hanging="220"/>
    </w:pPr>
  </w:style>
  <w:style w:type="paragraph" w:styleId="Index2">
    <w:name w:val="index 2"/>
    <w:basedOn w:val="Normal"/>
    <w:next w:val="Normal"/>
    <w:autoRedefine/>
    <w:semiHidden/>
    <w:locked/>
    <w:rsid w:val="00474ECC"/>
    <w:pPr>
      <w:ind w:left="440" w:hanging="220"/>
    </w:pPr>
  </w:style>
  <w:style w:type="paragraph" w:styleId="Index3">
    <w:name w:val="index 3"/>
    <w:basedOn w:val="Normal"/>
    <w:next w:val="Normal"/>
    <w:autoRedefine/>
    <w:semiHidden/>
    <w:locked/>
    <w:rsid w:val="00474ECC"/>
    <w:pPr>
      <w:ind w:left="660" w:hanging="220"/>
    </w:pPr>
  </w:style>
  <w:style w:type="paragraph" w:styleId="Index4">
    <w:name w:val="index 4"/>
    <w:basedOn w:val="Normal"/>
    <w:next w:val="Normal"/>
    <w:autoRedefine/>
    <w:semiHidden/>
    <w:locked/>
    <w:rsid w:val="00474ECC"/>
    <w:pPr>
      <w:ind w:left="880" w:hanging="220"/>
    </w:pPr>
  </w:style>
  <w:style w:type="paragraph" w:styleId="Index5">
    <w:name w:val="index 5"/>
    <w:basedOn w:val="Normal"/>
    <w:next w:val="Normal"/>
    <w:autoRedefine/>
    <w:semiHidden/>
    <w:locked/>
    <w:rsid w:val="00474ECC"/>
    <w:pPr>
      <w:ind w:left="1100" w:hanging="220"/>
    </w:pPr>
  </w:style>
  <w:style w:type="paragraph" w:styleId="Index6">
    <w:name w:val="index 6"/>
    <w:basedOn w:val="Normal"/>
    <w:next w:val="Normal"/>
    <w:autoRedefine/>
    <w:semiHidden/>
    <w:locked/>
    <w:rsid w:val="00474ECC"/>
    <w:pPr>
      <w:ind w:left="1320" w:hanging="220"/>
    </w:pPr>
  </w:style>
  <w:style w:type="paragraph" w:styleId="Index7">
    <w:name w:val="index 7"/>
    <w:basedOn w:val="Normal"/>
    <w:next w:val="Normal"/>
    <w:autoRedefine/>
    <w:semiHidden/>
    <w:locked/>
    <w:rsid w:val="00474ECC"/>
    <w:pPr>
      <w:ind w:left="1540" w:hanging="220"/>
    </w:pPr>
  </w:style>
  <w:style w:type="paragraph" w:styleId="Index8">
    <w:name w:val="index 8"/>
    <w:basedOn w:val="Normal"/>
    <w:next w:val="Normal"/>
    <w:autoRedefine/>
    <w:semiHidden/>
    <w:locked/>
    <w:rsid w:val="00474ECC"/>
    <w:pPr>
      <w:ind w:left="1760" w:hanging="220"/>
    </w:pPr>
  </w:style>
  <w:style w:type="paragraph" w:styleId="Index9">
    <w:name w:val="index 9"/>
    <w:basedOn w:val="Normal"/>
    <w:next w:val="Normal"/>
    <w:autoRedefine/>
    <w:semiHidden/>
    <w:locked/>
    <w:rsid w:val="00474ECC"/>
    <w:pPr>
      <w:ind w:left="1980" w:hanging="220"/>
    </w:pPr>
  </w:style>
  <w:style w:type="paragraph" w:styleId="IndexHeading">
    <w:name w:val="index heading"/>
    <w:basedOn w:val="Normal"/>
    <w:next w:val="Index1"/>
    <w:semiHidden/>
    <w:locked/>
    <w:rsid w:val="00474ECC"/>
    <w:rPr>
      <w:rFonts w:ascii="Arial" w:hAnsi="Arial" w:cs="Arial"/>
      <w:b/>
      <w:bCs/>
    </w:rPr>
  </w:style>
  <w:style w:type="paragraph" w:styleId="Caption">
    <w:name w:val="caption"/>
    <w:basedOn w:val="Normal"/>
    <w:next w:val="Normal"/>
    <w:semiHidden/>
    <w:qFormat/>
    <w:locked/>
    <w:rsid w:val="00C768A3"/>
    <w:pPr>
      <w:spacing w:after="200" w:line="240" w:lineRule="auto"/>
    </w:pPr>
    <w:rPr>
      <w:b/>
      <w:bCs/>
      <w:color w:val="4F81BD" w:themeColor="accent1"/>
      <w:sz w:val="18"/>
      <w:szCs w:val="18"/>
    </w:rPr>
  </w:style>
  <w:style w:type="paragraph" w:styleId="TOAHeading">
    <w:name w:val="toa heading"/>
    <w:basedOn w:val="Normal"/>
    <w:next w:val="Normal"/>
    <w:semiHidden/>
    <w:locked/>
    <w:rsid w:val="00474ECC"/>
    <w:pPr>
      <w:spacing w:before="120"/>
    </w:pPr>
    <w:rPr>
      <w:rFonts w:ascii="Arial" w:hAnsi="Arial" w:cs="Arial"/>
      <w:b/>
      <w:bCs/>
      <w:sz w:val="24"/>
      <w:szCs w:val="24"/>
    </w:rPr>
  </w:style>
  <w:style w:type="paragraph" w:customStyle="1" w:styleId="QuoteBullet">
    <w:name w:val="Quote Bullet"/>
    <w:basedOn w:val="Quote"/>
    <w:uiPriority w:val="99"/>
    <w:qFormat/>
    <w:rsid w:val="00F7639D"/>
    <w:pPr>
      <w:numPr>
        <w:numId w:val="3"/>
      </w:numPr>
      <w:ind w:left="714" w:right="357" w:hanging="357"/>
    </w:pPr>
  </w:style>
  <w:style w:type="paragraph" w:customStyle="1" w:styleId="References">
    <w:name w:val="References"/>
    <w:basedOn w:val="Normal"/>
    <w:qFormat/>
    <w:rsid w:val="00F24C6B"/>
    <w:pPr>
      <w:ind w:left="567" w:hanging="567"/>
    </w:pPr>
    <w:rPr>
      <w:szCs w:val="24"/>
    </w:rPr>
  </w:style>
  <w:style w:type="table" w:styleId="TableGrid">
    <w:name w:val="Table Grid"/>
    <w:basedOn w:val="TableNormal"/>
    <w:uiPriority w:val="59"/>
    <w:locked/>
    <w:rsid w:val="00474ECC"/>
    <w:pPr>
      <w:spacing w:after="220" w:line="280" w:lineRule="atLeast"/>
    </w:pPr>
    <w:rPr>
      <w:rFonts w:ascii="Times New Roman" w:eastAsia="SimSu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semiHidden/>
    <w:rsid w:val="00474ECC"/>
    <w:rPr>
      <w:rFonts w:ascii="Times New Roman" w:eastAsia="SimSun" w:hAnsi="Times New Roman"/>
      <w:sz w:val="22"/>
      <w:lang w:val="en-GB" w:eastAsia="en-US"/>
    </w:rPr>
  </w:style>
  <w:style w:type="table" w:customStyle="1" w:styleId="Style1">
    <w:name w:val="Style1"/>
    <w:locked/>
    <w:rsid w:val="00474ECC"/>
    <w:rPr>
      <w:rFonts w:ascii="Arial Narrow" w:eastAsia="SimSun" w:hAnsi="Arial Narrow"/>
      <w:sz w:val="18"/>
    </w:rPr>
    <w:tblPr>
      <w:tblInd w:w="0" w:type="dxa"/>
      <w:tblBorders>
        <w:top w:val="single" w:sz="8" w:space="0" w:color="333399"/>
        <w:bottom w:val="single" w:sz="8" w:space="0" w:color="333399"/>
      </w:tblBorders>
      <w:tblCellMar>
        <w:top w:w="0" w:type="dxa"/>
        <w:left w:w="108" w:type="dxa"/>
        <w:bottom w:w="0" w:type="dxa"/>
        <w:right w:w="108" w:type="dxa"/>
      </w:tblCellMar>
    </w:tblPr>
  </w:style>
  <w:style w:type="paragraph" w:styleId="PlainText">
    <w:name w:val="Plain Text"/>
    <w:basedOn w:val="Normal"/>
    <w:link w:val="PlainTextChar"/>
    <w:semiHidden/>
    <w:locked/>
    <w:rsid w:val="00474ECC"/>
    <w:rPr>
      <w:rFonts w:ascii="Consolas" w:hAnsi="Consolas"/>
      <w:sz w:val="21"/>
      <w:szCs w:val="21"/>
    </w:rPr>
  </w:style>
  <w:style w:type="character" w:customStyle="1" w:styleId="PlainTextChar">
    <w:name w:val="Plain Text Char"/>
    <w:link w:val="PlainText"/>
    <w:semiHidden/>
    <w:locked/>
    <w:rsid w:val="00474ECC"/>
    <w:rPr>
      <w:rFonts w:ascii="Consolas" w:hAnsi="Consolas" w:cs="Times New Roman"/>
      <w:sz w:val="21"/>
      <w:szCs w:val="21"/>
    </w:rPr>
  </w:style>
  <w:style w:type="table" w:customStyle="1" w:styleId="icrctable">
    <w:name w:val="icrc table"/>
    <w:basedOn w:val="TableSimple1"/>
    <w:locked/>
    <w:rsid w:val="00F7639D"/>
    <w:rPr>
      <w:rFonts w:ascii="Arial Narrow" w:hAnsi="Arial Narrow"/>
      <w:sz w:val="18"/>
      <w:lang w:val="en-US" w:eastAsia="en-US"/>
    </w:rPr>
    <w:tblPr>
      <w:tblInd w:w="0" w:type="dxa"/>
      <w:tblBorders>
        <w:top w:val="single" w:sz="8" w:space="0" w:color="333399"/>
        <w:bottom w:val="single" w:sz="8" w:space="0" w:color="333399"/>
      </w:tblBorders>
      <w:tblCellMar>
        <w:top w:w="0" w:type="dxa"/>
        <w:left w:w="108" w:type="dxa"/>
        <w:bottom w:w="0" w:type="dxa"/>
        <w:right w:w="108" w:type="dxa"/>
      </w:tblCellMar>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styleId="TableSimple1">
    <w:name w:val="Table Simple 1"/>
    <w:basedOn w:val="TableNormal"/>
    <w:locked/>
    <w:rsid w:val="00F7639D"/>
    <w:pPr>
      <w:spacing w:after="220" w:line="280" w:lineRule="atLeast"/>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eaderodd">
    <w:name w:val="Header (odd)"/>
    <w:basedOn w:val="Normal"/>
    <w:rsid w:val="006D6B12"/>
    <w:pPr>
      <w:spacing w:after="0"/>
      <w:jc w:val="right"/>
    </w:pPr>
    <w:rPr>
      <w:i/>
      <w:color w:val="808080"/>
      <w:sz w:val="18"/>
      <w:szCs w:val="18"/>
    </w:rPr>
  </w:style>
  <w:style w:type="paragraph" w:customStyle="1" w:styleId="Headereven">
    <w:name w:val="Header (even)"/>
    <w:basedOn w:val="Headerodd"/>
    <w:rsid w:val="006D6B12"/>
    <w:pPr>
      <w:jc w:val="left"/>
    </w:pPr>
  </w:style>
  <w:style w:type="table" w:customStyle="1" w:styleId="ICRC">
    <w:name w:val="ICRC"/>
    <w:locked/>
    <w:rsid w:val="00474ECC"/>
    <w:rPr>
      <w:rFonts w:ascii="Arial Narrow" w:hAnsi="Arial Narrow"/>
      <w:sz w:val="18"/>
    </w:rPr>
    <w:tblPr>
      <w:tblInd w:w="0" w:type="dxa"/>
      <w:tblBorders>
        <w:bottom w:val="single" w:sz="12" w:space="0" w:color="333399"/>
      </w:tblBorders>
      <w:tblCellMar>
        <w:top w:w="0" w:type="dxa"/>
        <w:left w:w="108" w:type="dxa"/>
        <w:bottom w:w="0" w:type="dxa"/>
        <w:right w:w="108" w:type="dxa"/>
      </w:tblCellMar>
    </w:tblPr>
  </w:style>
  <w:style w:type="paragraph" w:customStyle="1" w:styleId="FigureText">
    <w:name w:val="Figure Text"/>
    <w:basedOn w:val="Normal"/>
    <w:qFormat/>
    <w:rsid w:val="00F7639D"/>
    <w:pPr>
      <w:spacing w:after="0" w:line="240" w:lineRule="auto"/>
    </w:pPr>
    <w:rPr>
      <w:rFonts w:ascii="Arial" w:hAnsi="Arial"/>
      <w:sz w:val="16"/>
    </w:rPr>
  </w:style>
  <w:style w:type="character" w:styleId="EndnoteReference">
    <w:name w:val="endnote reference"/>
    <w:uiPriority w:val="99"/>
    <w:semiHidden/>
    <w:unhideWhenUsed/>
    <w:locked/>
    <w:rsid w:val="001609AB"/>
    <w:rPr>
      <w:vertAlign w:val="superscript"/>
    </w:rPr>
  </w:style>
  <w:style w:type="paragraph" w:styleId="BalloonText">
    <w:name w:val="Balloon Text"/>
    <w:basedOn w:val="Normal"/>
    <w:link w:val="BalloonTextChar"/>
    <w:uiPriority w:val="99"/>
    <w:semiHidden/>
    <w:unhideWhenUsed/>
    <w:locked/>
    <w:rsid w:val="005F1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B"/>
    <w:rPr>
      <w:rFonts w:ascii="Tahoma" w:hAnsi="Tahoma" w:cs="Tahoma"/>
      <w:sz w:val="16"/>
      <w:szCs w:val="16"/>
      <w:lang w:val="en-GB" w:eastAsia="en-US"/>
    </w:rPr>
  </w:style>
  <w:style w:type="character" w:styleId="CommentReference">
    <w:name w:val="annotation reference"/>
    <w:basedOn w:val="DefaultParagraphFont"/>
    <w:uiPriority w:val="99"/>
    <w:semiHidden/>
    <w:unhideWhenUsed/>
    <w:locked/>
    <w:rsid w:val="0031462D"/>
    <w:rPr>
      <w:sz w:val="16"/>
      <w:szCs w:val="16"/>
    </w:rPr>
  </w:style>
  <w:style w:type="character" w:styleId="PlaceholderText">
    <w:name w:val="Placeholder Text"/>
    <w:basedOn w:val="DefaultParagraphFont"/>
    <w:uiPriority w:val="99"/>
    <w:semiHidden/>
    <w:locked/>
    <w:rsid w:val="0074389C"/>
    <w:rPr>
      <w:color w:val="808080"/>
    </w:rPr>
  </w:style>
  <w:style w:type="paragraph" w:customStyle="1" w:styleId="HeadingPart">
    <w:name w:val="Heading Part"/>
    <w:basedOn w:val="Heading1"/>
    <w:qFormat/>
    <w:rsid w:val="000A4D58"/>
    <w:pPr>
      <w:numPr>
        <w:numId w:val="4"/>
      </w:numPr>
      <w:tabs>
        <w:tab w:val="left" w:pos="1843"/>
      </w:tabs>
    </w:pPr>
  </w:style>
  <w:style w:type="character" w:styleId="FootnoteReference">
    <w:name w:val="footnote reference"/>
    <w:aliases w:val="(NECG) Footnote Reference"/>
    <w:basedOn w:val="DefaultParagraphFont"/>
    <w:uiPriority w:val="99"/>
    <w:unhideWhenUsed/>
    <w:rsid w:val="00FE0570"/>
    <w:rPr>
      <w:vertAlign w:val="superscript"/>
    </w:rPr>
  </w:style>
  <w:style w:type="character" w:customStyle="1" w:styleId="Italic">
    <w:name w:val="Italic"/>
    <w:basedOn w:val="DefaultParagraphFont"/>
    <w:uiPriority w:val="1"/>
    <w:qFormat/>
    <w:rsid w:val="00F24C6B"/>
    <w:rPr>
      <w:i/>
    </w:rPr>
  </w:style>
  <w:style w:type="character" w:customStyle="1" w:styleId="HighlightYellow">
    <w:name w:val="Highlight Yellow"/>
    <w:basedOn w:val="DefaultParagraphFont"/>
    <w:uiPriority w:val="1"/>
    <w:qFormat/>
    <w:rsid w:val="00A75C51"/>
    <w:rPr>
      <w:sz w:val="22"/>
      <w:szCs w:val="24"/>
      <w:bdr w:val="none" w:sz="0" w:space="0" w:color="auto"/>
      <w:shd w:val="clear" w:color="auto" w:fill="FFFF00"/>
    </w:rPr>
  </w:style>
  <w:style w:type="character" w:customStyle="1" w:styleId="HighlightGreen">
    <w:name w:val="Highlight Green"/>
    <w:basedOn w:val="HighlightYellow"/>
    <w:uiPriority w:val="1"/>
    <w:qFormat/>
    <w:rsid w:val="00FF5F02"/>
    <w:rPr>
      <w:sz w:val="22"/>
      <w:szCs w:val="24"/>
      <w:bdr w:val="none" w:sz="0" w:space="0" w:color="auto"/>
      <w:shd w:val="clear" w:color="auto" w:fill="92D050"/>
    </w:rPr>
  </w:style>
  <w:style w:type="character" w:customStyle="1" w:styleId="HighlightBlue">
    <w:name w:val="Highlight Blue"/>
    <w:basedOn w:val="HighlightGreen"/>
    <w:uiPriority w:val="1"/>
    <w:qFormat/>
    <w:rsid w:val="00FF5F02"/>
    <w:rPr>
      <w:sz w:val="22"/>
      <w:szCs w:val="24"/>
      <w:bdr w:val="none" w:sz="0" w:space="0" w:color="auto"/>
      <w:shd w:val="clear" w:color="auto" w:fill="00B0F0"/>
    </w:rPr>
  </w:style>
  <w:style w:type="character" w:customStyle="1" w:styleId="Bold">
    <w:name w:val="Bold"/>
    <w:basedOn w:val="DefaultParagraphFont"/>
    <w:qFormat/>
    <w:rsid w:val="00FB72CD"/>
    <w:rPr>
      <w:rFonts w:eastAsia="SimSun"/>
      <w:b/>
      <w:lang w:val="en-AU"/>
    </w:rPr>
  </w:style>
  <w:style w:type="paragraph" w:customStyle="1" w:styleId="Heading50">
    <w:name w:val="Heading 5^"/>
    <w:basedOn w:val="Heading5"/>
    <w:link w:val="Heading5Char0"/>
    <w:qFormat/>
    <w:rsid w:val="001822C4"/>
    <w:pPr>
      <w:spacing w:before="0" w:after="120"/>
    </w:pPr>
    <w:rPr>
      <w:szCs w:val="24"/>
      <w:lang w:val="en-AU"/>
    </w:rPr>
  </w:style>
  <w:style w:type="character" w:customStyle="1" w:styleId="Heading5Char0">
    <w:name w:val="Heading 5^ Char"/>
    <w:basedOn w:val="Heading5Char"/>
    <w:link w:val="Heading50"/>
    <w:rsid w:val="001822C4"/>
    <w:rPr>
      <w:rFonts w:ascii="Times New Roman" w:hAnsi="Times New Roman"/>
      <w:i/>
      <w:sz w:val="24"/>
      <w:szCs w:val="24"/>
      <w:lang w:val="en-GB" w:eastAsia="en-US"/>
    </w:rPr>
  </w:style>
  <w:style w:type="paragraph" w:customStyle="1" w:styleId="QuoteListnumber">
    <w:name w:val="Quote List (number)"/>
    <w:basedOn w:val="Normal"/>
    <w:rsid w:val="005566BA"/>
    <w:rPr>
      <w:sz w:val="20"/>
    </w:rPr>
  </w:style>
  <w:style w:type="paragraph" w:customStyle="1" w:styleId="TableHeadingRight">
    <w:name w:val="Table Heading Right"/>
    <w:basedOn w:val="TableHeadingLeft"/>
    <w:qFormat/>
    <w:rsid w:val="00280AFD"/>
    <w:pPr>
      <w:jc w:val="right"/>
    </w:pPr>
  </w:style>
  <w:style w:type="paragraph" w:customStyle="1" w:styleId="TableTextRight">
    <w:name w:val="Table Text Right"/>
    <w:basedOn w:val="TableTextLeft"/>
    <w:qFormat/>
    <w:rsid w:val="008A6CA2"/>
    <w:pPr>
      <w:jc w:val="right"/>
    </w:pPr>
  </w:style>
  <w:style w:type="paragraph" w:customStyle="1" w:styleId="HeadingAppendix2">
    <w:name w:val="Heading Appendix 2"/>
    <w:basedOn w:val="Heading2"/>
    <w:qFormat/>
    <w:rsid w:val="00D42FF9"/>
    <w:pPr>
      <w:numPr>
        <w:numId w:val="6"/>
      </w:numPr>
    </w:pPr>
  </w:style>
  <w:style w:type="paragraph" w:customStyle="1" w:styleId="HeadingAppendix3">
    <w:name w:val="Heading Appendix 3"/>
    <w:basedOn w:val="Heading3"/>
    <w:qFormat/>
    <w:rsid w:val="00D42FF9"/>
    <w:pPr>
      <w:numPr>
        <w:numId w:val="6"/>
      </w:numPr>
    </w:pPr>
  </w:style>
  <w:style w:type="paragraph" w:styleId="DocumentMap">
    <w:name w:val="Document Map"/>
    <w:basedOn w:val="Normal"/>
    <w:link w:val="DocumentMapChar"/>
    <w:uiPriority w:val="99"/>
    <w:semiHidden/>
    <w:unhideWhenUsed/>
    <w:locked/>
    <w:rsid w:val="00E258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58B7"/>
    <w:rPr>
      <w:rFonts w:ascii="Tahoma" w:hAnsi="Tahoma" w:cs="Tahoma"/>
      <w:sz w:val="16"/>
      <w:szCs w:val="16"/>
      <w:lang w:val="en-GB" w:eastAsia="en-US"/>
    </w:rPr>
  </w:style>
  <w:style w:type="paragraph" w:customStyle="1" w:styleId="QuoteListletter">
    <w:name w:val="Quote List (letter)"/>
    <w:basedOn w:val="QuoteListnumber"/>
    <w:qFormat/>
    <w:rsid w:val="005566BA"/>
    <w:pPr>
      <w:numPr>
        <w:ilvl w:val="1"/>
      </w:numPr>
    </w:pPr>
  </w:style>
  <w:style w:type="character" w:styleId="Emphasis">
    <w:name w:val="Emphasis"/>
    <w:basedOn w:val="DefaultParagraphFont"/>
    <w:uiPriority w:val="20"/>
    <w:qFormat/>
    <w:locked/>
    <w:rsid w:val="00F4763B"/>
    <w:rPr>
      <w:i/>
      <w:iCs/>
    </w:rPr>
  </w:style>
  <w:style w:type="paragraph" w:customStyle="1" w:styleId="Equation">
    <w:name w:val="Equation"/>
    <w:basedOn w:val="EquationVariables"/>
    <w:uiPriority w:val="99"/>
    <w:qFormat/>
    <w:rsid w:val="00F7295F"/>
    <w:pPr>
      <w:tabs>
        <w:tab w:val="clear" w:pos="1985"/>
      </w:tabs>
      <w:ind w:left="1418" w:firstLine="0"/>
    </w:pPr>
  </w:style>
  <w:style w:type="paragraph" w:customStyle="1" w:styleId="EquationVariables">
    <w:name w:val="Equation Variables"/>
    <w:basedOn w:val="Normal"/>
    <w:qFormat/>
    <w:rsid w:val="00F7295F"/>
    <w:pPr>
      <w:tabs>
        <w:tab w:val="left" w:pos="1985"/>
      </w:tabs>
      <w:ind w:left="2552" w:hanging="1134"/>
    </w:pPr>
  </w:style>
  <w:style w:type="paragraph" w:customStyle="1" w:styleId="HeadingAppendix">
    <w:name w:val="Heading Appendix"/>
    <w:basedOn w:val="Heading1"/>
    <w:uiPriority w:val="99"/>
    <w:locked/>
    <w:rsid w:val="006E1C49"/>
    <w:pPr>
      <w:numPr>
        <w:numId w:val="0"/>
      </w:numPr>
      <w:tabs>
        <w:tab w:val="left" w:pos="2693"/>
      </w:tabs>
      <w:ind w:left="2693" w:hanging="2693"/>
    </w:pPr>
  </w:style>
  <w:style w:type="paragraph" w:customStyle="1" w:styleId="Bodybulletintro">
    <w:name w:val="Body (bullet intro)"/>
    <w:basedOn w:val="Normal"/>
    <w:qFormat/>
    <w:rsid w:val="00C47CD1"/>
    <w:pPr>
      <w:keepNext/>
      <w:spacing w:after="100"/>
    </w:pPr>
  </w:style>
  <w:style w:type="paragraph" w:customStyle="1" w:styleId="Bodytableoutro">
    <w:name w:val="Body (table outro)"/>
    <w:basedOn w:val="Normal"/>
    <w:qFormat/>
    <w:rsid w:val="00814952"/>
    <w:pPr>
      <w:spacing w:before="220"/>
    </w:pPr>
  </w:style>
  <w:style w:type="paragraph" w:customStyle="1" w:styleId="TableTextLeftIndent">
    <w:name w:val="Table Text Left Indent"/>
    <w:basedOn w:val="TableTextLeft"/>
    <w:qFormat/>
    <w:rsid w:val="008A6CA2"/>
    <w:pPr>
      <w:ind w:left="170"/>
    </w:pPr>
    <w:rPr>
      <w:lang w:val="en-AU" w:eastAsia="en-AU"/>
    </w:rPr>
  </w:style>
  <w:style w:type="paragraph" w:customStyle="1" w:styleId="ToRName">
    <w:name w:val="ToR Name"/>
    <w:basedOn w:val="Normal"/>
    <w:uiPriority w:val="99"/>
    <w:rsid w:val="001A0127"/>
    <w:pPr>
      <w:tabs>
        <w:tab w:val="left" w:pos="2400"/>
        <w:tab w:val="left" w:pos="2880"/>
      </w:tabs>
      <w:spacing w:before="1220" w:after="100" w:line="240" w:lineRule="auto"/>
    </w:pPr>
    <w:rPr>
      <w:rFonts w:ascii="Arial" w:eastAsia="Times New Roman" w:hAnsi="Arial"/>
      <w:b/>
      <w:sz w:val="40"/>
      <w:lang w:val="en-AU"/>
    </w:rPr>
  </w:style>
  <w:style w:type="paragraph" w:customStyle="1" w:styleId="ToRCoverActs">
    <w:name w:val="ToR Cover Acts"/>
    <w:basedOn w:val="Normal"/>
    <w:uiPriority w:val="99"/>
    <w:rsid w:val="001A0127"/>
    <w:pPr>
      <w:tabs>
        <w:tab w:val="left" w:pos="2600"/>
      </w:tabs>
      <w:spacing w:before="200" w:after="60" w:line="240" w:lineRule="auto"/>
      <w:jc w:val="both"/>
    </w:pPr>
    <w:rPr>
      <w:rFonts w:ascii="Arial" w:eastAsia="Times New Roman" w:hAnsi="Arial"/>
      <w:b/>
      <w:sz w:val="24"/>
      <w:lang w:val="en-AU"/>
    </w:rPr>
  </w:style>
  <w:style w:type="paragraph" w:customStyle="1" w:styleId="CoverReport">
    <w:name w:val="Cover Report"/>
    <w:basedOn w:val="Normal"/>
    <w:qFormat/>
    <w:rsid w:val="00287869"/>
    <w:pPr>
      <w:spacing w:after="80"/>
      <w:ind w:left="142" w:right="98"/>
      <w:jc w:val="right"/>
    </w:pPr>
    <w:rPr>
      <w:rFonts w:ascii="Arial" w:hAnsi="Arial"/>
      <w:bCs/>
      <w:sz w:val="36"/>
      <w:szCs w:val="36"/>
      <w:lang w:val="en-AU"/>
    </w:rPr>
  </w:style>
  <w:style w:type="paragraph" w:customStyle="1" w:styleId="CoverInquiry">
    <w:name w:val="Cover Inquiry"/>
    <w:basedOn w:val="Normal"/>
    <w:qFormat/>
    <w:rsid w:val="00287869"/>
    <w:pPr>
      <w:ind w:left="142" w:right="98"/>
      <w:jc w:val="right"/>
    </w:pPr>
    <w:rPr>
      <w:rFonts w:ascii="Arial" w:hAnsi="Arial" w:cs="Arial"/>
      <w:b/>
      <w:color w:val="000033"/>
      <w:sz w:val="48"/>
      <w:szCs w:val="48"/>
    </w:rPr>
  </w:style>
  <w:style w:type="paragraph" w:customStyle="1" w:styleId="CoverReportNumMonth">
    <w:name w:val="Cover ReportNum &amp; Month"/>
    <w:basedOn w:val="Normal"/>
    <w:qFormat/>
    <w:rsid w:val="00287869"/>
    <w:pPr>
      <w:ind w:left="142" w:right="98"/>
      <w:jc w:val="right"/>
    </w:pPr>
    <w:rPr>
      <w:rFonts w:ascii="Arial" w:hAnsi="Arial"/>
      <w:b/>
      <w:sz w:val="24"/>
      <w:lang w:val="en-AU"/>
    </w:rPr>
  </w:style>
  <w:style w:type="character" w:customStyle="1" w:styleId="charBoldItals">
    <w:name w:val="charBoldItals"/>
    <w:basedOn w:val="DefaultParagraphFont"/>
    <w:uiPriority w:val="99"/>
    <w:rsid w:val="00DC784F"/>
    <w:rPr>
      <w:rFonts w:cs="Times New Roman"/>
      <w:b/>
      <w:bCs/>
      <w:i/>
      <w:iCs/>
    </w:rPr>
  </w:style>
  <w:style w:type="paragraph" w:customStyle="1" w:styleId="Apara">
    <w:name w:val="A para"/>
    <w:basedOn w:val="Normal"/>
    <w:uiPriority w:val="99"/>
    <w:rsid w:val="00DC784F"/>
    <w:pPr>
      <w:tabs>
        <w:tab w:val="right" w:pos="1400"/>
        <w:tab w:val="left" w:pos="1600"/>
      </w:tabs>
      <w:spacing w:before="80" w:after="60" w:line="240" w:lineRule="auto"/>
      <w:ind w:left="1600" w:hanging="1600"/>
      <w:jc w:val="both"/>
      <w:outlineLvl w:val="6"/>
    </w:pPr>
    <w:rPr>
      <w:rFonts w:eastAsia="Times New Roman"/>
      <w:sz w:val="24"/>
      <w:lang w:val="en-AU"/>
    </w:rPr>
  </w:style>
  <w:style w:type="paragraph" w:customStyle="1" w:styleId="AH5Sec">
    <w:name w:val="A H5 Sec"/>
    <w:basedOn w:val="Normal"/>
    <w:next w:val="Normal"/>
    <w:uiPriority w:val="99"/>
    <w:rsid w:val="00DC784F"/>
    <w:pPr>
      <w:keepNext/>
      <w:tabs>
        <w:tab w:val="left" w:pos="1100"/>
      </w:tabs>
      <w:spacing w:before="180" w:after="60" w:line="240" w:lineRule="auto"/>
      <w:ind w:left="1100" w:hanging="1100"/>
      <w:outlineLvl w:val="4"/>
    </w:pPr>
    <w:rPr>
      <w:rFonts w:ascii="Arial" w:eastAsia="Times New Roman" w:hAnsi="Arial"/>
      <w:b/>
      <w:sz w:val="24"/>
      <w:lang w:val="en-AU"/>
    </w:rPr>
  </w:style>
  <w:style w:type="paragraph" w:customStyle="1" w:styleId="Amain">
    <w:name w:val="A main"/>
    <w:basedOn w:val="Normal"/>
    <w:uiPriority w:val="99"/>
    <w:rsid w:val="00DC784F"/>
    <w:pPr>
      <w:tabs>
        <w:tab w:val="right" w:pos="900"/>
        <w:tab w:val="left" w:pos="1100"/>
      </w:tabs>
      <w:spacing w:before="80" w:after="60" w:line="240" w:lineRule="auto"/>
      <w:ind w:left="1100" w:hanging="1100"/>
      <w:jc w:val="both"/>
      <w:outlineLvl w:val="5"/>
    </w:pPr>
    <w:rPr>
      <w:rFonts w:eastAsia="Times New Roman"/>
      <w:sz w:val="24"/>
      <w:lang w:val="en-AU"/>
    </w:rPr>
  </w:style>
  <w:style w:type="paragraph" w:customStyle="1" w:styleId="aNote">
    <w:name w:val="aNote"/>
    <w:basedOn w:val="Normal"/>
    <w:uiPriority w:val="99"/>
    <w:rsid w:val="00DC784F"/>
    <w:pPr>
      <w:spacing w:before="80" w:after="60" w:line="240" w:lineRule="auto"/>
      <w:ind w:left="1900" w:hanging="800"/>
      <w:jc w:val="both"/>
    </w:pPr>
    <w:rPr>
      <w:rFonts w:eastAsia="Times New Roman"/>
      <w:sz w:val="20"/>
      <w:lang w:val="en-AU"/>
    </w:rPr>
  </w:style>
  <w:style w:type="character" w:customStyle="1" w:styleId="CharSectNo">
    <w:name w:val="CharSectNo"/>
    <w:basedOn w:val="DefaultParagraphFont"/>
    <w:uiPriority w:val="99"/>
    <w:rsid w:val="00DC784F"/>
    <w:rPr>
      <w:rFonts w:cs="Times New Roman"/>
    </w:rPr>
  </w:style>
  <w:style w:type="paragraph" w:styleId="ListParagraph">
    <w:name w:val="List Paragraph"/>
    <w:basedOn w:val="Normal"/>
    <w:uiPriority w:val="99"/>
    <w:qFormat/>
    <w:locked/>
    <w:rsid w:val="00DC784F"/>
    <w:pPr>
      <w:spacing w:after="200" w:line="276" w:lineRule="auto"/>
      <w:ind w:left="720"/>
      <w:contextualSpacing/>
    </w:pPr>
    <w:rPr>
      <w:rFonts w:eastAsia="PMingLiU"/>
      <w:szCs w:val="22"/>
      <w:lang w:eastAsia="zh-TW"/>
    </w:rPr>
  </w:style>
  <w:style w:type="paragraph" w:styleId="Header">
    <w:name w:val="header"/>
    <w:aliases w:val="Even header (essay title)"/>
    <w:basedOn w:val="Normal"/>
    <w:link w:val="HeaderChar"/>
    <w:uiPriority w:val="99"/>
    <w:unhideWhenUsed/>
    <w:rsid w:val="00E2786A"/>
    <w:pPr>
      <w:tabs>
        <w:tab w:val="center" w:pos="4513"/>
        <w:tab w:val="right" w:pos="9026"/>
      </w:tabs>
      <w:spacing w:after="0" w:line="240" w:lineRule="auto"/>
    </w:pPr>
  </w:style>
  <w:style w:type="character" w:customStyle="1" w:styleId="HeaderChar">
    <w:name w:val="Header Char"/>
    <w:aliases w:val="Even header (essay title) Char"/>
    <w:basedOn w:val="DefaultParagraphFont"/>
    <w:link w:val="Header"/>
    <w:uiPriority w:val="99"/>
    <w:rsid w:val="00E2786A"/>
    <w:rPr>
      <w:rFonts w:ascii="Times New Roman" w:hAnsi="Times New Roman"/>
      <w:sz w:val="22"/>
      <w:lang w:val="en-GB" w:eastAsia="en-US"/>
    </w:rPr>
  </w:style>
  <w:style w:type="character" w:styleId="HTMLCite">
    <w:name w:val="HTML Cite"/>
    <w:basedOn w:val="DefaultParagraphFont"/>
    <w:uiPriority w:val="99"/>
    <w:semiHidden/>
    <w:unhideWhenUsed/>
    <w:locked/>
    <w:rsid w:val="00542849"/>
    <w:rPr>
      <w:i/>
      <w:iCs/>
    </w:rPr>
  </w:style>
  <w:style w:type="paragraph" w:styleId="NormalWeb">
    <w:name w:val="Normal (Web)"/>
    <w:basedOn w:val="Normal"/>
    <w:uiPriority w:val="99"/>
    <w:semiHidden/>
    <w:unhideWhenUsed/>
    <w:rsid w:val="004C5B61"/>
    <w:pPr>
      <w:spacing w:before="100" w:beforeAutospacing="1" w:after="100" w:afterAutospacing="1" w:line="240" w:lineRule="auto"/>
    </w:pPr>
    <w:rPr>
      <w:rFonts w:eastAsiaTheme="minorEastAsia"/>
      <w:sz w:val="24"/>
      <w:szCs w:val="24"/>
      <w:lang w:val="en-AU" w:eastAsia="en-AU"/>
    </w:rPr>
  </w:style>
  <w:style w:type="paragraph" w:customStyle="1" w:styleId="Billname">
    <w:name w:val="Billname"/>
    <w:basedOn w:val="Normal"/>
    <w:rsid w:val="00E96374"/>
    <w:pPr>
      <w:tabs>
        <w:tab w:val="left" w:pos="2400"/>
        <w:tab w:val="left" w:pos="2880"/>
      </w:tabs>
      <w:spacing w:before="1220" w:after="100" w:line="240" w:lineRule="auto"/>
    </w:pPr>
    <w:rPr>
      <w:rFonts w:ascii="Arial" w:eastAsia="Times New Roman" w:hAnsi="Arial"/>
      <w:b/>
      <w:sz w:val="40"/>
      <w:lang w:val="en-AU"/>
    </w:rPr>
  </w:style>
  <w:style w:type="paragraph" w:customStyle="1" w:styleId="N-line3">
    <w:name w:val="N-line3"/>
    <w:basedOn w:val="Normal"/>
    <w:next w:val="Normal"/>
    <w:rsid w:val="00E96374"/>
    <w:pPr>
      <w:pBdr>
        <w:bottom w:val="single" w:sz="12" w:space="1" w:color="auto"/>
      </w:pBdr>
      <w:spacing w:after="0" w:line="240" w:lineRule="auto"/>
      <w:jc w:val="both"/>
    </w:pPr>
    <w:rPr>
      <w:rFonts w:eastAsia="Times New Roman"/>
      <w:sz w:val="24"/>
      <w:lang w:val="en-AU"/>
    </w:rPr>
  </w:style>
  <w:style w:type="paragraph" w:customStyle="1" w:styleId="madeunder">
    <w:name w:val="made under"/>
    <w:basedOn w:val="Normal"/>
    <w:rsid w:val="00E96374"/>
    <w:pPr>
      <w:spacing w:before="180" w:after="60" w:line="240" w:lineRule="auto"/>
      <w:jc w:val="both"/>
    </w:pPr>
    <w:rPr>
      <w:rFonts w:eastAsia="Times New Roman"/>
      <w:sz w:val="24"/>
      <w:lang w:val="en-AU"/>
    </w:rPr>
  </w:style>
  <w:style w:type="paragraph" w:customStyle="1" w:styleId="CoverActName">
    <w:name w:val="CoverActName"/>
    <w:basedOn w:val="Normal"/>
    <w:rsid w:val="00E96374"/>
    <w:pPr>
      <w:tabs>
        <w:tab w:val="left" w:pos="2600"/>
      </w:tabs>
      <w:spacing w:before="200" w:after="60" w:line="240" w:lineRule="auto"/>
      <w:jc w:val="both"/>
    </w:pPr>
    <w:rPr>
      <w:rFonts w:ascii="Arial" w:eastAsia="Times New Roman" w:hAnsi="Arial"/>
      <w:b/>
      <w:sz w:val="24"/>
      <w:lang w:val="en-AU"/>
    </w:rPr>
  </w:style>
  <w:style w:type="paragraph" w:styleId="TOCHeading">
    <w:name w:val="TOC Heading"/>
    <w:basedOn w:val="Heading1"/>
    <w:next w:val="Normal"/>
    <w:uiPriority w:val="39"/>
    <w:semiHidden/>
    <w:unhideWhenUsed/>
    <w:qFormat/>
    <w:locked/>
    <w:rsid w:val="006477A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OC4">
    <w:name w:val="toc 4"/>
    <w:basedOn w:val="Normal"/>
    <w:next w:val="Normal"/>
    <w:autoRedefine/>
    <w:uiPriority w:val="39"/>
    <w:unhideWhenUsed/>
    <w:locked/>
    <w:rsid w:val="006477A0"/>
    <w:pPr>
      <w:spacing w:after="100" w:line="276" w:lineRule="auto"/>
      <w:ind w:left="660"/>
    </w:pPr>
    <w:rPr>
      <w:rFonts w:asciiTheme="minorHAnsi" w:eastAsiaTheme="minorEastAsia" w:hAnsiTheme="minorHAnsi" w:cstheme="minorBidi"/>
      <w:szCs w:val="22"/>
      <w:lang w:val="en-AU" w:eastAsia="en-AU"/>
    </w:rPr>
  </w:style>
  <w:style w:type="paragraph" w:styleId="TOC5">
    <w:name w:val="toc 5"/>
    <w:basedOn w:val="Normal"/>
    <w:next w:val="Normal"/>
    <w:autoRedefine/>
    <w:uiPriority w:val="39"/>
    <w:unhideWhenUsed/>
    <w:locked/>
    <w:rsid w:val="006477A0"/>
    <w:pPr>
      <w:spacing w:after="100" w:line="276" w:lineRule="auto"/>
      <w:ind w:left="880"/>
    </w:pPr>
    <w:rPr>
      <w:rFonts w:asciiTheme="minorHAnsi" w:eastAsiaTheme="minorEastAsia" w:hAnsiTheme="minorHAnsi" w:cstheme="minorBidi"/>
      <w:szCs w:val="22"/>
      <w:lang w:val="en-AU" w:eastAsia="en-AU"/>
    </w:rPr>
  </w:style>
  <w:style w:type="paragraph" w:styleId="TOC6">
    <w:name w:val="toc 6"/>
    <w:basedOn w:val="Normal"/>
    <w:next w:val="Normal"/>
    <w:autoRedefine/>
    <w:uiPriority w:val="39"/>
    <w:unhideWhenUsed/>
    <w:locked/>
    <w:rsid w:val="006477A0"/>
    <w:pPr>
      <w:spacing w:after="100" w:line="276" w:lineRule="auto"/>
      <w:ind w:left="1100"/>
    </w:pPr>
    <w:rPr>
      <w:rFonts w:asciiTheme="minorHAnsi" w:eastAsiaTheme="minorEastAsia" w:hAnsiTheme="minorHAnsi" w:cstheme="minorBidi"/>
      <w:szCs w:val="22"/>
      <w:lang w:val="en-AU" w:eastAsia="en-AU"/>
    </w:rPr>
  </w:style>
  <w:style w:type="paragraph" w:styleId="TOC7">
    <w:name w:val="toc 7"/>
    <w:basedOn w:val="Normal"/>
    <w:next w:val="Normal"/>
    <w:autoRedefine/>
    <w:uiPriority w:val="39"/>
    <w:unhideWhenUsed/>
    <w:locked/>
    <w:rsid w:val="006477A0"/>
    <w:pPr>
      <w:spacing w:after="100" w:line="276" w:lineRule="auto"/>
      <w:ind w:left="1320"/>
    </w:pPr>
    <w:rPr>
      <w:rFonts w:asciiTheme="minorHAnsi" w:eastAsiaTheme="minorEastAsia" w:hAnsiTheme="minorHAnsi" w:cstheme="minorBidi"/>
      <w:szCs w:val="22"/>
      <w:lang w:val="en-AU" w:eastAsia="en-AU"/>
    </w:rPr>
  </w:style>
  <w:style w:type="paragraph" w:styleId="TOC8">
    <w:name w:val="toc 8"/>
    <w:basedOn w:val="Normal"/>
    <w:next w:val="Normal"/>
    <w:autoRedefine/>
    <w:uiPriority w:val="39"/>
    <w:unhideWhenUsed/>
    <w:locked/>
    <w:rsid w:val="006477A0"/>
    <w:pPr>
      <w:spacing w:after="100" w:line="276" w:lineRule="auto"/>
      <w:ind w:left="1540"/>
    </w:pPr>
    <w:rPr>
      <w:rFonts w:asciiTheme="minorHAnsi" w:eastAsiaTheme="minorEastAsia" w:hAnsiTheme="minorHAnsi" w:cstheme="minorBidi"/>
      <w:szCs w:val="22"/>
      <w:lang w:val="en-AU" w:eastAsia="en-AU"/>
    </w:rPr>
  </w:style>
  <w:style w:type="paragraph" w:styleId="TOC9">
    <w:name w:val="toc 9"/>
    <w:basedOn w:val="Normal"/>
    <w:next w:val="Normal"/>
    <w:autoRedefine/>
    <w:uiPriority w:val="39"/>
    <w:unhideWhenUsed/>
    <w:locked/>
    <w:rsid w:val="006477A0"/>
    <w:pPr>
      <w:spacing w:after="100" w:line="276" w:lineRule="auto"/>
      <w:ind w:left="1760"/>
    </w:pPr>
    <w:rPr>
      <w:rFonts w:asciiTheme="minorHAnsi" w:eastAsiaTheme="minorEastAsia" w:hAnsiTheme="minorHAnsi" w:cstheme="minorBidi"/>
      <w:szCs w:val="22"/>
      <w:lang w:val="en-AU" w:eastAsia="en-AU"/>
    </w:rPr>
  </w:style>
  <w:style w:type="character" w:styleId="Strong">
    <w:name w:val="Strong"/>
    <w:basedOn w:val="DefaultParagraphFont"/>
    <w:uiPriority w:val="22"/>
    <w:qFormat/>
    <w:locked/>
    <w:rsid w:val="00FC0BC1"/>
    <w:rPr>
      <w:b/>
      <w:bCs/>
    </w:rPr>
  </w:style>
  <w:style w:type="paragraph" w:styleId="BodyText">
    <w:name w:val="Body Text"/>
    <w:basedOn w:val="Normal"/>
    <w:link w:val="BodyTextChar"/>
    <w:uiPriority w:val="99"/>
    <w:semiHidden/>
    <w:unhideWhenUsed/>
    <w:locked/>
    <w:rsid w:val="009F7536"/>
    <w:pPr>
      <w:spacing w:after="120"/>
    </w:pPr>
  </w:style>
  <w:style w:type="character" w:customStyle="1" w:styleId="BodyTextChar">
    <w:name w:val="Body Text Char"/>
    <w:basedOn w:val="DefaultParagraphFont"/>
    <w:link w:val="BodyText"/>
    <w:uiPriority w:val="99"/>
    <w:semiHidden/>
    <w:rsid w:val="009F7536"/>
    <w:rPr>
      <w:rFonts w:ascii="Times New Roman" w:hAnsi="Times New Roman"/>
      <w:sz w:val="22"/>
      <w:lang w:val="en-GB" w:eastAsia="en-US"/>
    </w:rPr>
  </w:style>
  <w:style w:type="character" w:styleId="FollowedHyperlink">
    <w:name w:val="FollowedHyperlink"/>
    <w:basedOn w:val="DefaultParagraphFont"/>
    <w:uiPriority w:val="99"/>
    <w:semiHidden/>
    <w:unhideWhenUsed/>
    <w:locked/>
    <w:rsid w:val="00DD695A"/>
    <w:rPr>
      <w:color w:val="800080" w:themeColor="followedHyperlink"/>
      <w:u w:val="single"/>
    </w:rPr>
  </w:style>
  <w:style w:type="paragraph" w:customStyle="1" w:styleId="Heading2a">
    <w:name w:val="Heading 2a"/>
    <w:basedOn w:val="Heading2"/>
    <w:next w:val="BodyText"/>
    <w:uiPriority w:val="99"/>
    <w:qFormat/>
    <w:rsid w:val="006A781F"/>
    <w:pPr>
      <w:numPr>
        <w:ilvl w:val="0"/>
        <w:numId w:val="0"/>
      </w:numPr>
    </w:pPr>
  </w:style>
  <w:style w:type="paragraph" w:customStyle="1" w:styleId="Heading3a">
    <w:name w:val="Heading 3a"/>
    <w:basedOn w:val="Heading3"/>
    <w:next w:val="BodyText"/>
    <w:qFormat/>
    <w:rsid w:val="006A781F"/>
    <w:pPr>
      <w:numPr>
        <w:ilvl w:val="0"/>
        <w:numId w:val="0"/>
      </w:numPr>
    </w:pPr>
  </w:style>
  <w:style w:type="paragraph" w:styleId="Title">
    <w:name w:val="Title"/>
    <w:basedOn w:val="Normal"/>
    <w:next w:val="Normal"/>
    <w:link w:val="TitleChar"/>
    <w:qFormat/>
    <w:locked/>
    <w:rsid w:val="00091A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091A4A"/>
    <w:rPr>
      <w:rFonts w:eastAsia="Times New Roman"/>
      <w:color w:val="17365D"/>
      <w:spacing w:val="5"/>
      <w:kern w:val="28"/>
      <w:sz w:val="52"/>
      <w:szCs w:val="52"/>
      <w:lang w:val="en-GB" w:eastAsia="en-US"/>
    </w:rPr>
  </w:style>
  <w:style w:type="paragraph" w:customStyle="1" w:styleId="Epigraph">
    <w:name w:val="Epigraph"/>
    <w:basedOn w:val="Normal"/>
    <w:next w:val="Normal"/>
    <w:qFormat/>
    <w:locked/>
    <w:rsid w:val="00091A4A"/>
    <w:rPr>
      <w:i/>
    </w:rPr>
  </w:style>
  <w:style w:type="paragraph" w:customStyle="1" w:styleId="Oddheaderauthorname">
    <w:name w:val="Odd header (author name)"/>
    <w:basedOn w:val="Header"/>
    <w:qFormat/>
    <w:locked/>
    <w:rsid w:val="00091A4A"/>
    <w:pPr>
      <w:jc w:val="right"/>
    </w:pPr>
  </w:style>
  <w:style w:type="paragraph" w:customStyle="1" w:styleId="Tabletext">
    <w:name w:val="Table text"/>
    <w:locked/>
    <w:rsid w:val="00091A4A"/>
    <w:pPr>
      <w:spacing w:before="60" w:after="60" w:line="240" w:lineRule="exact"/>
    </w:pPr>
    <w:rPr>
      <w:rFonts w:ascii="Arial" w:eastAsia="Calibri" w:hAnsi="Arial"/>
      <w:szCs w:val="22"/>
      <w:lang w:val="en-GB" w:eastAsia="en-US"/>
    </w:rPr>
  </w:style>
  <w:style w:type="paragraph" w:customStyle="1" w:styleId="Boxtext">
    <w:name w:val="Box text"/>
    <w:basedOn w:val="Normal"/>
    <w:next w:val="Normal"/>
    <w:qFormat/>
    <w:locked/>
    <w:rsid w:val="00091A4A"/>
    <w:pPr>
      <w:shd w:val="pct10" w:color="auto" w:fill="auto"/>
    </w:pPr>
    <w:rPr>
      <w:sz w:val="20"/>
    </w:rPr>
  </w:style>
  <w:style w:type="paragraph" w:styleId="ListNumber">
    <w:name w:val="List Number"/>
    <w:basedOn w:val="Normal"/>
    <w:qFormat/>
    <w:locked/>
    <w:rsid w:val="00B4242A"/>
    <w:pPr>
      <w:numPr>
        <w:numId w:val="32"/>
      </w:numPr>
    </w:pPr>
  </w:style>
  <w:style w:type="paragraph" w:customStyle="1" w:styleId="LetteredList">
    <w:name w:val="Lettered List"/>
    <w:basedOn w:val="Bullet"/>
    <w:qFormat/>
    <w:rsid w:val="009A7020"/>
    <w:pPr>
      <w:numPr>
        <w:numId w:val="10"/>
      </w:numPr>
    </w:pPr>
  </w:style>
  <w:style w:type="paragraph" w:customStyle="1" w:styleId="Bulletintro">
    <w:name w:val="Bullet intro"/>
    <w:basedOn w:val="Normal"/>
    <w:qFormat/>
    <w:rsid w:val="00E4257E"/>
    <w:pPr>
      <w:keepNext/>
      <w:spacing w:after="100"/>
    </w:pPr>
  </w:style>
  <w:style w:type="paragraph" w:styleId="BodyTextIndent">
    <w:name w:val="Body Text Indent"/>
    <w:basedOn w:val="Normal"/>
    <w:link w:val="BodyTextIndentChar"/>
    <w:uiPriority w:val="99"/>
    <w:semiHidden/>
    <w:unhideWhenUsed/>
    <w:locked/>
    <w:rsid w:val="0000019F"/>
    <w:pPr>
      <w:spacing w:after="120"/>
      <w:ind w:left="283"/>
    </w:pPr>
  </w:style>
  <w:style w:type="character" w:customStyle="1" w:styleId="BodyTextIndentChar">
    <w:name w:val="Body Text Indent Char"/>
    <w:basedOn w:val="DefaultParagraphFont"/>
    <w:link w:val="BodyTextIndent"/>
    <w:uiPriority w:val="99"/>
    <w:semiHidden/>
    <w:rsid w:val="0000019F"/>
    <w:rPr>
      <w:rFonts w:ascii="Times New Roman" w:hAnsi="Times New Roman"/>
      <w:sz w:val="22"/>
      <w:lang w:val="en-GB" w:eastAsia="en-US"/>
    </w:rPr>
  </w:style>
  <w:style w:type="paragraph" w:customStyle="1" w:styleId="Default">
    <w:name w:val="Default"/>
    <w:rsid w:val="00D04C76"/>
    <w:pPr>
      <w:autoSpaceDE w:val="0"/>
      <w:autoSpaceDN w:val="0"/>
      <w:adjustRightInd w:val="0"/>
    </w:pPr>
    <w:rPr>
      <w:rFonts w:ascii="Times New Roman" w:hAnsi="Times New Roman"/>
      <w:color w:val="000000"/>
      <w:sz w:val="24"/>
      <w:szCs w:val="24"/>
    </w:rPr>
  </w:style>
  <w:style w:type="paragraph" w:styleId="ListBullet">
    <w:name w:val="List Bullet"/>
    <w:basedOn w:val="Normal"/>
    <w:uiPriority w:val="99"/>
    <w:semiHidden/>
    <w:unhideWhenUsed/>
    <w:locked/>
    <w:rsid w:val="009948AA"/>
    <w:pPr>
      <w:numPr>
        <w:numId w:val="23"/>
      </w:numPr>
      <w:contextualSpacing/>
    </w:pPr>
  </w:style>
  <w:style w:type="character" w:customStyle="1" w:styleId="apple-converted-space">
    <w:name w:val="apple-converted-space"/>
    <w:basedOn w:val="DefaultParagraphFont"/>
    <w:rsid w:val="004F59FC"/>
  </w:style>
  <w:style w:type="paragraph" w:customStyle="1" w:styleId="EndNoteBibliographyTitle">
    <w:name w:val="EndNote Bibliography Title"/>
    <w:basedOn w:val="Normal"/>
    <w:link w:val="EndNoteBibliographyTitleChar"/>
    <w:rsid w:val="00874278"/>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74278"/>
    <w:rPr>
      <w:rFonts w:ascii="Times New Roman" w:hAnsi="Times New Roman"/>
      <w:noProof/>
      <w:sz w:val="22"/>
      <w:lang w:val="en-US" w:eastAsia="en-US"/>
    </w:rPr>
  </w:style>
  <w:style w:type="paragraph" w:customStyle="1" w:styleId="EndNoteBibliography">
    <w:name w:val="EndNote Bibliography"/>
    <w:basedOn w:val="Normal"/>
    <w:link w:val="EndNoteBibliographyChar"/>
    <w:rsid w:val="00874278"/>
    <w:pPr>
      <w:spacing w:line="240" w:lineRule="atLeast"/>
    </w:pPr>
    <w:rPr>
      <w:noProof/>
      <w:lang w:val="en-US"/>
    </w:rPr>
  </w:style>
  <w:style w:type="character" w:customStyle="1" w:styleId="EndNoteBibliographyChar">
    <w:name w:val="EndNote Bibliography Char"/>
    <w:basedOn w:val="DefaultParagraphFont"/>
    <w:link w:val="EndNoteBibliography"/>
    <w:rsid w:val="00874278"/>
    <w:rPr>
      <w:rFonts w:ascii="Times New Roman" w:hAnsi="Times New Roman"/>
      <w:noProof/>
      <w:sz w:val="22"/>
      <w:lang w:val="en-US" w:eastAsia="en-US"/>
    </w:rPr>
  </w:style>
  <w:style w:type="paragraph" w:customStyle="1" w:styleId="FigureName0">
    <w:name w:val="FigureName"/>
    <w:basedOn w:val="TableName0"/>
    <w:next w:val="Normal"/>
    <w:uiPriority w:val="99"/>
    <w:rsid w:val="00040925"/>
  </w:style>
  <w:style w:type="paragraph" w:customStyle="1" w:styleId="TableName0">
    <w:name w:val="TableName"/>
    <w:basedOn w:val="TableText0"/>
    <w:link w:val="TableNameChar0"/>
    <w:uiPriority w:val="99"/>
    <w:rsid w:val="00040925"/>
    <w:pPr>
      <w:spacing w:before="120" w:after="120"/>
      <w:ind w:left="1080" w:hanging="1080"/>
    </w:pPr>
    <w:rPr>
      <w:b/>
      <w:sz w:val="20"/>
    </w:rPr>
  </w:style>
  <w:style w:type="paragraph" w:customStyle="1" w:styleId="TableText0">
    <w:name w:val="TableText"/>
    <w:link w:val="TableTextChar2"/>
    <w:uiPriority w:val="99"/>
    <w:rsid w:val="00040925"/>
    <w:pPr>
      <w:keepNext/>
      <w:spacing w:before="40" w:after="40"/>
    </w:pPr>
    <w:rPr>
      <w:rFonts w:ascii="Arial Narrow" w:hAnsi="Arial Narrow"/>
      <w:sz w:val="18"/>
      <w:lang w:val="en-GB" w:eastAsia="en-US"/>
    </w:rPr>
  </w:style>
  <w:style w:type="character" w:customStyle="1" w:styleId="TableNameChar0">
    <w:name w:val="TableName Char"/>
    <w:link w:val="TableName0"/>
    <w:uiPriority w:val="99"/>
    <w:locked/>
    <w:rsid w:val="00040925"/>
    <w:rPr>
      <w:rFonts w:ascii="Arial Narrow" w:hAnsi="Arial Narrow"/>
      <w:b/>
      <w:lang w:val="en-GB" w:eastAsia="en-US"/>
    </w:rPr>
  </w:style>
  <w:style w:type="character" w:customStyle="1" w:styleId="BulletCharChar">
    <w:name w:val="Bullet Char Char"/>
    <w:uiPriority w:val="99"/>
    <w:locked/>
    <w:rsid w:val="00040925"/>
    <w:rPr>
      <w:rFonts w:ascii="Times New Roman" w:hAnsi="Times New Roman"/>
      <w:sz w:val="22"/>
      <w:lang w:val="en-GB" w:eastAsia="en-US"/>
    </w:rPr>
  </w:style>
  <w:style w:type="paragraph" w:customStyle="1" w:styleId="Dash">
    <w:name w:val="Dash"/>
    <w:basedOn w:val="Normal"/>
    <w:uiPriority w:val="99"/>
    <w:rsid w:val="00040925"/>
    <w:pPr>
      <w:numPr>
        <w:numId w:val="29"/>
      </w:numPr>
      <w:tabs>
        <w:tab w:val="num" w:pos="720"/>
      </w:tabs>
      <w:spacing w:after="100"/>
      <w:ind w:left="714" w:hanging="357"/>
    </w:pPr>
  </w:style>
  <w:style w:type="paragraph" w:customStyle="1" w:styleId="TableHeading">
    <w:name w:val="TableHeading"/>
    <w:basedOn w:val="TableText0"/>
    <w:uiPriority w:val="99"/>
    <w:rsid w:val="00040925"/>
    <w:rPr>
      <w:b/>
    </w:rPr>
  </w:style>
  <w:style w:type="paragraph" w:customStyle="1" w:styleId="TableNotesLast0">
    <w:name w:val="TableNotesLast"/>
    <w:basedOn w:val="Normal"/>
    <w:uiPriority w:val="99"/>
    <w:rsid w:val="00040925"/>
    <w:pPr>
      <w:keepLines/>
      <w:spacing w:before="60" w:line="240" w:lineRule="auto"/>
    </w:pPr>
    <w:rPr>
      <w:rFonts w:ascii="Arial Narrow" w:hAnsi="Arial Narrow"/>
      <w:sz w:val="16"/>
    </w:rPr>
  </w:style>
  <w:style w:type="paragraph" w:customStyle="1" w:styleId="BulletIntro0">
    <w:name w:val="BulletIntro"/>
    <w:basedOn w:val="Normal"/>
    <w:next w:val="Bullet"/>
    <w:uiPriority w:val="99"/>
    <w:rsid w:val="00040925"/>
    <w:pPr>
      <w:spacing w:after="100"/>
    </w:pPr>
  </w:style>
  <w:style w:type="paragraph" w:customStyle="1" w:styleId="BulletLast0">
    <w:name w:val="BulletLast"/>
    <w:basedOn w:val="Bullet"/>
    <w:next w:val="Normal"/>
    <w:link w:val="BulletLastChar"/>
    <w:rsid w:val="00040925"/>
    <w:pPr>
      <w:tabs>
        <w:tab w:val="num" w:pos="360"/>
      </w:tabs>
      <w:spacing w:after="220"/>
      <w:ind w:left="360"/>
    </w:pPr>
  </w:style>
  <w:style w:type="character" w:customStyle="1" w:styleId="BulletLastChar">
    <w:name w:val="BulletLast Char"/>
    <w:link w:val="BulletLast0"/>
    <w:locked/>
    <w:rsid w:val="00040925"/>
    <w:rPr>
      <w:rFonts w:ascii="Times New Roman" w:hAnsi="Times New Roman"/>
      <w:sz w:val="22"/>
      <w:lang w:val="en-GB" w:eastAsia="en-US"/>
    </w:rPr>
  </w:style>
  <w:style w:type="character" w:customStyle="1" w:styleId="TableTextChar2">
    <w:name w:val="TableText Char2"/>
    <w:link w:val="TableText0"/>
    <w:uiPriority w:val="99"/>
    <w:locked/>
    <w:rsid w:val="00040925"/>
    <w:rPr>
      <w:rFonts w:ascii="Arial Narrow" w:hAnsi="Arial Narrow"/>
      <w:sz w:val="18"/>
      <w:lang w:val="en-GB" w:eastAsia="en-US"/>
    </w:rPr>
  </w:style>
  <w:style w:type="paragraph" w:customStyle="1" w:styleId="FigureNotes">
    <w:name w:val="FigureNotes"/>
    <w:basedOn w:val="Normal"/>
    <w:uiPriority w:val="99"/>
    <w:rsid w:val="00040925"/>
    <w:rPr>
      <w:rFonts w:ascii="Arial Narrow" w:eastAsia="Times New Roman" w:hAnsi="Arial Narrow"/>
      <w:sz w:val="16"/>
      <w:lang w:val="en-AU"/>
    </w:rPr>
  </w:style>
</w:styles>
</file>

<file path=word/webSettings.xml><?xml version="1.0" encoding="utf-8"?>
<w:webSettings xmlns:r="http://schemas.openxmlformats.org/officeDocument/2006/relationships" xmlns:w="http://schemas.openxmlformats.org/wordprocessingml/2006/main">
  <w:divs>
    <w:div w:id="34700683">
      <w:bodyDiv w:val="1"/>
      <w:marLeft w:val="0"/>
      <w:marRight w:val="0"/>
      <w:marTop w:val="0"/>
      <w:marBottom w:val="0"/>
      <w:divBdr>
        <w:top w:val="none" w:sz="0" w:space="0" w:color="auto"/>
        <w:left w:val="none" w:sz="0" w:space="0" w:color="auto"/>
        <w:bottom w:val="none" w:sz="0" w:space="0" w:color="auto"/>
        <w:right w:val="none" w:sz="0" w:space="0" w:color="auto"/>
      </w:divBdr>
    </w:div>
    <w:div w:id="36200897">
      <w:bodyDiv w:val="1"/>
      <w:marLeft w:val="0"/>
      <w:marRight w:val="0"/>
      <w:marTop w:val="0"/>
      <w:marBottom w:val="0"/>
      <w:divBdr>
        <w:top w:val="none" w:sz="0" w:space="0" w:color="auto"/>
        <w:left w:val="none" w:sz="0" w:space="0" w:color="auto"/>
        <w:bottom w:val="none" w:sz="0" w:space="0" w:color="auto"/>
        <w:right w:val="none" w:sz="0" w:space="0" w:color="auto"/>
      </w:divBdr>
    </w:div>
    <w:div w:id="56056138">
      <w:bodyDiv w:val="1"/>
      <w:marLeft w:val="0"/>
      <w:marRight w:val="0"/>
      <w:marTop w:val="0"/>
      <w:marBottom w:val="0"/>
      <w:divBdr>
        <w:top w:val="none" w:sz="0" w:space="0" w:color="auto"/>
        <w:left w:val="none" w:sz="0" w:space="0" w:color="auto"/>
        <w:bottom w:val="none" w:sz="0" w:space="0" w:color="auto"/>
        <w:right w:val="none" w:sz="0" w:space="0" w:color="auto"/>
      </w:divBdr>
    </w:div>
    <w:div w:id="76680751">
      <w:bodyDiv w:val="1"/>
      <w:marLeft w:val="0"/>
      <w:marRight w:val="0"/>
      <w:marTop w:val="0"/>
      <w:marBottom w:val="0"/>
      <w:divBdr>
        <w:top w:val="none" w:sz="0" w:space="0" w:color="auto"/>
        <w:left w:val="none" w:sz="0" w:space="0" w:color="auto"/>
        <w:bottom w:val="none" w:sz="0" w:space="0" w:color="auto"/>
        <w:right w:val="none" w:sz="0" w:space="0" w:color="auto"/>
      </w:divBdr>
    </w:div>
    <w:div w:id="106627916">
      <w:bodyDiv w:val="1"/>
      <w:marLeft w:val="0"/>
      <w:marRight w:val="0"/>
      <w:marTop w:val="0"/>
      <w:marBottom w:val="0"/>
      <w:divBdr>
        <w:top w:val="none" w:sz="0" w:space="0" w:color="auto"/>
        <w:left w:val="none" w:sz="0" w:space="0" w:color="auto"/>
        <w:bottom w:val="none" w:sz="0" w:space="0" w:color="auto"/>
        <w:right w:val="none" w:sz="0" w:space="0" w:color="auto"/>
      </w:divBdr>
    </w:div>
    <w:div w:id="108202664">
      <w:bodyDiv w:val="1"/>
      <w:marLeft w:val="0"/>
      <w:marRight w:val="0"/>
      <w:marTop w:val="0"/>
      <w:marBottom w:val="0"/>
      <w:divBdr>
        <w:top w:val="none" w:sz="0" w:space="0" w:color="auto"/>
        <w:left w:val="none" w:sz="0" w:space="0" w:color="auto"/>
        <w:bottom w:val="none" w:sz="0" w:space="0" w:color="auto"/>
        <w:right w:val="none" w:sz="0" w:space="0" w:color="auto"/>
      </w:divBdr>
    </w:div>
    <w:div w:id="108936832">
      <w:bodyDiv w:val="1"/>
      <w:marLeft w:val="0"/>
      <w:marRight w:val="0"/>
      <w:marTop w:val="0"/>
      <w:marBottom w:val="0"/>
      <w:divBdr>
        <w:top w:val="none" w:sz="0" w:space="0" w:color="auto"/>
        <w:left w:val="none" w:sz="0" w:space="0" w:color="auto"/>
        <w:bottom w:val="none" w:sz="0" w:space="0" w:color="auto"/>
        <w:right w:val="none" w:sz="0" w:space="0" w:color="auto"/>
      </w:divBdr>
    </w:div>
    <w:div w:id="122038974">
      <w:bodyDiv w:val="1"/>
      <w:marLeft w:val="0"/>
      <w:marRight w:val="0"/>
      <w:marTop w:val="0"/>
      <w:marBottom w:val="0"/>
      <w:divBdr>
        <w:top w:val="none" w:sz="0" w:space="0" w:color="auto"/>
        <w:left w:val="none" w:sz="0" w:space="0" w:color="auto"/>
        <w:bottom w:val="none" w:sz="0" w:space="0" w:color="auto"/>
        <w:right w:val="none" w:sz="0" w:space="0" w:color="auto"/>
      </w:divBdr>
    </w:div>
    <w:div w:id="140385871">
      <w:bodyDiv w:val="1"/>
      <w:marLeft w:val="0"/>
      <w:marRight w:val="0"/>
      <w:marTop w:val="0"/>
      <w:marBottom w:val="0"/>
      <w:divBdr>
        <w:top w:val="none" w:sz="0" w:space="0" w:color="auto"/>
        <w:left w:val="none" w:sz="0" w:space="0" w:color="auto"/>
        <w:bottom w:val="none" w:sz="0" w:space="0" w:color="auto"/>
        <w:right w:val="none" w:sz="0" w:space="0" w:color="auto"/>
      </w:divBdr>
    </w:div>
    <w:div w:id="161244282">
      <w:bodyDiv w:val="1"/>
      <w:marLeft w:val="0"/>
      <w:marRight w:val="0"/>
      <w:marTop w:val="0"/>
      <w:marBottom w:val="0"/>
      <w:divBdr>
        <w:top w:val="none" w:sz="0" w:space="0" w:color="auto"/>
        <w:left w:val="none" w:sz="0" w:space="0" w:color="auto"/>
        <w:bottom w:val="none" w:sz="0" w:space="0" w:color="auto"/>
        <w:right w:val="none" w:sz="0" w:space="0" w:color="auto"/>
      </w:divBdr>
    </w:div>
    <w:div w:id="162740996">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206987498">
      <w:bodyDiv w:val="1"/>
      <w:marLeft w:val="0"/>
      <w:marRight w:val="0"/>
      <w:marTop w:val="0"/>
      <w:marBottom w:val="0"/>
      <w:divBdr>
        <w:top w:val="none" w:sz="0" w:space="0" w:color="auto"/>
        <w:left w:val="none" w:sz="0" w:space="0" w:color="auto"/>
        <w:bottom w:val="none" w:sz="0" w:space="0" w:color="auto"/>
        <w:right w:val="none" w:sz="0" w:space="0" w:color="auto"/>
      </w:divBdr>
    </w:div>
    <w:div w:id="232813655">
      <w:bodyDiv w:val="1"/>
      <w:marLeft w:val="0"/>
      <w:marRight w:val="0"/>
      <w:marTop w:val="0"/>
      <w:marBottom w:val="0"/>
      <w:divBdr>
        <w:top w:val="none" w:sz="0" w:space="0" w:color="auto"/>
        <w:left w:val="none" w:sz="0" w:space="0" w:color="auto"/>
        <w:bottom w:val="none" w:sz="0" w:space="0" w:color="auto"/>
        <w:right w:val="none" w:sz="0" w:space="0" w:color="auto"/>
      </w:divBdr>
    </w:div>
    <w:div w:id="240018996">
      <w:bodyDiv w:val="1"/>
      <w:marLeft w:val="0"/>
      <w:marRight w:val="0"/>
      <w:marTop w:val="0"/>
      <w:marBottom w:val="0"/>
      <w:divBdr>
        <w:top w:val="none" w:sz="0" w:space="0" w:color="auto"/>
        <w:left w:val="none" w:sz="0" w:space="0" w:color="auto"/>
        <w:bottom w:val="none" w:sz="0" w:space="0" w:color="auto"/>
        <w:right w:val="none" w:sz="0" w:space="0" w:color="auto"/>
      </w:divBdr>
    </w:div>
    <w:div w:id="268128040">
      <w:bodyDiv w:val="1"/>
      <w:marLeft w:val="0"/>
      <w:marRight w:val="0"/>
      <w:marTop w:val="0"/>
      <w:marBottom w:val="0"/>
      <w:divBdr>
        <w:top w:val="none" w:sz="0" w:space="0" w:color="auto"/>
        <w:left w:val="none" w:sz="0" w:space="0" w:color="auto"/>
        <w:bottom w:val="none" w:sz="0" w:space="0" w:color="auto"/>
        <w:right w:val="none" w:sz="0" w:space="0" w:color="auto"/>
      </w:divBdr>
    </w:div>
    <w:div w:id="272792016">
      <w:bodyDiv w:val="1"/>
      <w:marLeft w:val="0"/>
      <w:marRight w:val="0"/>
      <w:marTop w:val="0"/>
      <w:marBottom w:val="0"/>
      <w:divBdr>
        <w:top w:val="none" w:sz="0" w:space="0" w:color="auto"/>
        <w:left w:val="none" w:sz="0" w:space="0" w:color="auto"/>
        <w:bottom w:val="none" w:sz="0" w:space="0" w:color="auto"/>
        <w:right w:val="none" w:sz="0" w:space="0" w:color="auto"/>
      </w:divBdr>
    </w:div>
    <w:div w:id="274947626">
      <w:bodyDiv w:val="1"/>
      <w:marLeft w:val="0"/>
      <w:marRight w:val="0"/>
      <w:marTop w:val="0"/>
      <w:marBottom w:val="0"/>
      <w:divBdr>
        <w:top w:val="none" w:sz="0" w:space="0" w:color="auto"/>
        <w:left w:val="none" w:sz="0" w:space="0" w:color="auto"/>
        <w:bottom w:val="none" w:sz="0" w:space="0" w:color="auto"/>
        <w:right w:val="none" w:sz="0" w:space="0" w:color="auto"/>
      </w:divBdr>
    </w:div>
    <w:div w:id="287009554">
      <w:bodyDiv w:val="1"/>
      <w:marLeft w:val="0"/>
      <w:marRight w:val="0"/>
      <w:marTop w:val="0"/>
      <w:marBottom w:val="0"/>
      <w:divBdr>
        <w:top w:val="none" w:sz="0" w:space="0" w:color="auto"/>
        <w:left w:val="none" w:sz="0" w:space="0" w:color="auto"/>
        <w:bottom w:val="none" w:sz="0" w:space="0" w:color="auto"/>
        <w:right w:val="none" w:sz="0" w:space="0" w:color="auto"/>
      </w:divBdr>
    </w:div>
    <w:div w:id="302927545">
      <w:bodyDiv w:val="1"/>
      <w:marLeft w:val="0"/>
      <w:marRight w:val="0"/>
      <w:marTop w:val="0"/>
      <w:marBottom w:val="0"/>
      <w:divBdr>
        <w:top w:val="none" w:sz="0" w:space="0" w:color="auto"/>
        <w:left w:val="none" w:sz="0" w:space="0" w:color="auto"/>
        <w:bottom w:val="none" w:sz="0" w:space="0" w:color="auto"/>
        <w:right w:val="none" w:sz="0" w:space="0" w:color="auto"/>
      </w:divBdr>
      <w:divsChild>
        <w:div w:id="1875147875">
          <w:marLeft w:val="0"/>
          <w:marRight w:val="0"/>
          <w:marTop w:val="0"/>
          <w:marBottom w:val="0"/>
          <w:divBdr>
            <w:top w:val="none" w:sz="0" w:space="0" w:color="auto"/>
            <w:left w:val="none" w:sz="0" w:space="0" w:color="auto"/>
            <w:bottom w:val="none" w:sz="0" w:space="0" w:color="auto"/>
            <w:right w:val="none" w:sz="0" w:space="0" w:color="auto"/>
          </w:divBdr>
          <w:divsChild>
            <w:div w:id="1912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0557">
      <w:bodyDiv w:val="1"/>
      <w:marLeft w:val="0"/>
      <w:marRight w:val="0"/>
      <w:marTop w:val="0"/>
      <w:marBottom w:val="0"/>
      <w:divBdr>
        <w:top w:val="none" w:sz="0" w:space="0" w:color="auto"/>
        <w:left w:val="none" w:sz="0" w:space="0" w:color="auto"/>
        <w:bottom w:val="none" w:sz="0" w:space="0" w:color="auto"/>
        <w:right w:val="none" w:sz="0" w:space="0" w:color="auto"/>
      </w:divBdr>
    </w:div>
    <w:div w:id="321930817">
      <w:bodyDiv w:val="1"/>
      <w:marLeft w:val="0"/>
      <w:marRight w:val="0"/>
      <w:marTop w:val="0"/>
      <w:marBottom w:val="0"/>
      <w:divBdr>
        <w:top w:val="none" w:sz="0" w:space="0" w:color="auto"/>
        <w:left w:val="none" w:sz="0" w:space="0" w:color="auto"/>
        <w:bottom w:val="none" w:sz="0" w:space="0" w:color="auto"/>
        <w:right w:val="none" w:sz="0" w:space="0" w:color="auto"/>
      </w:divBdr>
    </w:div>
    <w:div w:id="323514219">
      <w:bodyDiv w:val="1"/>
      <w:marLeft w:val="0"/>
      <w:marRight w:val="0"/>
      <w:marTop w:val="0"/>
      <w:marBottom w:val="0"/>
      <w:divBdr>
        <w:top w:val="none" w:sz="0" w:space="0" w:color="auto"/>
        <w:left w:val="none" w:sz="0" w:space="0" w:color="auto"/>
        <w:bottom w:val="none" w:sz="0" w:space="0" w:color="auto"/>
        <w:right w:val="none" w:sz="0" w:space="0" w:color="auto"/>
      </w:divBdr>
    </w:div>
    <w:div w:id="330722445">
      <w:bodyDiv w:val="1"/>
      <w:marLeft w:val="0"/>
      <w:marRight w:val="0"/>
      <w:marTop w:val="0"/>
      <w:marBottom w:val="0"/>
      <w:divBdr>
        <w:top w:val="none" w:sz="0" w:space="0" w:color="auto"/>
        <w:left w:val="none" w:sz="0" w:space="0" w:color="auto"/>
        <w:bottom w:val="none" w:sz="0" w:space="0" w:color="auto"/>
        <w:right w:val="none" w:sz="0" w:space="0" w:color="auto"/>
      </w:divBdr>
    </w:div>
    <w:div w:id="331447694">
      <w:bodyDiv w:val="1"/>
      <w:marLeft w:val="0"/>
      <w:marRight w:val="0"/>
      <w:marTop w:val="0"/>
      <w:marBottom w:val="0"/>
      <w:divBdr>
        <w:top w:val="none" w:sz="0" w:space="0" w:color="auto"/>
        <w:left w:val="none" w:sz="0" w:space="0" w:color="auto"/>
        <w:bottom w:val="none" w:sz="0" w:space="0" w:color="auto"/>
        <w:right w:val="none" w:sz="0" w:space="0" w:color="auto"/>
      </w:divBdr>
    </w:div>
    <w:div w:id="333462946">
      <w:bodyDiv w:val="1"/>
      <w:marLeft w:val="0"/>
      <w:marRight w:val="0"/>
      <w:marTop w:val="0"/>
      <w:marBottom w:val="0"/>
      <w:divBdr>
        <w:top w:val="none" w:sz="0" w:space="0" w:color="auto"/>
        <w:left w:val="none" w:sz="0" w:space="0" w:color="auto"/>
        <w:bottom w:val="none" w:sz="0" w:space="0" w:color="auto"/>
        <w:right w:val="none" w:sz="0" w:space="0" w:color="auto"/>
      </w:divBdr>
    </w:div>
    <w:div w:id="337194333">
      <w:bodyDiv w:val="1"/>
      <w:marLeft w:val="0"/>
      <w:marRight w:val="0"/>
      <w:marTop w:val="0"/>
      <w:marBottom w:val="0"/>
      <w:divBdr>
        <w:top w:val="none" w:sz="0" w:space="0" w:color="auto"/>
        <w:left w:val="none" w:sz="0" w:space="0" w:color="auto"/>
        <w:bottom w:val="none" w:sz="0" w:space="0" w:color="auto"/>
        <w:right w:val="none" w:sz="0" w:space="0" w:color="auto"/>
      </w:divBdr>
    </w:div>
    <w:div w:id="337662165">
      <w:bodyDiv w:val="1"/>
      <w:marLeft w:val="0"/>
      <w:marRight w:val="0"/>
      <w:marTop w:val="0"/>
      <w:marBottom w:val="0"/>
      <w:divBdr>
        <w:top w:val="none" w:sz="0" w:space="0" w:color="auto"/>
        <w:left w:val="none" w:sz="0" w:space="0" w:color="auto"/>
        <w:bottom w:val="none" w:sz="0" w:space="0" w:color="auto"/>
        <w:right w:val="none" w:sz="0" w:space="0" w:color="auto"/>
      </w:divBdr>
    </w:div>
    <w:div w:id="339545424">
      <w:bodyDiv w:val="1"/>
      <w:marLeft w:val="0"/>
      <w:marRight w:val="0"/>
      <w:marTop w:val="0"/>
      <w:marBottom w:val="0"/>
      <w:divBdr>
        <w:top w:val="none" w:sz="0" w:space="0" w:color="auto"/>
        <w:left w:val="none" w:sz="0" w:space="0" w:color="auto"/>
        <w:bottom w:val="none" w:sz="0" w:space="0" w:color="auto"/>
        <w:right w:val="none" w:sz="0" w:space="0" w:color="auto"/>
      </w:divBdr>
    </w:div>
    <w:div w:id="350644214">
      <w:bodyDiv w:val="1"/>
      <w:marLeft w:val="0"/>
      <w:marRight w:val="0"/>
      <w:marTop w:val="0"/>
      <w:marBottom w:val="0"/>
      <w:divBdr>
        <w:top w:val="none" w:sz="0" w:space="0" w:color="auto"/>
        <w:left w:val="none" w:sz="0" w:space="0" w:color="auto"/>
        <w:bottom w:val="none" w:sz="0" w:space="0" w:color="auto"/>
        <w:right w:val="none" w:sz="0" w:space="0" w:color="auto"/>
      </w:divBdr>
    </w:div>
    <w:div w:id="352658110">
      <w:bodyDiv w:val="1"/>
      <w:marLeft w:val="0"/>
      <w:marRight w:val="0"/>
      <w:marTop w:val="0"/>
      <w:marBottom w:val="0"/>
      <w:divBdr>
        <w:top w:val="none" w:sz="0" w:space="0" w:color="auto"/>
        <w:left w:val="none" w:sz="0" w:space="0" w:color="auto"/>
        <w:bottom w:val="none" w:sz="0" w:space="0" w:color="auto"/>
        <w:right w:val="none" w:sz="0" w:space="0" w:color="auto"/>
      </w:divBdr>
    </w:div>
    <w:div w:id="362708820">
      <w:bodyDiv w:val="1"/>
      <w:marLeft w:val="0"/>
      <w:marRight w:val="0"/>
      <w:marTop w:val="0"/>
      <w:marBottom w:val="0"/>
      <w:divBdr>
        <w:top w:val="none" w:sz="0" w:space="0" w:color="auto"/>
        <w:left w:val="none" w:sz="0" w:space="0" w:color="auto"/>
        <w:bottom w:val="none" w:sz="0" w:space="0" w:color="auto"/>
        <w:right w:val="none" w:sz="0" w:space="0" w:color="auto"/>
      </w:divBdr>
      <w:divsChild>
        <w:div w:id="946079181">
          <w:marLeft w:val="0"/>
          <w:marRight w:val="0"/>
          <w:marTop w:val="0"/>
          <w:marBottom w:val="0"/>
          <w:divBdr>
            <w:top w:val="none" w:sz="0" w:space="0" w:color="auto"/>
            <w:left w:val="none" w:sz="0" w:space="0" w:color="auto"/>
            <w:bottom w:val="none" w:sz="0" w:space="0" w:color="auto"/>
            <w:right w:val="none" w:sz="0" w:space="0" w:color="auto"/>
          </w:divBdr>
          <w:divsChild>
            <w:div w:id="1527475269">
              <w:marLeft w:val="0"/>
              <w:marRight w:val="0"/>
              <w:marTop w:val="0"/>
              <w:marBottom w:val="0"/>
              <w:divBdr>
                <w:top w:val="none" w:sz="0" w:space="0" w:color="auto"/>
                <w:left w:val="none" w:sz="0" w:space="0" w:color="auto"/>
                <w:bottom w:val="none" w:sz="0" w:space="0" w:color="auto"/>
                <w:right w:val="none" w:sz="0" w:space="0" w:color="auto"/>
              </w:divBdr>
              <w:divsChild>
                <w:div w:id="1272778759">
                  <w:marLeft w:val="0"/>
                  <w:marRight w:val="0"/>
                  <w:marTop w:val="0"/>
                  <w:marBottom w:val="129"/>
                  <w:divBdr>
                    <w:top w:val="none" w:sz="0" w:space="0" w:color="auto"/>
                    <w:left w:val="none" w:sz="0" w:space="0" w:color="auto"/>
                    <w:bottom w:val="none" w:sz="0" w:space="0" w:color="auto"/>
                    <w:right w:val="none" w:sz="0" w:space="0" w:color="auto"/>
                  </w:divBdr>
                  <w:divsChild>
                    <w:div w:id="1636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98367">
      <w:bodyDiv w:val="1"/>
      <w:marLeft w:val="0"/>
      <w:marRight w:val="0"/>
      <w:marTop w:val="0"/>
      <w:marBottom w:val="0"/>
      <w:divBdr>
        <w:top w:val="none" w:sz="0" w:space="0" w:color="auto"/>
        <w:left w:val="none" w:sz="0" w:space="0" w:color="auto"/>
        <w:bottom w:val="none" w:sz="0" w:space="0" w:color="auto"/>
        <w:right w:val="none" w:sz="0" w:space="0" w:color="auto"/>
      </w:divBdr>
    </w:div>
    <w:div w:id="393897015">
      <w:bodyDiv w:val="1"/>
      <w:marLeft w:val="0"/>
      <w:marRight w:val="0"/>
      <w:marTop w:val="0"/>
      <w:marBottom w:val="0"/>
      <w:divBdr>
        <w:top w:val="none" w:sz="0" w:space="0" w:color="auto"/>
        <w:left w:val="none" w:sz="0" w:space="0" w:color="auto"/>
        <w:bottom w:val="none" w:sz="0" w:space="0" w:color="auto"/>
        <w:right w:val="none" w:sz="0" w:space="0" w:color="auto"/>
      </w:divBdr>
    </w:div>
    <w:div w:id="414279107">
      <w:bodyDiv w:val="1"/>
      <w:marLeft w:val="0"/>
      <w:marRight w:val="0"/>
      <w:marTop w:val="0"/>
      <w:marBottom w:val="0"/>
      <w:divBdr>
        <w:top w:val="none" w:sz="0" w:space="0" w:color="auto"/>
        <w:left w:val="none" w:sz="0" w:space="0" w:color="auto"/>
        <w:bottom w:val="none" w:sz="0" w:space="0" w:color="auto"/>
        <w:right w:val="none" w:sz="0" w:space="0" w:color="auto"/>
      </w:divBdr>
      <w:divsChild>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sChild>
                <w:div w:id="1100101900">
                  <w:marLeft w:val="0"/>
                  <w:marRight w:val="0"/>
                  <w:marTop w:val="0"/>
                  <w:marBottom w:val="129"/>
                  <w:divBdr>
                    <w:top w:val="none" w:sz="0" w:space="0" w:color="auto"/>
                    <w:left w:val="none" w:sz="0" w:space="0" w:color="auto"/>
                    <w:bottom w:val="none" w:sz="0" w:space="0" w:color="auto"/>
                    <w:right w:val="none" w:sz="0" w:space="0" w:color="auto"/>
                  </w:divBdr>
                  <w:divsChild>
                    <w:div w:id="9594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70134">
      <w:bodyDiv w:val="1"/>
      <w:marLeft w:val="0"/>
      <w:marRight w:val="0"/>
      <w:marTop w:val="0"/>
      <w:marBottom w:val="0"/>
      <w:divBdr>
        <w:top w:val="none" w:sz="0" w:space="0" w:color="auto"/>
        <w:left w:val="none" w:sz="0" w:space="0" w:color="auto"/>
        <w:bottom w:val="none" w:sz="0" w:space="0" w:color="auto"/>
        <w:right w:val="none" w:sz="0" w:space="0" w:color="auto"/>
      </w:divBdr>
      <w:divsChild>
        <w:div w:id="714811876">
          <w:marLeft w:val="0"/>
          <w:marRight w:val="0"/>
          <w:marTop w:val="0"/>
          <w:marBottom w:val="0"/>
          <w:divBdr>
            <w:top w:val="none" w:sz="0" w:space="0" w:color="auto"/>
            <w:left w:val="none" w:sz="0" w:space="0" w:color="auto"/>
            <w:bottom w:val="none" w:sz="0" w:space="0" w:color="auto"/>
            <w:right w:val="none" w:sz="0" w:space="0" w:color="auto"/>
          </w:divBdr>
          <w:divsChild>
            <w:div w:id="1025641637">
              <w:marLeft w:val="0"/>
              <w:marRight w:val="0"/>
              <w:marTop w:val="0"/>
              <w:marBottom w:val="0"/>
              <w:divBdr>
                <w:top w:val="none" w:sz="0" w:space="0" w:color="auto"/>
                <w:left w:val="none" w:sz="0" w:space="0" w:color="auto"/>
                <w:bottom w:val="none" w:sz="0" w:space="0" w:color="auto"/>
                <w:right w:val="none" w:sz="0" w:space="0" w:color="auto"/>
              </w:divBdr>
              <w:divsChild>
                <w:div w:id="1793014890">
                  <w:marLeft w:val="214"/>
                  <w:marRight w:val="0"/>
                  <w:marTop w:val="1457"/>
                  <w:marBottom w:val="0"/>
                  <w:divBdr>
                    <w:top w:val="none" w:sz="0" w:space="0" w:color="auto"/>
                    <w:left w:val="none" w:sz="0" w:space="0" w:color="auto"/>
                    <w:bottom w:val="none" w:sz="0" w:space="0" w:color="auto"/>
                    <w:right w:val="none" w:sz="0" w:space="0" w:color="auto"/>
                  </w:divBdr>
                </w:div>
              </w:divsChild>
            </w:div>
          </w:divsChild>
        </w:div>
      </w:divsChild>
    </w:div>
    <w:div w:id="418910522">
      <w:bodyDiv w:val="1"/>
      <w:marLeft w:val="0"/>
      <w:marRight w:val="0"/>
      <w:marTop w:val="0"/>
      <w:marBottom w:val="0"/>
      <w:divBdr>
        <w:top w:val="none" w:sz="0" w:space="0" w:color="auto"/>
        <w:left w:val="none" w:sz="0" w:space="0" w:color="auto"/>
        <w:bottom w:val="none" w:sz="0" w:space="0" w:color="auto"/>
        <w:right w:val="none" w:sz="0" w:space="0" w:color="auto"/>
      </w:divBdr>
    </w:div>
    <w:div w:id="429856465">
      <w:bodyDiv w:val="1"/>
      <w:marLeft w:val="0"/>
      <w:marRight w:val="0"/>
      <w:marTop w:val="0"/>
      <w:marBottom w:val="0"/>
      <w:divBdr>
        <w:top w:val="none" w:sz="0" w:space="0" w:color="auto"/>
        <w:left w:val="none" w:sz="0" w:space="0" w:color="auto"/>
        <w:bottom w:val="none" w:sz="0" w:space="0" w:color="auto"/>
        <w:right w:val="none" w:sz="0" w:space="0" w:color="auto"/>
      </w:divBdr>
    </w:div>
    <w:div w:id="438839691">
      <w:bodyDiv w:val="1"/>
      <w:marLeft w:val="0"/>
      <w:marRight w:val="0"/>
      <w:marTop w:val="0"/>
      <w:marBottom w:val="0"/>
      <w:divBdr>
        <w:top w:val="none" w:sz="0" w:space="0" w:color="auto"/>
        <w:left w:val="none" w:sz="0" w:space="0" w:color="auto"/>
        <w:bottom w:val="none" w:sz="0" w:space="0" w:color="auto"/>
        <w:right w:val="none" w:sz="0" w:space="0" w:color="auto"/>
      </w:divBdr>
    </w:div>
    <w:div w:id="445660680">
      <w:bodyDiv w:val="1"/>
      <w:marLeft w:val="0"/>
      <w:marRight w:val="0"/>
      <w:marTop w:val="0"/>
      <w:marBottom w:val="0"/>
      <w:divBdr>
        <w:top w:val="none" w:sz="0" w:space="0" w:color="auto"/>
        <w:left w:val="none" w:sz="0" w:space="0" w:color="auto"/>
        <w:bottom w:val="none" w:sz="0" w:space="0" w:color="auto"/>
        <w:right w:val="none" w:sz="0" w:space="0" w:color="auto"/>
      </w:divBdr>
    </w:div>
    <w:div w:id="464397798">
      <w:bodyDiv w:val="1"/>
      <w:marLeft w:val="0"/>
      <w:marRight w:val="0"/>
      <w:marTop w:val="0"/>
      <w:marBottom w:val="0"/>
      <w:divBdr>
        <w:top w:val="none" w:sz="0" w:space="0" w:color="auto"/>
        <w:left w:val="none" w:sz="0" w:space="0" w:color="auto"/>
        <w:bottom w:val="none" w:sz="0" w:space="0" w:color="auto"/>
        <w:right w:val="none" w:sz="0" w:space="0" w:color="auto"/>
      </w:divBdr>
    </w:div>
    <w:div w:id="465657628">
      <w:bodyDiv w:val="1"/>
      <w:marLeft w:val="0"/>
      <w:marRight w:val="0"/>
      <w:marTop w:val="0"/>
      <w:marBottom w:val="0"/>
      <w:divBdr>
        <w:top w:val="none" w:sz="0" w:space="0" w:color="auto"/>
        <w:left w:val="none" w:sz="0" w:space="0" w:color="auto"/>
        <w:bottom w:val="none" w:sz="0" w:space="0" w:color="auto"/>
        <w:right w:val="none" w:sz="0" w:space="0" w:color="auto"/>
      </w:divBdr>
    </w:div>
    <w:div w:id="472060248">
      <w:bodyDiv w:val="1"/>
      <w:marLeft w:val="0"/>
      <w:marRight w:val="0"/>
      <w:marTop w:val="0"/>
      <w:marBottom w:val="0"/>
      <w:divBdr>
        <w:top w:val="none" w:sz="0" w:space="0" w:color="auto"/>
        <w:left w:val="none" w:sz="0" w:space="0" w:color="auto"/>
        <w:bottom w:val="none" w:sz="0" w:space="0" w:color="auto"/>
        <w:right w:val="none" w:sz="0" w:space="0" w:color="auto"/>
      </w:divBdr>
    </w:div>
    <w:div w:id="472455727">
      <w:bodyDiv w:val="1"/>
      <w:marLeft w:val="0"/>
      <w:marRight w:val="0"/>
      <w:marTop w:val="0"/>
      <w:marBottom w:val="0"/>
      <w:divBdr>
        <w:top w:val="none" w:sz="0" w:space="0" w:color="auto"/>
        <w:left w:val="none" w:sz="0" w:space="0" w:color="auto"/>
        <w:bottom w:val="none" w:sz="0" w:space="0" w:color="auto"/>
        <w:right w:val="none" w:sz="0" w:space="0" w:color="auto"/>
      </w:divBdr>
      <w:divsChild>
        <w:div w:id="2113352405">
          <w:marLeft w:val="0"/>
          <w:marRight w:val="0"/>
          <w:marTop w:val="0"/>
          <w:marBottom w:val="0"/>
          <w:divBdr>
            <w:top w:val="none" w:sz="0" w:space="0" w:color="auto"/>
            <w:left w:val="none" w:sz="0" w:space="0" w:color="auto"/>
            <w:bottom w:val="none" w:sz="0" w:space="0" w:color="auto"/>
            <w:right w:val="none" w:sz="0" w:space="0" w:color="auto"/>
          </w:divBdr>
          <w:divsChild>
            <w:div w:id="2003393609">
              <w:marLeft w:val="0"/>
              <w:marRight w:val="0"/>
              <w:marTop w:val="0"/>
              <w:marBottom w:val="0"/>
              <w:divBdr>
                <w:top w:val="none" w:sz="0" w:space="0" w:color="auto"/>
                <w:left w:val="none" w:sz="0" w:space="0" w:color="auto"/>
                <w:bottom w:val="none" w:sz="0" w:space="0" w:color="auto"/>
                <w:right w:val="none" w:sz="0" w:space="0" w:color="auto"/>
              </w:divBdr>
              <w:divsChild>
                <w:div w:id="1017074213">
                  <w:marLeft w:val="0"/>
                  <w:marRight w:val="0"/>
                  <w:marTop w:val="0"/>
                  <w:marBottom w:val="129"/>
                  <w:divBdr>
                    <w:top w:val="none" w:sz="0" w:space="0" w:color="auto"/>
                    <w:left w:val="none" w:sz="0" w:space="0" w:color="auto"/>
                    <w:bottom w:val="none" w:sz="0" w:space="0" w:color="auto"/>
                    <w:right w:val="none" w:sz="0" w:space="0" w:color="auto"/>
                  </w:divBdr>
                  <w:divsChild>
                    <w:div w:id="3971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7483">
      <w:bodyDiv w:val="1"/>
      <w:marLeft w:val="0"/>
      <w:marRight w:val="0"/>
      <w:marTop w:val="0"/>
      <w:marBottom w:val="0"/>
      <w:divBdr>
        <w:top w:val="none" w:sz="0" w:space="0" w:color="auto"/>
        <w:left w:val="none" w:sz="0" w:space="0" w:color="auto"/>
        <w:bottom w:val="none" w:sz="0" w:space="0" w:color="auto"/>
        <w:right w:val="none" w:sz="0" w:space="0" w:color="auto"/>
      </w:divBdr>
    </w:div>
    <w:div w:id="496766986">
      <w:bodyDiv w:val="1"/>
      <w:marLeft w:val="0"/>
      <w:marRight w:val="0"/>
      <w:marTop w:val="0"/>
      <w:marBottom w:val="0"/>
      <w:divBdr>
        <w:top w:val="none" w:sz="0" w:space="0" w:color="auto"/>
        <w:left w:val="none" w:sz="0" w:space="0" w:color="auto"/>
        <w:bottom w:val="none" w:sz="0" w:space="0" w:color="auto"/>
        <w:right w:val="none" w:sz="0" w:space="0" w:color="auto"/>
      </w:divBdr>
    </w:div>
    <w:div w:id="498426966">
      <w:bodyDiv w:val="1"/>
      <w:marLeft w:val="0"/>
      <w:marRight w:val="0"/>
      <w:marTop w:val="0"/>
      <w:marBottom w:val="0"/>
      <w:divBdr>
        <w:top w:val="none" w:sz="0" w:space="0" w:color="auto"/>
        <w:left w:val="none" w:sz="0" w:space="0" w:color="auto"/>
        <w:bottom w:val="none" w:sz="0" w:space="0" w:color="auto"/>
        <w:right w:val="none" w:sz="0" w:space="0" w:color="auto"/>
      </w:divBdr>
    </w:div>
    <w:div w:id="509415589">
      <w:bodyDiv w:val="1"/>
      <w:marLeft w:val="0"/>
      <w:marRight w:val="0"/>
      <w:marTop w:val="0"/>
      <w:marBottom w:val="0"/>
      <w:divBdr>
        <w:top w:val="none" w:sz="0" w:space="0" w:color="auto"/>
        <w:left w:val="none" w:sz="0" w:space="0" w:color="auto"/>
        <w:bottom w:val="none" w:sz="0" w:space="0" w:color="auto"/>
        <w:right w:val="none" w:sz="0" w:space="0" w:color="auto"/>
      </w:divBdr>
    </w:div>
    <w:div w:id="512492938">
      <w:bodyDiv w:val="1"/>
      <w:marLeft w:val="0"/>
      <w:marRight w:val="0"/>
      <w:marTop w:val="0"/>
      <w:marBottom w:val="0"/>
      <w:divBdr>
        <w:top w:val="none" w:sz="0" w:space="0" w:color="auto"/>
        <w:left w:val="none" w:sz="0" w:space="0" w:color="auto"/>
        <w:bottom w:val="none" w:sz="0" w:space="0" w:color="auto"/>
        <w:right w:val="none" w:sz="0" w:space="0" w:color="auto"/>
      </w:divBdr>
    </w:div>
    <w:div w:id="518391351">
      <w:bodyDiv w:val="1"/>
      <w:marLeft w:val="0"/>
      <w:marRight w:val="0"/>
      <w:marTop w:val="0"/>
      <w:marBottom w:val="0"/>
      <w:divBdr>
        <w:top w:val="none" w:sz="0" w:space="0" w:color="auto"/>
        <w:left w:val="none" w:sz="0" w:space="0" w:color="auto"/>
        <w:bottom w:val="none" w:sz="0" w:space="0" w:color="auto"/>
        <w:right w:val="none" w:sz="0" w:space="0" w:color="auto"/>
      </w:divBdr>
    </w:div>
    <w:div w:id="546189717">
      <w:bodyDiv w:val="1"/>
      <w:marLeft w:val="0"/>
      <w:marRight w:val="0"/>
      <w:marTop w:val="0"/>
      <w:marBottom w:val="0"/>
      <w:divBdr>
        <w:top w:val="none" w:sz="0" w:space="0" w:color="auto"/>
        <w:left w:val="none" w:sz="0" w:space="0" w:color="auto"/>
        <w:bottom w:val="none" w:sz="0" w:space="0" w:color="auto"/>
        <w:right w:val="none" w:sz="0" w:space="0" w:color="auto"/>
      </w:divBdr>
    </w:div>
    <w:div w:id="549924482">
      <w:bodyDiv w:val="1"/>
      <w:marLeft w:val="0"/>
      <w:marRight w:val="0"/>
      <w:marTop w:val="0"/>
      <w:marBottom w:val="0"/>
      <w:divBdr>
        <w:top w:val="none" w:sz="0" w:space="0" w:color="auto"/>
        <w:left w:val="none" w:sz="0" w:space="0" w:color="auto"/>
        <w:bottom w:val="none" w:sz="0" w:space="0" w:color="auto"/>
        <w:right w:val="none" w:sz="0" w:space="0" w:color="auto"/>
      </w:divBdr>
    </w:div>
    <w:div w:id="552810018">
      <w:bodyDiv w:val="1"/>
      <w:marLeft w:val="0"/>
      <w:marRight w:val="0"/>
      <w:marTop w:val="0"/>
      <w:marBottom w:val="0"/>
      <w:divBdr>
        <w:top w:val="none" w:sz="0" w:space="0" w:color="auto"/>
        <w:left w:val="none" w:sz="0" w:space="0" w:color="auto"/>
        <w:bottom w:val="none" w:sz="0" w:space="0" w:color="auto"/>
        <w:right w:val="none" w:sz="0" w:space="0" w:color="auto"/>
      </w:divBdr>
    </w:div>
    <w:div w:id="557861112">
      <w:bodyDiv w:val="1"/>
      <w:marLeft w:val="0"/>
      <w:marRight w:val="0"/>
      <w:marTop w:val="0"/>
      <w:marBottom w:val="0"/>
      <w:divBdr>
        <w:top w:val="none" w:sz="0" w:space="0" w:color="auto"/>
        <w:left w:val="none" w:sz="0" w:space="0" w:color="auto"/>
        <w:bottom w:val="none" w:sz="0" w:space="0" w:color="auto"/>
        <w:right w:val="none" w:sz="0" w:space="0" w:color="auto"/>
      </w:divBdr>
    </w:div>
    <w:div w:id="563106227">
      <w:bodyDiv w:val="1"/>
      <w:marLeft w:val="0"/>
      <w:marRight w:val="0"/>
      <w:marTop w:val="0"/>
      <w:marBottom w:val="0"/>
      <w:divBdr>
        <w:top w:val="none" w:sz="0" w:space="0" w:color="auto"/>
        <w:left w:val="none" w:sz="0" w:space="0" w:color="auto"/>
        <w:bottom w:val="none" w:sz="0" w:space="0" w:color="auto"/>
        <w:right w:val="none" w:sz="0" w:space="0" w:color="auto"/>
      </w:divBdr>
    </w:div>
    <w:div w:id="602684812">
      <w:bodyDiv w:val="1"/>
      <w:marLeft w:val="0"/>
      <w:marRight w:val="0"/>
      <w:marTop w:val="0"/>
      <w:marBottom w:val="0"/>
      <w:divBdr>
        <w:top w:val="none" w:sz="0" w:space="0" w:color="auto"/>
        <w:left w:val="none" w:sz="0" w:space="0" w:color="auto"/>
        <w:bottom w:val="none" w:sz="0" w:space="0" w:color="auto"/>
        <w:right w:val="none" w:sz="0" w:space="0" w:color="auto"/>
      </w:divBdr>
    </w:div>
    <w:div w:id="612634001">
      <w:bodyDiv w:val="1"/>
      <w:marLeft w:val="0"/>
      <w:marRight w:val="0"/>
      <w:marTop w:val="0"/>
      <w:marBottom w:val="0"/>
      <w:divBdr>
        <w:top w:val="none" w:sz="0" w:space="0" w:color="auto"/>
        <w:left w:val="none" w:sz="0" w:space="0" w:color="auto"/>
        <w:bottom w:val="none" w:sz="0" w:space="0" w:color="auto"/>
        <w:right w:val="none" w:sz="0" w:space="0" w:color="auto"/>
      </w:divBdr>
    </w:div>
    <w:div w:id="613096929">
      <w:bodyDiv w:val="1"/>
      <w:marLeft w:val="0"/>
      <w:marRight w:val="0"/>
      <w:marTop w:val="0"/>
      <w:marBottom w:val="0"/>
      <w:divBdr>
        <w:top w:val="none" w:sz="0" w:space="0" w:color="auto"/>
        <w:left w:val="none" w:sz="0" w:space="0" w:color="auto"/>
        <w:bottom w:val="none" w:sz="0" w:space="0" w:color="auto"/>
        <w:right w:val="none" w:sz="0" w:space="0" w:color="auto"/>
      </w:divBdr>
    </w:div>
    <w:div w:id="627666094">
      <w:bodyDiv w:val="1"/>
      <w:marLeft w:val="0"/>
      <w:marRight w:val="0"/>
      <w:marTop w:val="0"/>
      <w:marBottom w:val="0"/>
      <w:divBdr>
        <w:top w:val="none" w:sz="0" w:space="0" w:color="auto"/>
        <w:left w:val="none" w:sz="0" w:space="0" w:color="auto"/>
        <w:bottom w:val="none" w:sz="0" w:space="0" w:color="auto"/>
        <w:right w:val="none" w:sz="0" w:space="0" w:color="auto"/>
      </w:divBdr>
    </w:div>
    <w:div w:id="631058662">
      <w:bodyDiv w:val="1"/>
      <w:marLeft w:val="0"/>
      <w:marRight w:val="0"/>
      <w:marTop w:val="0"/>
      <w:marBottom w:val="0"/>
      <w:divBdr>
        <w:top w:val="none" w:sz="0" w:space="0" w:color="auto"/>
        <w:left w:val="none" w:sz="0" w:space="0" w:color="auto"/>
        <w:bottom w:val="none" w:sz="0" w:space="0" w:color="auto"/>
        <w:right w:val="none" w:sz="0" w:space="0" w:color="auto"/>
      </w:divBdr>
    </w:div>
    <w:div w:id="636910931">
      <w:bodyDiv w:val="1"/>
      <w:marLeft w:val="0"/>
      <w:marRight w:val="0"/>
      <w:marTop w:val="0"/>
      <w:marBottom w:val="0"/>
      <w:divBdr>
        <w:top w:val="none" w:sz="0" w:space="0" w:color="auto"/>
        <w:left w:val="none" w:sz="0" w:space="0" w:color="auto"/>
        <w:bottom w:val="none" w:sz="0" w:space="0" w:color="auto"/>
        <w:right w:val="none" w:sz="0" w:space="0" w:color="auto"/>
      </w:divBdr>
    </w:div>
    <w:div w:id="659307349">
      <w:bodyDiv w:val="1"/>
      <w:marLeft w:val="0"/>
      <w:marRight w:val="0"/>
      <w:marTop w:val="0"/>
      <w:marBottom w:val="0"/>
      <w:divBdr>
        <w:top w:val="none" w:sz="0" w:space="0" w:color="auto"/>
        <w:left w:val="none" w:sz="0" w:space="0" w:color="auto"/>
        <w:bottom w:val="none" w:sz="0" w:space="0" w:color="auto"/>
        <w:right w:val="none" w:sz="0" w:space="0" w:color="auto"/>
      </w:divBdr>
    </w:div>
    <w:div w:id="659432759">
      <w:bodyDiv w:val="1"/>
      <w:marLeft w:val="0"/>
      <w:marRight w:val="0"/>
      <w:marTop w:val="0"/>
      <w:marBottom w:val="0"/>
      <w:divBdr>
        <w:top w:val="none" w:sz="0" w:space="0" w:color="auto"/>
        <w:left w:val="none" w:sz="0" w:space="0" w:color="auto"/>
        <w:bottom w:val="none" w:sz="0" w:space="0" w:color="auto"/>
        <w:right w:val="none" w:sz="0" w:space="0" w:color="auto"/>
      </w:divBdr>
    </w:div>
    <w:div w:id="695348233">
      <w:bodyDiv w:val="1"/>
      <w:marLeft w:val="0"/>
      <w:marRight w:val="0"/>
      <w:marTop w:val="0"/>
      <w:marBottom w:val="0"/>
      <w:divBdr>
        <w:top w:val="none" w:sz="0" w:space="0" w:color="auto"/>
        <w:left w:val="none" w:sz="0" w:space="0" w:color="auto"/>
        <w:bottom w:val="none" w:sz="0" w:space="0" w:color="auto"/>
        <w:right w:val="none" w:sz="0" w:space="0" w:color="auto"/>
      </w:divBdr>
    </w:div>
    <w:div w:id="699817255">
      <w:bodyDiv w:val="1"/>
      <w:marLeft w:val="0"/>
      <w:marRight w:val="0"/>
      <w:marTop w:val="0"/>
      <w:marBottom w:val="0"/>
      <w:divBdr>
        <w:top w:val="none" w:sz="0" w:space="0" w:color="auto"/>
        <w:left w:val="none" w:sz="0" w:space="0" w:color="auto"/>
        <w:bottom w:val="none" w:sz="0" w:space="0" w:color="auto"/>
        <w:right w:val="none" w:sz="0" w:space="0" w:color="auto"/>
      </w:divBdr>
    </w:div>
    <w:div w:id="710882641">
      <w:bodyDiv w:val="1"/>
      <w:marLeft w:val="0"/>
      <w:marRight w:val="0"/>
      <w:marTop w:val="0"/>
      <w:marBottom w:val="0"/>
      <w:divBdr>
        <w:top w:val="none" w:sz="0" w:space="0" w:color="auto"/>
        <w:left w:val="none" w:sz="0" w:space="0" w:color="auto"/>
        <w:bottom w:val="none" w:sz="0" w:space="0" w:color="auto"/>
        <w:right w:val="none" w:sz="0" w:space="0" w:color="auto"/>
      </w:divBdr>
    </w:div>
    <w:div w:id="716707607">
      <w:bodyDiv w:val="1"/>
      <w:marLeft w:val="0"/>
      <w:marRight w:val="0"/>
      <w:marTop w:val="0"/>
      <w:marBottom w:val="0"/>
      <w:divBdr>
        <w:top w:val="none" w:sz="0" w:space="0" w:color="auto"/>
        <w:left w:val="none" w:sz="0" w:space="0" w:color="auto"/>
        <w:bottom w:val="none" w:sz="0" w:space="0" w:color="auto"/>
        <w:right w:val="none" w:sz="0" w:space="0" w:color="auto"/>
      </w:divBdr>
    </w:div>
    <w:div w:id="749472083">
      <w:bodyDiv w:val="1"/>
      <w:marLeft w:val="0"/>
      <w:marRight w:val="0"/>
      <w:marTop w:val="0"/>
      <w:marBottom w:val="0"/>
      <w:divBdr>
        <w:top w:val="none" w:sz="0" w:space="0" w:color="auto"/>
        <w:left w:val="none" w:sz="0" w:space="0" w:color="auto"/>
        <w:bottom w:val="none" w:sz="0" w:space="0" w:color="auto"/>
        <w:right w:val="none" w:sz="0" w:space="0" w:color="auto"/>
      </w:divBdr>
    </w:div>
    <w:div w:id="761950322">
      <w:bodyDiv w:val="1"/>
      <w:marLeft w:val="0"/>
      <w:marRight w:val="0"/>
      <w:marTop w:val="0"/>
      <w:marBottom w:val="0"/>
      <w:divBdr>
        <w:top w:val="none" w:sz="0" w:space="0" w:color="auto"/>
        <w:left w:val="none" w:sz="0" w:space="0" w:color="auto"/>
        <w:bottom w:val="none" w:sz="0" w:space="0" w:color="auto"/>
        <w:right w:val="none" w:sz="0" w:space="0" w:color="auto"/>
      </w:divBdr>
    </w:div>
    <w:div w:id="781461353">
      <w:bodyDiv w:val="1"/>
      <w:marLeft w:val="0"/>
      <w:marRight w:val="0"/>
      <w:marTop w:val="0"/>
      <w:marBottom w:val="0"/>
      <w:divBdr>
        <w:top w:val="none" w:sz="0" w:space="0" w:color="auto"/>
        <w:left w:val="none" w:sz="0" w:space="0" w:color="auto"/>
        <w:bottom w:val="none" w:sz="0" w:space="0" w:color="auto"/>
        <w:right w:val="none" w:sz="0" w:space="0" w:color="auto"/>
      </w:divBdr>
    </w:div>
    <w:div w:id="794711591">
      <w:bodyDiv w:val="1"/>
      <w:marLeft w:val="0"/>
      <w:marRight w:val="0"/>
      <w:marTop w:val="0"/>
      <w:marBottom w:val="0"/>
      <w:divBdr>
        <w:top w:val="none" w:sz="0" w:space="0" w:color="auto"/>
        <w:left w:val="none" w:sz="0" w:space="0" w:color="auto"/>
        <w:bottom w:val="none" w:sz="0" w:space="0" w:color="auto"/>
        <w:right w:val="none" w:sz="0" w:space="0" w:color="auto"/>
      </w:divBdr>
    </w:div>
    <w:div w:id="819150963">
      <w:bodyDiv w:val="1"/>
      <w:marLeft w:val="0"/>
      <w:marRight w:val="0"/>
      <w:marTop w:val="0"/>
      <w:marBottom w:val="0"/>
      <w:divBdr>
        <w:top w:val="none" w:sz="0" w:space="0" w:color="auto"/>
        <w:left w:val="none" w:sz="0" w:space="0" w:color="auto"/>
        <w:bottom w:val="none" w:sz="0" w:space="0" w:color="auto"/>
        <w:right w:val="none" w:sz="0" w:space="0" w:color="auto"/>
      </w:divBdr>
    </w:div>
    <w:div w:id="826480631">
      <w:bodyDiv w:val="1"/>
      <w:marLeft w:val="0"/>
      <w:marRight w:val="0"/>
      <w:marTop w:val="0"/>
      <w:marBottom w:val="0"/>
      <w:divBdr>
        <w:top w:val="none" w:sz="0" w:space="0" w:color="auto"/>
        <w:left w:val="none" w:sz="0" w:space="0" w:color="auto"/>
        <w:bottom w:val="none" w:sz="0" w:space="0" w:color="auto"/>
        <w:right w:val="none" w:sz="0" w:space="0" w:color="auto"/>
      </w:divBdr>
    </w:div>
    <w:div w:id="835461360">
      <w:bodyDiv w:val="1"/>
      <w:marLeft w:val="0"/>
      <w:marRight w:val="0"/>
      <w:marTop w:val="0"/>
      <w:marBottom w:val="0"/>
      <w:divBdr>
        <w:top w:val="none" w:sz="0" w:space="0" w:color="auto"/>
        <w:left w:val="none" w:sz="0" w:space="0" w:color="auto"/>
        <w:bottom w:val="none" w:sz="0" w:space="0" w:color="auto"/>
        <w:right w:val="none" w:sz="0" w:space="0" w:color="auto"/>
      </w:divBdr>
    </w:div>
    <w:div w:id="855846145">
      <w:bodyDiv w:val="1"/>
      <w:marLeft w:val="0"/>
      <w:marRight w:val="0"/>
      <w:marTop w:val="0"/>
      <w:marBottom w:val="0"/>
      <w:divBdr>
        <w:top w:val="none" w:sz="0" w:space="0" w:color="auto"/>
        <w:left w:val="none" w:sz="0" w:space="0" w:color="auto"/>
        <w:bottom w:val="none" w:sz="0" w:space="0" w:color="auto"/>
        <w:right w:val="none" w:sz="0" w:space="0" w:color="auto"/>
      </w:divBdr>
    </w:div>
    <w:div w:id="861092685">
      <w:bodyDiv w:val="1"/>
      <w:marLeft w:val="0"/>
      <w:marRight w:val="0"/>
      <w:marTop w:val="0"/>
      <w:marBottom w:val="0"/>
      <w:divBdr>
        <w:top w:val="none" w:sz="0" w:space="0" w:color="auto"/>
        <w:left w:val="none" w:sz="0" w:space="0" w:color="auto"/>
        <w:bottom w:val="none" w:sz="0" w:space="0" w:color="auto"/>
        <w:right w:val="none" w:sz="0" w:space="0" w:color="auto"/>
      </w:divBdr>
    </w:div>
    <w:div w:id="888491885">
      <w:bodyDiv w:val="1"/>
      <w:marLeft w:val="0"/>
      <w:marRight w:val="0"/>
      <w:marTop w:val="0"/>
      <w:marBottom w:val="0"/>
      <w:divBdr>
        <w:top w:val="none" w:sz="0" w:space="0" w:color="auto"/>
        <w:left w:val="none" w:sz="0" w:space="0" w:color="auto"/>
        <w:bottom w:val="none" w:sz="0" w:space="0" w:color="auto"/>
        <w:right w:val="none" w:sz="0" w:space="0" w:color="auto"/>
      </w:divBdr>
      <w:divsChild>
        <w:div w:id="130174693">
          <w:marLeft w:val="0"/>
          <w:marRight w:val="0"/>
          <w:marTop w:val="0"/>
          <w:marBottom w:val="0"/>
          <w:divBdr>
            <w:top w:val="none" w:sz="0" w:space="0" w:color="auto"/>
            <w:left w:val="none" w:sz="0" w:space="0" w:color="auto"/>
            <w:bottom w:val="none" w:sz="0" w:space="0" w:color="auto"/>
            <w:right w:val="none" w:sz="0" w:space="0" w:color="auto"/>
          </w:divBdr>
        </w:div>
      </w:divsChild>
    </w:div>
    <w:div w:id="906721509">
      <w:bodyDiv w:val="1"/>
      <w:marLeft w:val="0"/>
      <w:marRight w:val="0"/>
      <w:marTop w:val="0"/>
      <w:marBottom w:val="0"/>
      <w:divBdr>
        <w:top w:val="none" w:sz="0" w:space="0" w:color="auto"/>
        <w:left w:val="none" w:sz="0" w:space="0" w:color="auto"/>
        <w:bottom w:val="none" w:sz="0" w:space="0" w:color="auto"/>
        <w:right w:val="none" w:sz="0" w:space="0" w:color="auto"/>
      </w:divBdr>
    </w:div>
    <w:div w:id="941886741">
      <w:bodyDiv w:val="1"/>
      <w:marLeft w:val="0"/>
      <w:marRight w:val="0"/>
      <w:marTop w:val="0"/>
      <w:marBottom w:val="0"/>
      <w:divBdr>
        <w:top w:val="none" w:sz="0" w:space="0" w:color="auto"/>
        <w:left w:val="none" w:sz="0" w:space="0" w:color="auto"/>
        <w:bottom w:val="none" w:sz="0" w:space="0" w:color="auto"/>
        <w:right w:val="none" w:sz="0" w:space="0" w:color="auto"/>
      </w:divBdr>
    </w:div>
    <w:div w:id="943197152">
      <w:bodyDiv w:val="1"/>
      <w:marLeft w:val="0"/>
      <w:marRight w:val="0"/>
      <w:marTop w:val="0"/>
      <w:marBottom w:val="0"/>
      <w:divBdr>
        <w:top w:val="none" w:sz="0" w:space="0" w:color="auto"/>
        <w:left w:val="none" w:sz="0" w:space="0" w:color="auto"/>
        <w:bottom w:val="none" w:sz="0" w:space="0" w:color="auto"/>
        <w:right w:val="none" w:sz="0" w:space="0" w:color="auto"/>
      </w:divBdr>
    </w:div>
    <w:div w:id="943653311">
      <w:bodyDiv w:val="1"/>
      <w:marLeft w:val="0"/>
      <w:marRight w:val="0"/>
      <w:marTop w:val="0"/>
      <w:marBottom w:val="0"/>
      <w:divBdr>
        <w:top w:val="none" w:sz="0" w:space="0" w:color="auto"/>
        <w:left w:val="none" w:sz="0" w:space="0" w:color="auto"/>
        <w:bottom w:val="none" w:sz="0" w:space="0" w:color="auto"/>
        <w:right w:val="none" w:sz="0" w:space="0" w:color="auto"/>
      </w:divBdr>
    </w:div>
    <w:div w:id="968362571">
      <w:bodyDiv w:val="1"/>
      <w:marLeft w:val="0"/>
      <w:marRight w:val="0"/>
      <w:marTop w:val="0"/>
      <w:marBottom w:val="0"/>
      <w:divBdr>
        <w:top w:val="none" w:sz="0" w:space="0" w:color="auto"/>
        <w:left w:val="none" w:sz="0" w:space="0" w:color="auto"/>
        <w:bottom w:val="none" w:sz="0" w:space="0" w:color="auto"/>
        <w:right w:val="none" w:sz="0" w:space="0" w:color="auto"/>
      </w:divBdr>
    </w:div>
    <w:div w:id="976571377">
      <w:bodyDiv w:val="1"/>
      <w:marLeft w:val="0"/>
      <w:marRight w:val="0"/>
      <w:marTop w:val="0"/>
      <w:marBottom w:val="0"/>
      <w:divBdr>
        <w:top w:val="none" w:sz="0" w:space="0" w:color="auto"/>
        <w:left w:val="none" w:sz="0" w:space="0" w:color="auto"/>
        <w:bottom w:val="none" w:sz="0" w:space="0" w:color="auto"/>
        <w:right w:val="none" w:sz="0" w:space="0" w:color="auto"/>
      </w:divBdr>
    </w:div>
    <w:div w:id="1001472059">
      <w:bodyDiv w:val="1"/>
      <w:marLeft w:val="0"/>
      <w:marRight w:val="0"/>
      <w:marTop w:val="0"/>
      <w:marBottom w:val="0"/>
      <w:divBdr>
        <w:top w:val="none" w:sz="0" w:space="0" w:color="auto"/>
        <w:left w:val="none" w:sz="0" w:space="0" w:color="auto"/>
        <w:bottom w:val="none" w:sz="0" w:space="0" w:color="auto"/>
        <w:right w:val="none" w:sz="0" w:space="0" w:color="auto"/>
      </w:divBdr>
    </w:div>
    <w:div w:id="1007555221">
      <w:bodyDiv w:val="1"/>
      <w:marLeft w:val="0"/>
      <w:marRight w:val="0"/>
      <w:marTop w:val="0"/>
      <w:marBottom w:val="0"/>
      <w:divBdr>
        <w:top w:val="none" w:sz="0" w:space="0" w:color="auto"/>
        <w:left w:val="none" w:sz="0" w:space="0" w:color="auto"/>
        <w:bottom w:val="none" w:sz="0" w:space="0" w:color="auto"/>
        <w:right w:val="none" w:sz="0" w:space="0" w:color="auto"/>
      </w:divBdr>
    </w:div>
    <w:div w:id="1011563207">
      <w:bodyDiv w:val="1"/>
      <w:marLeft w:val="0"/>
      <w:marRight w:val="0"/>
      <w:marTop w:val="0"/>
      <w:marBottom w:val="0"/>
      <w:divBdr>
        <w:top w:val="none" w:sz="0" w:space="0" w:color="auto"/>
        <w:left w:val="none" w:sz="0" w:space="0" w:color="auto"/>
        <w:bottom w:val="none" w:sz="0" w:space="0" w:color="auto"/>
        <w:right w:val="none" w:sz="0" w:space="0" w:color="auto"/>
      </w:divBdr>
    </w:div>
    <w:div w:id="1023942891">
      <w:bodyDiv w:val="1"/>
      <w:marLeft w:val="0"/>
      <w:marRight w:val="0"/>
      <w:marTop w:val="0"/>
      <w:marBottom w:val="0"/>
      <w:divBdr>
        <w:top w:val="none" w:sz="0" w:space="0" w:color="auto"/>
        <w:left w:val="none" w:sz="0" w:space="0" w:color="auto"/>
        <w:bottom w:val="none" w:sz="0" w:space="0" w:color="auto"/>
        <w:right w:val="none" w:sz="0" w:space="0" w:color="auto"/>
      </w:divBdr>
    </w:div>
    <w:div w:id="1116563594">
      <w:bodyDiv w:val="1"/>
      <w:marLeft w:val="0"/>
      <w:marRight w:val="0"/>
      <w:marTop w:val="0"/>
      <w:marBottom w:val="0"/>
      <w:divBdr>
        <w:top w:val="none" w:sz="0" w:space="0" w:color="auto"/>
        <w:left w:val="none" w:sz="0" w:space="0" w:color="auto"/>
        <w:bottom w:val="none" w:sz="0" w:space="0" w:color="auto"/>
        <w:right w:val="none" w:sz="0" w:space="0" w:color="auto"/>
      </w:divBdr>
    </w:div>
    <w:div w:id="1118640269">
      <w:bodyDiv w:val="1"/>
      <w:marLeft w:val="0"/>
      <w:marRight w:val="0"/>
      <w:marTop w:val="0"/>
      <w:marBottom w:val="0"/>
      <w:divBdr>
        <w:top w:val="none" w:sz="0" w:space="0" w:color="auto"/>
        <w:left w:val="none" w:sz="0" w:space="0" w:color="auto"/>
        <w:bottom w:val="none" w:sz="0" w:space="0" w:color="auto"/>
        <w:right w:val="none" w:sz="0" w:space="0" w:color="auto"/>
      </w:divBdr>
    </w:div>
    <w:div w:id="1167941903">
      <w:bodyDiv w:val="1"/>
      <w:marLeft w:val="0"/>
      <w:marRight w:val="0"/>
      <w:marTop w:val="0"/>
      <w:marBottom w:val="0"/>
      <w:divBdr>
        <w:top w:val="none" w:sz="0" w:space="0" w:color="auto"/>
        <w:left w:val="none" w:sz="0" w:space="0" w:color="auto"/>
        <w:bottom w:val="none" w:sz="0" w:space="0" w:color="auto"/>
        <w:right w:val="none" w:sz="0" w:space="0" w:color="auto"/>
      </w:divBdr>
    </w:div>
    <w:div w:id="1171406824">
      <w:bodyDiv w:val="1"/>
      <w:marLeft w:val="0"/>
      <w:marRight w:val="0"/>
      <w:marTop w:val="0"/>
      <w:marBottom w:val="0"/>
      <w:divBdr>
        <w:top w:val="none" w:sz="0" w:space="0" w:color="auto"/>
        <w:left w:val="none" w:sz="0" w:space="0" w:color="auto"/>
        <w:bottom w:val="none" w:sz="0" w:space="0" w:color="auto"/>
        <w:right w:val="none" w:sz="0" w:space="0" w:color="auto"/>
      </w:divBdr>
    </w:div>
    <w:div w:id="1181775779">
      <w:bodyDiv w:val="1"/>
      <w:marLeft w:val="0"/>
      <w:marRight w:val="0"/>
      <w:marTop w:val="0"/>
      <w:marBottom w:val="0"/>
      <w:divBdr>
        <w:top w:val="none" w:sz="0" w:space="0" w:color="auto"/>
        <w:left w:val="none" w:sz="0" w:space="0" w:color="auto"/>
        <w:bottom w:val="none" w:sz="0" w:space="0" w:color="auto"/>
        <w:right w:val="none" w:sz="0" w:space="0" w:color="auto"/>
      </w:divBdr>
    </w:div>
    <w:div w:id="1187871334">
      <w:bodyDiv w:val="1"/>
      <w:marLeft w:val="0"/>
      <w:marRight w:val="0"/>
      <w:marTop w:val="0"/>
      <w:marBottom w:val="0"/>
      <w:divBdr>
        <w:top w:val="none" w:sz="0" w:space="0" w:color="auto"/>
        <w:left w:val="none" w:sz="0" w:space="0" w:color="auto"/>
        <w:bottom w:val="none" w:sz="0" w:space="0" w:color="auto"/>
        <w:right w:val="none" w:sz="0" w:space="0" w:color="auto"/>
      </w:divBdr>
    </w:div>
    <w:div w:id="1217618148">
      <w:bodyDiv w:val="1"/>
      <w:marLeft w:val="0"/>
      <w:marRight w:val="0"/>
      <w:marTop w:val="0"/>
      <w:marBottom w:val="0"/>
      <w:divBdr>
        <w:top w:val="none" w:sz="0" w:space="0" w:color="auto"/>
        <w:left w:val="none" w:sz="0" w:space="0" w:color="auto"/>
        <w:bottom w:val="none" w:sz="0" w:space="0" w:color="auto"/>
        <w:right w:val="none" w:sz="0" w:space="0" w:color="auto"/>
      </w:divBdr>
    </w:div>
    <w:div w:id="1240873043">
      <w:bodyDiv w:val="1"/>
      <w:marLeft w:val="0"/>
      <w:marRight w:val="0"/>
      <w:marTop w:val="0"/>
      <w:marBottom w:val="0"/>
      <w:divBdr>
        <w:top w:val="none" w:sz="0" w:space="0" w:color="auto"/>
        <w:left w:val="none" w:sz="0" w:space="0" w:color="auto"/>
        <w:bottom w:val="none" w:sz="0" w:space="0" w:color="auto"/>
        <w:right w:val="none" w:sz="0" w:space="0" w:color="auto"/>
      </w:divBdr>
    </w:div>
    <w:div w:id="1258708852">
      <w:bodyDiv w:val="1"/>
      <w:marLeft w:val="0"/>
      <w:marRight w:val="0"/>
      <w:marTop w:val="0"/>
      <w:marBottom w:val="0"/>
      <w:divBdr>
        <w:top w:val="none" w:sz="0" w:space="0" w:color="auto"/>
        <w:left w:val="none" w:sz="0" w:space="0" w:color="auto"/>
        <w:bottom w:val="none" w:sz="0" w:space="0" w:color="auto"/>
        <w:right w:val="none" w:sz="0" w:space="0" w:color="auto"/>
      </w:divBdr>
    </w:div>
    <w:div w:id="1261908801">
      <w:bodyDiv w:val="1"/>
      <w:marLeft w:val="0"/>
      <w:marRight w:val="0"/>
      <w:marTop w:val="0"/>
      <w:marBottom w:val="0"/>
      <w:divBdr>
        <w:top w:val="none" w:sz="0" w:space="0" w:color="auto"/>
        <w:left w:val="none" w:sz="0" w:space="0" w:color="auto"/>
        <w:bottom w:val="none" w:sz="0" w:space="0" w:color="auto"/>
        <w:right w:val="none" w:sz="0" w:space="0" w:color="auto"/>
      </w:divBdr>
    </w:div>
    <w:div w:id="1273172141">
      <w:bodyDiv w:val="1"/>
      <w:marLeft w:val="0"/>
      <w:marRight w:val="0"/>
      <w:marTop w:val="0"/>
      <w:marBottom w:val="0"/>
      <w:divBdr>
        <w:top w:val="none" w:sz="0" w:space="0" w:color="auto"/>
        <w:left w:val="none" w:sz="0" w:space="0" w:color="auto"/>
        <w:bottom w:val="none" w:sz="0" w:space="0" w:color="auto"/>
        <w:right w:val="none" w:sz="0" w:space="0" w:color="auto"/>
      </w:divBdr>
    </w:div>
    <w:div w:id="1281958587">
      <w:bodyDiv w:val="1"/>
      <w:marLeft w:val="0"/>
      <w:marRight w:val="0"/>
      <w:marTop w:val="0"/>
      <w:marBottom w:val="0"/>
      <w:divBdr>
        <w:top w:val="none" w:sz="0" w:space="0" w:color="auto"/>
        <w:left w:val="none" w:sz="0" w:space="0" w:color="auto"/>
        <w:bottom w:val="none" w:sz="0" w:space="0" w:color="auto"/>
        <w:right w:val="none" w:sz="0" w:space="0" w:color="auto"/>
      </w:divBdr>
    </w:div>
    <w:div w:id="1295481164">
      <w:bodyDiv w:val="1"/>
      <w:marLeft w:val="0"/>
      <w:marRight w:val="0"/>
      <w:marTop w:val="0"/>
      <w:marBottom w:val="0"/>
      <w:divBdr>
        <w:top w:val="none" w:sz="0" w:space="0" w:color="auto"/>
        <w:left w:val="none" w:sz="0" w:space="0" w:color="auto"/>
        <w:bottom w:val="none" w:sz="0" w:space="0" w:color="auto"/>
        <w:right w:val="none" w:sz="0" w:space="0" w:color="auto"/>
      </w:divBdr>
    </w:div>
    <w:div w:id="1314413693">
      <w:bodyDiv w:val="1"/>
      <w:marLeft w:val="0"/>
      <w:marRight w:val="0"/>
      <w:marTop w:val="0"/>
      <w:marBottom w:val="0"/>
      <w:divBdr>
        <w:top w:val="none" w:sz="0" w:space="0" w:color="auto"/>
        <w:left w:val="none" w:sz="0" w:space="0" w:color="auto"/>
        <w:bottom w:val="none" w:sz="0" w:space="0" w:color="auto"/>
        <w:right w:val="none" w:sz="0" w:space="0" w:color="auto"/>
      </w:divBdr>
    </w:div>
    <w:div w:id="1327249792">
      <w:bodyDiv w:val="1"/>
      <w:marLeft w:val="0"/>
      <w:marRight w:val="0"/>
      <w:marTop w:val="0"/>
      <w:marBottom w:val="0"/>
      <w:divBdr>
        <w:top w:val="none" w:sz="0" w:space="0" w:color="auto"/>
        <w:left w:val="none" w:sz="0" w:space="0" w:color="auto"/>
        <w:bottom w:val="none" w:sz="0" w:space="0" w:color="auto"/>
        <w:right w:val="none" w:sz="0" w:space="0" w:color="auto"/>
      </w:divBdr>
    </w:div>
    <w:div w:id="1332953862">
      <w:bodyDiv w:val="1"/>
      <w:marLeft w:val="0"/>
      <w:marRight w:val="0"/>
      <w:marTop w:val="0"/>
      <w:marBottom w:val="0"/>
      <w:divBdr>
        <w:top w:val="none" w:sz="0" w:space="0" w:color="auto"/>
        <w:left w:val="none" w:sz="0" w:space="0" w:color="auto"/>
        <w:bottom w:val="none" w:sz="0" w:space="0" w:color="auto"/>
        <w:right w:val="none" w:sz="0" w:space="0" w:color="auto"/>
      </w:divBdr>
    </w:div>
    <w:div w:id="1338922669">
      <w:bodyDiv w:val="1"/>
      <w:marLeft w:val="0"/>
      <w:marRight w:val="0"/>
      <w:marTop w:val="0"/>
      <w:marBottom w:val="0"/>
      <w:divBdr>
        <w:top w:val="none" w:sz="0" w:space="0" w:color="auto"/>
        <w:left w:val="none" w:sz="0" w:space="0" w:color="auto"/>
        <w:bottom w:val="none" w:sz="0" w:space="0" w:color="auto"/>
        <w:right w:val="none" w:sz="0" w:space="0" w:color="auto"/>
      </w:divBdr>
    </w:div>
    <w:div w:id="1353453716">
      <w:bodyDiv w:val="1"/>
      <w:marLeft w:val="0"/>
      <w:marRight w:val="0"/>
      <w:marTop w:val="0"/>
      <w:marBottom w:val="0"/>
      <w:divBdr>
        <w:top w:val="none" w:sz="0" w:space="0" w:color="auto"/>
        <w:left w:val="none" w:sz="0" w:space="0" w:color="auto"/>
        <w:bottom w:val="none" w:sz="0" w:space="0" w:color="auto"/>
        <w:right w:val="none" w:sz="0" w:space="0" w:color="auto"/>
      </w:divBdr>
    </w:div>
    <w:div w:id="1403943894">
      <w:bodyDiv w:val="1"/>
      <w:marLeft w:val="0"/>
      <w:marRight w:val="0"/>
      <w:marTop w:val="0"/>
      <w:marBottom w:val="0"/>
      <w:divBdr>
        <w:top w:val="none" w:sz="0" w:space="0" w:color="auto"/>
        <w:left w:val="none" w:sz="0" w:space="0" w:color="auto"/>
        <w:bottom w:val="none" w:sz="0" w:space="0" w:color="auto"/>
        <w:right w:val="none" w:sz="0" w:space="0" w:color="auto"/>
      </w:divBdr>
    </w:div>
    <w:div w:id="1437098443">
      <w:bodyDiv w:val="1"/>
      <w:marLeft w:val="0"/>
      <w:marRight w:val="0"/>
      <w:marTop w:val="0"/>
      <w:marBottom w:val="0"/>
      <w:divBdr>
        <w:top w:val="none" w:sz="0" w:space="0" w:color="auto"/>
        <w:left w:val="none" w:sz="0" w:space="0" w:color="auto"/>
        <w:bottom w:val="none" w:sz="0" w:space="0" w:color="auto"/>
        <w:right w:val="none" w:sz="0" w:space="0" w:color="auto"/>
      </w:divBdr>
    </w:div>
    <w:div w:id="1444879262">
      <w:bodyDiv w:val="1"/>
      <w:marLeft w:val="0"/>
      <w:marRight w:val="0"/>
      <w:marTop w:val="0"/>
      <w:marBottom w:val="0"/>
      <w:divBdr>
        <w:top w:val="none" w:sz="0" w:space="0" w:color="auto"/>
        <w:left w:val="none" w:sz="0" w:space="0" w:color="auto"/>
        <w:bottom w:val="none" w:sz="0" w:space="0" w:color="auto"/>
        <w:right w:val="none" w:sz="0" w:space="0" w:color="auto"/>
      </w:divBdr>
    </w:div>
    <w:div w:id="1467157771">
      <w:bodyDiv w:val="1"/>
      <w:marLeft w:val="0"/>
      <w:marRight w:val="0"/>
      <w:marTop w:val="0"/>
      <w:marBottom w:val="0"/>
      <w:divBdr>
        <w:top w:val="none" w:sz="0" w:space="0" w:color="auto"/>
        <w:left w:val="none" w:sz="0" w:space="0" w:color="auto"/>
        <w:bottom w:val="none" w:sz="0" w:space="0" w:color="auto"/>
        <w:right w:val="none" w:sz="0" w:space="0" w:color="auto"/>
      </w:divBdr>
      <w:divsChild>
        <w:div w:id="986858756">
          <w:marLeft w:val="0"/>
          <w:marRight w:val="0"/>
          <w:marTop w:val="0"/>
          <w:marBottom w:val="0"/>
          <w:divBdr>
            <w:top w:val="none" w:sz="0" w:space="0" w:color="auto"/>
            <w:left w:val="none" w:sz="0" w:space="0" w:color="auto"/>
            <w:bottom w:val="none" w:sz="0" w:space="0" w:color="auto"/>
            <w:right w:val="none" w:sz="0" w:space="0" w:color="auto"/>
          </w:divBdr>
        </w:div>
      </w:divsChild>
    </w:div>
    <w:div w:id="1470436677">
      <w:bodyDiv w:val="1"/>
      <w:marLeft w:val="0"/>
      <w:marRight w:val="0"/>
      <w:marTop w:val="0"/>
      <w:marBottom w:val="0"/>
      <w:divBdr>
        <w:top w:val="none" w:sz="0" w:space="0" w:color="auto"/>
        <w:left w:val="none" w:sz="0" w:space="0" w:color="auto"/>
        <w:bottom w:val="none" w:sz="0" w:space="0" w:color="auto"/>
        <w:right w:val="none" w:sz="0" w:space="0" w:color="auto"/>
      </w:divBdr>
    </w:div>
    <w:div w:id="1476682942">
      <w:bodyDiv w:val="1"/>
      <w:marLeft w:val="0"/>
      <w:marRight w:val="0"/>
      <w:marTop w:val="0"/>
      <w:marBottom w:val="0"/>
      <w:divBdr>
        <w:top w:val="none" w:sz="0" w:space="0" w:color="auto"/>
        <w:left w:val="none" w:sz="0" w:space="0" w:color="auto"/>
        <w:bottom w:val="none" w:sz="0" w:space="0" w:color="auto"/>
        <w:right w:val="none" w:sz="0" w:space="0" w:color="auto"/>
      </w:divBdr>
      <w:divsChild>
        <w:div w:id="696933038">
          <w:marLeft w:val="0"/>
          <w:marRight w:val="0"/>
          <w:marTop w:val="0"/>
          <w:marBottom w:val="0"/>
          <w:divBdr>
            <w:top w:val="none" w:sz="0" w:space="0" w:color="auto"/>
            <w:left w:val="none" w:sz="0" w:space="0" w:color="auto"/>
            <w:bottom w:val="none" w:sz="0" w:space="0" w:color="auto"/>
            <w:right w:val="none" w:sz="0" w:space="0" w:color="auto"/>
          </w:divBdr>
        </w:div>
      </w:divsChild>
    </w:div>
    <w:div w:id="1484859247">
      <w:bodyDiv w:val="1"/>
      <w:marLeft w:val="0"/>
      <w:marRight w:val="0"/>
      <w:marTop w:val="0"/>
      <w:marBottom w:val="0"/>
      <w:divBdr>
        <w:top w:val="none" w:sz="0" w:space="0" w:color="auto"/>
        <w:left w:val="none" w:sz="0" w:space="0" w:color="auto"/>
        <w:bottom w:val="none" w:sz="0" w:space="0" w:color="auto"/>
        <w:right w:val="none" w:sz="0" w:space="0" w:color="auto"/>
      </w:divBdr>
      <w:divsChild>
        <w:div w:id="222446916">
          <w:marLeft w:val="0"/>
          <w:marRight w:val="0"/>
          <w:marTop w:val="0"/>
          <w:marBottom w:val="0"/>
          <w:divBdr>
            <w:top w:val="none" w:sz="0" w:space="0" w:color="auto"/>
            <w:left w:val="none" w:sz="0" w:space="0" w:color="auto"/>
            <w:bottom w:val="none" w:sz="0" w:space="0" w:color="auto"/>
            <w:right w:val="none" w:sz="0" w:space="0" w:color="auto"/>
          </w:divBdr>
        </w:div>
      </w:divsChild>
    </w:div>
    <w:div w:id="1517495421">
      <w:bodyDiv w:val="1"/>
      <w:marLeft w:val="0"/>
      <w:marRight w:val="0"/>
      <w:marTop w:val="0"/>
      <w:marBottom w:val="0"/>
      <w:divBdr>
        <w:top w:val="none" w:sz="0" w:space="0" w:color="auto"/>
        <w:left w:val="none" w:sz="0" w:space="0" w:color="auto"/>
        <w:bottom w:val="none" w:sz="0" w:space="0" w:color="auto"/>
        <w:right w:val="none" w:sz="0" w:space="0" w:color="auto"/>
      </w:divBdr>
    </w:div>
    <w:div w:id="1527018004">
      <w:bodyDiv w:val="1"/>
      <w:marLeft w:val="0"/>
      <w:marRight w:val="0"/>
      <w:marTop w:val="0"/>
      <w:marBottom w:val="0"/>
      <w:divBdr>
        <w:top w:val="none" w:sz="0" w:space="0" w:color="auto"/>
        <w:left w:val="none" w:sz="0" w:space="0" w:color="auto"/>
        <w:bottom w:val="none" w:sz="0" w:space="0" w:color="auto"/>
        <w:right w:val="none" w:sz="0" w:space="0" w:color="auto"/>
      </w:divBdr>
    </w:div>
    <w:div w:id="1622807915">
      <w:bodyDiv w:val="1"/>
      <w:marLeft w:val="0"/>
      <w:marRight w:val="0"/>
      <w:marTop w:val="0"/>
      <w:marBottom w:val="0"/>
      <w:divBdr>
        <w:top w:val="none" w:sz="0" w:space="0" w:color="auto"/>
        <w:left w:val="none" w:sz="0" w:space="0" w:color="auto"/>
        <w:bottom w:val="none" w:sz="0" w:space="0" w:color="auto"/>
        <w:right w:val="none" w:sz="0" w:space="0" w:color="auto"/>
      </w:divBdr>
    </w:div>
    <w:div w:id="1671521143">
      <w:bodyDiv w:val="1"/>
      <w:marLeft w:val="0"/>
      <w:marRight w:val="0"/>
      <w:marTop w:val="0"/>
      <w:marBottom w:val="0"/>
      <w:divBdr>
        <w:top w:val="none" w:sz="0" w:space="0" w:color="auto"/>
        <w:left w:val="none" w:sz="0" w:space="0" w:color="auto"/>
        <w:bottom w:val="none" w:sz="0" w:space="0" w:color="auto"/>
        <w:right w:val="none" w:sz="0" w:space="0" w:color="auto"/>
      </w:divBdr>
      <w:divsChild>
        <w:div w:id="324746016">
          <w:marLeft w:val="0"/>
          <w:marRight w:val="0"/>
          <w:marTop w:val="0"/>
          <w:marBottom w:val="0"/>
          <w:divBdr>
            <w:top w:val="none" w:sz="0" w:space="0" w:color="auto"/>
            <w:left w:val="none" w:sz="0" w:space="0" w:color="auto"/>
            <w:bottom w:val="none" w:sz="0" w:space="0" w:color="auto"/>
            <w:right w:val="none" w:sz="0" w:space="0" w:color="auto"/>
          </w:divBdr>
          <w:divsChild>
            <w:div w:id="983201167">
              <w:marLeft w:val="0"/>
              <w:marRight w:val="0"/>
              <w:marTop w:val="0"/>
              <w:marBottom w:val="0"/>
              <w:divBdr>
                <w:top w:val="none" w:sz="0" w:space="0" w:color="auto"/>
                <w:left w:val="none" w:sz="0" w:space="0" w:color="auto"/>
                <w:bottom w:val="none" w:sz="0" w:space="0" w:color="auto"/>
                <w:right w:val="none" w:sz="0" w:space="0" w:color="auto"/>
              </w:divBdr>
              <w:divsChild>
                <w:div w:id="1270620170">
                  <w:marLeft w:val="0"/>
                  <w:marRight w:val="0"/>
                  <w:marTop w:val="0"/>
                  <w:marBottom w:val="129"/>
                  <w:divBdr>
                    <w:top w:val="none" w:sz="0" w:space="0" w:color="auto"/>
                    <w:left w:val="none" w:sz="0" w:space="0" w:color="auto"/>
                    <w:bottom w:val="none" w:sz="0" w:space="0" w:color="auto"/>
                    <w:right w:val="none" w:sz="0" w:space="0" w:color="auto"/>
                  </w:divBdr>
                  <w:divsChild>
                    <w:div w:id="13319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40905">
      <w:bodyDiv w:val="1"/>
      <w:marLeft w:val="0"/>
      <w:marRight w:val="0"/>
      <w:marTop w:val="0"/>
      <w:marBottom w:val="0"/>
      <w:divBdr>
        <w:top w:val="none" w:sz="0" w:space="0" w:color="auto"/>
        <w:left w:val="none" w:sz="0" w:space="0" w:color="auto"/>
        <w:bottom w:val="none" w:sz="0" w:space="0" w:color="auto"/>
        <w:right w:val="none" w:sz="0" w:space="0" w:color="auto"/>
      </w:divBdr>
      <w:divsChild>
        <w:div w:id="1945764520">
          <w:marLeft w:val="0"/>
          <w:marRight w:val="0"/>
          <w:marTop w:val="0"/>
          <w:marBottom w:val="0"/>
          <w:divBdr>
            <w:top w:val="none" w:sz="0" w:space="0" w:color="auto"/>
            <w:left w:val="none" w:sz="0" w:space="0" w:color="auto"/>
            <w:bottom w:val="none" w:sz="0" w:space="0" w:color="auto"/>
            <w:right w:val="none" w:sz="0" w:space="0" w:color="auto"/>
          </w:divBdr>
          <w:divsChild>
            <w:div w:id="48844495">
              <w:marLeft w:val="0"/>
              <w:marRight w:val="0"/>
              <w:marTop w:val="0"/>
              <w:marBottom w:val="0"/>
              <w:divBdr>
                <w:top w:val="none" w:sz="0" w:space="0" w:color="auto"/>
                <w:left w:val="none" w:sz="0" w:space="0" w:color="auto"/>
                <w:bottom w:val="none" w:sz="0" w:space="0" w:color="auto"/>
                <w:right w:val="none" w:sz="0" w:space="0" w:color="auto"/>
              </w:divBdr>
              <w:divsChild>
                <w:div w:id="1122268288">
                  <w:marLeft w:val="0"/>
                  <w:marRight w:val="0"/>
                  <w:marTop w:val="0"/>
                  <w:marBottom w:val="0"/>
                  <w:divBdr>
                    <w:top w:val="none" w:sz="0" w:space="0" w:color="auto"/>
                    <w:left w:val="none" w:sz="0" w:space="0" w:color="auto"/>
                    <w:bottom w:val="none" w:sz="0" w:space="0" w:color="auto"/>
                    <w:right w:val="none" w:sz="0" w:space="0" w:color="auto"/>
                  </w:divBdr>
                  <w:divsChild>
                    <w:div w:id="1906984513">
                      <w:marLeft w:val="0"/>
                      <w:marRight w:val="0"/>
                      <w:marTop w:val="0"/>
                      <w:marBottom w:val="0"/>
                      <w:divBdr>
                        <w:top w:val="none" w:sz="0" w:space="0" w:color="auto"/>
                        <w:left w:val="none" w:sz="0" w:space="0" w:color="auto"/>
                        <w:bottom w:val="none" w:sz="0" w:space="0" w:color="auto"/>
                        <w:right w:val="none" w:sz="0" w:space="0" w:color="auto"/>
                      </w:divBdr>
                      <w:divsChild>
                        <w:div w:id="305356326">
                          <w:marLeft w:val="0"/>
                          <w:marRight w:val="0"/>
                          <w:marTop w:val="0"/>
                          <w:marBottom w:val="0"/>
                          <w:divBdr>
                            <w:top w:val="none" w:sz="0" w:space="0" w:color="auto"/>
                            <w:left w:val="none" w:sz="0" w:space="0" w:color="auto"/>
                            <w:bottom w:val="none" w:sz="0" w:space="0" w:color="auto"/>
                            <w:right w:val="none" w:sz="0" w:space="0" w:color="auto"/>
                          </w:divBdr>
                          <w:divsChild>
                            <w:div w:id="11807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876042">
      <w:bodyDiv w:val="1"/>
      <w:marLeft w:val="0"/>
      <w:marRight w:val="0"/>
      <w:marTop w:val="0"/>
      <w:marBottom w:val="0"/>
      <w:divBdr>
        <w:top w:val="none" w:sz="0" w:space="0" w:color="auto"/>
        <w:left w:val="none" w:sz="0" w:space="0" w:color="auto"/>
        <w:bottom w:val="none" w:sz="0" w:space="0" w:color="auto"/>
        <w:right w:val="none" w:sz="0" w:space="0" w:color="auto"/>
      </w:divBdr>
    </w:div>
    <w:div w:id="1693023121">
      <w:bodyDiv w:val="1"/>
      <w:marLeft w:val="0"/>
      <w:marRight w:val="0"/>
      <w:marTop w:val="0"/>
      <w:marBottom w:val="0"/>
      <w:divBdr>
        <w:top w:val="none" w:sz="0" w:space="0" w:color="auto"/>
        <w:left w:val="none" w:sz="0" w:space="0" w:color="auto"/>
        <w:bottom w:val="none" w:sz="0" w:space="0" w:color="auto"/>
        <w:right w:val="none" w:sz="0" w:space="0" w:color="auto"/>
      </w:divBdr>
    </w:div>
    <w:div w:id="1748920672">
      <w:bodyDiv w:val="1"/>
      <w:marLeft w:val="0"/>
      <w:marRight w:val="0"/>
      <w:marTop w:val="0"/>
      <w:marBottom w:val="0"/>
      <w:divBdr>
        <w:top w:val="none" w:sz="0" w:space="0" w:color="auto"/>
        <w:left w:val="none" w:sz="0" w:space="0" w:color="auto"/>
        <w:bottom w:val="none" w:sz="0" w:space="0" w:color="auto"/>
        <w:right w:val="none" w:sz="0" w:space="0" w:color="auto"/>
      </w:divBdr>
    </w:div>
    <w:div w:id="1763836881">
      <w:bodyDiv w:val="1"/>
      <w:marLeft w:val="0"/>
      <w:marRight w:val="0"/>
      <w:marTop w:val="0"/>
      <w:marBottom w:val="0"/>
      <w:divBdr>
        <w:top w:val="none" w:sz="0" w:space="0" w:color="auto"/>
        <w:left w:val="none" w:sz="0" w:space="0" w:color="auto"/>
        <w:bottom w:val="none" w:sz="0" w:space="0" w:color="auto"/>
        <w:right w:val="none" w:sz="0" w:space="0" w:color="auto"/>
      </w:divBdr>
    </w:div>
    <w:div w:id="1765225160">
      <w:bodyDiv w:val="1"/>
      <w:marLeft w:val="0"/>
      <w:marRight w:val="0"/>
      <w:marTop w:val="0"/>
      <w:marBottom w:val="0"/>
      <w:divBdr>
        <w:top w:val="none" w:sz="0" w:space="0" w:color="auto"/>
        <w:left w:val="none" w:sz="0" w:space="0" w:color="auto"/>
        <w:bottom w:val="none" w:sz="0" w:space="0" w:color="auto"/>
        <w:right w:val="none" w:sz="0" w:space="0" w:color="auto"/>
      </w:divBdr>
    </w:div>
    <w:div w:id="1794861109">
      <w:bodyDiv w:val="1"/>
      <w:marLeft w:val="0"/>
      <w:marRight w:val="0"/>
      <w:marTop w:val="0"/>
      <w:marBottom w:val="0"/>
      <w:divBdr>
        <w:top w:val="none" w:sz="0" w:space="0" w:color="auto"/>
        <w:left w:val="none" w:sz="0" w:space="0" w:color="auto"/>
        <w:bottom w:val="none" w:sz="0" w:space="0" w:color="auto"/>
        <w:right w:val="none" w:sz="0" w:space="0" w:color="auto"/>
      </w:divBdr>
    </w:div>
    <w:div w:id="1800873048">
      <w:bodyDiv w:val="1"/>
      <w:marLeft w:val="0"/>
      <w:marRight w:val="0"/>
      <w:marTop w:val="0"/>
      <w:marBottom w:val="0"/>
      <w:divBdr>
        <w:top w:val="none" w:sz="0" w:space="0" w:color="auto"/>
        <w:left w:val="none" w:sz="0" w:space="0" w:color="auto"/>
        <w:bottom w:val="none" w:sz="0" w:space="0" w:color="auto"/>
        <w:right w:val="none" w:sz="0" w:space="0" w:color="auto"/>
      </w:divBdr>
    </w:div>
    <w:div w:id="1801222304">
      <w:bodyDiv w:val="1"/>
      <w:marLeft w:val="0"/>
      <w:marRight w:val="0"/>
      <w:marTop w:val="0"/>
      <w:marBottom w:val="0"/>
      <w:divBdr>
        <w:top w:val="none" w:sz="0" w:space="0" w:color="auto"/>
        <w:left w:val="none" w:sz="0" w:space="0" w:color="auto"/>
        <w:bottom w:val="none" w:sz="0" w:space="0" w:color="auto"/>
        <w:right w:val="none" w:sz="0" w:space="0" w:color="auto"/>
      </w:divBdr>
    </w:div>
    <w:div w:id="1806503151">
      <w:bodyDiv w:val="1"/>
      <w:marLeft w:val="0"/>
      <w:marRight w:val="0"/>
      <w:marTop w:val="0"/>
      <w:marBottom w:val="0"/>
      <w:divBdr>
        <w:top w:val="none" w:sz="0" w:space="0" w:color="auto"/>
        <w:left w:val="none" w:sz="0" w:space="0" w:color="auto"/>
        <w:bottom w:val="none" w:sz="0" w:space="0" w:color="auto"/>
        <w:right w:val="none" w:sz="0" w:space="0" w:color="auto"/>
      </w:divBdr>
    </w:div>
    <w:div w:id="1806775599">
      <w:bodyDiv w:val="1"/>
      <w:marLeft w:val="0"/>
      <w:marRight w:val="0"/>
      <w:marTop w:val="0"/>
      <w:marBottom w:val="0"/>
      <w:divBdr>
        <w:top w:val="none" w:sz="0" w:space="0" w:color="auto"/>
        <w:left w:val="none" w:sz="0" w:space="0" w:color="auto"/>
        <w:bottom w:val="none" w:sz="0" w:space="0" w:color="auto"/>
        <w:right w:val="none" w:sz="0" w:space="0" w:color="auto"/>
      </w:divBdr>
    </w:div>
    <w:div w:id="1816141698">
      <w:bodyDiv w:val="1"/>
      <w:marLeft w:val="0"/>
      <w:marRight w:val="0"/>
      <w:marTop w:val="0"/>
      <w:marBottom w:val="0"/>
      <w:divBdr>
        <w:top w:val="none" w:sz="0" w:space="0" w:color="auto"/>
        <w:left w:val="none" w:sz="0" w:space="0" w:color="auto"/>
        <w:bottom w:val="none" w:sz="0" w:space="0" w:color="auto"/>
        <w:right w:val="none" w:sz="0" w:space="0" w:color="auto"/>
      </w:divBdr>
    </w:div>
    <w:div w:id="1817455558">
      <w:bodyDiv w:val="1"/>
      <w:marLeft w:val="0"/>
      <w:marRight w:val="0"/>
      <w:marTop w:val="0"/>
      <w:marBottom w:val="0"/>
      <w:divBdr>
        <w:top w:val="none" w:sz="0" w:space="0" w:color="auto"/>
        <w:left w:val="none" w:sz="0" w:space="0" w:color="auto"/>
        <w:bottom w:val="none" w:sz="0" w:space="0" w:color="auto"/>
        <w:right w:val="none" w:sz="0" w:space="0" w:color="auto"/>
      </w:divBdr>
    </w:div>
    <w:div w:id="1819221497">
      <w:bodyDiv w:val="1"/>
      <w:marLeft w:val="0"/>
      <w:marRight w:val="0"/>
      <w:marTop w:val="0"/>
      <w:marBottom w:val="0"/>
      <w:divBdr>
        <w:top w:val="none" w:sz="0" w:space="0" w:color="auto"/>
        <w:left w:val="none" w:sz="0" w:space="0" w:color="auto"/>
        <w:bottom w:val="none" w:sz="0" w:space="0" w:color="auto"/>
        <w:right w:val="none" w:sz="0" w:space="0" w:color="auto"/>
      </w:divBdr>
    </w:div>
    <w:div w:id="18229637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sChild>
            <w:div w:id="617879265">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129"/>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7207">
      <w:bodyDiv w:val="1"/>
      <w:marLeft w:val="0"/>
      <w:marRight w:val="0"/>
      <w:marTop w:val="0"/>
      <w:marBottom w:val="0"/>
      <w:divBdr>
        <w:top w:val="none" w:sz="0" w:space="0" w:color="auto"/>
        <w:left w:val="none" w:sz="0" w:space="0" w:color="auto"/>
        <w:bottom w:val="none" w:sz="0" w:space="0" w:color="auto"/>
        <w:right w:val="none" w:sz="0" w:space="0" w:color="auto"/>
      </w:divBdr>
    </w:div>
    <w:div w:id="1864243407">
      <w:bodyDiv w:val="1"/>
      <w:marLeft w:val="0"/>
      <w:marRight w:val="0"/>
      <w:marTop w:val="0"/>
      <w:marBottom w:val="0"/>
      <w:divBdr>
        <w:top w:val="none" w:sz="0" w:space="0" w:color="auto"/>
        <w:left w:val="none" w:sz="0" w:space="0" w:color="auto"/>
        <w:bottom w:val="none" w:sz="0" w:space="0" w:color="auto"/>
        <w:right w:val="none" w:sz="0" w:space="0" w:color="auto"/>
      </w:divBdr>
    </w:div>
    <w:div w:id="1880629298">
      <w:bodyDiv w:val="1"/>
      <w:marLeft w:val="0"/>
      <w:marRight w:val="0"/>
      <w:marTop w:val="0"/>
      <w:marBottom w:val="0"/>
      <w:divBdr>
        <w:top w:val="none" w:sz="0" w:space="0" w:color="auto"/>
        <w:left w:val="none" w:sz="0" w:space="0" w:color="auto"/>
        <w:bottom w:val="none" w:sz="0" w:space="0" w:color="auto"/>
        <w:right w:val="none" w:sz="0" w:space="0" w:color="auto"/>
      </w:divBdr>
    </w:div>
    <w:div w:id="1886717864">
      <w:bodyDiv w:val="1"/>
      <w:marLeft w:val="0"/>
      <w:marRight w:val="0"/>
      <w:marTop w:val="0"/>
      <w:marBottom w:val="0"/>
      <w:divBdr>
        <w:top w:val="none" w:sz="0" w:space="0" w:color="auto"/>
        <w:left w:val="none" w:sz="0" w:space="0" w:color="auto"/>
        <w:bottom w:val="none" w:sz="0" w:space="0" w:color="auto"/>
        <w:right w:val="none" w:sz="0" w:space="0" w:color="auto"/>
      </w:divBdr>
    </w:div>
    <w:div w:id="1891648841">
      <w:bodyDiv w:val="1"/>
      <w:marLeft w:val="0"/>
      <w:marRight w:val="0"/>
      <w:marTop w:val="0"/>
      <w:marBottom w:val="0"/>
      <w:divBdr>
        <w:top w:val="none" w:sz="0" w:space="0" w:color="auto"/>
        <w:left w:val="none" w:sz="0" w:space="0" w:color="auto"/>
        <w:bottom w:val="none" w:sz="0" w:space="0" w:color="auto"/>
        <w:right w:val="none" w:sz="0" w:space="0" w:color="auto"/>
      </w:divBdr>
    </w:div>
    <w:div w:id="1904636001">
      <w:bodyDiv w:val="1"/>
      <w:marLeft w:val="0"/>
      <w:marRight w:val="0"/>
      <w:marTop w:val="0"/>
      <w:marBottom w:val="0"/>
      <w:divBdr>
        <w:top w:val="none" w:sz="0" w:space="0" w:color="auto"/>
        <w:left w:val="none" w:sz="0" w:space="0" w:color="auto"/>
        <w:bottom w:val="none" w:sz="0" w:space="0" w:color="auto"/>
        <w:right w:val="none" w:sz="0" w:space="0" w:color="auto"/>
      </w:divBdr>
    </w:div>
    <w:div w:id="1922596601">
      <w:bodyDiv w:val="1"/>
      <w:marLeft w:val="0"/>
      <w:marRight w:val="0"/>
      <w:marTop w:val="0"/>
      <w:marBottom w:val="0"/>
      <w:divBdr>
        <w:top w:val="none" w:sz="0" w:space="0" w:color="auto"/>
        <w:left w:val="none" w:sz="0" w:space="0" w:color="auto"/>
        <w:bottom w:val="none" w:sz="0" w:space="0" w:color="auto"/>
        <w:right w:val="none" w:sz="0" w:space="0" w:color="auto"/>
      </w:divBdr>
    </w:div>
    <w:div w:id="1932471509">
      <w:bodyDiv w:val="1"/>
      <w:marLeft w:val="0"/>
      <w:marRight w:val="0"/>
      <w:marTop w:val="0"/>
      <w:marBottom w:val="0"/>
      <w:divBdr>
        <w:top w:val="none" w:sz="0" w:space="0" w:color="auto"/>
        <w:left w:val="none" w:sz="0" w:space="0" w:color="auto"/>
        <w:bottom w:val="none" w:sz="0" w:space="0" w:color="auto"/>
        <w:right w:val="none" w:sz="0" w:space="0" w:color="auto"/>
      </w:divBdr>
    </w:div>
    <w:div w:id="1996181213">
      <w:bodyDiv w:val="1"/>
      <w:marLeft w:val="0"/>
      <w:marRight w:val="0"/>
      <w:marTop w:val="0"/>
      <w:marBottom w:val="0"/>
      <w:divBdr>
        <w:top w:val="none" w:sz="0" w:space="0" w:color="auto"/>
        <w:left w:val="none" w:sz="0" w:space="0" w:color="auto"/>
        <w:bottom w:val="none" w:sz="0" w:space="0" w:color="auto"/>
        <w:right w:val="none" w:sz="0" w:space="0" w:color="auto"/>
      </w:divBdr>
    </w:div>
    <w:div w:id="2011324154">
      <w:bodyDiv w:val="1"/>
      <w:marLeft w:val="0"/>
      <w:marRight w:val="0"/>
      <w:marTop w:val="0"/>
      <w:marBottom w:val="0"/>
      <w:divBdr>
        <w:top w:val="none" w:sz="0" w:space="0" w:color="auto"/>
        <w:left w:val="none" w:sz="0" w:space="0" w:color="auto"/>
        <w:bottom w:val="none" w:sz="0" w:space="0" w:color="auto"/>
        <w:right w:val="none" w:sz="0" w:space="0" w:color="auto"/>
      </w:divBdr>
    </w:div>
    <w:div w:id="2018264271">
      <w:bodyDiv w:val="1"/>
      <w:marLeft w:val="0"/>
      <w:marRight w:val="0"/>
      <w:marTop w:val="0"/>
      <w:marBottom w:val="0"/>
      <w:divBdr>
        <w:top w:val="none" w:sz="0" w:space="0" w:color="auto"/>
        <w:left w:val="none" w:sz="0" w:space="0" w:color="auto"/>
        <w:bottom w:val="none" w:sz="0" w:space="0" w:color="auto"/>
        <w:right w:val="none" w:sz="0" w:space="0" w:color="auto"/>
      </w:divBdr>
    </w:div>
    <w:div w:id="2027706920">
      <w:bodyDiv w:val="1"/>
      <w:marLeft w:val="0"/>
      <w:marRight w:val="0"/>
      <w:marTop w:val="0"/>
      <w:marBottom w:val="0"/>
      <w:divBdr>
        <w:top w:val="none" w:sz="0" w:space="0" w:color="auto"/>
        <w:left w:val="none" w:sz="0" w:space="0" w:color="auto"/>
        <w:bottom w:val="none" w:sz="0" w:space="0" w:color="auto"/>
        <w:right w:val="none" w:sz="0" w:space="0" w:color="auto"/>
      </w:divBdr>
    </w:div>
    <w:div w:id="2032149364">
      <w:bodyDiv w:val="1"/>
      <w:marLeft w:val="0"/>
      <w:marRight w:val="0"/>
      <w:marTop w:val="0"/>
      <w:marBottom w:val="0"/>
      <w:divBdr>
        <w:top w:val="none" w:sz="0" w:space="0" w:color="auto"/>
        <w:left w:val="none" w:sz="0" w:space="0" w:color="auto"/>
        <w:bottom w:val="none" w:sz="0" w:space="0" w:color="auto"/>
        <w:right w:val="none" w:sz="0" w:space="0" w:color="auto"/>
      </w:divBdr>
      <w:divsChild>
        <w:div w:id="447967143">
          <w:marLeft w:val="0"/>
          <w:marRight w:val="0"/>
          <w:marTop w:val="0"/>
          <w:marBottom w:val="0"/>
          <w:divBdr>
            <w:top w:val="none" w:sz="0" w:space="0" w:color="auto"/>
            <w:left w:val="none" w:sz="0" w:space="0" w:color="auto"/>
            <w:bottom w:val="none" w:sz="0" w:space="0" w:color="auto"/>
            <w:right w:val="none" w:sz="0" w:space="0" w:color="auto"/>
          </w:divBdr>
          <w:divsChild>
            <w:div w:id="344285198">
              <w:marLeft w:val="0"/>
              <w:marRight w:val="0"/>
              <w:marTop w:val="0"/>
              <w:marBottom w:val="0"/>
              <w:divBdr>
                <w:top w:val="none" w:sz="0" w:space="0" w:color="auto"/>
                <w:left w:val="none" w:sz="0" w:space="0" w:color="auto"/>
                <w:bottom w:val="none" w:sz="0" w:space="0" w:color="auto"/>
                <w:right w:val="none" w:sz="0" w:space="0" w:color="auto"/>
              </w:divBdr>
              <w:divsChild>
                <w:div w:id="133565078">
                  <w:marLeft w:val="0"/>
                  <w:marRight w:val="0"/>
                  <w:marTop w:val="0"/>
                  <w:marBottom w:val="129"/>
                  <w:divBdr>
                    <w:top w:val="none" w:sz="0" w:space="0" w:color="auto"/>
                    <w:left w:val="none" w:sz="0" w:space="0" w:color="auto"/>
                    <w:bottom w:val="none" w:sz="0" w:space="0" w:color="auto"/>
                    <w:right w:val="none" w:sz="0" w:space="0" w:color="auto"/>
                  </w:divBdr>
                  <w:divsChild>
                    <w:div w:id="1776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2252">
      <w:bodyDiv w:val="1"/>
      <w:marLeft w:val="0"/>
      <w:marRight w:val="0"/>
      <w:marTop w:val="0"/>
      <w:marBottom w:val="0"/>
      <w:divBdr>
        <w:top w:val="none" w:sz="0" w:space="0" w:color="auto"/>
        <w:left w:val="none" w:sz="0" w:space="0" w:color="auto"/>
        <w:bottom w:val="none" w:sz="0" w:space="0" w:color="auto"/>
        <w:right w:val="none" w:sz="0" w:space="0" w:color="auto"/>
      </w:divBdr>
    </w:div>
    <w:div w:id="2053192969">
      <w:bodyDiv w:val="1"/>
      <w:marLeft w:val="0"/>
      <w:marRight w:val="0"/>
      <w:marTop w:val="0"/>
      <w:marBottom w:val="0"/>
      <w:divBdr>
        <w:top w:val="none" w:sz="0" w:space="0" w:color="auto"/>
        <w:left w:val="none" w:sz="0" w:space="0" w:color="auto"/>
        <w:bottom w:val="none" w:sz="0" w:space="0" w:color="auto"/>
        <w:right w:val="none" w:sz="0" w:space="0" w:color="auto"/>
      </w:divBdr>
    </w:div>
    <w:div w:id="2054573595">
      <w:bodyDiv w:val="1"/>
      <w:marLeft w:val="0"/>
      <w:marRight w:val="0"/>
      <w:marTop w:val="0"/>
      <w:marBottom w:val="0"/>
      <w:divBdr>
        <w:top w:val="none" w:sz="0" w:space="0" w:color="auto"/>
        <w:left w:val="none" w:sz="0" w:space="0" w:color="auto"/>
        <w:bottom w:val="none" w:sz="0" w:space="0" w:color="auto"/>
        <w:right w:val="none" w:sz="0" w:space="0" w:color="auto"/>
      </w:divBdr>
    </w:div>
    <w:div w:id="2056008307">
      <w:bodyDiv w:val="1"/>
      <w:marLeft w:val="0"/>
      <w:marRight w:val="0"/>
      <w:marTop w:val="0"/>
      <w:marBottom w:val="0"/>
      <w:divBdr>
        <w:top w:val="none" w:sz="0" w:space="0" w:color="auto"/>
        <w:left w:val="none" w:sz="0" w:space="0" w:color="auto"/>
        <w:bottom w:val="none" w:sz="0" w:space="0" w:color="auto"/>
        <w:right w:val="none" w:sz="0" w:space="0" w:color="auto"/>
      </w:divBdr>
    </w:div>
    <w:div w:id="2057194842">
      <w:bodyDiv w:val="1"/>
      <w:marLeft w:val="0"/>
      <w:marRight w:val="0"/>
      <w:marTop w:val="0"/>
      <w:marBottom w:val="0"/>
      <w:divBdr>
        <w:top w:val="none" w:sz="0" w:space="0" w:color="auto"/>
        <w:left w:val="none" w:sz="0" w:space="0" w:color="auto"/>
        <w:bottom w:val="none" w:sz="0" w:space="0" w:color="auto"/>
        <w:right w:val="none" w:sz="0" w:space="0" w:color="auto"/>
      </w:divBdr>
    </w:div>
    <w:div w:id="2077893961">
      <w:bodyDiv w:val="1"/>
      <w:marLeft w:val="0"/>
      <w:marRight w:val="0"/>
      <w:marTop w:val="0"/>
      <w:marBottom w:val="0"/>
      <w:divBdr>
        <w:top w:val="none" w:sz="0" w:space="0" w:color="auto"/>
        <w:left w:val="none" w:sz="0" w:space="0" w:color="auto"/>
        <w:bottom w:val="none" w:sz="0" w:space="0" w:color="auto"/>
        <w:right w:val="none" w:sz="0" w:space="0" w:color="auto"/>
      </w:divBdr>
    </w:div>
    <w:div w:id="2080666072">
      <w:bodyDiv w:val="1"/>
      <w:marLeft w:val="0"/>
      <w:marRight w:val="0"/>
      <w:marTop w:val="0"/>
      <w:marBottom w:val="0"/>
      <w:divBdr>
        <w:top w:val="none" w:sz="0" w:space="0" w:color="auto"/>
        <w:left w:val="none" w:sz="0" w:space="0" w:color="auto"/>
        <w:bottom w:val="none" w:sz="0" w:space="0" w:color="auto"/>
        <w:right w:val="none" w:sz="0" w:space="0" w:color="auto"/>
      </w:divBdr>
      <w:divsChild>
        <w:div w:id="720372983">
          <w:marLeft w:val="0"/>
          <w:marRight w:val="0"/>
          <w:marTop w:val="0"/>
          <w:marBottom w:val="0"/>
          <w:divBdr>
            <w:top w:val="none" w:sz="0" w:space="0" w:color="auto"/>
            <w:left w:val="none" w:sz="0" w:space="0" w:color="auto"/>
            <w:bottom w:val="none" w:sz="0" w:space="0" w:color="auto"/>
            <w:right w:val="none" w:sz="0" w:space="0" w:color="auto"/>
          </w:divBdr>
          <w:divsChild>
            <w:div w:id="1362821808">
              <w:marLeft w:val="0"/>
              <w:marRight w:val="0"/>
              <w:marTop w:val="0"/>
              <w:marBottom w:val="0"/>
              <w:divBdr>
                <w:top w:val="none" w:sz="0" w:space="0" w:color="auto"/>
                <w:left w:val="none" w:sz="0" w:space="0" w:color="auto"/>
                <w:bottom w:val="none" w:sz="0" w:space="0" w:color="auto"/>
                <w:right w:val="none" w:sz="0" w:space="0" w:color="auto"/>
              </w:divBdr>
              <w:divsChild>
                <w:div w:id="1431853735">
                  <w:marLeft w:val="0"/>
                  <w:marRight w:val="0"/>
                  <w:marTop w:val="0"/>
                  <w:marBottom w:val="129"/>
                  <w:divBdr>
                    <w:top w:val="none" w:sz="0" w:space="0" w:color="auto"/>
                    <w:left w:val="none" w:sz="0" w:space="0" w:color="auto"/>
                    <w:bottom w:val="none" w:sz="0" w:space="0" w:color="auto"/>
                    <w:right w:val="none" w:sz="0" w:space="0" w:color="auto"/>
                  </w:divBdr>
                  <w:divsChild>
                    <w:div w:id="2116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055664">
      <w:bodyDiv w:val="1"/>
      <w:marLeft w:val="0"/>
      <w:marRight w:val="0"/>
      <w:marTop w:val="0"/>
      <w:marBottom w:val="0"/>
      <w:divBdr>
        <w:top w:val="none" w:sz="0" w:space="0" w:color="auto"/>
        <w:left w:val="none" w:sz="0" w:space="0" w:color="auto"/>
        <w:bottom w:val="none" w:sz="0" w:space="0" w:color="auto"/>
        <w:right w:val="none" w:sz="0" w:space="0" w:color="auto"/>
      </w:divBdr>
    </w:div>
    <w:div w:id="2102097000">
      <w:bodyDiv w:val="1"/>
      <w:marLeft w:val="0"/>
      <w:marRight w:val="0"/>
      <w:marTop w:val="0"/>
      <w:marBottom w:val="0"/>
      <w:divBdr>
        <w:top w:val="none" w:sz="0" w:space="0" w:color="auto"/>
        <w:left w:val="none" w:sz="0" w:space="0" w:color="auto"/>
        <w:bottom w:val="none" w:sz="0" w:space="0" w:color="auto"/>
        <w:right w:val="none" w:sz="0" w:space="0" w:color="auto"/>
      </w:divBdr>
    </w:div>
    <w:div w:id="21423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hyperlink" Target="mailto:icrc@act.gov.au" TargetMode="Externa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image" Target="media/image8.emf"/><Relationship Id="rId50" Type="http://schemas.openxmlformats.org/officeDocument/2006/relationships/header" Target="header26.xml"/><Relationship Id="rId55" Type="http://schemas.openxmlformats.org/officeDocument/2006/relationships/chart" Target="charts/chart6.xml"/><Relationship Id="rId63" Type="http://schemas.openxmlformats.org/officeDocument/2006/relationships/header" Target="header30.xml"/><Relationship Id="rId68" Type="http://schemas.openxmlformats.org/officeDocument/2006/relationships/header" Target="header34.xml"/><Relationship Id="rId76" Type="http://schemas.openxmlformats.org/officeDocument/2006/relationships/header" Target="header40.xml"/><Relationship Id="rId84" Type="http://schemas.openxmlformats.org/officeDocument/2006/relationships/header" Target="header48.xml"/><Relationship Id="rId89" Type="http://schemas.openxmlformats.org/officeDocument/2006/relationships/header" Target="header53.xml"/><Relationship Id="rId7" Type="http://schemas.openxmlformats.org/officeDocument/2006/relationships/endnotes" Target="endnotes.xml"/><Relationship Id="rId71" Type="http://schemas.openxmlformats.org/officeDocument/2006/relationships/chart" Target="charts/chart13.xml"/><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image" Target="media/image5.wmf"/><Relationship Id="rId45" Type="http://schemas.openxmlformats.org/officeDocument/2006/relationships/header" Target="header24.xml"/><Relationship Id="rId53" Type="http://schemas.openxmlformats.org/officeDocument/2006/relationships/chart" Target="charts/chart4.xml"/><Relationship Id="rId58" Type="http://schemas.openxmlformats.org/officeDocument/2006/relationships/chart" Target="charts/chart8.xml"/><Relationship Id="rId66" Type="http://schemas.openxmlformats.org/officeDocument/2006/relationships/chart" Target="charts/chart12.xml"/><Relationship Id="rId74" Type="http://schemas.openxmlformats.org/officeDocument/2006/relationships/header" Target="header38.xml"/><Relationship Id="rId79" Type="http://schemas.openxmlformats.org/officeDocument/2006/relationships/header" Target="header43.xml"/><Relationship Id="rId87" Type="http://schemas.openxmlformats.org/officeDocument/2006/relationships/header" Target="header51.xml"/><Relationship Id="rId5" Type="http://schemas.openxmlformats.org/officeDocument/2006/relationships/webSettings" Target="webSettings.xml"/><Relationship Id="rId61" Type="http://schemas.openxmlformats.org/officeDocument/2006/relationships/chart" Target="charts/chart11.xml"/><Relationship Id="rId82" Type="http://schemas.openxmlformats.org/officeDocument/2006/relationships/header" Target="header46.xml"/><Relationship Id="rId90" Type="http://schemas.openxmlformats.org/officeDocument/2006/relationships/header" Target="header54.xml"/><Relationship Id="rId19" Type="http://schemas.openxmlformats.org/officeDocument/2006/relationships/footer" Target="footer5.xml"/><Relationship Id="rId14" Type="http://schemas.openxmlformats.org/officeDocument/2006/relationships/hyperlink" Target="http://www.icrc.act.gov.au" TargetMode="Externa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chart" Target="charts/chart2.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image" Target="media/image9.emf"/><Relationship Id="rId56" Type="http://schemas.openxmlformats.org/officeDocument/2006/relationships/image" Target="media/image10.emf"/><Relationship Id="rId64" Type="http://schemas.openxmlformats.org/officeDocument/2006/relationships/header" Target="header31.xml"/><Relationship Id="rId69" Type="http://schemas.openxmlformats.org/officeDocument/2006/relationships/header" Target="header35.xml"/><Relationship Id="rId77" Type="http://schemas.openxmlformats.org/officeDocument/2006/relationships/header" Target="header41.xml"/><Relationship Id="rId8" Type="http://schemas.openxmlformats.org/officeDocument/2006/relationships/header" Target="header1.xml"/><Relationship Id="rId51" Type="http://schemas.openxmlformats.org/officeDocument/2006/relationships/header" Target="header27.xml"/><Relationship Id="rId72" Type="http://schemas.openxmlformats.org/officeDocument/2006/relationships/chart" Target="charts/chart14.xml"/><Relationship Id="rId80" Type="http://schemas.openxmlformats.org/officeDocument/2006/relationships/header" Target="header44.xml"/><Relationship Id="rId85" Type="http://schemas.openxmlformats.org/officeDocument/2006/relationships/header" Target="header49.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image" Target="media/image7.emf"/><Relationship Id="rId59" Type="http://schemas.openxmlformats.org/officeDocument/2006/relationships/chart" Target="charts/chart9.xml"/><Relationship Id="rId67" Type="http://schemas.openxmlformats.org/officeDocument/2006/relationships/header" Target="header33.xml"/><Relationship Id="rId20" Type="http://schemas.openxmlformats.org/officeDocument/2006/relationships/header" Target="header6.xml"/><Relationship Id="rId41" Type="http://schemas.openxmlformats.org/officeDocument/2006/relationships/image" Target="media/image6.emf"/><Relationship Id="rId54" Type="http://schemas.openxmlformats.org/officeDocument/2006/relationships/chart" Target="charts/chart5.xml"/><Relationship Id="rId62" Type="http://schemas.openxmlformats.org/officeDocument/2006/relationships/header" Target="header29.xml"/><Relationship Id="rId70" Type="http://schemas.openxmlformats.org/officeDocument/2006/relationships/header" Target="header36.xml"/><Relationship Id="rId75" Type="http://schemas.openxmlformats.org/officeDocument/2006/relationships/header" Target="header39.xml"/><Relationship Id="rId83" Type="http://schemas.openxmlformats.org/officeDocument/2006/relationships/header" Target="header47.xml"/><Relationship Id="rId88" Type="http://schemas.openxmlformats.org/officeDocument/2006/relationships/header" Target="header5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crc@act.gov.au" TargetMode="Externa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25.xml"/><Relationship Id="rId57" Type="http://schemas.openxmlformats.org/officeDocument/2006/relationships/chart" Target="charts/chart7.xml"/><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header" Target="header23.xml"/><Relationship Id="rId52" Type="http://schemas.openxmlformats.org/officeDocument/2006/relationships/header" Target="header28.xml"/><Relationship Id="rId60" Type="http://schemas.openxmlformats.org/officeDocument/2006/relationships/chart" Target="charts/chart10.xml"/><Relationship Id="rId65" Type="http://schemas.openxmlformats.org/officeDocument/2006/relationships/header" Target="header32.xml"/><Relationship Id="rId73" Type="http://schemas.openxmlformats.org/officeDocument/2006/relationships/header" Target="header37.xml"/><Relationship Id="rId78" Type="http://schemas.openxmlformats.org/officeDocument/2006/relationships/header" Target="header42.xml"/><Relationship Id="rId81" Type="http://schemas.openxmlformats.org/officeDocument/2006/relationships/header" Target="header45.xml"/><Relationship Id="rId86" Type="http://schemas.openxmlformats.org/officeDocument/2006/relationships/header" Target="header50.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iconwater.com.au/Water-and-Sewerage-System.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ICRC\ICRC%20RECORDS%20MANAGEMENT\UTILITIES%20&amp;%20INFRASTRUCTURE%20REGULATION\Determinations%20(Regulated%20Industries)\FRC%20Retail%20Tariff%202014%20%231310941\B-Reports\2%20Issues%20paper\RREP%20-%20Issues%20Paper%20Template%20V1.3%2013.09.17.dotx"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ICRC_MCost_2016_modelv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Icon_modelling_results.xlsm"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ICRC_MCost_2016_modelv3.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Charts.xlsx"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ICRC_MCost_2016_modelv3.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ICRC_MCost_2016_modelv3.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ICRC_MCost_2016_modelv3.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ICRC_MCost_2016_modelv3.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B%20Reports\3%20Marg%20cost\Charts.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Charts.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Chart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4855202977808338"/>
          <c:y val="4.3170821098510427E-2"/>
          <c:w val="0.8264491825825917"/>
          <c:h val="0.83474691762809605"/>
        </c:manualLayout>
      </c:layout>
      <c:barChart>
        <c:barDir val="col"/>
        <c:grouping val="stacked"/>
        <c:ser>
          <c:idx val="1"/>
          <c:order val="0"/>
          <c:tx>
            <c:strRef>
              <c:f>ICRC_info!$B$45</c:f>
              <c:strCache>
                <c:ptCount val="1"/>
                <c:pt idx="0">
                  <c:v>$ per kL</c:v>
                </c:pt>
              </c:strCache>
            </c:strRef>
          </c:tx>
          <c:spPr>
            <a:solidFill>
              <a:schemeClr val="accent2">
                <a:lumMod val="75000"/>
              </a:schemeClr>
            </a:solidFill>
            <a:ln>
              <a:noFill/>
            </a:ln>
            <a:effectLst/>
          </c:spPr>
          <c:dPt>
            <c:idx val="4"/>
            <c:spPr>
              <a:solidFill>
                <a:schemeClr val="accent1">
                  <a:lumMod val="75000"/>
                </a:schemeClr>
              </a:solidFill>
              <a:ln>
                <a:noFill/>
              </a:ln>
              <a:effectLst/>
            </c:spPr>
          </c:dPt>
          <c:dPt>
            <c:idx val="5"/>
            <c:spPr>
              <a:solidFill>
                <a:schemeClr val="accent1">
                  <a:lumMod val="75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(ICRC_info!$A$46:$A$49,ICRC_info!$A$51:$A$52)</c:f>
              <c:strCache>
                <c:ptCount val="6"/>
                <c:pt idx="0">
                  <c:v>Short-run marginal cost</c:v>
                </c:pt>
                <c:pt idx="1">
                  <c:v>TMC</c:v>
                </c:pt>
                <c:pt idx="2">
                  <c:v>AIC</c:v>
                </c:pt>
                <c:pt idx="3">
                  <c:v>MIC</c:v>
                </c:pt>
                <c:pt idx="4">
                  <c:v>Tier 1 price 2015-16 </c:v>
                </c:pt>
                <c:pt idx="5">
                  <c:v>Tier 2 price 2015-16 </c:v>
                </c:pt>
              </c:strCache>
              <c:extLst/>
            </c:strRef>
          </c:cat>
          <c:val>
            <c:numRef>
              <c:f>(ICRC_info!$B$46:$B$49,ICRC_info!$B$51:$B$52)</c:f>
              <c:numCache>
                <c:formatCode>0.00</c:formatCode>
                <c:ptCount val="6"/>
                <c:pt idx="0">
                  <c:v>0.72162462642239189</c:v>
                </c:pt>
                <c:pt idx="1">
                  <c:v>0.72162462642239189</c:v>
                </c:pt>
                <c:pt idx="2">
                  <c:v>1.6128655161237508</c:v>
                </c:pt>
                <c:pt idx="3">
                  <c:v>1.7366493383381056</c:v>
                </c:pt>
                <c:pt idx="4">
                  <c:v>2.6</c:v>
                </c:pt>
                <c:pt idx="5">
                  <c:v>5.22</c:v>
                </c:pt>
              </c:numCache>
              <c:extLst/>
            </c:numRef>
          </c:val>
          <c:extLst xmlns:c16r2="http://schemas.microsoft.com/office/drawing/2015/06/chart">
            <c:ext xmlns:c16="http://schemas.microsoft.com/office/drawing/2014/chart" uri="{C3380CC4-5D6E-409C-BE32-E72D297353CC}">
              <c16:uniqueId val="{00000004-7BF5-4F58-8988-E1334F1B3604}"/>
            </c:ext>
          </c:extLst>
        </c:ser>
        <c:dLbls>
          <c:showVal val="1"/>
        </c:dLbls>
        <c:overlap val="100"/>
        <c:axId val="249305728"/>
        <c:axId val="249307520"/>
      </c:barChart>
      <c:catAx>
        <c:axId val="249305728"/>
        <c:scaling>
          <c:orientation val="minMax"/>
        </c:scaling>
        <c:axPos val="b"/>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9307520"/>
        <c:crosses val="autoZero"/>
        <c:auto val="1"/>
        <c:lblAlgn val="ctr"/>
        <c:lblOffset val="100"/>
      </c:catAx>
      <c:valAx>
        <c:axId val="2493075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kL</a:t>
                </a:r>
              </a:p>
            </c:rich>
          </c:tx>
          <c:layout>
            <c:manualLayout>
              <c:xMode val="edge"/>
              <c:yMode val="edge"/>
              <c:x val="2.2726170581204824E-2"/>
              <c:y val="0.38586833919348157"/>
            </c:manualLayout>
          </c:layout>
          <c:spPr>
            <a:noFill/>
            <a:ln>
              <a:noFill/>
            </a:ln>
            <a:effectLst/>
          </c:spPr>
        </c:title>
        <c:numFmt formatCode="&quot;$&quot;#,##0.00"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9305728"/>
        <c:crosses val="autoZero"/>
        <c:crossBetween val="between"/>
      </c:valAx>
      <c:spPr>
        <a:noFill/>
        <a:ln>
          <a:noFill/>
        </a:ln>
        <a:effectLst/>
      </c:spPr>
    </c:plotArea>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1272576143907317"/>
          <c:y val="2.3210519055565853E-2"/>
          <c:w val="0.85067716943889382"/>
          <c:h val="0.87407056358620805"/>
        </c:manualLayout>
      </c:layout>
      <c:scatterChart>
        <c:scatterStyle val="lineMarker"/>
        <c:ser>
          <c:idx val="1"/>
          <c:order val="0"/>
          <c:tx>
            <c:strRef>
              <c:f>'Probability of Restrictions'!$C$1</c:f>
              <c:strCache>
                <c:ptCount val="1"/>
                <c:pt idx="0">
                  <c:v>Baseline</c:v>
                </c:pt>
              </c:strCache>
            </c:strRef>
          </c:tx>
          <c:spPr>
            <a:ln w="31750">
              <a:solidFill>
                <a:schemeClr val="tx1"/>
              </a:solidFill>
            </a:ln>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Restrictions'!$C$4:$C$50</c:f>
              <c:numCache>
                <c:formatCode>0.0%</c:formatCode>
                <c:ptCount val="47"/>
                <c:pt idx="0">
                  <c:v>0</c:v>
                </c:pt>
                <c:pt idx="1">
                  <c:v>1.0000000000000005E-3</c:v>
                </c:pt>
                <c:pt idx="2">
                  <c:v>3.0000000000000009E-3</c:v>
                </c:pt>
                <c:pt idx="3">
                  <c:v>9.0000000000000028E-3</c:v>
                </c:pt>
                <c:pt idx="4">
                  <c:v>1.2999999999999998E-2</c:v>
                </c:pt>
                <c:pt idx="5">
                  <c:v>1.7999999999999999E-2</c:v>
                </c:pt>
                <c:pt idx="6">
                  <c:v>1.6000000000000007E-2</c:v>
                </c:pt>
                <c:pt idx="7">
                  <c:v>1.4E-2</c:v>
                </c:pt>
                <c:pt idx="8">
                  <c:v>1.2999999999999998E-2</c:v>
                </c:pt>
                <c:pt idx="9">
                  <c:v>1.0000000000000004E-2</c:v>
                </c:pt>
                <c:pt idx="10">
                  <c:v>8.0000000000000054E-3</c:v>
                </c:pt>
                <c:pt idx="11">
                  <c:v>1.0000000000000004E-2</c:v>
                </c:pt>
                <c:pt idx="12">
                  <c:v>1.2E-2</c:v>
                </c:pt>
                <c:pt idx="13">
                  <c:v>9.0000000000000028E-3</c:v>
                </c:pt>
                <c:pt idx="14">
                  <c:v>8.0000000000000054E-3</c:v>
                </c:pt>
                <c:pt idx="15">
                  <c:v>8.0000000000000054E-3</c:v>
                </c:pt>
                <c:pt idx="16">
                  <c:v>1.0000000000000004E-2</c:v>
                </c:pt>
                <c:pt idx="17">
                  <c:v>9.0000000000000028E-3</c:v>
                </c:pt>
                <c:pt idx="18">
                  <c:v>9.0000000000000028E-3</c:v>
                </c:pt>
                <c:pt idx="19">
                  <c:v>9.0000000000000028E-3</c:v>
                </c:pt>
                <c:pt idx="20">
                  <c:v>1.2E-2</c:v>
                </c:pt>
                <c:pt idx="21">
                  <c:v>1.4E-2</c:v>
                </c:pt>
                <c:pt idx="22">
                  <c:v>1.2999999999999998E-2</c:v>
                </c:pt>
                <c:pt idx="23">
                  <c:v>1.0999999999999998E-2</c:v>
                </c:pt>
                <c:pt idx="24">
                  <c:v>1.2999999999999998E-2</c:v>
                </c:pt>
                <c:pt idx="25">
                  <c:v>1.4E-2</c:v>
                </c:pt>
                <c:pt idx="26">
                  <c:v>1.2999999999999998E-2</c:v>
                </c:pt>
                <c:pt idx="27">
                  <c:v>2.0000000000000007E-2</c:v>
                </c:pt>
                <c:pt idx="28">
                  <c:v>2.0000000000000007E-2</c:v>
                </c:pt>
                <c:pt idx="29">
                  <c:v>2.1000000000000008E-2</c:v>
                </c:pt>
                <c:pt idx="30">
                  <c:v>1.9000000000000006E-2</c:v>
                </c:pt>
                <c:pt idx="31">
                  <c:v>1.0000000000000004E-2</c:v>
                </c:pt>
                <c:pt idx="32">
                  <c:v>1.0999999999999998E-2</c:v>
                </c:pt>
                <c:pt idx="33">
                  <c:v>8.0000000000000054E-3</c:v>
                </c:pt>
                <c:pt idx="34">
                  <c:v>1.4999999999999998E-2</c:v>
                </c:pt>
                <c:pt idx="35">
                  <c:v>1.0999999999999998E-2</c:v>
                </c:pt>
                <c:pt idx="36">
                  <c:v>1.0000000000000004E-2</c:v>
                </c:pt>
                <c:pt idx="37">
                  <c:v>1.4999999999999998E-2</c:v>
                </c:pt>
                <c:pt idx="38">
                  <c:v>1.0999999999999998E-2</c:v>
                </c:pt>
                <c:pt idx="39">
                  <c:v>1.2999999999999998E-2</c:v>
                </c:pt>
                <c:pt idx="40">
                  <c:v>1.0000000000000004E-2</c:v>
                </c:pt>
                <c:pt idx="41">
                  <c:v>1.0999999999999998E-2</c:v>
                </c:pt>
                <c:pt idx="42">
                  <c:v>1.2E-2</c:v>
                </c:pt>
                <c:pt idx="43">
                  <c:v>1.2999999999999998E-2</c:v>
                </c:pt>
                <c:pt idx="44">
                  <c:v>1.2999999999999998E-2</c:v>
                </c:pt>
                <c:pt idx="45">
                  <c:v>1.6000000000000007E-2</c:v>
                </c:pt>
                <c:pt idx="46">
                  <c:v>1.4999999999999998E-2</c:v>
                </c:pt>
              </c:numCache>
            </c:numRef>
          </c:yVal>
        </c:ser>
        <c:ser>
          <c:idx val="3"/>
          <c:order val="1"/>
          <c:tx>
            <c:strRef>
              <c:f>'Probability of Restrictions'!$E$1</c:f>
              <c:strCache>
                <c:ptCount val="1"/>
                <c:pt idx="0">
                  <c:v>1 Minor demand growth</c:v>
                </c:pt>
              </c:strCache>
            </c:strRef>
          </c:tx>
          <c:spPr>
            <a:ln w="31750">
              <a:prstDash val="sysDash"/>
            </a:ln>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Restrictions'!$E$4:$E$50</c:f>
              <c:numCache>
                <c:formatCode>0.0%</c:formatCode>
                <c:ptCount val="47"/>
                <c:pt idx="0">
                  <c:v>0</c:v>
                </c:pt>
                <c:pt idx="1">
                  <c:v>1.0000000000000005E-3</c:v>
                </c:pt>
                <c:pt idx="2">
                  <c:v>3.0000000000000009E-3</c:v>
                </c:pt>
                <c:pt idx="3">
                  <c:v>9.0000000000000028E-3</c:v>
                </c:pt>
                <c:pt idx="4">
                  <c:v>1.2999999999999998E-2</c:v>
                </c:pt>
                <c:pt idx="5">
                  <c:v>1.7000000000000001E-2</c:v>
                </c:pt>
                <c:pt idx="6">
                  <c:v>1.7000000000000001E-2</c:v>
                </c:pt>
                <c:pt idx="7">
                  <c:v>1.7000000000000001E-2</c:v>
                </c:pt>
                <c:pt idx="8">
                  <c:v>1.4999999999999998E-2</c:v>
                </c:pt>
                <c:pt idx="9">
                  <c:v>1.2E-2</c:v>
                </c:pt>
                <c:pt idx="10">
                  <c:v>1.4999999999999998E-2</c:v>
                </c:pt>
                <c:pt idx="11">
                  <c:v>1.7000000000000001E-2</c:v>
                </c:pt>
                <c:pt idx="12">
                  <c:v>1.7999999999999999E-2</c:v>
                </c:pt>
                <c:pt idx="13">
                  <c:v>1.4E-2</c:v>
                </c:pt>
                <c:pt idx="14">
                  <c:v>1.2E-2</c:v>
                </c:pt>
                <c:pt idx="15">
                  <c:v>1.2E-2</c:v>
                </c:pt>
                <c:pt idx="16">
                  <c:v>1.2999999999999998E-2</c:v>
                </c:pt>
                <c:pt idx="17">
                  <c:v>1.2999999999999998E-2</c:v>
                </c:pt>
                <c:pt idx="18">
                  <c:v>1.2999999999999998E-2</c:v>
                </c:pt>
                <c:pt idx="19">
                  <c:v>1.4E-2</c:v>
                </c:pt>
                <c:pt idx="20">
                  <c:v>2.0000000000000007E-2</c:v>
                </c:pt>
                <c:pt idx="21">
                  <c:v>2.4E-2</c:v>
                </c:pt>
                <c:pt idx="22">
                  <c:v>2.700000000000001E-2</c:v>
                </c:pt>
                <c:pt idx="23">
                  <c:v>2.5999999999999999E-2</c:v>
                </c:pt>
                <c:pt idx="24">
                  <c:v>2.4E-2</c:v>
                </c:pt>
                <c:pt idx="25">
                  <c:v>2.4E-2</c:v>
                </c:pt>
                <c:pt idx="26">
                  <c:v>2.4E-2</c:v>
                </c:pt>
                <c:pt idx="27">
                  <c:v>2.700000000000001E-2</c:v>
                </c:pt>
                <c:pt idx="28">
                  <c:v>3.2000000000000015E-2</c:v>
                </c:pt>
                <c:pt idx="29">
                  <c:v>3.7999999999999999E-2</c:v>
                </c:pt>
                <c:pt idx="30">
                  <c:v>3.2000000000000015E-2</c:v>
                </c:pt>
                <c:pt idx="31">
                  <c:v>2.5000000000000001E-2</c:v>
                </c:pt>
                <c:pt idx="32">
                  <c:v>2.5999999999999999E-2</c:v>
                </c:pt>
                <c:pt idx="33">
                  <c:v>3.0000000000000002E-2</c:v>
                </c:pt>
                <c:pt idx="34">
                  <c:v>3.4000000000000002E-2</c:v>
                </c:pt>
                <c:pt idx="35">
                  <c:v>2.9000000000000001E-2</c:v>
                </c:pt>
                <c:pt idx="36">
                  <c:v>2.9000000000000001E-2</c:v>
                </c:pt>
                <c:pt idx="37">
                  <c:v>3.0000000000000002E-2</c:v>
                </c:pt>
                <c:pt idx="38">
                  <c:v>2.9000000000000001E-2</c:v>
                </c:pt>
                <c:pt idx="39">
                  <c:v>3.100000000000001E-2</c:v>
                </c:pt>
                <c:pt idx="40">
                  <c:v>2.9000000000000001E-2</c:v>
                </c:pt>
                <c:pt idx="41">
                  <c:v>3.3000000000000002E-2</c:v>
                </c:pt>
                <c:pt idx="42">
                  <c:v>4.0000000000000015E-2</c:v>
                </c:pt>
                <c:pt idx="43">
                  <c:v>4.5999999999999999E-2</c:v>
                </c:pt>
                <c:pt idx="44">
                  <c:v>3.7999999999999999E-2</c:v>
                </c:pt>
                <c:pt idx="45">
                  <c:v>5.3000000000000012E-2</c:v>
                </c:pt>
                <c:pt idx="46">
                  <c:v>5.3000000000000012E-2</c:v>
                </c:pt>
              </c:numCache>
            </c:numRef>
          </c:yVal>
        </c:ser>
        <c:ser>
          <c:idx val="5"/>
          <c:order val="2"/>
          <c:tx>
            <c:strRef>
              <c:f>'Probability of Restrictions'!$G$1</c:f>
              <c:strCache>
                <c:ptCount val="1"/>
                <c:pt idx="0">
                  <c:v>2 Medium demand growth</c:v>
                </c:pt>
              </c:strCache>
            </c:strRef>
          </c:tx>
          <c:spPr>
            <a:ln w="31750"/>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Restrictions'!$G$4:$G$50</c:f>
              <c:numCache>
                <c:formatCode>0.0%</c:formatCode>
                <c:ptCount val="47"/>
                <c:pt idx="0">
                  <c:v>0</c:v>
                </c:pt>
                <c:pt idx="1">
                  <c:v>1.0000000000000005E-3</c:v>
                </c:pt>
                <c:pt idx="2">
                  <c:v>7.0000000000000019E-3</c:v>
                </c:pt>
                <c:pt idx="3">
                  <c:v>1.0000000000000004E-2</c:v>
                </c:pt>
                <c:pt idx="4">
                  <c:v>1.4E-2</c:v>
                </c:pt>
                <c:pt idx="5">
                  <c:v>2.0000000000000007E-2</c:v>
                </c:pt>
                <c:pt idx="6">
                  <c:v>2.1000000000000008E-2</c:v>
                </c:pt>
                <c:pt idx="7">
                  <c:v>2.3E-2</c:v>
                </c:pt>
                <c:pt idx="8">
                  <c:v>2.1999999999999999E-2</c:v>
                </c:pt>
                <c:pt idx="9">
                  <c:v>1.7000000000000001E-2</c:v>
                </c:pt>
                <c:pt idx="10">
                  <c:v>1.9000000000000006E-2</c:v>
                </c:pt>
                <c:pt idx="11">
                  <c:v>2.0000000000000007E-2</c:v>
                </c:pt>
                <c:pt idx="12">
                  <c:v>2.3E-2</c:v>
                </c:pt>
                <c:pt idx="13">
                  <c:v>2.0000000000000007E-2</c:v>
                </c:pt>
                <c:pt idx="14">
                  <c:v>1.9000000000000006E-2</c:v>
                </c:pt>
                <c:pt idx="15">
                  <c:v>2.0000000000000007E-2</c:v>
                </c:pt>
                <c:pt idx="16">
                  <c:v>2.1999999999999999E-2</c:v>
                </c:pt>
                <c:pt idx="17">
                  <c:v>2.5000000000000001E-2</c:v>
                </c:pt>
                <c:pt idx="18">
                  <c:v>2.700000000000001E-2</c:v>
                </c:pt>
                <c:pt idx="19">
                  <c:v>2.5999999999999999E-2</c:v>
                </c:pt>
                <c:pt idx="20">
                  <c:v>3.7999999999999999E-2</c:v>
                </c:pt>
                <c:pt idx="21">
                  <c:v>3.9000000000000014E-2</c:v>
                </c:pt>
                <c:pt idx="22">
                  <c:v>3.6999999999999998E-2</c:v>
                </c:pt>
                <c:pt idx="23">
                  <c:v>3.9000000000000014E-2</c:v>
                </c:pt>
                <c:pt idx="24">
                  <c:v>4.1000000000000002E-2</c:v>
                </c:pt>
                <c:pt idx="25">
                  <c:v>4.3000000000000003E-2</c:v>
                </c:pt>
                <c:pt idx="26">
                  <c:v>4.3999999999999997E-2</c:v>
                </c:pt>
                <c:pt idx="27">
                  <c:v>4.7000000000000014E-2</c:v>
                </c:pt>
                <c:pt idx="28">
                  <c:v>5.3999999999999999E-2</c:v>
                </c:pt>
                <c:pt idx="29">
                  <c:v>6.200000000000002E-2</c:v>
                </c:pt>
                <c:pt idx="30">
                  <c:v>5.6000000000000001E-2</c:v>
                </c:pt>
                <c:pt idx="31">
                  <c:v>6.0000000000000019E-2</c:v>
                </c:pt>
                <c:pt idx="32">
                  <c:v>5.5000000000000014E-2</c:v>
                </c:pt>
                <c:pt idx="33">
                  <c:v>5.5000000000000014E-2</c:v>
                </c:pt>
                <c:pt idx="34">
                  <c:v>5.5000000000000014E-2</c:v>
                </c:pt>
                <c:pt idx="35">
                  <c:v>6.0000000000000019E-2</c:v>
                </c:pt>
                <c:pt idx="36">
                  <c:v>5.7000000000000016E-2</c:v>
                </c:pt>
                <c:pt idx="37">
                  <c:v>5.7000000000000016E-2</c:v>
                </c:pt>
                <c:pt idx="38">
                  <c:v>6.0000000000000019E-2</c:v>
                </c:pt>
                <c:pt idx="39">
                  <c:v>6.3E-2</c:v>
                </c:pt>
                <c:pt idx="40">
                  <c:v>6.5000000000000002E-2</c:v>
                </c:pt>
                <c:pt idx="41">
                  <c:v>7.5000000000000011E-2</c:v>
                </c:pt>
                <c:pt idx="42">
                  <c:v>9.2000000000000026E-2</c:v>
                </c:pt>
                <c:pt idx="43">
                  <c:v>0.10199999999999998</c:v>
                </c:pt>
                <c:pt idx="44">
                  <c:v>0.1</c:v>
                </c:pt>
                <c:pt idx="45">
                  <c:v>0.112</c:v>
                </c:pt>
                <c:pt idx="46">
                  <c:v>0.112</c:v>
                </c:pt>
              </c:numCache>
            </c:numRef>
          </c:yVal>
        </c:ser>
        <c:ser>
          <c:idx val="7"/>
          <c:order val="3"/>
          <c:tx>
            <c:strRef>
              <c:f>'Probability of Restrictions'!$I$1</c:f>
              <c:strCache>
                <c:ptCount val="1"/>
                <c:pt idx="0">
                  <c:v>3 High demand growth</c:v>
                </c:pt>
              </c:strCache>
            </c:strRef>
          </c:tx>
          <c:spPr>
            <a:ln w="31750">
              <a:solidFill>
                <a:srgbClr val="0070C0"/>
              </a:solidFill>
              <a:prstDash val="dash"/>
            </a:ln>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Restrictions'!$I$4:$I$50</c:f>
              <c:numCache>
                <c:formatCode>0.0%</c:formatCode>
                <c:ptCount val="47"/>
                <c:pt idx="0">
                  <c:v>0</c:v>
                </c:pt>
                <c:pt idx="1">
                  <c:v>2.0000000000000009E-3</c:v>
                </c:pt>
                <c:pt idx="2">
                  <c:v>6.0000000000000019E-3</c:v>
                </c:pt>
                <c:pt idx="3">
                  <c:v>1.0999999999999998E-2</c:v>
                </c:pt>
                <c:pt idx="4">
                  <c:v>1.4999999999999998E-2</c:v>
                </c:pt>
                <c:pt idx="5">
                  <c:v>2.1999999999999999E-2</c:v>
                </c:pt>
                <c:pt idx="6">
                  <c:v>2.1999999999999999E-2</c:v>
                </c:pt>
                <c:pt idx="7">
                  <c:v>2.4E-2</c:v>
                </c:pt>
                <c:pt idx="8">
                  <c:v>2.9000000000000001E-2</c:v>
                </c:pt>
                <c:pt idx="9">
                  <c:v>2.4E-2</c:v>
                </c:pt>
                <c:pt idx="10">
                  <c:v>2.4E-2</c:v>
                </c:pt>
                <c:pt idx="11">
                  <c:v>2.9000000000000001E-2</c:v>
                </c:pt>
                <c:pt idx="12">
                  <c:v>3.100000000000001E-2</c:v>
                </c:pt>
                <c:pt idx="13">
                  <c:v>3.5999999999999997E-2</c:v>
                </c:pt>
                <c:pt idx="14">
                  <c:v>3.3000000000000002E-2</c:v>
                </c:pt>
                <c:pt idx="15">
                  <c:v>3.6999999999999998E-2</c:v>
                </c:pt>
                <c:pt idx="16">
                  <c:v>4.3999999999999997E-2</c:v>
                </c:pt>
                <c:pt idx="17">
                  <c:v>4.2000000000000016E-2</c:v>
                </c:pt>
                <c:pt idx="18">
                  <c:v>4.1000000000000002E-2</c:v>
                </c:pt>
                <c:pt idx="19">
                  <c:v>4.7000000000000014E-2</c:v>
                </c:pt>
                <c:pt idx="20">
                  <c:v>5.7000000000000016E-2</c:v>
                </c:pt>
                <c:pt idx="21">
                  <c:v>6.0000000000000019E-2</c:v>
                </c:pt>
                <c:pt idx="22">
                  <c:v>6.200000000000002E-2</c:v>
                </c:pt>
                <c:pt idx="23">
                  <c:v>7.1999999999999995E-2</c:v>
                </c:pt>
                <c:pt idx="24">
                  <c:v>8.2000000000000003E-2</c:v>
                </c:pt>
                <c:pt idx="25">
                  <c:v>8.6000000000000021E-2</c:v>
                </c:pt>
                <c:pt idx="26">
                  <c:v>9.6000000000000002E-2</c:v>
                </c:pt>
                <c:pt idx="27">
                  <c:v>0.10700000000000003</c:v>
                </c:pt>
                <c:pt idx="28">
                  <c:v>0.11799999999999998</c:v>
                </c:pt>
                <c:pt idx="29">
                  <c:v>0.126</c:v>
                </c:pt>
                <c:pt idx="30">
                  <c:v>0.13900000000000001</c:v>
                </c:pt>
                <c:pt idx="31">
                  <c:v>0.14700000000000005</c:v>
                </c:pt>
                <c:pt idx="32">
                  <c:v>0.15100000000000005</c:v>
                </c:pt>
                <c:pt idx="33">
                  <c:v>0.15300000000000005</c:v>
                </c:pt>
                <c:pt idx="34">
                  <c:v>0.16800000000000001</c:v>
                </c:pt>
                <c:pt idx="35">
                  <c:v>0.18900000000000006</c:v>
                </c:pt>
                <c:pt idx="36">
                  <c:v>0.18800000000000006</c:v>
                </c:pt>
                <c:pt idx="37">
                  <c:v>0.20200000000000001</c:v>
                </c:pt>
                <c:pt idx="38">
                  <c:v>0.223</c:v>
                </c:pt>
                <c:pt idx="39">
                  <c:v>0.23300000000000001</c:v>
                </c:pt>
                <c:pt idx="40">
                  <c:v>0.23300000000000001</c:v>
                </c:pt>
                <c:pt idx="41">
                  <c:v>0.26300000000000001</c:v>
                </c:pt>
                <c:pt idx="42">
                  <c:v>0.28700000000000009</c:v>
                </c:pt>
                <c:pt idx="43">
                  <c:v>0.29900000000000015</c:v>
                </c:pt>
                <c:pt idx="44">
                  <c:v>0.31300000000000011</c:v>
                </c:pt>
                <c:pt idx="45">
                  <c:v>0.33400000000000013</c:v>
                </c:pt>
                <c:pt idx="46">
                  <c:v>0.33300000000000013</c:v>
                </c:pt>
              </c:numCache>
            </c:numRef>
          </c:yVal>
        </c:ser>
        <c:axId val="42332160"/>
        <c:axId val="42333696"/>
        <c:extLst>
          <c:ext xmlns:c15="http://schemas.microsoft.com/office/drawing/2012/chart" uri="{02D57815-91ED-43cb-92C2-25804820EDAC}">
            <c15:filteredScatterSeries>
              <c15:ser>
                <c:idx val="0"/>
                <c:order val="0"/>
                <c:tx>
                  <c:v>Scenario 1</c:v>
                </c:tx>
                <c:marker>
                  <c:symbol val="none"/>
                </c:marker>
                <c:xVal>
                  <c:numRef>
                    <c:extLst>
                      <c:ex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c:ext uri="{02D57815-91ED-43cb-92C2-25804820EDAC}">
                        <c15:formulaRef>
                          <c15:sqref>'Probability of Restrictions'!$B$4:$B$50</c15:sqref>
                        </c15:formulaRef>
                      </c:ext>
                    </c:extLst>
                    <c:numCache>
                      <c:formatCode>0.0%</c:formatCode>
                      <c:ptCount val="47"/>
                      <c:pt idx="0">
                        <c:v>0</c:v>
                      </c:pt>
                      <c:pt idx="1">
                        <c:v>0</c:v>
                      </c:pt>
                      <c:pt idx="2">
                        <c:v>0</c:v>
                      </c:pt>
                      <c:pt idx="3">
                        <c:v>2E-3</c:v>
                      </c:pt>
                      <c:pt idx="4">
                        <c:v>2E-3</c:v>
                      </c:pt>
                      <c:pt idx="5">
                        <c:v>6.0000000000000001E-3</c:v>
                      </c:pt>
                      <c:pt idx="6">
                        <c:v>6.0000000000000001E-3</c:v>
                      </c:pt>
                      <c:pt idx="7">
                        <c:v>6.0000000000000001E-3</c:v>
                      </c:pt>
                      <c:pt idx="8">
                        <c:v>6.0000000000000001E-3</c:v>
                      </c:pt>
                      <c:pt idx="9">
                        <c:v>3.0000000000000001E-3</c:v>
                      </c:pt>
                      <c:pt idx="10">
                        <c:v>2E-3</c:v>
                      </c:pt>
                      <c:pt idx="11">
                        <c:v>2E-3</c:v>
                      </c:pt>
                      <c:pt idx="12">
                        <c:v>1E-3</c:v>
                      </c:pt>
                      <c:pt idx="13">
                        <c:v>2E-3</c:v>
                      </c:pt>
                      <c:pt idx="14">
                        <c:v>1E-3</c:v>
                      </c:pt>
                      <c:pt idx="15">
                        <c:v>1E-3</c:v>
                      </c:pt>
                      <c:pt idx="16">
                        <c:v>1E-3</c:v>
                      </c:pt>
                      <c:pt idx="17">
                        <c:v>0</c:v>
                      </c:pt>
                      <c:pt idx="18">
                        <c:v>0</c:v>
                      </c:pt>
                      <c:pt idx="19">
                        <c:v>0</c:v>
                      </c:pt>
                      <c:pt idx="20">
                        <c:v>0</c:v>
                      </c:pt>
                      <c:pt idx="21">
                        <c:v>2E-3</c:v>
                      </c:pt>
                      <c:pt idx="22">
                        <c:v>2E-3</c:v>
                      </c:pt>
                      <c:pt idx="23">
                        <c:v>2E-3</c:v>
                      </c:pt>
                      <c:pt idx="24">
                        <c:v>3.0000000000000001E-3</c:v>
                      </c:pt>
                      <c:pt idx="25">
                        <c:v>4.0000000000000001E-3</c:v>
                      </c:pt>
                      <c:pt idx="26">
                        <c:v>4.0000000000000001E-3</c:v>
                      </c:pt>
                      <c:pt idx="27">
                        <c:v>7.0000000000000001E-3</c:v>
                      </c:pt>
                      <c:pt idx="28">
                        <c:v>6.0000000000000001E-3</c:v>
                      </c:pt>
                      <c:pt idx="29">
                        <c:v>7.0000000000000001E-3</c:v>
                      </c:pt>
                      <c:pt idx="30">
                        <c:v>7.0000000000000001E-3</c:v>
                      </c:pt>
                      <c:pt idx="31">
                        <c:v>3.0000000000000001E-3</c:v>
                      </c:pt>
                      <c:pt idx="32">
                        <c:v>2E-3</c:v>
                      </c:pt>
                      <c:pt idx="33">
                        <c:v>3.0000000000000001E-3</c:v>
                      </c:pt>
                      <c:pt idx="34">
                        <c:v>3.0000000000000001E-3</c:v>
                      </c:pt>
                      <c:pt idx="35">
                        <c:v>4.0000000000000001E-3</c:v>
                      </c:pt>
                      <c:pt idx="36">
                        <c:v>3.0000000000000001E-3</c:v>
                      </c:pt>
                      <c:pt idx="37">
                        <c:v>1E-3</c:v>
                      </c:pt>
                      <c:pt idx="38">
                        <c:v>2E-3</c:v>
                      </c:pt>
                      <c:pt idx="39">
                        <c:v>3.0000000000000001E-3</c:v>
                      </c:pt>
                      <c:pt idx="40">
                        <c:v>2E-3</c:v>
                      </c:pt>
                      <c:pt idx="41">
                        <c:v>2E-3</c:v>
                      </c:pt>
                      <c:pt idx="42">
                        <c:v>3.0000000000000001E-3</c:v>
                      </c:pt>
                      <c:pt idx="43">
                        <c:v>2E-3</c:v>
                      </c:pt>
                      <c:pt idx="44">
                        <c:v>3.0000000000000001E-3</c:v>
                      </c:pt>
                      <c:pt idx="45">
                        <c:v>4.0000000000000001E-3</c:v>
                      </c:pt>
                      <c:pt idx="46">
                        <c:v>3.0000000000000001E-3</c:v>
                      </c:pt>
                    </c:numCache>
                  </c:numRef>
                </c:yVal>
                <c:smooth val="0"/>
              </c15:ser>
            </c15:filteredScatterSeries>
            <c15:filteredScatterSeries>
              <c15:ser>
                <c:idx val="2"/>
                <c:order val="1"/>
                <c:tx>
                  <c:v>Scenario 3</c:v>
                </c:tx>
                <c:marker>
                  <c:symbol val="none"/>
                </c:marker>
                <c:xVal>
                  <c:numRef>
                    <c:extLst xmlns:c15="http://schemas.microsoft.com/office/drawing/2012/chart">
                      <c:ext xmlns:c15="http://schemas.microsoft.com/office/drawing/2012/char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xmlns:c15="http://schemas.microsoft.com/office/drawing/2012/chart">
                      <c:ext xmlns:c15="http://schemas.microsoft.com/office/drawing/2012/chart" uri="{02D57815-91ED-43cb-92C2-25804820EDAC}">
                        <c15:formulaRef>
                          <c15:sqref>'Probability of Restrictions'!$D$4:$D$50</c15:sqref>
                        </c15:formulaRef>
                      </c:ext>
                    </c:extLst>
                    <c:numCache>
                      <c:formatCode>0.0%</c:formatCode>
                      <c:ptCount val="47"/>
                      <c:pt idx="0">
                        <c:v>0</c:v>
                      </c:pt>
                      <c:pt idx="1">
                        <c:v>0</c:v>
                      </c:pt>
                      <c:pt idx="2">
                        <c:v>0</c:v>
                      </c:pt>
                      <c:pt idx="3">
                        <c:v>2E-3</c:v>
                      </c:pt>
                      <c:pt idx="4">
                        <c:v>3.0000000000000001E-3</c:v>
                      </c:pt>
                      <c:pt idx="5">
                        <c:v>8.0000000000000002E-3</c:v>
                      </c:pt>
                      <c:pt idx="6">
                        <c:v>7.0000000000000001E-3</c:v>
                      </c:pt>
                      <c:pt idx="7">
                        <c:v>7.0000000000000001E-3</c:v>
                      </c:pt>
                      <c:pt idx="8">
                        <c:v>7.0000000000000001E-3</c:v>
                      </c:pt>
                      <c:pt idx="9">
                        <c:v>6.0000000000000001E-3</c:v>
                      </c:pt>
                      <c:pt idx="10">
                        <c:v>4.0000000000000001E-3</c:v>
                      </c:pt>
                      <c:pt idx="11">
                        <c:v>1E-3</c:v>
                      </c:pt>
                      <c:pt idx="12">
                        <c:v>2E-3</c:v>
                      </c:pt>
                      <c:pt idx="13">
                        <c:v>2E-3</c:v>
                      </c:pt>
                      <c:pt idx="14">
                        <c:v>1E-3</c:v>
                      </c:pt>
                      <c:pt idx="15">
                        <c:v>3.0000000000000001E-3</c:v>
                      </c:pt>
                      <c:pt idx="16">
                        <c:v>4.0000000000000001E-3</c:v>
                      </c:pt>
                      <c:pt idx="17">
                        <c:v>3.0000000000000001E-3</c:v>
                      </c:pt>
                      <c:pt idx="18">
                        <c:v>4.0000000000000001E-3</c:v>
                      </c:pt>
                      <c:pt idx="19">
                        <c:v>3.0000000000000001E-3</c:v>
                      </c:pt>
                      <c:pt idx="20">
                        <c:v>4.0000000000000001E-3</c:v>
                      </c:pt>
                      <c:pt idx="21">
                        <c:v>6.0000000000000001E-3</c:v>
                      </c:pt>
                      <c:pt idx="22">
                        <c:v>4.0000000000000001E-3</c:v>
                      </c:pt>
                      <c:pt idx="23">
                        <c:v>2E-3</c:v>
                      </c:pt>
                      <c:pt idx="24">
                        <c:v>4.0000000000000001E-3</c:v>
                      </c:pt>
                      <c:pt idx="25">
                        <c:v>6.0000000000000001E-3</c:v>
                      </c:pt>
                      <c:pt idx="26">
                        <c:v>8.0000000000000002E-3</c:v>
                      </c:pt>
                      <c:pt idx="27">
                        <c:v>1.0999999999999999E-2</c:v>
                      </c:pt>
                      <c:pt idx="28">
                        <c:v>1.2E-2</c:v>
                      </c:pt>
                      <c:pt idx="29">
                        <c:v>1.2999999999999999E-2</c:v>
                      </c:pt>
                      <c:pt idx="30">
                        <c:v>1.0999999999999999E-2</c:v>
                      </c:pt>
                      <c:pt idx="31">
                        <c:v>7.0000000000000001E-3</c:v>
                      </c:pt>
                      <c:pt idx="32">
                        <c:v>6.0000000000000001E-3</c:v>
                      </c:pt>
                      <c:pt idx="33">
                        <c:v>6.0000000000000001E-3</c:v>
                      </c:pt>
                      <c:pt idx="34">
                        <c:v>8.9999999999999993E-3</c:v>
                      </c:pt>
                      <c:pt idx="35">
                        <c:v>0.01</c:v>
                      </c:pt>
                      <c:pt idx="36">
                        <c:v>8.9999999999999993E-3</c:v>
                      </c:pt>
                      <c:pt idx="37">
                        <c:v>8.9999999999999993E-3</c:v>
                      </c:pt>
                      <c:pt idx="38">
                        <c:v>7.0000000000000001E-3</c:v>
                      </c:pt>
                      <c:pt idx="39">
                        <c:v>8.9999999999999993E-3</c:v>
                      </c:pt>
                      <c:pt idx="40">
                        <c:v>6.0000000000000001E-3</c:v>
                      </c:pt>
                      <c:pt idx="41">
                        <c:v>5.0000000000000001E-3</c:v>
                      </c:pt>
                      <c:pt idx="42">
                        <c:v>7.0000000000000001E-3</c:v>
                      </c:pt>
                      <c:pt idx="43">
                        <c:v>0.01</c:v>
                      </c:pt>
                      <c:pt idx="44">
                        <c:v>1.2E-2</c:v>
                      </c:pt>
                      <c:pt idx="45">
                        <c:v>1.2999999999999999E-2</c:v>
                      </c:pt>
                      <c:pt idx="46">
                        <c:v>1.2999999999999999E-2</c:v>
                      </c:pt>
                    </c:numCache>
                  </c:numRef>
                </c:yVal>
                <c:smooth val="0"/>
              </c15:ser>
            </c15:filteredScatterSeries>
            <c15:filteredScatterSeries>
              <c15:ser>
                <c:idx val="4"/>
                <c:order val="2"/>
                <c:tx>
                  <c:v>Scenario 5</c:v>
                </c:tx>
                <c:marker>
                  <c:symbol val="none"/>
                </c:marker>
                <c:xVal>
                  <c:numRef>
                    <c:extLst xmlns:c15="http://schemas.microsoft.com/office/drawing/2012/chart">
                      <c:ext xmlns:c15="http://schemas.microsoft.com/office/drawing/2012/char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xmlns:c15="http://schemas.microsoft.com/office/drawing/2012/chart">
                      <c:ext xmlns:c15="http://schemas.microsoft.com/office/drawing/2012/chart" uri="{02D57815-91ED-43cb-92C2-25804820EDAC}">
                        <c15:formulaRef>
                          <c15:sqref>'Probability of Restrictions'!$F$4:$F$50</c15:sqref>
                        </c15:formulaRef>
                      </c:ext>
                    </c:extLst>
                    <c:numCache>
                      <c:formatCode>0.0%</c:formatCode>
                      <c:ptCount val="47"/>
                      <c:pt idx="0">
                        <c:v>0</c:v>
                      </c:pt>
                      <c:pt idx="1">
                        <c:v>0</c:v>
                      </c:pt>
                      <c:pt idx="2">
                        <c:v>0</c:v>
                      </c:pt>
                      <c:pt idx="3">
                        <c:v>2E-3</c:v>
                      </c:pt>
                      <c:pt idx="4">
                        <c:v>4.0000000000000001E-3</c:v>
                      </c:pt>
                      <c:pt idx="5">
                        <c:v>8.9999999999999993E-3</c:v>
                      </c:pt>
                      <c:pt idx="6">
                        <c:v>8.0000000000000002E-3</c:v>
                      </c:pt>
                      <c:pt idx="7">
                        <c:v>7.0000000000000001E-3</c:v>
                      </c:pt>
                      <c:pt idx="8">
                        <c:v>7.0000000000000001E-3</c:v>
                      </c:pt>
                      <c:pt idx="9">
                        <c:v>5.0000000000000001E-3</c:v>
                      </c:pt>
                      <c:pt idx="10">
                        <c:v>4.0000000000000001E-3</c:v>
                      </c:pt>
                      <c:pt idx="11">
                        <c:v>3.0000000000000001E-3</c:v>
                      </c:pt>
                      <c:pt idx="12">
                        <c:v>3.0000000000000001E-3</c:v>
                      </c:pt>
                      <c:pt idx="13">
                        <c:v>4.0000000000000001E-3</c:v>
                      </c:pt>
                      <c:pt idx="14">
                        <c:v>2E-3</c:v>
                      </c:pt>
                      <c:pt idx="15">
                        <c:v>3.0000000000000001E-3</c:v>
                      </c:pt>
                      <c:pt idx="16">
                        <c:v>5.0000000000000001E-3</c:v>
                      </c:pt>
                      <c:pt idx="17">
                        <c:v>6.0000000000000001E-3</c:v>
                      </c:pt>
                      <c:pt idx="18">
                        <c:v>8.0000000000000002E-3</c:v>
                      </c:pt>
                      <c:pt idx="19">
                        <c:v>5.0000000000000001E-3</c:v>
                      </c:pt>
                      <c:pt idx="20">
                        <c:v>0.01</c:v>
                      </c:pt>
                      <c:pt idx="21">
                        <c:v>0.01</c:v>
                      </c:pt>
                      <c:pt idx="22">
                        <c:v>0.01</c:v>
                      </c:pt>
                      <c:pt idx="23">
                        <c:v>7.0000000000000001E-3</c:v>
                      </c:pt>
                      <c:pt idx="24">
                        <c:v>1.2E-2</c:v>
                      </c:pt>
                      <c:pt idx="25">
                        <c:v>0.01</c:v>
                      </c:pt>
                      <c:pt idx="26">
                        <c:v>1.4999999999999999E-2</c:v>
                      </c:pt>
                      <c:pt idx="27">
                        <c:v>1.4999999999999999E-2</c:v>
                      </c:pt>
                      <c:pt idx="28">
                        <c:v>1.7000000000000001E-2</c:v>
                      </c:pt>
                      <c:pt idx="29">
                        <c:v>1.9E-2</c:v>
                      </c:pt>
                      <c:pt idx="30">
                        <c:v>0.02</c:v>
                      </c:pt>
                      <c:pt idx="31">
                        <c:v>1.7000000000000001E-2</c:v>
                      </c:pt>
                      <c:pt idx="32">
                        <c:v>1.4999999999999999E-2</c:v>
                      </c:pt>
                      <c:pt idx="33">
                        <c:v>1.2999999999999999E-2</c:v>
                      </c:pt>
                      <c:pt idx="34">
                        <c:v>1.9E-2</c:v>
                      </c:pt>
                      <c:pt idx="35">
                        <c:v>1.7000000000000001E-2</c:v>
                      </c:pt>
                      <c:pt idx="36">
                        <c:v>1.9E-2</c:v>
                      </c:pt>
                      <c:pt idx="37">
                        <c:v>0.02</c:v>
                      </c:pt>
                      <c:pt idx="38">
                        <c:v>1.7000000000000001E-2</c:v>
                      </c:pt>
                      <c:pt idx="39">
                        <c:v>2.1000000000000001E-2</c:v>
                      </c:pt>
                      <c:pt idx="40">
                        <c:v>1.7999999999999999E-2</c:v>
                      </c:pt>
                      <c:pt idx="41">
                        <c:v>1.6E-2</c:v>
                      </c:pt>
                      <c:pt idx="42">
                        <c:v>2.8000000000000001E-2</c:v>
                      </c:pt>
                      <c:pt idx="43">
                        <c:v>2.8000000000000001E-2</c:v>
                      </c:pt>
                      <c:pt idx="44">
                        <c:v>0.03</c:v>
                      </c:pt>
                      <c:pt idx="45">
                        <c:v>3.5000000000000003E-2</c:v>
                      </c:pt>
                      <c:pt idx="46">
                        <c:v>4.2000000000000003E-2</c:v>
                      </c:pt>
                    </c:numCache>
                  </c:numRef>
                </c:yVal>
                <c:smooth val="0"/>
              </c15:ser>
            </c15:filteredScatterSeries>
            <c15:filteredScatterSeries>
              <c15:ser>
                <c:idx val="6"/>
                <c:order val="3"/>
                <c:tx>
                  <c:v>Scenario 7</c:v>
                </c:tx>
                <c:marker>
                  <c:symbol val="none"/>
                </c:marker>
                <c:xVal>
                  <c:numRef>
                    <c:extLst xmlns:c15="http://schemas.microsoft.com/office/drawing/2012/chart">
                      <c:ext xmlns:c15="http://schemas.microsoft.com/office/drawing/2012/char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xmlns:c15="http://schemas.microsoft.com/office/drawing/2012/chart">
                      <c:ext xmlns:c15="http://schemas.microsoft.com/office/drawing/2012/chart" uri="{02D57815-91ED-43cb-92C2-25804820EDAC}">
                        <c15:formulaRef>
                          <c15:sqref>'Probability of Restrictions'!$H$4:$H$50</c15:sqref>
                        </c15:formulaRef>
                      </c:ext>
                    </c:extLst>
                    <c:numCache>
                      <c:formatCode>0.0%</c:formatCode>
                      <c:ptCount val="47"/>
                      <c:pt idx="0">
                        <c:v>0</c:v>
                      </c:pt>
                      <c:pt idx="1">
                        <c:v>0</c:v>
                      </c:pt>
                      <c:pt idx="2">
                        <c:v>0</c:v>
                      </c:pt>
                      <c:pt idx="3">
                        <c:v>1E-3</c:v>
                      </c:pt>
                      <c:pt idx="4">
                        <c:v>5.0000000000000001E-3</c:v>
                      </c:pt>
                      <c:pt idx="5">
                        <c:v>1.2E-2</c:v>
                      </c:pt>
                      <c:pt idx="6">
                        <c:v>8.9999999999999993E-3</c:v>
                      </c:pt>
                      <c:pt idx="7">
                        <c:v>7.0000000000000001E-3</c:v>
                      </c:pt>
                      <c:pt idx="8">
                        <c:v>7.0000000000000001E-3</c:v>
                      </c:pt>
                      <c:pt idx="9">
                        <c:v>6.0000000000000001E-3</c:v>
                      </c:pt>
                      <c:pt idx="10">
                        <c:v>4.0000000000000001E-3</c:v>
                      </c:pt>
                      <c:pt idx="11">
                        <c:v>4.0000000000000001E-3</c:v>
                      </c:pt>
                      <c:pt idx="12">
                        <c:v>8.0000000000000002E-3</c:v>
                      </c:pt>
                      <c:pt idx="13">
                        <c:v>8.9999999999999993E-3</c:v>
                      </c:pt>
                      <c:pt idx="14">
                        <c:v>8.0000000000000002E-3</c:v>
                      </c:pt>
                      <c:pt idx="15">
                        <c:v>8.9999999999999993E-3</c:v>
                      </c:pt>
                      <c:pt idx="16">
                        <c:v>1.4E-2</c:v>
                      </c:pt>
                      <c:pt idx="17">
                        <c:v>1.2999999999999999E-2</c:v>
                      </c:pt>
                      <c:pt idx="18">
                        <c:v>1.0999999999999999E-2</c:v>
                      </c:pt>
                      <c:pt idx="19">
                        <c:v>0.01</c:v>
                      </c:pt>
                      <c:pt idx="20">
                        <c:v>1.7999999999999999E-2</c:v>
                      </c:pt>
                      <c:pt idx="21">
                        <c:v>0.02</c:v>
                      </c:pt>
                      <c:pt idx="22">
                        <c:v>1.9E-2</c:v>
                      </c:pt>
                      <c:pt idx="23">
                        <c:v>1.7000000000000001E-2</c:v>
                      </c:pt>
                      <c:pt idx="24">
                        <c:v>1.9E-2</c:v>
                      </c:pt>
                      <c:pt idx="25">
                        <c:v>2.5000000000000001E-2</c:v>
                      </c:pt>
                      <c:pt idx="26">
                        <c:v>0.03</c:v>
                      </c:pt>
                      <c:pt idx="27">
                        <c:v>3.3000000000000002E-2</c:v>
                      </c:pt>
                      <c:pt idx="28">
                        <c:v>4.2000000000000003E-2</c:v>
                      </c:pt>
                      <c:pt idx="29">
                        <c:v>4.2999999999999997E-2</c:v>
                      </c:pt>
                      <c:pt idx="30">
                        <c:v>4.2999999999999997E-2</c:v>
                      </c:pt>
                      <c:pt idx="31">
                        <c:v>0.05</c:v>
                      </c:pt>
                      <c:pt idx="32">
                        <c:v>5.6000000000000001E-2</c:v>
                      </c:pt>
                      <c:pt idx="33">
                        <c:v>5.6000000000000001E-2</c:v>
                      </c:pt>
                      <c:pt idx="34">
                        <c:v>7.0000000000000007E-2</c:v>
                      </c:pt>
                      <c:pt idx="35">
                        <c:v>6.9000000000000006E-2</c:v>
                      </c:pt>
                      <c:pt idx="36">
                        <c:v>7.0000000000000007E-2</c:v>
                      </c:pt>
                      <c:pt idx="37">
                        <c:v>6.6000000000000003E-2</c:v>
                      </c:pt>
                      <c:pt idx="38">
                        <c:v>7.1999999999999995E-2</c:v>
                      </c:pt>
                      <c:pt idx="39">
                        <c:v>8.2000000000000003E-2</c:v>
                      </c:pt>
                      <c:pt idx="40">
                        <c:v>9.4E-2</c:v>
                      </c:pt>
                      <c:pt idx="41">
                        <c:v>0.11700000000000001</c:v>
                      </c:pt>
                      <c:pt idx="42">
                        <c:v>0.13200000000000001</c:v>
                      </c:pt>
                      <c:pt idx="43">
                        <c:v>0.13600000000000001</c:v>
                      </c:pt>
                      <c:pt idx="44">
                        <c:v>0.13800000000000001</c:v>
                      </c:pt>
                      <c:pt idx="45">
                        <c:v>0.14799999999999999</c:v>
                      </c:pt>
                      <c:pt idx="46">
                        <c:v>0.151</c:v>
                      </c:pt>
                    </c:numCache>
                  </c:numRef>
                </c:yVal>
                <c:smooth val="0"/>
              </c15:ser>
            </c15:filteredScatterSeries>
          </c:ext>
        </c:extLst>
      </c:scatterChart>
      <c:valAx>
        <c:axId val="42332160"/>
        <c:scaling>
          <c:orientation val="minMax"/>
          <c:min val="2015"/>
        </c:scaling>
        <c:axPos val="b"/>
        <c:numFmt formatCode="General" sourceLinked="1"/>
        <c:tickLblPos val="nextTo"/>
        <c:spPr>
          <a:ln>
            <a:solidFill>
              <a:schemeClr val="bg1">
                <a:lumMod val="65000"/>
              </a:schemeClr>
            </a:solidFill>
          </a:ln>
        </c:spPr>
        <c:txPr>
          <a:bodyPr/>
          <a:lstStyle/>
          <a:p>
            <a:pPr>
              <a:defRPr sz="800">
                <a:solidFill>
                  <a:schemeClr val="bg1">
                    <a:lumMod val="50000"/>
                  </a:schemeClr>
                </a:solidFill>
              </a:defRPr>
            </a:pPr>
            <a:endParaRPr lang="en-US"/>
          </a:p>
        </c:txPr>
        <c:crossAx val="42333696"/>
        <c:crosses val="autoZero"/>
        <c:crossBetween val="midCat"/>
      </c:valAx>
      <c:valAx>
        <c:axId val="42333696"/>
        <c:scaling>
          <c:orientation val="minMax"/>
        </c:scaling>
        <c:axPos val="l"/>
        <c:majorGridlines>
          <c:spPr>
            <a:ln>
              <a:solidFill>
                <a:schemeClr val="bg1">
                  <a:lumMod val="85000"/>
                </a:schemeClr>
              </a:solidFill>
            </a:ln>
          </c:spPr>
        </c:majorGridlines>
        <c:title>
          <c:tx>
            <c:rich>
              <a:bodyPr rot="-5400000" vert="horz"/>
              <a:lstStyle/>
              <a:p>
                <a:pPr>
                  <a:defRPr sz="800">
                    <a:solidFill>
                      <a:schemeClr val="bg1">
                        <a:lumMod val="50000"/>
                      </a:schemeClr>
                    </a:solidFill>
                  </a:defRPr>
                </a:pPr>
                <a:r>
                  <a:rPr lang="en-AU" sz="800">
                    <a:solidFill>
                      <a:schemeClr val="bg1">
                        <a:lumMod val="50000"/>
                      </a:schemeClr>
                    </a:solidFill>
                  </a:rPr>
                  <a:t>Percentage</a:t>
                </a:r>
                <a:r>
                  <a:rPr lang="en-AU" sz="800" baseline="0">
                    <a:solidFill>
                      <a:schemeClr val="bg1">
                        <a:lumMod val="50000"/>
                      </a:schemeClr>
                    </a:solidFill>
                  </a:rPr>
                  <a:t> of years with water restrictions</a:t>
                </a:r>
                <a:endParaRPr lang="en-AU" sz="800">
                  <a:solidFill>
                    <a:schemeClr val="bg1">
                      <a:lumMod val="50000"/>
                    </a:schemeClr>
                  </a:solidFill>
                </a:endParaRPr>
              </a:p>
            </c:rich>
          </c:tx>
          <c:layout>
            <c:manualLayout>
              <c:xMode val="edge"/>
              <c:yMode val="edge"/>
              <c:x val="1.011909563697224E-2"/>
              <c:y val="0.14422340390622446"/>
            </c:manualLayout>
          </c:layout>
        </c:title>
        <c:numFmt formatCode="0%" sourceLinked="0"/>
        <c:tickLblPos val="nextTo"/>
        <c:spPr>
          <a:ln>
            <a:solidFill>
              <a:schemeClr val="bg1">
                <a:lumMod val="65000"/>
              </a:schemeClr>
            </a:solidFill>
          </a:ln>
        </c:spPr>
        <c:txPr>
          <a:bodyPr/>
          <a:lstStyle/>
          <a:p>
            <a:pPr>
              <a:defRPr sz="800">
                <a:solidFill>
                  <a:schemeClr val="bg1">
                    <a:lumMod val="50000"/>
                  </a:schemeClr>
                </a:solidFill>
              </a:defRPr>
            </a:pPr>
            <a:endParaRPr lang="en-US"/>
          </a:p>
        </c:txPr>
        <c:crossAx val="42332160"/>
        <c:crosses val="autoZero"/>
        <c:crossBetween val="midCat"/>
      </c:valAx>
    </c:plotArea>
    <c:legend>
      <c:legendPos val="b"/>
      <c:layout>
        <c:manualLayout>
          <c:xMode val="edge"/>
          <c:yMode val="edge"/>
          <c:x val="0.17889914908347526"/>
          <c:y val="0.15275465542000741"/>
          <c:w val="0.37265446539711672"/>
          <c:h val="0.26267554023498602"/>
        </c:manualLayout>
      </c:layout>
      <c:txPr>
        <a:bodyPr/>
        <a:lstStyle/>
        <a:p>
          <a:pPr>
            <a:defRPr sz="800" b="0">
              <a:solidFill>
                <a:schemeClr val="bg1">
                  <a:lumMod val="50000"/>
                </a:schemeClr>
              </a:solidFill>
            </a:defRPr>
          </a:pPr>
          <a:endParaRPr lang="en-US"/>
        </a:p>
      </c:txPr>
    </c:legend>
    <c:plotVisOnly val="1"/>
    <c:dispBlanksAs val="gap"/>
  </c:chart>
  <c:spPr>
    <a:ln>
      <a:solidFill>
        <a:schemeClr val="bg1">
          <a:lumMod val="75000"/>
        </a:schemeClr>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4855202977808338"/>
          <c:y val="4.3170821098510427E-2"/>
          <c:w val="0.8264491825825917"/>
          <c:h val="0.83474691762809605"/>
        </c:manualLayout>
      </c:layout>
      <c:barChart>
        <c:barDir val="col"/>
        <c:grouping val="stacked"/>
        <c:ser>
          <c:idx val="1"/>
          <c:order val="0"/>
          <c:tx>
            <c:strRef>
              <c:f>ICRC_info!$B$45</c:f>
              <c:strCache>
                <c:ptCount val="1"/>
                <c:pt idx="0">
                  <c:v>$ per kL</c:v>
                </c:pt>
              </c:strCache>
            </c:strRef>
          </c:tx>
          <c:spPr>
            <a:solidFill>
              <a:schemeClr val="accent2">
                <a:lumMod val="75000"/>
              </a:schemeClr>
            </a:solidFill>
            <a:ln>
              <a:noFill/>
            </a:ln>
            <a:effectLst/>
          </c:spPr>
          <c:dPt>
            <c:idx val="4"/>
            <c:spPr>
              <a:solidFill>
                <a:schemeClr val="accent1">
                  <a:lumMod val="75000"/>
                </a:schemeClr>
              </a:solidFill>
              <a:ln>
                <a:noFill/>
              </a:ln>
              <a:effectLst/>
            </c:spPr>
          </c:dPt>
          <c:dPt>
            <c:idx val="5"/>
            <c:spPr>
              <a:solidFill>
                <a:schemeClr val="accent1">
                  <a:lumMod val="75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(ICRC_info!$A$46:$A$49,ICRC_info!$A$51:$A$52)</c:f>
              <c:strCache>
                <c:ptCount val="6"/>
                <c:pt idx="0">
                  <c:v>Short-run marginal cost</c:v>
                </c:pt>
                <c:pt idx="1">
                  <c:v>TMC</c:v>
                </c:pt>
                <c:pt idx="2">
                  <c:v>AIC</c:v>
                </c:pt>
                <c:pt idx="3">
                  <c:v>MIC</c:v>
                </c:pt>
                <c:pt idx="4">
                  <c:v>Tier 1 price 2015-16 </c:v>
                </c:pt>
                <c:pt idx="5">
                  <c:v>Tier 2 price 2015-16 </c:v>
                </c:pt>
              </c:strCache>
              <c:extLst/>
            </c:strRef>
          </c:cat>
          <c:val>
            <c:numRef>
              <c:f>(ICRC_info!$B$46:$B$49,ICRC_info!$B$51:$B$52)</c:f>
              <c:numCache>
                <c:formatCode>0.00</c:formatCode>
                <c:ptCount val="6"/>
                <c:pt idx="0">
                  <c:v>0.72162462642239189</c:v>
                </c:pt>
                <c:pt idx="1">
                  <c:v>0.72162462642239189</c:v>
                </c:pt>
                <c:pt idx="2">
                  <c:v>1.6128655161237508</c:v>
                </c:pt>
                <c:pt idx="3">
                  <c:v>1.7366493383381056</c:v>
                </c:pt>
                <c:pt idx="4">
                  <c:v>2.6</c:v>
                </c:pt>
                <c:pt idx="5">
                  <c:v>5.22</c:v>
                </c:pt>
              </c:numCache>
              <c:extLst/>
            </c:numRef>
          </c:val>
          <c:extLst xmlns:c16r2="http://schemas.microsoft.com/office/drawing/2015/06/chart">
            <c:ext xmlns:c16="http://schemas.microsoft.com/office/drawing/2014/chart" uri="{C3380CC4-5D6E-409C-BE32-E72D297353CC}">
              <c16:uniqueId val="{00000004-7BF5-4F58-8988-E1334F1B3604}"/>
            </c:ext>
          </c:extLst>
        </c:ser>
        <c:dLbls>
          <c:showVal val="1"/>
        </c:dLbls>
        <c:overlap val="100"/>
        <c:axId val="42363520"/>
        <c:axId val="42365312"/>
      </c:barChart>
      <c:catAx>
        <c:axId val="42363520"/>
        <c:scaling>
          <c:orientation val="minMax"/>
        </c:scaling>
        <c:axPos val="b"/>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365312"/>
        <c:crosses val="autoZero"/>
        <c:auto val="1"/>
        <c:lblAlgn val="ctr"/>
        <c:lblOffset val="100"/>
      </c:catAx>
      <c:valAx>
        <c:axId val="423653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kL</a:t>
                </a:r>
              </a:p>
            </c:rich>
          </c:tx>
          <c:layout>
            <c:manualLayout>
              <c:xMode val="edge"/>
              <c:yMode val="edge"/>
              <c:x val="2.2726170581204824E-2"/>
              <c:y val="0.38586833919348157"/>
            </c:manualLayout>
          </c:layout>
          <c:spPr>
            <a:noFill/>
            <a:ln>
              <a:noFill/>
            </a:ln>
            <a:effectLst/>
          </c:spPr>
        </c:title>
        <c:numFmt formatCode="&quot;$&quot;#,##0.00"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363520"/>
        <c:crosses val="autoZero"/>
        <c:crossBetween val="between"/>
      </c:valAx>
      <c:spPr>
        <a:noFill/>
        <a:ln>
          <a:noFill/>
        </a:ln>
        <a:effectLst/>
      </c:spPr>
    </c:plotArea>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spPr>
            <a:solidFill>
              <a:schemeClr val="accent2">
                <a:lumMod val="50000"/>
              </a:schemeClr>
            </a:solidFill>
            <a:ln>
              <a:noFill/>
            </a:ln>
            <a:effectLst/>
          </c:spPr>
          <c:cat>
            <c:numRef>
              <c:f>Sewerage!$B$26:$B$35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Sewerage!$C$26:$C$35</c:f>
              <c:numCache>
                <c:formatCode>General</c:formatCode>
                <c:ptCount val="10"/>
                <c:pt idx="0">
                  <c:v>31.975999999999992</c:v>
                </c:pt>
                <c:pt idx="1">
                  <c:v>30.994999999999994</c:v>
                </c:pt>
                <c:pt idx="2">
                  <c:v>30.712</c:v>
                </c:pt>
                <c:pt idx="3">
                  <c:v>30.050999999999991</c:v>
                </c:pt>
                <c:pt idx="4">
                  <c:v>31.835999999999999</c:v>
                </c:pt>
                <c:pt idx="5">
                  <c:v>35.441000000000003</c:v>
                </c:pt>
                <c:pt idx="6" formatCode="0.000">
                  <c:v>35.231000000000002</c:v>
                </c:pt>
                <c:pt idx="7" formatCode="0.000">
                  <c:v>31.85</c:v>
                </c:pt>
                <c:pt idx="8" formatCode="0.000">
                  <c:v>32.069000000000003</c:v>
                </c:pt>
                <c:pt idx="9">
                  <c:v>32.971000000000004</c:v>
                </c:pt>
              </c:numCache>
            </c:numRef>
          </c:val>
          <c:extLst xmlns:c16r2="http://schemas.microsoft.com/office/drawing/2015/06/chart">
            <c:ext xmlns:c16="http://schemas.microsoft.com/office/drawing/2014/chart" uri="{C3380CC4-5D6E-409C-BE32-E72D297353CC}">
              <c16:uniqueId val="{00000000-E18D-47DB-8915-47E60C35B0D8}"/>
            </c:ext>
          </c:extLst>
        </c:ser>
        <c:axId val="42393600"/>
        <c:axId val="42395520"/>
      </c:barChart>
      <c:catAx>
        <c:axId val="4239360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 ending 30 June </a:t>
                </a:r>
              </a:p>
            </c:rich>
          </c:tx>
          <c:spPr>
            <a:noFill/>
            <a:ln>
              <a:noFill/>
            </a:ln>
            <a:effectLst/>
          </c:spPr>
        </c:title>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395520"/>
        <c:crosses val="autoZero"/>
        <c:auto val="1"/>
        <c:lblAlgn val="ctr"/>
        <c:lblOffset val="100"/>
      </c:catAx>
      <c:valAx>
        <c:axId val="42395520"/>
        <c:scaling>
          <c:orientation val="minMax"/>
          <c:min val="2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GL</a:t>
                </a:r>
                <a:endParaRPr lang="en-AU"/>
              </a:p>
            </c:rich>
          </c:tx>
          <c:spPr>
            <a:noFill/>
            <a:ln>
              <a:noFill/>
            </a:ln>
            <a:effectLst/>
          </c:spPr>
        </c:title>
        <c:numFmt formatCode="General"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393600"/>
        <c:crosses val="autoZero"/>
        <c:crossBetween val="between"/>
      </c:valAx>
      <c:spPr>
        <a:noFill/>
        <a:ln>
          <a:noFill/>
        </a:ln>
        <a:effectLst/>
      </c:spPr>
    </c:plotArea>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4855202977808338"/>
          <c:y val="4.3170821098510427E-2"/>
          <c:w val="0.8264491825825917"/>
          <c:h val="0.83474691762809605"/>
        </c:manualLayout>
      </c:layout>
      <c:barChart>
        <c:barDir val="col"/>
        <c:grouping val="stacked"/>
        <c:ser>
          <c:idx val="1"/>
          <c:order val="0"/>
          <c:tx>
            <c:strRef>
              <c:f>ICRC_info!$E$45</c:f>
              <c:strCache>
                <c:ptCount val="1"/>
                <c:pt idx="0">
                  <c:v>Supply charge</c:v>
                </c:pt>
              </c:strCache>
            </c:strRef>
          </c:tx>
          <c:spPr>
            <a:solidFill>
              <a:schemeClr val="accent2">
                <a:lumMod val="75000"/>
              </a:schemeClr>
            </a:solidFill>
            <a:ln>
              <a:noFill/>
            </a:ln>
            <a:effectLst/>
          </c:spPr>
          <c:dPt>
            <c:idx val="4"/>
            <c:spPr>
              <a:solidFill>
                <a:schemeClr val="accent1">
                  <a:lumMod val="75000"/>
                </a:schemeClr>
              </a:solidFill>
              <a:ln>
                <a:noFill/>
              </a:ln>
              <a:effectLst/>
            </c:spPr>
          </c:dPt>
          <c:dPt>
            <c:idx val="5"/>
            <c:spPr>
              <a:solidFill>
                <a:schemeClr val="accent1">
                  <a:lumMod val="75000"/>
                </a:schemeClr>
              </a:solidFill>
              <a:ln>
                <a:noFill/>
              </a:ln>
              <a:effectLst/>
            </c:spPr>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(ICRC_info!$D$46:$D$49,ICRC_info!$D$51)</c:f>
              <c:strCache>
                <c:ptCount val="5"/>
                <c:pt idx="0">
                  <c:v>Short-run marginal cost</c:v>
                </c:pt>
                <c:pt idx="1">
                  <c:v>TMC</c:v>
                </c:pt>
                <c:pt idx="2">
                  <c:v>AIC</c:v>
                </c:pt>
                <c:pt idx="3">
                  <c:v>MIC</c:v>
                </c:pt>
                <c:pt idx="4">
                  <c:v>Supply charge 2015-16</c:v>
                </c:pt>
              </c:strCache>
              <c:extLst/>
            </c:strRef>
          </c:cat>
          <c:val>
            <c:numRef>
              <c:f>(ICRC_info!$E$46:$E$49,ICRC_info!$E$51)</c:f>
              <c:numCache>
                <c:formatCode>_(* #,##0.00_);_(* \(#,##0.00\);_(* "-"??_);_(@_)</c:formatCode>
                <c:ptCount val="5"/>
                <c:pt idx="0">
                  <c:v>865</c:v>
                </c:pt>
                <c:pt idx="1">
                  <c:v>865</c:v>
                </c:pt>
                <c:pt idx="2">
                  <c:v>635</c:v>
                </c:pt>
                <c:pt idx="3">
                  <c:v>605</c:v>
                </c:pt>
                <c:pt idx="4" formatCode="General">
                  <c:v>101.14</c:v>
                </c:pt>
              </c:numCache>
              <c:extLst/>
            </c:numRef>
          </c:val>
          <c:extLst xmlns:c16r2="http://schemas.microsoft.com/office/drawing/2015/06/chart">
            <c:ext xmlns:c16="http://schemas.microsoft.com/office/drawing/2014/chart" uri="{C3380CC4-5D6E-409C-BE32-E72D297353CC}">
              <c16:uniqueId val="{00000004-9B62-468E-9564-83BBF7C5F423}"/>
            </c:ext>
          </c:extLst>
        </c:ser>
        <c:dLbls>
          <c:showVal val="1"/>
        </c:dLbls>
        <c:overlap val="100"/>
        <c:axId val="42478208"/>
        <c:axId val="42480000"/>
      </c:barChart>
      <c:catAx>
        <c:axId val="42478208"/>
        <c:scaling>
          <c:orientation val="minMax"/>
        </c:scaling>
        <c:axPos val="b"/>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480000"/>
        <c:crosses val="autoZero"/>
        <c:auto val="1"/>
        <c:lblAlgn val="ctr"/>
        <c:lblOffset val="100"/>
      </c:catAx>
      <c:valAx>
        <c:axId val="424800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year</a:t>
                </a:r>
              </a:p>
            </c:rich>
          </c:tx>
          <c:layout>
            <c:manualLayout>
              <c:xMode val="edge"/>
              <c:yMode val="edge"/>
              <c:x val="2.2726170581204824E-2"/>
              <c:y val="0.38586833919348157"/>
            </c:manualLayout>
          </c:layout>
          <c:spPr>
            <a:noFill/>
            <a:ln>
              <a:noFill/>
            </a:ln>
            <a:effectLst/>
          </c:spPr>
        </c:title>
        <c:numFmt formatCode="&quot;$&quot;#,##0"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478208"/>
        <c:crosses val="autoZero"/>
        <c:crossBetween val="between"/>
      </c:valAx>
      <c:spPr>
        <a:noFill/>
        <a:ln>
          <a:noFill/>
        </a:ln>
        <a:effectLst/>
      </c:spPr>
    </c:plotArea>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4855202977808338"/>
          <c:y val="4.3170821098510427E-2"/>
          <c:w val="0.8264491825825917"/>
          <c:h val="0.83474691762809605"/>
        </c:manualLayout>
      </c:layout>
      <c:barChart>
        <c:barDir val="col"/>
        <c:grouping val="stacked"/>
        <c:ser>
          <c:idx val="1"/>
          <c:order val="0"/>
          <c:tx>
            <c:strRef>
              <c:f>ICRC_info!$H$45</c:f>
              <c:strCache>
                <c:ptCount val="1"/>
                <c:pt idx="0">
                  <c:v>Supply charge</c:v>
                </c:pt>
              </c:strCache>
            </c:strRef>
          </c:tx>
          <c:spPr>
            <a:solidFill>
              <a:schemeClr val="accent2">
                <a:lumMod val="75000"/>
              </a:schemeClr>
            </a:solidFill>
            <a:ln>
              <a:noFill/>
            </a:ln>
            <a:effectLst/>
          </c:spPr>
          <c:dPt>
            <c:idx val="1"/>
            <c:spPr>
              <a:solidFill>
                <a:schemeClr val="accent1">
                  <a:lumMod val="75000"/>
                </a:schemeClr>
              </a:solidFill>
              <a:ln>
                <a:noFill/>
              </a:ln>
              <a:effectLst/>
            </c:spPr>
          </c:dPt>
          <c:dPt>
            <c:idx val="3"/>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B-51CF-44BF-A845-3ED039999DD2}"/>
              </c:ext>
            </c:extLst>
          </c:dPt>
          <c:dPt>
            <c:idx val="5"/>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51CF-44BF-A845-3ED039999DD2}"/>
              </c:ext>
            </c:extLst>
          </c:dPt>
          <c:dPt>
            <c:idx val="6"/>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51CF-44BF-A845-3ED039999DD2}"/>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ICRC_info!$G$46:$G$49</c:f>
              <c:strCache>
                <c:ptCount val="4"/>
                <c:pt idx="0">
                  <c:v>Supply charge - SRMC</c:v>
                </c:pt>
                <c:pt idx="1">
                  <c:v>Supply charge 2015-16</c:v>
                </c:pt>
                <c:pt idx="2">
                  <c:v>Fixture charge - SRMC</c:v>
                </c:pt>
                <c:pt idx="3">
                  <c:v>Fixture charge 2015-16</c:v>
                </c:pt>
              </c:strCache>
            </c:strRef>
          </c:cat>
          <c:val>
            <c:numRef>
              <c:f>ICRC_info!$H$46:$H$49</c:f>
              <c:numCache>
                <c:formatCode>_(* #,##0.00_);_(* \(#,##0.00\);_(* "-"??_);_(@_)</c:formatCode>
                <c:ptCount val="4"/>
                <c:pt idx="0">
                  <c:v>490</c:v>
                </c:pt>
                <c:pt idx="1">
                  <c:v>523.17999999999995</c:v>
                </c:pt>
                <c:pt idx="2">
                  <c:v>480</c:v>
                </c:pt>
                <c:pt idx="3" formatCode="General">
                  <c:v>511.66</c:v>
                </c:pt>
              </c:numCache>
            </c:numRef>
          </c:val>
          <c:extLst xmlns:c16r2="http://schemas.microsoft.com/office/drawing/2015/06/chart">
            <c:ext xmlns:c16="http://schemas.microsoft.com/office/drawing/2014/chart" uri="{C3380CC4-5D6E-409C-BE32-E72D297353CC}">
              <c16:uniqueId val="{00000004-51CF-44BF-A845-3ED039999DD2}"/>
            </c:ext>
          </c:extLst>
        </c:ser>
        <c:dLbls>
          <c:showVal val="1"/>
        </c:dLbls>
        <c:overlap val="100"/>
        <c:axId val="42544128"/>
        <c:axId val="42574592"/>
      </c:barChart>
      <c:catAx>
        <c:axId val="42544128"/>
        <c:scaling>
          <c:orientation val="minMax"/>
        </c:scaling>
        <c:axPos val="b"/>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574592"/>
        <c:crosses val="autoZero"/>
        <c:auto val="1"/>
        <c:lblAlgn val="ctr"/>
        <c:lblOffset val="100"/>
      </c:catAx>
      <c:valAx>
        <c:axId val="425745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year</a:t>
                </a:r>
              </a:p>
            </c:rich>
          </c:tx>
          <c:layout>
            <c:manualLayout>
              <c:xMode val="edge"/>
              <c:yMode val="edge"/>
              <c:x val="2.2726170581204824E-2"/>
              <c:y val="0.38586833919348157"/>
            </c:manualLayout>
          </c:layout>
          <c:spPr>
            <a:noFill/>
            <a:ln>
              <a:noFill/>
            </a:ln>
            <a:effectLst/>
          </c:spPr>
        </c:title>
        <c:numFmt formatCode="&quot;$&quot;#,##0"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544128"/>
        <c:crosses val="autoZero"/>
        <c:crossBetween val="between"/>
      </c:valAx>
      <c:spPr>
        <a:noFill/>
        <a:ln>
          <a:noFill/>
        </a:ln>
        <a:effectLst/>
      </c:spPr>
    </c:plotArea>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4855202977808338"/>
          <c:y val="4.3170821098510427E-2"/>
          <c:w val="0.8264491825825917"/>
          <c:h val="0.83474691762809605"/>
        </c:manualLayout>
      </c:layout>
      <c:barChart>
        <c:barDir val="col"/>
        <c:grouping val="stacked"/>
        <c:ser>
          <c:idx val="1"/>
          <c:order val="0"/>
          <c:tx>
            <c:strRef>
              <c:f>ICRC_info!$E$45</c:f>
              <c:strCache>
                <c:ptCount val="1"/>
                <c:pt idx="0">
                  <c:v>Supply charge</c:v>
                </c:pt>
              </c:strCache>
            </c:strRef>
          </c:tx>
          <c:spPr>
            <a:solidFill>
              <a:schemeClr val="accent2">
                <a:lumMod val="75000"/>
              </a:schemeClr>
            </a:solidFill>
            <a:ln>
              <a:noFill/>
            </a:ln>
            <a:effectLst/>
          </c:spPr>
          <c:dPt>
            <c:idx val="4"/>
            <c:spPr>
              <a:solidFill>
                <a:schemeClr val="accent1">
                  <a:lumMod val="75000"/>
                </a:schemeClr>
              </a:solidFill>
              <a:ln>
                <a:noFill/>
              </a:ln>
              <a:effectLst/>
            </c:spPr>
          </c:dPt>
          <c:dPt>
            <c:idx val="5"/>
            <c:spPr>
              <a:solidFill>
                <a:schemeClr val="accent1">
                  <a:lumMod val="75000"/>
                </a:schemeClr>
              </a:solidFill>
              <a:ln>
                <a:noFill/>
              </a:ln>
              <a:effectLst/>
            </c:spPr>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(ICRC_info!$D$46:$D$49,ICRC_info!$D$51)</c:f>
              <c:strCache>
                <c:ptCount val="5"/>
                <c:pt idx="0">
                  <c:v>Short-run marginal cost</c:v>
                </c:pt>
                <c:pt idx="1">
                  <c:v>TMC</c:v>
                </c:pt>
                <c:pt idx="2">
                  <c:v>AIC</c:v>
                </c:pt>
                <c:pt idx="3">
                  <c:v>MIC</c:v>
                </c:pt>
                <c:pt idx="4">
                  <c:v>Supply charge 2015-16</c:v>
                </c:pt>
              </c:strCache>
              <c:extLst/>
            </c:strRef>
          </c:cat>
          <c:val>
            <c:numRef>
              <c:f>(ICRC_info!$E$46:$E$49,ICRC_info!$E$51)</c:f>
              <c:numCache>
                <c:formatCode>_(* #,##0.00_);_(* \(#,##0.00\);_(* "-"??_);_(@_)</c:formatCode>
                <c:ptCount val="5"/>
                <c:pt idx="0">
                  <c:v>865</c:v>
                </c:pt>
                <c:pt idx="1">
                  <c:v>865</c:v>
                </c:pt>
                <c:pt idx="2">
                  <c:v>635</c:v>
                </c:pt>
                <c:pt idx="3">
                  <c:v>605</c:v>
                </c:pt>
                <c:pt idx="4" formatCode="General">
                  <c:v>101.14</c:v>
                </c:pt>
              </c:numCache>
              <c:extLst/>
            </c:numRef>
          </c:val>
          <c:extLst xmlns:c16r2="http://schemas.microsoft.com/office/drawing/2015/06/chart">
            <c:ext xmlns:c16="http://schemas.microsoft.com/office/drawing/2014/chart" uri="{C3380CC4-5D6E-409C-BE32-E72D297353CC}">
              <c16:uniqueId val="{00000004-9B62-468E-9564-83BBF7C5F423}"/>
            </c:ext>
          </c:extLst>
        </c:ser>
        <c:dLbls>
          <c:showVal val="1"/>
        </c:dLbls>
        <c:overlap val="100"/>
        <c:axId val="36682368"/>
        <c:axId val="36712832"/>
      </c:barChart>
      <c:catAx>
        <c:axId val="36682368"/>
        <c:scaling>
          <c:orientation val="minMax"/>
        </c:scaling>
        <c:axPos val="b"/>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12832"/>
        <c:crosses val="autoZero"/>
        <c:auto val="1"/>
        <c:lblAlgn val="ctr"/>
        <c:lblOffset val="100"/>
      </c:catAx>
      <c:valAx>
        <c:axId val="367128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year</a:t>
                </a:r>
              </a:p>
            </c:rich>
          </c:tx>
          <c:layout>
            <c:manualLayout>
              <c:xMode val="edge"/>
              <c:yMode val="edge"/>
              <c:x val="2.2726170581204824E-2"/>
              <c:y val="0.38586833919348157"/>
            </c:manualLayout>
          </c:layout>
          <c:spPr>
            <a:noFill/>
            <a:ln>
              <a:noFill/>
            </a:ln>
            <a:effectLst/>
          </c:spPr>
        </c:title>
        <c:numFmt formatCode="&quot;$&quot;#,##0"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682368"/>
        <c:crosses val="autoZero"/>
        <c:crossBetween val="between"/>
      </c:valAx>
      <c:spPr>
        <a:noFill/>
        <a:ln>
          <a:noFill/>
        </a:ln>
        <a:effectLst/>
      </c:spPr>
    </c:plotArea>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4855202977808338"/>
          <c:y val="4.3170821098510427E-2"/>
          <c:w val="0.8264491825825917"/>
          <c:h val="0.83474691762809605"/>
        </c:manualLayout>
      </c:layout>
      <c:barChart>
        <c:barDir val="col"/>
        <c:grouping val="stacked"/>
        <c:ser>
          <c:idx val="1"/>
          <c:order val="0"/>
          <c:tx>
            <c:strRef>
              <c:f>ICRC_info!$H$45</c:f>
              <c:strCache>
                <c:ptCount val="1"/>
                <c:pt idx="0">
                  <c:v>Supply charge</c:v>
                </c:pt>
              </c:strCache>
            </c:strRef>
          </c:tx>
          <c:spPr>
            <a:solidFill>
              <a:schemeClr val="accent2">
                <a:lumMod val="75000"/>
              </a:schemeClr>
            </a:solidFill>
            <a:ln>
              <a:noFill/>
            </a:ln>
            <a:effectLst/>
          </c:spPr>
          <c:dPt>
            <c:idx val="1"/>
            <c:spPr>
              <a:solidFill>
                <a:schemeClr val="accent1">
                  <a:lumMod val="75000"/>
                </a:schemeClr>
              </a:solidFill>
              <a:ln>
                <a:noFill/>
              </a:ln>
              <a:effectLst/>
            </c:spPr>
          </c:dPt>
          <c:dPt>
            <c:idx val="3"/>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B-51CF-44BF-A845-3ED039999DD2}"/>
              </c:ext>
            </c:extLst>
          </c:dPt>
          <c:dPt>
            <c:idx val="5"/>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51CF-44BF-A845-3ED039999DD2}"/>
              </c:ext>
            </c:extLst>
          </c:dPt>
          <c:dPt>
            <c:idx val="6"/>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51CF-44BF-A845-3ED039999DD2}"/>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ICRC_info!$G$46:$G$49</c:f>
              <c:strCache>
                <c:ptCount val="4"/>
                <c:pt idx="0">
                  <c:v>Supply charge - SRMC</c:v>
                </c:pt>
                <c:pt idx="1">
                  <c:v>Supply charge 2015-16</c:v>
                </c:pt>
                <c:pt idx="2">
                  <c:v>Fixture charge - SRMC</c:v>
                </c:pt>
                <c:pt idx="3">
                  <c:v>Fixture charge 2015-16</c:v>
                </c:pt>
              </c:strCache>
            </c:strRef>
          </c:cat>
          <c:val>
            <c:numRef>
              <c:f>ICRC_info!$H$46:$H$49</c:f>
              <c:numCache>
                <c:formatCode>_(* #,##0.00_);_(* \(#,##0.00\);_(* "-"??_);_(@_)</c:formatCode>
                <c:ptCount val="4"/>
                <c:pt idx="0">
                  <c:v>490</c:v>
                </c:pt>
                <c:pt idx="1">
                  <c:v>523.17999999999995</c:v>
                </c:pt>
                <c:pt idx="2">
                  <c:v>480</c:v>
                </c:pt>
                <c:pt idx="3" formatCode="General">
                  <c:v>511.66</c:v>
                </c:pt>
              </c:numCache>
            </c:numRef>
          </c:val>
          <c:extLst xmlns:c16r2="http://schemas.microsoft.com/office/drawing/2015/06/chart">
            <c:ext xmlns:c16="http://schemas.microsoft.com/office/drawing/2014/chart" uri="{C3380CC4-5D6E-409C-BE32-E72D297353CC}">
              <c16:uniqueId val="{00000004-51CF-44BF-A845-3ED039999DD2}"/>
            </c:ext>
          </c:extLst>
        </c:ser>
        <c:dLbls>
          <c:showVal val="1"/>
        </c:dLbls>
        <c:overlap val="100"/>
        <c:axId val="36723712"/>
        <c:axId val="36741888"/>
      </c:barChart>
      <c:catAx>
        <c:axId val="36723712"/>
        <c:scaling>
          <c:orientation val="minMax"/>
        </c:scaling>
        <c:axPos val="b"/>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41888"/>
        <c:crosses val="autoZero"/>
        <c:auto val="1"/>
        <c:lblAlgn val="ctr"/>
        <c:lblOffset val="100"/>
      </c:catAx>
      <c:valAx>
        <c:axId val="367418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year</a:t>
                </a:r>
              </a:p>
            </c:rich>
          </c:tx>
          <c:layout>
            <c:manualLayout>
              <c:xMode val="edge"/>
              <c:yMode val="edge"/>
              <c:x val="2.2726170581204824E-2"/>
              <c:y val="0.38586833919348157"/>
            </c:manualLayout>
          </c:layout>
          <c:spPr>
            <a:noFill/>
            <a:ln>
              <a:noFill/>
            </a:ln>
            <a:effectLst/>
          </c:spPr>
        </c:title>
        <c:numFmt formatCode="&quot;$&quot;#,##0"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23712"/>
        <c:crosses val="autoZero"/>
        <c:crossBetween val="between"/>
      </c:valAx>
      <c:spPr>
        <a:noFill/>
        <a:ln>
          <a:noFill/>
        </a:ln>
        <a:effectLst/>
      </c:spPr>
    </c:plotArea>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clustered"/>
        <c:ser>
          <c:idx val="0"/>
          <c:order val="0"/>
          <c:tx>
            <c:strRef>
              <c:f>Dams!$D$4</c:f>
              <c:strCache>
                <c:ptCount val="1"/>
                <c:pt idx="0">
                  <c:v>Capacity</c:v>
                </c:pt>
              </c:strCache>
            </c:strRef>
          </c:tx>
          <c:spPr>
            <a:solidFill>
              <a:schemeClr val="accent1">
                <a:lumMod val="40000"/>
                <a:lumOff val="60000"/>
              </a:schemeClr>
            </a:solidFill>
            <a:ln>
              <a:noFill/>
              <a:prstDash val="dash"/>
            </a:ln>
            <a:effectLst/>
          </c:spPr>
          <c:dLbls>
            <c:dLbl>
              <c:idx val="0"/>
              <c:tx>
                <c:strRef>
                  <c:f>Dams!$F$5</c:f>
                  <c:strCache>
                    <c:ptCount val="1"/>
                    <c:pt idx="0">
                      <c:v>27%</c:v>
                    </c:pt>
                  </c:strCache>
                </c:strRef>
              </c:tx>
              <c:dLblPos val="outEnd"/>
              <c:showVal val="1"/>
              <c:extLst>
                <c:ext xmlns:c15="http://schemas.microsoft.com/office/drawing/2012/chart" uri="{CE6537A1-D6FC-4f65-9D91-7224C49458BB}">
                  <c15:dlblFieldTable>
                    <c15:dlblFTEntry>
                      <c15:txfldGUID>{23467B39-D770-40C9-86F0-90419008FCEC}</c15:txfldGUID>
                      <c15:f>Dams!$F$5</c15:f>
                      <c15:dlblFieldTableCache>
                        <c:ptCount val="1"/>
                        <c:pt idx="0">
                          <c:v>27%</c:v>
                        </c:pt>
                      </c15:dlblFieldTableCache>
                    </c15:dlblFTEntry>
                  </c15:dlblFieldTable>
                  <c15:showDataLabelsRange val="0"/>
                </c:ext>
              </c:extLst>
            </c:dLbl>
            <c:dLbl>
              <c:idx val="1"/>
              <c:tx>
                <c:strRef>
                  <c:f>Dams!$F$6</c:f>
                  <c:strCache>
                    <c:ptCount val="1"/>
                    <c:pt idx="0">
                      <c:v>84%</c:v>
                    </c:pt>
                  </c:strCache>
                </c:strRef>
              </c:tx>
              <c:dLblPos val="outEnd"/>
              <c:showVal val="1"/>
              <c:extLst>
                <c:ext xmlns:c15="http://schemas.microsoft.com/office/drawing/2012/chart" uri="{CE6537A1-D6FC-4f65-9D91-7224C49458BB}">
                  <c15:dlblFieldTable>
                    <c15:dlblFTEntry>
                      <c15:txfldGUID>{1F8F46EC-A436-4C38-8D2A-5EAB44C1E1ED}</c15:txfldGUID>
                      <c15:f>Dams!$F$6</c15:f>
                      <c15:dlblFieldTableCache>
                        <c:ptCount val="1"/>
                        <c:pt idx="0">
                          <c:v>84%</c:v>
                        </c:pt>
                      </c15:dlblFieldTableCache>
                    </c15:dlblFTEntry>
                  </c15:dlblFieldTable>
                  <c15:showDataLabelsRange val="0"/>
                </c:ext>
              </c:extLst>
            </c:dLbl>
            <c:dLbl>
              <c:idx val="2"/>
              <c:layout>
                <c:manualLayout>
                  <c:x val="1.2952382428652709E-3"/>
                  <c:y val="1.563971599526931E-7"/>
                </c:manualLayout>
              </c:layout>
              <c:tx>
                <c:strRef>
                  <c:f>Dams!$F$7</c:f>
                  <c:strCache>
                    <c:ptCount val="1"/>
                    <c:pt idx="0">
                      <c:v>86%</c:v>
                    </c:pt>
                  </c:strCache>
                </c:strRef>
              </c:tx>
              <c:dLblPos val="outEnd"/>
              <c:showVal val="1"/>
              <c:extLst>
                <c:ext xmlns:c15="http://schemas.microsoft.com/office/drawing/2012/chart" uri="{CE6537A1-D6FC-4f65-9D91-7224C49458BB}">
                  <c15:layout>
                    <c:manualLayout>
                      <c:w val="6.9950207619521185E-2"/>
                      <c:h val="5.5555399158395594E-2"/>
                    </c:manualLayout>
                  </c15:layout>
                  <c15:dlblFieldTable>
                    <c15:dlblFTEntry>
                      <c15:txfldGUID>{9E9E8E46-FEED-4D09-B8DA-E6907A02838F}</c15:txfldGUID>
                      <c15:f>Dams!$F$7</c15:f>
                      <c15:dlblFieldTableCache>
                        <c:ptCount val="1"/>
                        <c:pt idx="0">
                          <c:v>86%</c:v>
                        </c:pt>
                      </c15:dlblFieldTableCache>
                    </c15:dlblFTEntry>
                  </c15:dlblFieldTable>
                  <c15:showDataLabelsRange val="0"/>
                </c:ext>
              </c:extLst>
            </c:dLbl>
            <c:dLbl>
              <c:idx val="3"/>
              <c:tx>
                <c:strRef>
                  <c:f>Dams!$F$8</c:f>
                  <c:strCache>
                    <c:ptCount val="1"/>
                    <c:pt idx="0">
                      <c:v>100%</c:v>
                    </c:pt>
                  </c:strCache>
                </c:strRef>
              </c:tx>
              <c:dLblPos val="outEnd"/>
              <c:showVal val="1"/>
              <c:extLst>
                <c:ext xmlns:c15="http://schemas.microsoft.com/office/drawing/2012/chart" uri="{CE6537A1-D6FC-4f65-9D91-7224C49458BB}">
                  <c15:dlblFieldTable>
                    <c15:dlblFTEntry>
                      <c15:txfldGUID>{3AE2B739-6CFA-463B-A259-2C665DF540E0}</c15:txfldGUID>
                      <c15:f>Dams!$F$8</c15:f>
                      <c15:dlblFieldTableCache>
                        <c:ptCount val="1"/>
                        <c:pt idx="0">
                          <c:v>100%</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Dams!$C$5:$C$8</c:f>
              <c:strCache>
                <c:ptCount val="4"/>
                <c:pt idx="0">
                  <c:v>Corin Dam</c:v>
                </c:pt>
                <c:pt idx="1">
                  <c:v>Bendora Dam</c:v>
                </c:pt>
                <c:pt idx="2">
                  <c:v>Cotter Dam</c:v>
                </c:pt>
                <c:pt idx="3">
                  <c:v>Googong Dam</c:v>
                </c:pt>
              </c:strCache>
            </c:strRef>
          </c:cat>
          <c:val>
            <c:numRef>
              <c:f>Dams!$D$5:$D$8</c:f>
              <c:numCache>
                <c:formatCode>_(* #,##0.00_);_(* \(#,##0.00\);_(* "-"??_);_(@_)</c:formatCode>
                <c:ptCount val="4"/>
                <c:pt idx="0">
                  <c:v>70.787000000000006</c:v>
                </c:pt>
                <c:pt idx="1">
                  <c:v>11.446</c:v>
                </c:pt>
                <c:pt idx="2">
                  <c:v>76.195999999999998</c:v>
                </c:pt>
                <c:pt idx="3">
                  <c:v>119.40900000000002</c:v>
                </c:pt>
              </c:numCache>
            </c:numRef>
          </c:val>
        </c:ser>
        <c:ser>
          <c:idx val="1"/>
          <c:order val="1"/>
          <c:tx>
            <c:strRef>
              <c:f>Dams!$E$4</c:f>
              <c:strCache>
                <c:ptCount val="1"/>
                <c:pt idx="0">
                  <c:v>Volume (as at 7 June 2016)</c:v>
                </c:pt>
              </c:strCache>
            </c:strRef>
          </c:tx>
          <c:spPr>
            <a:solidFill>
              <a:schemeClr val="accent1">
                <a:lumMod val="50000"/>
              </a:schemeClr>
            </a:solidFill>
            <a:ln>
              <a:noFill/>
            </a:ln>
            <a:effectLst/>
          </c:spPr>
          <c:dLbls>
            <c:delete val="1"/>
          </c:dLbls>
          <c:cat>
            <c:strRef>
              <c:f>Dams!$C$5:$C$8</c:f>
              <c:strCache>
                <c:ptCount val="4"/>
                <c:pt idx="0">
                  <c:v>Corin Dam</c:v>
                </c:pt>
                <c:pt idx="1">
                  <c:v>Bendora Dam</c:v>
                </c:pt>
                <c:pt idx="2">
                  <c:v>Cotter Dam</c:v>
                </c:pt>
                <c:pt idx="3">
                  <c:v>Googong Dam</c:v>
                </c:pt>
              </c:strCache>
            </c:strRef>
          </c:cat>
          <c:val>
            <c:numRef>
              <c:f>Dams!$E$5:$E$8</c:f>
              <c:numCache>
                <c:formatCode>_(* #,##0.00_);_(* \(#,##0.00\);_(* "-"??_);_(@_)</c:formatCode>
                <c:ptCount val="4"/>
                <c:pt idx="0">
                  <c:v>19.09</c:v>
                </c:pt>
                <c:pt idx="1">
                  <c:v>9.66</c:v>
                </c:pt>
                <c:pt idx="2">
                  <c:v>65.38</c:v>
                </c:pt>
                <c:pt idx="3">
                  <c:v>119.41000000000003</c:v>
                </c:pt>
              </c:numCache>
            </c:numRef>
          </c:val>
        </c:ser>
        <c:dLbls>
          <c:showVal val="1"/>
        </c:dLbls>
        <c:overlap val="100"/>
        <c:axId val="36990976"/>
        <c:axId val="36992512"/>
      </c:barChart>
      <c:catAx>
        <c:axId val="36990976"/>
        <c:scaling>
          <c:orientation val="minMax"/>
        </c:scaling>
        <c:axPos val="b"/>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992512"/>
        <c:crosses val="autoZero"/>
        <c:auto val="1"/>
        <c:lblAlgn val="ctr"/>
        <c:lblOffset val="100"/>
      </c:catAx>
      <c:valAx>
        <c:axId val="369925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GL</a:t>
                </a:r>
              </a:p>
            </c:rich>
          </c:tx>
          <c:spPr>
            <a:noFill/>
            <a:ln>
              <a:noFill/>
            </a:ln>
            <a:effectLst/>
          </c:spPr>
        </c:title>
        <c:numFmt formatCode="General"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990976"/>
        <c:crosses val="autoZero"/>
        <c:crossBetween val="between"/>
      </c:valAx>
      <c:spPr>
        <a:noFill/>
        <a:ln>
          <a:noFill/>
        </a:ln>
        <a:effectLst/>
      </c:spPr>
    </c:plotArea>
    <c:legend>
      <c:legendPos val="b"/>
      <c:layout>
        <c:manualLayout>
          <c:xMode val="edge"/>
          <c:yMode val="edge"/>
          <c:x val="0.16864281213972881"/>
          <c:y val="8.2815160338894453E-2"/>
          <c:w val="0.57065376235045018"/>
          <c:h val="6.703620187620293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tx>
            <c:strRef>
              <c:f>Dams!$J$29</c:f>
              <c:strCache>
                <c:ptCount val="1"/>
                <c:pt idx="0">
                  <c:v>ACT billed consumption</c:v>
                </c:pt>
              </c:strCache>
            </c:strRef>
          </c:tx>
          <c:spPr>
            <a:ln w="28575" cap="rnd">
              <a:solidFill>
                <a:schemeClr val="accent1"/>
              </a:solidFill>
              <a:round/>
            </a:ln>
            <a:effectLst/>
          </c:spPr>
          <c:marker>
            <c:symbol val="none"/>
          </c:marker>
          <c:cat>
            <c:numRef>
              <c:f>Dams!$I$30:$I$45</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Dams!$J$30:$J$45</c:f>
              <c:numCache>
                <c:formatCode>General</c:formatCode>
                <c:ptCount val="16"/>
                <c:pt idx="0">
                  <c:v>48.184503000000007</c:v>
                </c:pt>
                <c:pt idx="1">
                  <c:v>51.450842999999999</c:v>
                </c:pt>
                <c:pt idx="2">
                  <c:v>55.868677000000005</c:v>
                </c:pt>
                <c:pt idx="3">
                  <c:v>55.901780000000002</c:v>
                </c:pt>
                <c:pt idx="4">
                  <c:v>44.236488000000001</c:v>
                </c:pt>
                <c:pt idx="5">
                  <c:v>43.511422999999994</c:v>
                </c:pt>
                <c:pt idx="6">
                  <c:v>48.169311000000022</c:v>
                </c:pt>
                <c:pt idx="7">
                  <c:v>45.588679000000006</c:v>
                </c:pt>
                <c:pt idx="8">
                  <c:v>36.734147</c:v>
                </c:pt>
                <c:pt idx="9">
                  <c:v>38.616466999999993</c:v>
                </c:pt>
                <c:pt idx="10">
                  <c:v>37.796441000000002</c:v>
                </c:pt>
                <c:pt idx="11">
                  <c:v>33.844976999999993</c:v>
                </c:pt>
                <c:pt idx="12">
                  <c:v>35.429338000000016</c:v>
                </c:pt>
                <c:pt idx="13">
                  <c:v>40.473969000000004</c:v>
                </c:pt>
                <c:pt idx="14">
                  <c:v>41.96610900000001</c:v>
                </c:pt>
                <c:pt idx="15">
                  <c:v>39.20265100000001</c:v>
                </c:pt>
              </c:numCache>
            </c:numRef>
          </c:val>
        </c:ser>
        <c:ser>
          <c:idx val="2"/>
          <c:order val="1"/>
          <c:tx>
            <c:strRef>
              <c:f>Dams!$K$29</c:f>
              <c:strCache>
                <c:ptCount val="1"/>
                <c:pt idx="0">
                  <c:v>Dam releases</c:v>
                </c:pt>
              </c:strCache>
            </c:strRef>
          </c:tx>
          <c:spPr>
            <a:ln w="28575" cap="rnd">
              <a:solidFill>
                <a:schemeClr val="accent1">
                  <a:lumMod val="50000"/>
                </a:schemeClr>
              </a:solidFill>
              <a:prstDash val="dash"/>
              <a:round/>
            </a:ln>
            <a:effectLst/>
          </c:spPr>
          <c:marker>
            <c:symbol val="none"/>
          </c:marker>
          <c:cat>
            <c:numRef>
              <c:f>Dams!$I$30:$I$45</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Dams!$K$30:$K$45</c:f>
              <c:numCache>
                <c:formatCode>General</c:formatCode>
                <c:ptCount val="16"/>
                <c:pt idx="0">
                  <c:v>57.916200180053721</c:v>
                </c:pt>
                <c:pt idx="1">
                  <c:v>62.821599861145003</c:v>
                </c:pt>
                <c:pt idx="2">
                  <c:v>65.913500099182158</c:v>
                </c:pt>
                <c:pt idx="3">
                  <c:v>65.592508926391588</c:v>
                </c:pt>
                <c:pt idx="4">
                  <c:v>52.266389976501479</c:v>
                </c:pt>
                <c:pt idx="5">
                  <c:v>51.731979843139662</c:v>
                </c:pt>
                <c:pt idx="6">
                  <c:v>54.341317198791828</c:v>
                </c:pt>
                <c:pt idx="7">
                  <c:v>51.065772788696002</c:v>
                </c:pt>
                <c:pt idx="8">
                  <c:v>43.541900000000005</c:v>
                </c:pt>
                <c:pt idx="9">
                  <c:v>44.963100000000011</c:v>
                </c:pt>
                <c:pt idx="10">
                  <c:v>45.100400000000015</c:v>
                </c:pt>
                <c:pt idx="11">
                  <c:v>40.904100000000042</c:v>
                </c:pt>
                <c:pt idx="12">
                  <c:v>41.641200000000005</c:v>
                </c:pt>
                <c:pt idx="13">
                  <c:v>47.813399999999994</c:v>
                </c:pt>
                <c:pt idx="14">
                  <c:v>48.730199999999968</c:v>
                </c:pt>
                <c:pt idx="15">
                  <c:v>46.856999999999964</c:v>
                </c:pt>
              </c:numCache>
            </c:numRef>
          </c:val>
        </c:ser>
        <c:marker val="1"/>
        <c:axId val="37034624"/>
        <c:axId val="37036800"/>
      </c:lineChart>
      <c:catAx>
        <c:axId val="37034624"/>
        <c:scaling>
          <c:orientation val="minMax"/>
        </c:scaling>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Year ending 30 June</a:t>
                </a:r>
              </a:p>
            </c:rich>
          </c:tx>
          <c:layout>
            <c:manualLayout>
              <c:xMode val="edge"/>
              <c:yMode val="edge"/>
              <c:x val="0.42847725801444775"/>
              <c:y val="0.85667196748940011"/>
            </c:manualLayout>
          </c:layout>
          <c:spPr>
            <a:noFill/>
            <a:ln>
              <a:noFill/>
            </a:ln>
            <a:effectLst/>
          </c:spPr>
        </c:title>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036800"/>
        <c:crosses val="autoZero"/>
        <c:auto val="1"/>
        <c:lblAlgn val="ctr"/>
        <c:lblOffset val="100"/>
      </c:catAx>
      <c:valAx>
        <c:axId val="37036800"/>
        <c:scaling>
          <c:orientation val="minMax"/>
          <c:min val="3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GL</a:t>
                </a:r>
              </a:p>
            </c:rich>
          </c:tx>
          <c:spPr>
            <a:noFill/>
            <a:ln>
              <a:noFill/>
            </a:ln>
            <a:effectLst/>
          </c:spPr>
        </c:title>
        <c:numFmt formatCode="#,##0"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034624"/>
        <c:crosses val="autoZero"/>
        <c:crossBetween val="between"/>
      </c:valAx>
      <c:spPr>
        <a:noFill/>
        <a:ln>
          <a:noFill/>
        </a:ln>
        <a:effectLst/>
      </c:spPr>
    </c:plotArea>
    <c:legend>
      <c:legendPos val="b"/>
      <c:layout>
        <c:manualLayout>
          <c:xMode val="edge"/>
          <c:yMode val="edge"/>
          <c:x val="0.42248956191557002"/>
          <c:y val="6.2988956170947102E-2"/>
          <c:w val="0.30126541951503161"/>
          <c:h val="0.13059600768097729"/>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3671794123715592"/>
          <c:y val="4.4073668964155203E-2"/>
          <c:w val="0.83836909808484061"/>
          <c:h val="0.7396372456259962"/>
        </c:manualLayout>
      </c:layout>
      <c:barChart>
        <c:barDir val="col"/>
        <c:grouping val="stacked"/>
        <c:ser>
          <c:idx val="0"/>
          <c:order val="0"/>
          <c:tx>
            <c:strRef>
              <c:f>Operating_cost!$D$4</c:f>
              <c:strCache>
                <c:ptCount val="1"/>
                <c:pt idx="0">
                  <c:v>Operating cost</c:v>
                </c:pt>
              </c:strCache>
            </c:strRef>
          </c:tx>
          <c:spPr>
            <a:solidFill>
              <a:schemeClr val="accent1"/>
            </a:solidFill>
            <a:ln>
              <a:noFill/>
              <a:prstDash val="dash"/>
            </a:ln>
            <a:effectLst/>
          </c:spPr>
          <c:cat>
            <c:strRef>
              <c:f>Operating_cost!$C$5:$C$10</c:f>
              <c:strCache>
                <c:ptCount val="6"/>
                <c:pt idx="0">
                  <c:v>Bendora Dam</c:v>
                </c:pt>
                <c:pt idx="1">
                  <c:v>Cotter Dam</c:v>
                </c:pt>
                <c:pt idx="2">
                  <c:v>Googong</c:v>
                </c:pt>
                <c:pt idx="3">
                  <c:v>Murrumbidgee via Stromlo</c:v>
                </c:pt>
                <c:pt idx="4">
                  <c:v>Murrumbidgee via Googong</c:v>
                </c:pt>
                <c:pt idx="5">
                  <c:v>Tantangara via Googong</c:v>
                </c:pt>
              </c:strCache>
            </c:strRef>
          </c:cat>
          <c:val>
            <c:numRef>
              <c:f>Operating_cost!$D$5:$D$10</c:f>
              <c:numCache>
                <c:formatCode>_(* #,##0.00_);_(* \(#,##0.00\);_(* "-"??_);_(@_)</c:formatCode>
                <c:ptCount val="6"/>
                <c:pt idx="0">
                  <c:v>6.5000000000000002E-2</c:v>
                </c:pt>
                <c:pt idx="1">
                  <c:v>0.24500000000000005</c:v>
                </c:pt>
                <c:pt idx="2">
                  <c:v>0.17500000000000004</c:v>
                </c:pt>
                <c:pt idx="3">
                  <c:v>0.29000000000000009</c:v>
                </c:pt>
                <c:pt idx="4">
                  <c:v>0.27500000000000002</c:v>
                </c:pt>
                <c:pt idx="5">
                  <c:v>0.87500000000000022</c:v>
                </c:pt>
              </c:numCache>
            </c:numRef>
          </c:val>
          <c:extLst xmlns:c16r2="http://schemas.microsoft.com/office/drawing/2015/06/chart">
            <c:ext xmlns:c16="http://schemas.microsoft.com/office/drawing/2014/chart" uri="{C3380CC4-5D6E-409C-BE32-E72D297353CC}">
              <c16:uniqueId val="{00000000-6154-4F60-BC45-EE829C32EE19}"/>
            </c:ext>
          </c:extLst>
        </c:ser>
        <c:ser>
          <c:idx val="1"/>
          <c:order val="1"/>
          <c:tx>
            <c:strRef>
              <c:f>Operating_cost!$E$4</c:f>
              <c:strCache>
                <c:ptCount val="1"/>
                <c:pt idx="0">
                  <c:v>WAC</c:v>
                </c:pt>
              </c:strCache>
            </c:strRef>
          </c:tx>
          <c:spPr>
            <a:solidFill>
              <a:schemeClr val="accent2">
                <a:lumMod val="75000"/>
              </a:schemeClr>
            </a:solidFill>
            <a:ln>
              <a:noFill/>
            </a:ln>
            <a:effectLst/>
          </c:spPr>
          <c:cat>
            <c:strRef>
              <c:f>Operating_cost!$C$5:$C$10</c:f>
              <c:strCache>
                <c:ptCount val="6"/>
                <c:pt idx="0">
                  <c:v>Bendora Dam</c:v>
                </c:pt>
                <c:pt idx="1">
                  <c:v>Cotter Dam</c:v>
                </c:pt>
                <c:pt idx="2">
                  <c:v>Googong</c:v>
                </c:pt>
                <c:pt idx="3">
                  <c:v>Murrumbidgee via Stromlo</c:v>
                </c:pt>
                <c:pt idx="4">
                  <c:v>Murrumbidgee via Googong</c:v>
                </c:pt>
                <c:pt idx="5">
                  <c:v>Tantangara via Googong</c:v>
                </c:pt>
              </c:strCache>
            </c:strRef>
          </c:cat>
          <c:val>
            <c:numRef>
              <c:f>Operating_cost!$E$5:$E$10</c:f>
              <c:numCache>
                <c:formatCode>_(* #,##0.00_);_(* \(#,##0.00\);_(* "-"??_);_(@_)</c:formatCode>
                <c:ptCount val="6"/>
                <c:pt idx="0">
                  <c:v>0.55000000000000004</c:v>
                </c:pt>
                <c:pt idx="1">
                  <c:v>0.55000000000000004</c:v>
                </c:pt>
                <c:pt idx="2">
                  <c:v>0.55000000000000004</c:v>
                </c:pt>
                <c:pt idx="3">
                  <c:v>0.55000000000000004</c:v>
                </c:pt>
                <c:pt idx="4">
                  <c:v>0.55000000000000004</c:v>
                </c:pt>
                <c:pt idx="5">
                  <c:v>0.55000000000000004</c:v>
                </c:pt>
              </c:numCache>
            </c:numRef>
          </c:val>
          <c:extLst xmlns:c16r2="http://schemas.microsoft.com/office/drawing/2015/06/chart">
            <c:ext xmlns:c16="http://schemas.microsoft.com/office/drawing/2014/chart" uri="{C3380CC4-5D6E-409C-BE32-E72D297353CC}">
              <c16:uniqueId val="{00000001-6154-4F60-BC45-EE829C32EE19}"/>
            </c:ext>
          </c:extLst>
        </c:ser>
        <c:overlap val="100"/>
        <c:axId val="37055104"/>
        <c:axId val="41095552"/>
      </c:barChart>
      <c:catAx>
        <c:axId val="37055104"/>
        <c:scaling>
          <c:orientation val="minMax"/>
        </c:scaling>
        <c:axPos val="b"/>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095552"/>
        <c:crosses val="autoZero"/>
        <c:auto val="1"/>
        <c:lblAlgn val="ctr"/>
        <c:lblOffset val="100"/>
      </c:catAx>
      <c:valAx>
        <c:axId val="41095552"/>
        <c:scaling>
          <c:orientation val="minMax"/>
          <c:max val="1.6"/>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$/kL</a:t>
                </a:r>
              </a:p>
            </c:rich>
          </c:tx>
          <c:layout>
            <c:manualLayout>
              <c:xMode val="edge"/>
              <c:yMode val="edge"/>
              <c:x val="1.3789381027037922E-2"/>
              <c:y val="0.31864897228449995"/>
            </c:manualLayout>
          </c:layout>
          <c:spPr>
            <a:noFill/>
            <a:ln>
              <a:noFill/>
            </a:ln>
            <a:effectLst/>
          </c:spPr>
        </c:title>
        <c:numFmt formatCode="&quot;$&quot;#,##0.00"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055104"/>
        <c:crosses val="autoZero"/>
        <c:crossBetween val="between"/>
      </c:valAx>
      <c:spPr>
        <a:noFill/>
        <a:ln>
          <a:noFill/>
        </a:ln>
        <a:effectLst/>
      </c:spPr>
    </c:plotArea>
    <c:legend>
      <c:legendPos val="b"/>
      <c:layout>
        <c:manualLayout>
          <c:xMode val="edge"/>
          <c:yMode val="edge"/>
          <c:x val="0.19240538481076974"/>
          <c:y val="6.6860674384629323E-2"/>
          <c:w val="0.4102421325532305"/>
          <c:h val="0.2341826856345675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2867000586927388"/>
          <c:y val="2.3303814365597138E-2"/>
          <c:w val="0.8452511210789001"/>
          <c:h val="0.80333782640150364"/>
        </c:manualLayout>
      </c:layout>
      <c:barChart>
        <c:barDir val="col"/>
        <c:grouping val="clustered"/>
        <c:ser>
          <c:idx val="1"/>
          <c:order val="0"/>
          <c:tx>
            <c:strRef>
              <c:f>'Per capita chart'!$F$1</c:f>
              <c:strCache>
                <c:ptCount val="1"/>
                <c:pt idx="0">
                  <c:v>kL/capita</c:v>
                </c:pt>
              </c:strCache>
            </c:strRef>
          </c:tx>
          <c:spPr>
            <a:solidFill>
              <a:schemeClr val="accent1">
                <a:lumMod val="75000"/>
              </a:schemeClr>
            </a:solidFill>
          </c:spPr>
          <c:dLbls>
            <c:spPr>
              <a:noFill/>
              <a:ln>
                <a:noFill/>
              </a:ln>
              <a:effectLst/>
            </c:spPr>
            <c:txPr>
              <a:bodyPr wrap="square" lIns="38100" tIns="19050" rIns="38100" bIns="19050" anchor="ctr">
                <a:spAutoFit/>
              </a:bodyPr>
              <a:lstStyle/>
              <a:p>
                <a:pPr>
                  <a:defRPr sz="800" b="1">
                    <a:solidFill>
                      <a:schemeClr val="bg1"/>
                    </a:solidFill>
                  </a:defRPr>
                </a:pPr>
                <a:endParaRPr lang="en-US"/>
              </a:p>
            </c:txPr>
            <c:dLblPos val="inEnd"/>
            <c:showVal val="1"/>
            <c:extLst xmlns:c16r2="http://schemas.microsoft.com/office/drawing/2015/06/chart">
              <c:ext xmlns:c15="http://schemas.microsoft.com/office/drawing/2012/chart" uri="{CE6537A1-D6FC-4f65-9D91-7224C49458BB}">
                <c15:showLeaderLines val="1"/>
              </c:ext>
            </c:extLst>
          </c:dLbls>
          <c:cat>
            <c:numRef>
              <c:f>'Per capita chart'!$A$2:$A$18</c:f>
              <c:numCache>
                <c:formatCode>General</c:formatCode>
                <c:ptCount val="17"/>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numCache>
            </c:numRef>
          </c:cat>
          <c:val>
            <c:numRef>
              <c:f>'Per capita chart'!$F$2:$F$18</c:f>
              <c:numCache>
                <c:formatCode>#,##0</c:formatCode>
                <c:ptCount val="17"/>
                <c:pt idx="0">
                  <c:v>175.73137813858543</c:v>
                </c:pt>
                <c:pt idx="1">
                  <c:v>166.6849906897036</c:v>
                </c:pt>
                <c:pt idx="2">
                  <c:v>177.9235414468736</c:v>
                </c:pt>
                <c:pt idx="3">
                  <c:v>184.41056688111203</c:v>
                </c:pt>
                <c:pt idx="4">
                  <c:v>181.38568196469654</c:v>
                </c:pt>
                <c:pt idx="5">
                  <c:v>143.64423123317053</c:v>
                </c:pt>
                <c:pt idx="6">
                  <c:v>141.00594705362462</c:v>
                </c:pt>
                <c:pt idx="7">
                  <c:v>146.28092902233684</c:v>
                </c:pt>
                <c:pt idx="8">
                  <c:v>134.82178339787467</c:v>
                </c:pt>
                <c:pt idx="9">
                  <c:v>113.1978692483876</c:v>
                </c:pt>
                <c:pt idx="10">
                  <c:v>114.95192344566121</c:v>
                </c:pt>
                <c:pt idx="11">
                  <c:v>113.42673980237267</c:v>
                </c:pt>
                <c:pt idx="12">
                  <c:v>100.26202778622073</c:v>
                </c:pt>
                <c:pt idx="13">
                  <c:v>100.23565773542299</c:v>
                </c:pt>
                <c:pt idx="14">
                  <c:v>113.44652661449909</c:v>
                </c:pt>
                <c:pt idx="15">
                  <c:v>114.30401035839178</c:v>
                </c:pt>
                <c:pt idx="16">
                  <c:v>107.63509229737295</c:v>
                </c:pt>
              </c:numCache>
            </c:numRef>
          </c:val>
          <c:extLst xmlns:c16r2="http://schemas.microsoft.com/office/drawing/2015/06/chart">
            <c:ext xmlns:c16="http://schemas.microsoft.com/office/drawing/2014/chart" uri="{C3380CC4-5D6E-409C-BE32-E72D297353CC}">
              <c16:uniqueId val="{00000000-75D9-42BC-9D52-6B4052FA146C}"/>
            </c:ext>
          </c:extLst>
        </c:ser>
        <c:gapWidth val="25"/>
        <c:overlap val="7"/>
        <c:axId val="41126528"/>
        <c:axId val="41816832"/>
      </c:barChart>
      <c:lineChart>
        <c:grouping val="standard"/>
        <c:ser>
          <c:idx val="0"/>
          <c:order val="1"/>
          <c:tx>
            <c:strRef>
              <c:f>'Per capita chart'!$G$1</c:f>
              <c:strCache>
                <c:ptCount val="1"/>
                <c:pt idx="0">
                  <c:v>Average</c:v>
                </c:pt>
              </c:strCache>
            </c:strRef>
          </c:tx>
          <c:spPr>
            <a:ln>
              <a:solidFill>
                <a:srgbClr val="FF0000"/>
              </a:solidFill>
            </a:ln>
          </c:spPr>
          <c:marker>
            <c:symbol val="none"/>
          </c:marker>
          <c:val>
            <c:numRef>
              <c:f>'Per capita chart'!$G$2:$G$18</c:f>
              <c:numCache>
                <c:formatCode>_-* #,##0_-;\-* #,##0_-;_-* "-"??_-;_-@_-</c:formatCode>
                <c:ptCount val="17"/>
                <c:pt idx="0">
                  <c:v>164.63340830376291</c:v>
                </c:pt>
                <c:pt idx="1">
                  <c:v>164.63340830376291</c:v>
                </c:pt>
                <c:pt idx="2">
                  <c:v>164.63340830376291</c:v>
                </c:pt>
                <c:pt idx="3">
                  <c:v>164.63340830376291</c:v>
                </c:pt>
                <c:pt idx="4">
                  <c:v>164.63340830376291</c:v>
                </c:pt>
                <c:pt idx="5">
                  <c:v>164.63340830376291</c:v>
                </c:pt>
                <c:pt idx="6">
                  <c:v>164.63340830376291</c:v>
                </c:pt>
                <c:pt idx="7">
                  <c:v>164.63340830376291</c:v>
                </c:pt>
                <c:pt idx="8">
                  <c:v>112.47573674291147</c:v>
                </c:pt>
                <c:pt idx="9">
                  <c:v>112.47573674291147</c:v>
                </c:pt>
                <c:pt idx="10">
                  <c:v>112.47573674291147</c:v>
                </c:pt>
                <c:pt idx="11">
                  <c:v>112.47573674291147</c:v>
                </c:pt>
                <c:pt idx="12">
                  <c:v>112.47573674291147</c:v>
                </c:pt>
                <c:pt idx="13">
                  <c:v>112.47573674291147</c:v>
                </c:pt>
                <c:pt idx="14">
                  <c:v>112.47573674291147</c:v>
                </c:pt>
                <c:pt idx="15">
                  <c:v>112.47573674291147</c:v>
                </c:pt>
                <c:pt idx="16">
                  <c:v>112.47573674291147</c:v>
                </c:pt>
              </c:numCache>
            </c:numRef>
          </c:val>
          <c:extLst xmlns:c16r2="http://schemas.microsoft.com/office/drawing/2015/06/chart">
            <c:ext xmlns:c16="http://schemas.microsoft.com/office/drawing/2014/chart" uri="{C3380CC4-5D6E-409C-BE32-E72D297353CC}">
              <c16:uniqueId val="{00000001-75D9-42BC-9D52-6B4052FA146C}"/>
            </c:ext>
          </c:extLst>
        </c:ser>
        <c:marker val="1"/>
        <c:axId val="41126528"/>
        <c:axId val="41816832"/>
      </c:lineChart>
      <c:catAx>
        <c:axId val="41126528"/>
        <c:scaling>
          <c:orientation val="minMax"/>
        </c:scaling>
        <c:axPos val="b"/>
        <c:title>
          <c:tx>
            <c:rich>
              <a:bodyPr/>
              <a:lstStyle/>
              <a:p>
                <a:pPr>
                  <a:defRPr sz="800">
                    <a:solidFill>
                      <a:schemeClr val="bg1">
                        <a:lumMod val="50000"/>
                      </a:schemeClr>
                    </a:solidFill>
                  </a:defRPr>
                </a:pPr>
                <a:r>
                  <a:rPr lang="en-US" sz="800">
                    <a:solidFill>
                      <a:schemeClr val="bg1">
                        <a:lumMod val="50000"/>
                      </a:schemeClr>
                    </a:solidFill>
                  </a:rPr>
                  <a:t>Year ending 30 June</a:t>
                </a:r>
              </a:p>
            </c:rich>
          </c:tx>
        </c:title>
        <c:numFmt formatCode="General" sourceLinked="1"/>
        <c:tickLblPos val="nextTo"/>
        <c:txPr>
          <a:bodyPr/>
          <a:lstStyle/>
          <a:p>
            <a:pPr>
              <a:defRPr sz="800">
                <a:solidFill>
                  <a:schemeClr val="bg1">
                    <a:lumMod val="50000"/>
                  </a:schemeClr>
                </a:solidFill>
              </a:defRPr>
            </a:pPr>
            <a:endParaRPr lang="en-US"/>
          </a:p>
        </c:txPr>
        <c:crossAx val="41816832"/>
        <c:crosses val="autoZero"/>
        <c:auto val="1"/>
        <c:lblAlgn val="ctr"/>
        <c:lblOffset val="100"/>
      </c:catAx>
      <c:valAx>
        <c:axId val="41816832"/>
        <c:scaling>
          <c:orientation val="minMax"/>
        </c:scaling>
        <c:axPos val="l"/>
        <c:majorGridlines>
          <c:spPr>
            <a:ln w="3175">
              <a:solidFill>
                <a:schemeClr val="bg1">
                  <a:lumMod val="75000"/>
                </a:schemeClr>
              </a:solidFill>
              <a:prstDash val="solid"/>
            </a:ln>
          </c:spPr>
        </c:majorGridlines>
        <c:title>
          <c:tx>
            <c:rich>
              <a:bodyPr rot="-5400000" vert="horz"/>
              <a:lstStyle/>
              <a:p>
                <a:pPr>
                  <a:defRPr sz="800">
                    <a:solidFill>
                      <a:schemeClr val="bg1">
                        <a:lumMod val="50000"/>
                      </a:schemeClr>
                    </a:solidFill>
                  </a:defRPr>
                </a:pPr>
                <a:r>
                  <a:rPr lang="en-US" sz="800">
                    <a:solidFill>
                      <a:schemeClr val="bg1">
                        <a:lumMod val="50000"/>
                      </a:schemeClr>
                    </a:solidFill>
                  </a:rPr>
                  <a:t>kL per capita</a:t>
                </a:r>
              </a:p>
            </c:rich>
          </c:tx>
          <c:layout>
            <c:manualLayout>
              <c:xMode val="edge"/>
              <c:yMode val="edge"/>
              <c:x val="1.0292948965665993E-2"/>
              <c:y val="0.29253443989718431"/>
            </c:manualLayout>
          </c:layout>
        </c:title>
        <c:numFmt formatCode="#,##0" sourceLinked="0"/>
        <c:tickLblPos val="nextTo"/>
        <c:txPr>
          <a:bodyPr/>
          <a:lstStyle/>
          <a:p>
            <a:pPr>
              <a:defRPr sz="800">
                <a:solidFill>
                  <a:schemeClr val="bg1">
                    <a:lumMod val="50000"/>
                  </a:schemeClr>
                </a:solidFill>
              </a:defRPr>
            </a:pPr>
            <a:endParaRPr lang="en-US"/>
          </a:p>
        </c:txPr>
        <c:crossAx val="41126528"/>
        <c:crosses val="autoZero"/>
        <c:crossBetween val="between"/>
        <c:majorUnit val="20"/>
      </c:valAx>
    </c:plotArea>
    <c:plotVisOnly val="1"/>
    <c:dispBlanksAs val="gap"/>
  </c:chart>
  <c:spPr>
    <a:ln>
      <a:solidFill>
        <a:schemeClr val="bg1">
          <a:lumMod val="50000"/>
        </a:schemeClr>
      </a:solidFill>
    </a:ln>
  </c:spPr>
  <c:txPr>
    <a:bodyPr/>
    <a:lstStyle/>
    <a:p>
      <a:pPr>
        <a:defRPr sz="1400"/>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1955544260837782"/>
          <c:y val="0.10156287282271539"/>
          <c:w val="0.85138248358019164"/>
          <c:h val="0.80708744266815391"/>
        </c:manualLayout>
      </c:layout>
      <c:lineChart>
        <c:grouping val="standard"/>
        <c:ser>
          <c:idx val="1"/>
          <c:order val="0"/>
          <c:tx>
            <c:strRef>
              <c:f>Pop_chart!$E$1</c:f>
              <c:strCache>
                <c:ptCount val="1"/>
                <c:pt idx="0">
                  <c:v>Medium series projection</c:v>
                </c:pt>
              </c:strCache>
            </c:strRef>
          </c:tx>
          <c:spPr>
            <a:ln w="38100">
              <a:solidFill>
                <a:srgbClr val="0070C0"/>
              </a:solidFill>
              <a:prstDash val="sysDash"/>
            </a:ln>
          </c:spPr>
          <c:marker>
            <c:symbol val="none"/>
          </c:marker>
          <c:cat>
            <c:numRef>
              <c:f>Pop_chart!$B$2:$B$93</c:f>
              <c:numCache>
                <c:formatCode>General</c:formatCode>
                <c:ptCount val="9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pt idx="53">
                  <c:v>2024</c:v>
                </c:pt>
                <c:pt idx="54">
                  <c:v>2025</c:v>
                </c:pt>
                <c:pt idx="55">
                  <c:v>2026</c:v>
                </c:pt>
                <c:pt idx="56">
                  <c:v>2027</c:v>
                </c:pt>
                <c:pt idx="57">
                  <c:v>2028</c:v>
                </c:pt>
                <c:pt idx="58">
                  <c:v>2029</c:v>
                </c:pt>
                <c:pt idx="59">
                  <c:v>2030</c:v>
                </c:pt>
                <c:pt idx="60">
                  <c:v>2031</c:v>
                </c:pt>
                <c:pt idx="61">
                  <c:v>2032</c:v>
                </c:pt>
                <c:pt idx="62">
                  <c:v>2033</c:v>
                </c:pt>
                <c:pt idx="63">
                  <c:v>2034</c:v>
                </c:pt>
                <c:pt idx="64">
                  <c:v>2035</c:v>
                </c:pt>
                <c:pt idx="65">
                  <c:v>2036</c:v>
                </c:pt>
                <c:pt idx="66">
                  <c:v>2037</c:v>
                </c:pt>
                <c:pt idx="67">
                  <c:v>2038</c:v>
                </c:pt>
                <c:pt idx="68">
                  <c:v>2039</c:v>
                </c:pt>
                <c:pt idx="69">
                  <c:v>2040</c:v>
                </c:pt>
                <c:pt idx="70">
                  <c:v>2041</c:v>
                </c:pt>
                <c:pt idx="71">
                  <c:v>2042</c:v>
                </c:pt>
                <c:pt idx="72">
                  <c:v>2043</c:v>
                </c:pt>
                <c:pt idx="73">
                  <c:v>2044</c:v>
                </c:pt>
                <c:pt idx="74">
                  <c:v>2045</c:v>
                </c:pt>
                <c:pt idx="75">
                  <c:v>2046</c:v>
                </c:pt>
                <c:pt idx="76">
                  <c:v>2047</c:v>
                </c:pt>
                <c:pt idx="77">
                  <c:v>2048</c:v>
                </c:pt>
                <c:pt idx="78">
                  <c:v>2049</c:v>
                </c:pt>
                <c:pt idx="79">
                  <c:v>2050</c:v>
                </c:pt>
                <c:pt idx="80">
                  <c:v>2051</c:v>
                </c:pt>
                <c:pt idx="81">
                  <c:v>2052</c:v>
                </c:pt>
                <c:pt idx="82">
                  <c:v>2053</c:v>
                </c:pt>
                <c:pt idx="83">
                  <c:v>2054</c:v>
                </c:pt>
                <c:pt idx="84">
                  <c:v>2055</c:v>
                </c:pt>
                <c:pt idx="85">
                  <c:v>2056</c:v>
                </c:pt>
                <c:pt idx="86">
                  <c:v>2057</c:v>
                </c:pt>
                <c:pt idx="87">
                  <c:v>2058</c:v>
                </c:pt>
                <c:pt idx="88">
                  <c:v>2059</c:v>
                </c:pt>
                <c:pt idx="89">
                  <c:v>2060</c:v>
                </c:pt>
                <c:pt idx="90">
                  <c:v>2061</c:v>
                </c:pt>
                <c:pt idx="91">
                  <c:v>2062</c:v>
                </c:pt>
              </c:numCache>
            </c:numRef>
          </c:cat>
          <c:val>
            <c:numRef>
              <c:f>Pop_chart!$E$2:$E$93</c:f>
              <c:numCache>
                <c:formatCode>#,##0_ ;\-#,##0\ </c:formatCode>
                <c:ptCount val="92"/>
                <c:pt idx="0">
                  <c:v>151169</c:v>
                </c:pt>
                <c:pt idx="1">
                  <c:v>159792</c:v>
                </c:pt>
                <c:pt idx="2">
                  <c:v>173306</c:v>
                </c:pt>
                <c:pt idx="3">
                  <c:v>186241</c:v>
                </c:pt>
                <c:pt idx="4">
                  <c:v>199007</c:v>
                </c:pt>
                <c:pt idx="5">
                  <c:v>207740</c:v>
                </c:pt>
                <c:pt idx="6">
                  <c:v>213688</c:v>
                </c:pt>
                <c:pt idx="7">
                  <c:v>217981</c:v>
                </c:pt>
                <c:pt idx="8">
                  <c:v>220797</c:v>
                </c:pt>
                <c:pt idx="9">
                  <c:v>224291</c:v>
                </c:pt>
                <c:pt idx="10">
                  <c:v>227581</c:v>
                </c:pt>
                <c:pt idx="11">
                  <c:v>233045</c:v>
                </c:pt>
                <c:pt idx="12">
                  <c:v>238983</c:v>
                </c:pt>
                <c:pt idx="13">
                  <c:v>245112</c:v>
                </c:pt>
                <c:pt idx="14">
                  <c:v>251389</c:v>
                </c:pt>
                <c:pt idx="15">
                  <c:v>258910</c:v>
                </c:pt>
                <c:pt idx="16">
                  <c:v>265477</c:v>
                </c:pt>
                <c:pt idx="17">
                  <c:v>272129</c:v>
                </c:pt>
                <c:pt idx="18">
                  <c:v>276432</c:v>
                </c:pt>
                <c:pt idx="19">
                  <c:v>282211</c:v>
                </c:pt>
                <c:pt idx="20">
                  <c:v>289320</c:v>
                </c:pt>
                <c:pt idx="21">
                  <c:v>294674</c:v>
                </c:pt>
                <c:pt idx="22">
                  <c:v>299302</c:v>
                </c:pt>
                <c:pt idx="23">
                  <c:v>301486</c:v>
                </c:pt>
                <c:pt idx="24">
                  <c:v>304805</c:v>
                </c:pt>
                <c:pt idx="25">
                  <c:v>308251</c:v>
                </c:pt>
                <c:pt idx="26">
                  <c:v>309042</c:v>
                </c:pt>
                <c:pt idx="27">
                  <c:v>309888</c:v>
                </c:pt>
                <c:pt idx="28">
                  <c:v>312326</c:v>
                </c:pt>
                <c:pt idx="29">
                  <c:v>315215</c:v>
                </c:pt>
                <c:pt idx="30">
                  <c:v>319317</c:v>
                </c:pt>
                <c:pt idx="31">
                  <c:v>322675</c:v>
                </c:pt>
                <c:pt idx="32">
                  <c:v>325661</c:v>
                </c:pt>
                <c:pt idx="33">
                  <c:v>327475</c:v>
                </c:pt>
                <c:pt idx="34">
                  <c:v>330164</c:v>
                </c:pt>
                <c:pt idx="35">
                  <c:v>334119</c:v>
                </c:pt>
                <c:pt idx="36">
                  <c:v>341054</c:v>
                </c:pt>
                <c:pt idx="37">
                  <c:v>346294</c:v>
                </c:pt>
                <c:pt idx="38">
                  <c:v>352189</c:v>
                </c:pt>
                <c:pt idx="39">
                  <c:v>357958</c:v>
                </c:pt>
                <c:pt idx="40">
                  <c:v>367985</c:v>
                </c:pt>
                <c:pt idx="41">
                  <c:v>375183</c:v>
                </c:pt>
                <c:pt idx="42">
                  <c:v>380914</c:v>
                </c:pt>
                <c:pt idx="43">
                  <c:v>385489</c:v>
                </c:pt>
                <c:pt idx="44">
                  <c:v>383976</c:v>
                </c:pt>
                <c:pt idx="45">
                  <c:v>391216</c:v>
                </c:pt>
                <c:pt idx="46">
                  <c:v>398440</c:v>
                </c:pt>
                <c:pt idx="47">
                  <c:v>405625</c:v>
                </c:pt>
                <c:pt idx="48">
                  <c:v>412774</c:v>
                </c:pt>
                <c:pt idx="49">
                  <c:v>419749</c:v>
                </c:pt>
                <c:pt idx="50">
                  <c:v>426715</c:v>
                </c:pt>
                <c:pt idx="51">
                  <c:v>433510</c:v>
                </c:pt>
                <c:pt idx="52">
                  <c:v>440206</c:v>
                </c:pt>
                <c:pt idx="53">
                  <c:v>446743</c:v>
                </c:pt>
                <c:pt idx="54">
                  <c:v>452804</c:v>
                </c:pt>
                <c:pt idx="55">
                  <c:v>459025</c:v>
                </c:pt>
                <c:pt idx="56">
                  <c:v>465327</c:v>
                </c:pt>
                <c:pt idx="57">
                  <c:v>471575</c:v>
                </c:pt>
                <c:pt idx="58">
                  <c:v>477821</c:v>
                </c:pt>
                <c:pt idx="59">
                  <c:v>484038</c:v>
                </c:pt>
                <c:pt idx="60">
                  <c:v>490237</c:v>
                </c:pt>
                <c:pt idx="61">
                  <c:v>496526</c:v>
                </c:pt>
                <c:pt idx="62">
                  <c:v>502780</c:v>
                </c:pt>
                <c:pt idx="63">
                  <c:v>508990</c:v>
                </c:pt>
                <c:pt idx="64">
                  <c:v>515205</c:v>
                </c:pt>
                <c:pt idx="65">
                  <c:v>521399</c:v>
                </c:pt>
                <c:pt idx="66">
                  <c:v>527572</c:v>
                </c:pt>
                <c:pt idx="67">
                  <c:v>533753</c:v>
                </c:pt>
                <c:pt idx="68">
                  <c:v>539902</c:v>
                </c:pt>
                <c:pt idx="69">
                  <c:v>546077</c:v>
                </c:pt>
                <c:pt idx="70">
                  <c:v>552442</c:v>
                </c:pt>
                <c:pt idx="71">
                  <c:v>558834</c:v>
                </c:pt>
                <c:pt idx="72">
                  <c:v>565367</c:v>
                </c:pt>
                <c:pt idx="73">
                  <c:v>571944</c:v>
                </c:pt>
                <c:pt idx="74">
                  <c:v>578570</c:v>
                </c:pt>
                <c:pt idx="75">
                  <c:v>585154</c:v>
                </c:pt>
                <c:pt idx="76">
                  <c:v>591634</c:v>
                </c:pt>
                <c:pt idx="77">
                  <c:v>598079</c:v>
                </c:pt>
                <c:pt idx="78">
                  <c:v>604316</c:v>
                </c:pt>
                <c:pt idx="79">
                  <c:v>610636</c:v>
                </c:pt>
                <c:pt idx="80">
                  <c:v>617097</c:v>
                </c:pt>
                <c:pt idx="81">
                  <c:v>623682</c:v>
                </c:pt>
                <c:pt idx="82">
                  <c:v>630327</c:v>
                </c:pt>
                <c:pt idx="83">
                  <c:v>637071</c:v>
                </c:pt>
                <c:pt idx="84">
                  <c:v>643780</c:v>
                </c:pt>
                <c:pt idx="85">
                  <c:v>650454</c:v>
                </c:pt>
                <c:pt idx="86">
                  <c:v>657002</c:v>
                </c:pt>
                <c:pt idx="87">
                  <c:v>663455</c:v>
                </c:pt>
                <c:pt idx="88">
                  <c:v>669721</c:v>
                </c:pt>
                <c:pt idx="89">
                  <c:v>675872</c:v>
                </c:pt>
                <c:pt idx="90">
                  <c:v>681910</c:v>
                </c:pt>
                <c:pt idx="91">
                  <c:v>688001.94134392322</c:v>
                </c:pt>
              </c:numCache>
            </c:numRef>
          </c:val>
          <c:extLst xmlns:c16r2="http://schemas.microsoft.com/office/drawing/2015/06/chart">
            <c:ext xmlns:c16="http://schemas.microsoft.com/office/drawing/2014/chart" uri="{C3380CC4-5D6E-409C-BE32-E72D297353CC}">
              <c16:uniqueId val="{00000000-640B-4457-8280-0FEC5ECA8F25}"/>
            </c:ext>
          </c:extLst>
        </c:ser>
        <c:ser>
          <c:idx val="0"/>
          <c:order val="1"/>
          <c:tx>
            <c:strRef>
              <c:f>Pop_chart!$F$1</c:f>
              <c:strCache>
                <c:ptCount val="1"/>
                <c:pt idx="0">
                  <c:v>High series projection</c:v>
                </c:pt>
              </c:strCache>
            </c:strRef>
          </c:tx>
          <c:spPr>
            <a:ln w="38100">
              <a:solidFill>
                <a:srgbClr val="00B050"/>
              </a:solidFill>
              <a:prstDash val="dash"/>
            </a:ln>
          </c:spPr>
          <c:marker>
            <c:symbol val="none"/>
          </c:marker>
          <c:cat>
            <c:numRef>
              <c:f>Pop_chart!$B$2:$B$93</c:f>
              <c:numCache>
                <c:formatCode>General</c:formatCode>
                <c:ptCount val="9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pt idx="53">
                  <c:v>2024</c:v>
                </c:pt>
                <c:pt idx="54">
                  <c:v>2025</c:v>
                </c:pt>
                <c:pt idx="55">
                  <c:v>2026</c:v>
                </c:pt>
                <c:pt idx="56">
                  <c:v>2027</c:v>
                </c:pt>
                <c:pt idx="57">
                  <c:v>2028</c:v>
                </c:pt>
                <c:pt idx="58">
                  <c:v>2029</c:v>
                </c:pt>
                <c:pt idx="59">
                  <c:v>2030</c:v>
                </c:pt>
                <c:pt idx="60">
                  <c:v>2031</c:v>
                </c:pt>
                <c:pt idx="61">
                  <c:v>2032</c:v>
                </c:pt>
                <c:pt idx="62">
                  <c:v>2033</c:v>
                </c:pt>
                <c:pt idx="63">
                  <c:v>2034</c:v>
                </c:pt>
                <c:pt idx="64">
                  <c:v>2035</c:v>
                </c:pt>
                <c:pt idx="65">
                  <c:v>2036</c:v>
                </c:pt>
                <c:pt idx="66">
                  <c:v>2037</c:v>
                </c:pt>
                <c:pt idx="67">
                  <c:v>2038</c:v>
                </c:pt>
                <c:pt idx="68">
                  <c:v>2039</c:v>
                </c:pt>
                <c:pt idx="69">
                  <c:v>2040</c:v>
                </c:pt>
                <c:pt idx="70">
                  <c:v>2041</c:v>
                </c:pt>
                <c:pt idx="71">
                  <c:v>2042</c:v>
                </c:pt>
                <c:pt idx="72">
                  <c:v>2043</c:v>
                </c:pt>
                <c:pt idx="73">
                  <c:v>2044</c:v>
                </c:pt>
                <c:pt idx="74">
                  <c:v>2045</c:v>
                </c:pt>
                <c:pt idx="75">
                  <c:v>2046</c:v>
                </c:pt>
                <c:pt idx="76">
                  <c:v>2047</c:v>
                </c:pt>
                <c:pt idx="77">
                  <c:v>2048</c:v>
                </c:pt>
                <c:pt idx="78">
                  <c:v>2049</c:v>
                </c:pt>
                <c:pt idx="79">
                  <c:v>2050</c:v>
                </c:pt>
                <c:pt idx="80">
                  <c:v>2051</c:v>
                </c:pt>
                <c:pt idx="81">
                  <c:v>2052</c:v>
                </c:pt>
                <c:pt idx="82">
                  <c:v>2053</c:v>
                </c:pt>
                <c:pt idx="83">
                  <c:v>2054</c:v>
                </c:pt>
                <c:pt idx="84">
                  <c:v>2055</c:v>
                </c:pt>
                <c:pt idx="85">
                  <c:v>2056</c:v>
                </c:pt>
                <c:pt idx="86">
                  <c:v>2057</c:v>
                </c:pt>
                <c:pt idx="87">
                  <c:v>2058</c:v>
                </c:pt>
                <c:pt idx="88">
                  <c:v>2059</c:v>
                </c:pt>
                <c:pt idx="89">
                  <c:v>2060</c:v>
                </c:pt>
                <c:pt idx="90">
                  <c:v>2061</c:v>
                </c:pt>
                <c:pt idx="91">
                  <c:v>2062</c:v>
                </c:pt>
              </c:numCache>
            </c:numRef>
          </c:cat>
          <c:val>
            <c:numRef>
              <c:f>Pop_chart!$F$2:$F$93</c:f>
              <c:numCache>
                <c:formatCode>#,##0_ ;\-#,##0\ </c:formatCode>
                <c:ptCount val="92"/>
                <c:pt idx="0">
                  <c:v>151169</c:v>
                </c:pt>
                <c:pt idx="1">
                  <c:v>159792</c:v>
                </c:pt>
                <c:pt idx="2">
                  <c:v>173306</c:v>
                </c:pt>
                <c:pt idx="3">
                  <c:v>186241</c:v>
                </c:pt>
                <c:pt idx="4">
                  <c:v>199007</c:v>
                </c:pt>
                <c:pt idx="5">
                  <c:v>207740</c:v>
                </c:pt>
                <c:pt idx="6">
                  <c:v>213688</c:v>
                </c:pt>
                <c:pt idx="7">
                  <c:v>217981</c:v>
                </c:pt>
                <c:pt idx="8">
                  <c:v>220797</c:v>
                </c:pt>
                <c:pt idx="9">
                  <c:v>224291</c:v>
                </c:pt>
                <c:pt idx="10">
                  <c:v>227581</c:v>
                </c:pt>
                <c:pt idx="11">
                  <c:v>233045</c:v>
                </c:pt>
                <c:pt idx="12">
                  <c:v>238983</c:v>
                </c:pt>
                <c:pt idx="13">
                  <c:v>245112</c:v>
                </c:pt>
                <c:pt idx="14">
                  <c:v>251389</c:v>
                </c:pt>
                <c:pt idx="15">
                  <c:v>258910</c:v>
                </c:pt>
                <c:pt idx="16">
                  <c:v>265477</c:v>
                </c:pt>
                <c:pt idx="17">
                  <c:v>272129</c:v>
                </c:pt>
                <c:pt idx="18">
                  <c:v>276432</c:v>
                </c:pt>
                <c:pt idx="19">
                  <c:v>282211</c:v>
                </c:pt>
                <c:pt idx="20">
                  <c:v>289320</c:v>
                </c:pt>
                <c:pt idx="21">
                  <c:v>294674</c:v>
                </c:pt>
                <c:pt idx="22">
                  <c:v>299302</c:v>
                </c:pt>
                <c:pt idx="23">
                  <c:v>301486</c:v>
                </c:pt>
                <c:pt idx="24">
                  <c:v>304805</c:v>
                </c:pt>
                <c:pt idx="25">
                  <c:v>308251</c:v>
                </c:pt>
                <c:pt idx="26">
                  <c:v>309042</c:v>
                </c:pt>
                <c:pt idx="27">
                  <c:v>309888</c:v>
                </c:pt>
                <c:pt idx="28">
                  <c:v>312326</c:v>
                </c:pt>
                <c:pt idx="29">
                  <c:v>315215</c:v>
                </c:pt>
                <c:pt idx="30">
                  <c:v>319317</c:v>
                </c:pt>
                <c:pt idx="31">
                  <c:v>322675</c:v>
                </c:pt>
                <c:pt idx="32">
                  <c:v>325661</c:v>
                </c:pt>
                <c:pt idx="33">
                  <c:v>327475</c:v>
                </c:pt>
                <c:pt idx="34">
                  <c:v>330164</c:v>
                </c:pt>
                <c:pt idx="35">
                  <c:v>334119</c:v>
                </c:pt>
                <c:pt idx="36">
                  <c:v>341054</c:v>
                </c:pt>
                <c:pt idx="37">
                  <c:v>346294</c:v>
                </c:pt>
                <c:pt idx="38">
                  <c:v>352189</c:v>
                </c:pt>
                <c:pt idx="39">
                  <c:v>357958</c:v>
                </c:pt>
                <c:pt idx="40">
                  <c:v>367985</c:v>
                </c:pt>
                <c:pt idx="41">
                  <c:v>375183</c:v>
                </c:pt>
                <c:pt idx="42">
                  <c:v>380914</c:v>
                </c:pt>
                <c:pt idx="43">
                  <c:v>385489</c:v>
                </c:pt>
                <c:pt idx="44">
                  <c:v>386874</c:v>
                </c:pt>
                <c:pt idx="45">
                  <c:v>395608</c:v>
                </c:pt>
                <c:pt idx="46">
                  <c:v>404447</c:v>
                </c:pt>
                <c:pt idx="47">
                  <c:v>413373</c:v>
                </c:pt>
                <c:pt idx="48">
                  <c:v>422382</c:v>
                </c:pt>
                <c:pt idx="49">
                  <c:v>431339</c:v>
                </c:pt>
                <c:pt idx="50">
                  <c:v>440413</c:v>
                </c:pt>
                <c:pt idx="51">
                  <c:v>449397</c:v>
                </c:pt>
                <c:pt idx="52">
                  <c:v>458360</c:v>
                </c:pt>
                <c:pt idx="53">
                  <c:v>467244</c:v>
                </c:pt>
                <c:pt idx="54">
                  <c:v>475741</c:v>
                </c:pt>
                <c:pt idx="55">
                  <c:v>484475</c:v>
                </c:pt>
                <c:pt idx="56">
                  <c:v>493353</c:v>
                </c:pt>
                <c:pt idx="57">
                  <c:v>502216</c:v>
                </c:pt>
                <c:pt idx="58">
                  <c:v>511096</c:v>
                </c:pt>
                <c:pt idx="59">
                  <c:v>519996</c:v>
                </c:pt>
                <c:pt idx="60">
                  <c:v>528907</c:v>
                </c:pt>
                <c:pt idx="61">
                  <c:v>537939</c:v>
                </c:pt>
                <c:pt idx="62">
                  <c:v>546973</c:v>
                </c:pt>
                <c:pt idx="63">
                  <c:v>555990</c:v>
                </c:pt>
                <c:pt idx="64">
                  <c:v>565039</c:v>
                </c:pt>
                <c:pt idx="65">
                  <c:v>574098</c:v>
                </c:pt>
                <c:pt idx="66">
                  <c:v>583168</c:v>
                </c:pt>
                <c:pt idx="67">
                  <c:v>592280</c:v>
                </c:pt>
                <c:pt idx="68">
                  <c:v>601381</c:v>
                </c:pt>
                <c:pt idx="69">
                  <c:v>610547</c:v>
                </c:pt>
                <c:pt idx="70">
                  <c:v>619954</c:v>
                </c:pt>
                <c:pt idx="71">
                  <c:v>629432</c:v>
                </c:pt>
                <c:pt idx="72">
                  <c:v>639111</c:v>
                </c:pt>
                <c:pt idx="73">
                  <c:v>648876</c:v>
                </c:pt>
                <c:pt idx="74">
                  <c:v>658757</c:v>
                </c:pt>
                <c:pt idx="75">
                  <c:v>668632</c:v>
                </c:pt>
                <c:pt idx="76">
                  <c:v>678450</c:v>
                </c:pt>
                <c:pt idx="77">
                  <c:v>688287</c:v>
                </c:pt>
                <c:pt idx="78">
                  <c:v>697958</c:v>
                </c:pt>
                <c:pt idx="79">
                  <c:v>707770</c:v>
                </c:pt>
                <c:pt idx="80">
                  <c:v>717798</c:v>
                </c:pt>
                <c:pt idx="81">
                  <c:v>728020</c:v>
                </c:pt>
                <c:pt idx="82">
                  <c:v>738374</c:v>
                </c:pt>
                <c:pt idx="83">
                  <c:v>748896</c:v>
                </c:pt>
                <c:pt idx="84">
                  <c:v>759417</c:v>
                </c:pt>
                <c:pt idx="85">
                  <c:v>769987</c:v>
                </c:pt>
                <c:pt idx="86">
                  <c:v>780473</c:v>
                </c:pt>
                <c:pt idx="87">
                  <c:v>790900</c:v>
                </c:pt>
                <c:pt idx="88">
                  <c:v>801176</c:v>
                </c:pt>
                <c:pt idx="89">
                  <c:v>811360</c:v>
                </c:pt>
                <c:pt idx="90">
                  <c:v>821451</c:v>
                </c:pt>
                <c:pt idx="91">
                  <c:v>831667.50320572895</c:v>
                </c:pt>
              </c:numCache>
            </c:numRef>
          </c:val>
          <c:extLst xmlns:c16r2="http://schemas.microsoft.com/office/drawing/2015/06/chart">
            <c:ext xmlns:c16="http://schemas.microsoft.com/office/drawing/2014/chart" uri="{C3380CC4-5D6E-409C-BE32-E72D297353CC}">
              <c16:uniqueId val="{00000001-640B-4457-8280-0FEC5ECA8F25}"/>
            </c:ext>
          </c:extLst>
        </c:ser>
        <c:ser>
          <c:idx val="2"/>
          <c:order val="2"/>
          <c:tx>
            <c:strRef>
              <c:f>Pop_chart!$C$1</c:f>
              <c:strCache>
                <c:ptCount val="1"/>
                <c:pt idx="0">
                  <c:v>Oberved</c:v>
                </c:pt>
              </c:strCache>
            </c:strRef>
          </c:tx>
          <c:spPr>
            <a:ln w="38100">
              <a:solidFill>
                <a:schemeClr val="tx1"/>
              </a:solidFill>
            </a:ln>
          </c:spPr>
          <c:marker>
            <c:symbol val="none"/>
          </c:marker>
          <c:cat>
            <c:numRef>
              <c:f>Pop_chart!$B$2:$B$93</c:f>
              <c:numCache>
                <c:formatCode>General</c:formatCode>
                <c:ptCount val="9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pt idx="53">
                  <c:v>2024</c:v>
                </c:pt>
                <c:pt idx="54">
                  <c:v>2025</c:v>
                </c:pt>
                <c:pt idx="55">
                  <c:v>2026</c:v>
                </c:pt>
                <c:pt idx="56">
                  <c:v>2027</c:v>
                </c:pt>
                <c:pt idx="57">
                  <c:v>2028</c:v>
                </c:pt>
                <c:pt idx="58">
                  <c:v>2029</c:v>
                </c:pt>
                <c:pt idx="59">
                  <c:v>2030</c:v>
                </c:pt>
                <c:pt idx="60">
                  <c:v>2031</c:v>
                </c:pt>
                <c:pt idx="61">
                  <c:v>2032</c:v>
                </c:pt>
                <c:pt idx="62">
                  <c:v>2033</c:v>
                </c:pt>
                <c:pt idx="63">
                  <c:v>2034</c:v>
                </c:pt>
                <c:pt idx="64">
                  <c:v>2035</c:v>
                </c:pt>
                <c:pt idx="65">
                  <c:v>2036</c:v>
                </c:pt>
                <c:pt idx="66">
                  <c:v>2037</c:v>
                </c:pt>
                <c:pt idx="67">
                  <c:v>2038</c:v>
                </c:pt>
                <c:pt idx="68">
                  <c:v>2039</c:v>
                </c:pt>
                <c:pt idx="69">
                  <c:v>2040</c:v>
                </c:pt>
                <c:pt idx="70">
                  <c:v>2041</c:v>
                </c:pt>
                <c:pt idx="71">
                  <c:v>2042</c:v>
                </c:pt>
                <c:pt idx="72">
                  <c:v>2043</c:v>
                </c:pt>
                <c:pt idx="73">
                  <c:v>2044</c:v>
                </c:pt>
                <c:pt idx="74">
                  <c:v>2045</c:v>
                </c:pt>
                <c:pt idx="75">
                  <c:v>2046</c:v>
                </c:pt>
                <c:pt idx="76">
                  <c:v>2047</c:v>
                </c:pt>
                <c:pt idx="77">
                  <c:v>2048</c:v>
                </c:pt>
                <c:pt idx="78">
                  <c:v>2049</c:v>
                </c:pt>
                <c:pt idx="79">
                  <c:v>2050</c:v>
                </c:pt>
                <c:pt idx="80">
                  <c:v>2051</c:v>
                </c:pt>
                <c:pt idx="81">
                  <c:v>2052</c:v>
                </c:pt>
                <c:pt idx="82">
                  <c:v>2053</c:v>
                </c:pt>
                <c:pt idx="83">
                  <c:v>2054</c:v>
                </c:pt>
                <c:pt idx="84">
                  <c:v>2055</c:v>
                </c:pt>
                <c:pt idx="85">
                  <c:v>2056</c:v>
                </c:pt>
                <c:pt idx="86">
                  <c:v>2057</c:v>
                </c:pt>
                <c:pt idx="87">
                  <c:v>2058</c:v>
                </c:pt>
                <c:pt idx="88">
                  <c:v>2059</c:v>
                </c:pt>
                <c:pt idx="89">
                  <c:v>2060</c:v>
                </c:pt>
                <c:pt idx="90">
                  <c:v>2061</c:v>
                </c:pt>
                <c:pt idx="91">
                  <c:v>2062</c:v>
                </c:pt>
              </c:numCache>
            </c:numRef>
          </c:cat>
          <c:val>
            <c:numRef>
              <c:f>Pop_chart!$C$2:$C$45</c:f>
              <c:numCache>
                <c:formatCode>#,##0_ ;\-#,##0\ </c:formatCode>
                <c:ptCount val="44"/>
                <c:pt idx="0">
                  <c:v>151169</c:v>
                </c:pt>
                <c:pt idx="1">
                  <c:v>159792</c:v>
                </c:pt>
                <c:pt idx="2">
                  <c:v>173306</c:v>
                </c:pt>
                <c:pt idx="3">
                  <c:v>186241</c:v>
                </c:pt>
                <c:pt idx="4">
                  <c:v>199007</c:v>
                </c:pt>
                <c:pt idx="5">
                  <c:v>207740</c:v>
                </c:pt>
                <c:pt idx="6">
                  <c:v>213688</c:v>
                </c:pt>
                <c:pt idx="7">
                  <c:v>217981</c:v>
                </c:pt>
                <c:pt idx="8">
                  <c:v>220797</c:v>
                </c:pt>
                <c:pt idx="9">
                  <c:v>224291</c:v>
                </c:pt>
                <c:pt idx="10">
                  <c:v>227581</c:v>
                </c:pt>
                <c:pt idx="11">
                  <c:v>233045</c:v>
                </c:pt>
                <c:pt idx="12">
                  <c:v>238983</c:v>
                </c:pt>
                <c:pt idx="13">
                  <c:v>245112</c:v>
                </c:pt>
                <c:pt idx="14">
                  <c:v>251389</c:v>
                </c:pt>
                <c:pt idx="15">
                  <c:v>258910</c:v>
                </c:pt>
                <c:pt idx="16">
                  <c:v>265477</c:v>
                </c:pt>
                <c:pt idx="17">
                  <c:v>272129</c:v>
                </c:pt>
                <c:pt idx="18">
                  <c:v>276432</c:v>
                </c:pt>
                <c:pt idx="19">
                  <c:v>282211</c:v>
                </c:pt>
                <c:pt idx="20">
                  <c:v>289320</c:v>
                </c:pt>
                <c:pt idx="21">
                  <c:v>294674</c:v>
                </c:pt>
                <c:pt idx="22">
                  <c:v>299302</c:v>
                </c:pt>
                <c:pt idx="23">
                  <c:v>301486</c:v>
                </c:pt>
                <c:pt idx="24">
                  <c:v>304805</c:v>
                </c:pt>
                <c:pt idx="25">
                  <c:v>308251</c:v>
                </c:pt>
                <c:pt idx="26">
                  <c:v>309042</c:v>
                </c:pt>
                <c:pt idx="27">
                  <c:v>309888</c:v>
                </c:pt>
                <c:pt idx="28">
                  <c:v>312326</c:v>
                </c:pt>
                <c:pt idx="29">
                  <c:v>315215</c:v>
                </c:pt>
                <c:pt idx="30">
                  <c:v>319317</c:v>
                </c:pt>
                <c:pt idx="31">
                  <c:v>322675</c:v>
                </c:pt>
                <c:pt idx="32">
                  <c:v>325661</c:v>
                </c:pt>
                <c:pt idx="33">
                  <c:v>327475</c:v>
                </c:pt>
                <c:pt idx="34">
                  <c:v>330164</c:v>
                </c:pt>
                <c:pt idx="35">
                  <c:v>334119</c:v>
                </c:pt>
                <c:pt idx="36">
                  <c:v>341054</c:v>
                </c:pt>
                <c:pt idx="37">
                  <c:v>346294</c:v>
                </c:pt>
                <c:pt idx="38">
                  <c:v>352189</c:v>
                </c:pt>
                <c:pt idx="39">
                  <c:v>357958</c:v>
                </c:pt>
                <c:pt idx="40">
                  <c:v>367985</c:v>
                </c:pt>
                <c:pt idx="41">
                  <c:v>375183</c:v>
                </c:pt>
                <c:pt idx="42">
                  <c:v>380914</c:v>
                </c:pt>
                <c:pt idx="43">
                  <c:v>385489</c:v>
                </c:pt>
              </c:numCache>
            </c:numRef>
          </c:val>
          <c:extLst xmlns:c16r2="http://schemas.microsoft.com/office/drawing/2015/06/chart">
            <c:ext xmlns:c16="http://schemas.microsoft.com/office/drawing/2014/chart" uri="{C3380CC4-5D6E-409C-BE32-E72D297353CC}">
              <c16:uniqueId val="{00000002-640B-4457-8280-0FEC5ECA8F25}"/>
            </c:ext>
          </c:extLst>
        </c:ser>
        <c:marker val="1"/>
        <c:axId val="42002688"/>
        <c:axId val="42217472"/>
      </c:lineChart>
      <c:catAx>
        <c:axId val="42002688"/>
        <c:scaling>
          <c:orientation val="minMax"/>
        </c:scaling>
        <c:axPos val="b"/>
        <c:numFmt formatCode="General" sourceLinked="1"/>
        <c:tickLblPos val="nextTo"/>
        <c:spPr>
          <a:ln w="3175">
            <a:solidFill>
              <a:schemeClr val="bg1">
                <a:lumMod val="50000"/>
              </a:schemeClr>
            </a:solidFill>
            <a:prstDash val="solid"/>
          </a:ln>
        </c:spPr>
        <c:txPr>
          <a:bodyPr rot="0" vert="horz"/>
          <a:lstStyle/>
          <a:p>
            <a:pPr>
              <a:defRPr sz="700" b="0" i="0" u="none" strike="noStrike" baseline="0">
                <a:solidFill>
                  <a:schemeClr val="bg1">
                    <a:lumMod val="50000"/>
                  </a:schemeClr>
                </a:solidFill>
                <a:latin typeface="Calibri"/>
                <a:ea typeface="Calibri"/>
                <a:cs typeface="Calibri"/>
              </a:defRPr>
            </a:pPr>
            <a:endParaRPr lang="en-US"/>
          </a:p>
        </c:txPr>
        <c:crossAx val="42217472"/>
        <c:crosses val="autoZero"/>
        <c:auto val="1"/>
        <c:lblAlgn val="ctr"/>
        <c:lblOffset val="100"/>
        <c:tickLblSkip val="5"/>
        <c:tickMarkSkip val="5"/>
      </c:catAx>
      <c:valAx>
        <c:axId val="42217472"/>
        <c:scaling>
          <c:orientation val="minMax"/>
          <c:max val="900000"/>
          <c:min val="0"/>
        </c:scaling>
        <c:axPos val="l"/>
        <c:title>
          <c:tx>
            <c:rich>
              <a:bodyPr/>
              <a:lstStyle/>
              <a:p>
                <a:pPr>
                  <a:defRPr sz="1000" b="1" i="0" u="none" strike="noStrike" baseline="0">
                    <a:solidFill>
                      <a:schemeClr val="bg1">
                        <a:lumMod val="50000"/>
                      </a:schemeClr>
                    </a:solidFill>
                    <a:latin typeface="Calibri"/>
                    <a:ea typeface="Calibri"/>
                    <a:cs typeface="Calibri"/>
                  </a:defRPr>
                </a:pPr>
                <a:r>
                  <a:rPr lang="en-AU" sz="1000">
                    <a:solidFill>
                      <a:schemeClr val="bg1">
                        <a:lumMod val="50000"/>
                      </a:schemeClr>
                    </a:solidFill>
                  </a:rPr>
                  <a:t>ACT population</a:t>
                </a:r>
              </a:p>
            </c:rich>
          </c:tx>
          <c:layout>
            <c:manualLayout>
              <c:xMode val="edge"/>
              <c:yMode val="edge"/>
              <c:x val="1.994575160553177E-4"/>
              <c:y val="0.24295931758530201"/>
            </c:manualLayout>
          </c:layout>
        </c:title>
        <c:numFmt formatCode="#,##0" sourceLinked="0"/>
        <c:tickLblPos val="nextTo"/>
        <c:spPr>
          <a:ln w="3175">
            <a:solidFill>
              <a:schemeClr val="bg1">
                <a:lumMod val="50000"/>
              </a:schemeClr>
            </a:solidFill>
            <a:prstDash val="solid"/>
          </a:ln>
        </c:spPr>
        <c:txPr>
          <a:bodyPr rot="0" vert="horz"/>
          <a:lstStyle/>
          <a:p>
            <a:pPr>
              <a:defRPr sz="700" b="0" i="0" u="none" strike="noStrike" baseline="0">
                <a:solidFill>
                  <a:schemeClr val="bg1">
                    <a:lumMod val="50000"/>
                  </a:schemeClr>
                </a:solidFill>
                <a:latin typeface="Calibri"/>
                <a:ea typeface="Calibri"/>
                <a:cs typeface="Calibri"/>
              </a:defRPr>
            </a:pPr>
            <a:endParaRPr lang="en-US"/>
          </a:p>
        </c:txPr>
        <c:crossAx val="42002688"/>
        <c:crosses val="autoZero"/>
        <c:crossBetween val="between"/>
      </c:valAx>
      <c:spPr>
        <a:noFill/>
        <a:ln w="25400">
          <a:noFill/>
        </a:ln>
      </c:spPr>
    </c:plotArea>
    <c:legend>
      <c:legendPos val="r"/>
      <c:layout>
        <c:manualLayout>
          <c:xMode val="edge"/>
          <c:yMode val="edge"/>
          <c:x val="0.15119831443211823"/>
          <c:y val="0.11219769403824523"/>
          <c:w val="0.37828930249605391"/>
          <c:h val="0.26877390326209233"/>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en-US"/>
        </a:p>
      </c:txPr>
    </c:legend>
    <c:plotVisOnly val="1"/>
    <c:dispBlanksAs val="gap"/>
  </c:chart>
  <c:spPr>
    <a:solidFill>
      <a:srgbClr val="FFFFFF"/>
    </a:solidFill>
    <a:ln w="3175">
      <a:solidFill>
        <a:schemeClr val="bg1">
          <a:lumMod val="50000"/>
        </a:schemeClr>
      </a:solidFill>
      <a:prstDash val="solid"/>
    </a:ln>
  </c:spPr>
  <c:txPr>
    <a:bodyPr/>
    <a:lstStyle/>
    <a:p>
      <a:pPr>
        <a:defRPr sz="1200" b="0" i="0" u="none" strike="noStrike" baseline="0">
          <a:solidFill>
            <a:srgbClr val="000000"/>
          </a:solidFill>
          <a:latin typeface="Calibri"/>
          <a:ea typeface="Calibri"/>
          <a:cs typeface="Calibri"/>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2900356071753513"/>
          <c:y val="0.11231831433816131"/>
          <c:w val="0.7608073955092276"/>
          <c:h val="0.73268273106486692"/>
        </c:manualLayout>
      </c:layout>
      <c:barChart>
        <c:barDir val="col"/>
        <c:grouping val="clustered"/>
        <c:ser>
          <c:idx val="2"/>
          <c:order val="0"/>
          <c:tx>
            <c:strRef>
              <c:f>Pop_chart!$N$40</c:f>
              <c:strCache>
                <c:ptCount val="1"/>
                <c:pt idx="0">
                  <c:v>High series projection</c:v>
                </c:pt>
              </c:strCache>
            </c:strRef>
          </c:tx>
          <c:spPr>
            <a:solidFill>
              <a:schemeClr val="accent1"/>
            </a:solidFill>
          </c:spPr>
          <c:cat>
            <c:strRef>
              <c:f>Pop_chart!$K$42:$K$48</c:f>
              <c:strCache>
                <c:ptCount val="7"/>
                <c:pt idx="0">
                  <c:v>1990-99</c:v>
                </c:pt>
                <c:pt idx="1">
                  <c:v>2000-09</c:v>
                </c:pt>
                <c:pt idx="2">
                  <c:v>2010-19</c:v>
                </c:pt>
                <c:pt idx="3">
                  <c:v>2020-29</c:v>
                </c:pt>
                <c:pt idx="4">
                  <c:v>2030-39</c:v>
                </c:pt>
                <c:pt idx="5">
                  <c:v>2040-49</c:v>
                </c:pt>
                <c:pt idx="6">
                  <c:v>2040-59</c:v>
                </c:pt>
              </c:strCache>
            </c:strRef>
          </c:cat>
          <c:val>
            <c:numRef>
              <c:f>Pop_chart!$N$42:$N$48</c:f>
              <c:numCache>
                <c:formatCode>General</c:formatCode>
                <c:ptCount val="7"/>
                <c:pt idx="2" formatCode="0.00%">
                  <c:v>1.7997642181484978E-2</c:v>
                </c:pt>
                <c:pt idx="3" formatCode="0.00%">
                  <c:v>1.8490560788614066E-2</c:v>
                </c:pt>
                <c:pt idx="4" formatCode="0.00%">
                  <c:v>1.5651081931399472E-2</c:v>
                </c:pt>
                <c:pt idx="5" formatCode="0.00%">
                  <c:v>1.4316833921057676E-2</c:v>
                </c:pt>
                <c:pt idx="6" formatCode="0.0%">
                  <c:v>1.319722508724586E-2</c:v>
                </c:pt>
              </c:numCache>
            </c:numRef>
          </c:val>
          <c:extLst xmlns:c16r2="http://schemas.microsoft.com/office/drawing/2015/06/chart">
            <c:ext xmlns:c16="http://schemas.microsoft.com/office/drawing/2014/chart" uri="{C3380CC4-5D6E-409C-BE32-E72D297353CC}">
              <c16:uniqueId val="{00000000-94CB-49C4-A4B1-ADF5ED16B488}"/>
            </c:ext>
          </c:extLst>
        </c:ser>
        <c:ser>
          <c:idx val="1"/>
          <c:order val="1"/>
          <c:tx>
            <c:strRef>
              <c:f>Pop_chart!$M$40</c:f>
              <c:strCache>
                <c:ptCount val="1"/>
                <c:pt idx="0">
                  <c:v>Medium series projection</c:v>
                </c:pt>
              </c:strCache>
            </c:strRef>
          </c:tx>
          <c:spPr>
            <a:solidFill>
              <a:srgbClr val="C00000"/>
            </a:solidFill>
          </c:spPr>
          <c:cat>
            <c:strRef>
              <c:f>Pop_chart!$K$42:$K$48</c:f>
              <c:strCache>
                <c:ptCount val="7"/>
                <c:pt idx="0">
                  <c:v>1990-99</c:v>
                </c:pt>
                <c:pt idx="1">
                  <c:v>2000-09</c:v>
                </c:pt>
                <c:pt idx="2">
                  <c:v>2010-19</c:v>
                </c:pt>
                <c:pt idx="3">
                  <c:v>2020-29</c:v>
                </c:pt>
                <c:pt idx="4">
                  <c:v>2030-39</c:v>
                </c:pt>
                <c:pt idx="5">
                  <c:v>2040-49</c:v>
                </c:pt>
                <c:pt idx="6">
                  <c:v>2040-59</c:v>
                </c:pt>
              </c:strCache>
            </c:strRef>
          </c:cat>
          <c:val>
            <c:numRef>
              <c:f>Pop_chart!$M$42:$M$48</c:f>
              <c:numCache>
                <c:formatCode>General</c:formatCode>
                <c:ptCount val="7"/>
                <c:pt idx="2" formatCode="0.00%">
                  <c:v>1.6650836131613205E-2</c:v>
                </c:pt>
                <c:pt idx="3" formatCode="0.00%">
                  <c:v>1.3535322561622837E-2</c:v>
                </c:pt>
                <c:pt idx="4" formatCode="0.00%">
                  <c:v>1.1065154191619842E-2</c:v>
                </c:pt>
                <c:pt idx="5" formatCode="0.00%">
                  <c:v>1.0134601894072255E-2</c:v>
                </c:pt>
                <c:pt idx="6" formatCode="0.0%">
                  <c:v>9.0115959303423317E-3</c:v>
                </c:pt>
              </c:numCache>
            </c:numRef>
          </c:val>
          <c:extLst xmlns:c16r2="http://schemas.microsoft.com/office/drawing/2015/06/chart">
            <c:ext xmlns:c16="http://schemas.microsoft.com/office/drawing/2014/chart" uri="{C3380CC4-5D6E-409C-BE32-E72D297353CC}">
              <c16:uniqueId val="{00000001-94CB-49C4-A4B1-ADF5ED16B488}"/>
            </c:ext>
          </c:extLst>
        </c:ser>
        <c:gapWidth val="153"/>
        <c:axId val="42254720"/>
        <c:axId val="42256256"/>
      </c:barChart>
      <c:barChart>
        <c:barDir val="col"/>
        <c:grouping val="clustered"/>
        <c:ser>
          <c:idx val="0"/>
          <c:order val="2"/>
          <c:tx>
            <c:strRef>
              <c:f>Pop_chart!$L$40</c:f>
              <c:strCache>
                <c:ptCount val="1"/>
                <c:pt idx="0">
                  <c:v>Oberved</c:v>
                </c:pt>
              </c:strCache>
            </c:strRef>
          </c:tx>
          <c:spPr>
            <a:solidFill>
              <a:schemeClr val="tx1"/>
            </a:solidFill>
          </c:spPr>
          <c:cat>
            <c:strRef>
              <c:f>Pop_chart!$K$42:$K$48</c:f>
              <c:strCache>
                <c:ptCount val="7"/>
                <c:pt idx="0">
                  <c:v>1990-99</c:v>
                </c:pt>
                <c:pt idx="1">
                  <c:v>2000-09</c:v>
                </c:pt>
                <c:pt idx="2">
                  <c:v>2010-19</c:v>
                </c:pt>
                <c:pt idx="3">
                  <c:v>2020-29</c:v>
                </c:pt>
                <c:pt idx="4">
                  <c:v>2030-39</c:v>
                </c:pt>
                <c:pt idx="5">
                  <c:v>2040-49</c:v>
                </c:pt>
                <c:pt idx="6">
                  <c:v>2040-59</c:v>
                </c:pt>
              </c:strCache>
            </c:strRef>
          </c:cat>
          <c:val>
            <c:numRef>
              <c:f>Pop_chart!$L$42:$L$48</c:f>
              <c:numCache>
                <c:formatCode>0.00%</c:formatCode>
                <c:ptCount val="7"/>
                <c:pt idx="0">
                  <c:v>1.0671093614352386E-2</c:v>
                </c:pt>
                <c:pt idx="1">
                  <c:v>1.172977174309597E-2</c:v>
                </c:pt>
              </c:numCache>
            </c:numRef>
          </c:val>
          <c:extLst xmlns:c16r2="http://schemas.microsoft.com/office/drawing/2015/06/chart">
            <c:ext xmlns:c16="http://schemas.microsoft.com/office/drawing/2014/chart" uri="{C3380CC4-5D6E-409C-BE32-E72D297353CC}">
              <c16:uniqueId val="{00000002-94CB-49C4-A4B1-ADF5ED16B488}"/>
            </c:ext>
          </c:extLst>
        </c:ser>
        <c:gapWidth val="153"/>
        <c:axId val="42272256"/>
        <c:axId val="42270720"/>
      </c:barChart>
      <c:catAx>
        <c:axId val="42254720"/>
        <c:scaling>
          <c:orientation val="minMax"/>
        </c:scaling>
        <c:axPos val="b"/>
        <c:numFmt formatCode="General" sourceLinked="1"/>
        <c:majorTickMark val="in"/>
        <c:tickLblPos val="nextTo"/>
        <c:spPr>
          <a:ln w="3175">
            <a:solidFill>
              <a:schemeClr val="bg1">
                <a:lumMod val="50000"/>
              </a:schemeClr>
            </a:solidFill>
            <a:prstDash val="solid"/>
          </a:ln>
        </c:spPr>
        <c:txPr>
          <a:bodyPr rot="0" vert="horz"/>
          <a:lstStyle/>
          <a:p>
            <a:pPr>
              <a:defRPr sz="800" b="0" i="0" u="none" strike="noStrike" baseline="0">
                <a:solidFill>
                  <a:schemeClr val="bg1">
                    <a:lumMod val="50000"/>
                  </a:schemeClr>
                </a:solidFill>
                <a:latin typeface="Calibri"/>
                <a:ea typeface="Calibri"/>
                <a:cs typeface="Calibri"/>
              </a:defRPr>
            </a:pPr>
            <a:endParaRPr lang="en-US"/>
          </a:p>
        </c:txPr>
        <c:crossAx val="42256256"/>
        <c:crosses val="autoZero"/>
        <c:auto val="1"/>
        <c:lblAlgn val="ctr"/>
        <c:lblOffset val="100"/>
        <c:tickMarkSkip val="1"/>
      </c:catAx>
      <c:valAx>
        <c:axId val="42256256"/>
        <c:scaling>
          <c:orientation val="minMax"/>
        </c:scaling>
        <c:axPos val="l"/>
        <c:majorGridlines>
          <c:spPr>
            <a:ln w="3175">
              <a:solidFill>
                <a:schemeClr val="bg1">
                  <a:lumMod val="75000"/>
                </a:schemeClr>
              </a:solidFill>
            </a:ln>
          </c:spPr>
        </c:majorGridlines>
        <c:title>
          <c:tx>
            <c:rich>
              <a:bodyPr/>
              <a:lstStyle/>
              <a:p>
                <a:pPr>
                  <a:defRPr sz="800" b="1" i="0" u="none" strike="noStrike" baseline="0">
                    <a:solidFill>
                      <a:schemeClr val="bg1">
                        <a:lumMod val="50000"/>
                      </a:schemeClr>
                    </a:solidFill>
                    <a:latin typeface="Calibri"/>
                    <a:ea typeface="Calibri"/>
                    <a:cs typeface="Calibri"/>
                  </a:defRPr>
                </a:pPr>
                <a:r>
                  <a:rPr lang="en-AU" sz="800">
                    <a:solidFill>
                      <a:schemeClr val="bg1">
                        <a:lumMod val="50000"/>
                      </a:schemeClr>
                    </a:solidFill>
                  </a:rPr>
                  <a:t>10 year average population growth rates</a:t>
                </a:r>
              </a:p>
            </c:rich>
          </c:tx>
          <c:layout>
            <c:manualLayout>
              <c:xMode val="edge"/>
              <c:yMode val="edge"/>
              <c:x val="1.0963783203665497E-2"/>
              <c:y val="9.4650369564250908E-2"/>
            </c:manualLayout>
          </c:layout>
        </c:title>
        <c:numFmt formatCode="0.0%" sourceLinked="0"/>
        <c:tickLblPos val="nextTo"/>
        <c:spPr>
          <a:ln w="3175">
            <a:solidFill>
              <a:schemeClr val="bg1">
                <a:lumMod val="50000"/>
                <a:alpha val="50000"/>
              </a:schemeClr>
            </a:solidFill>
            <a:prstDash val="solid"/>
          </a:ln>
        </c:spPr>
        <c:txPr>
          <a:bodyPr rot="0" vert="horz"/>
          <a:lstStyle/>
          <a:p>
            <a:pPr>
              <a:defRPr sz="800" b="0" i="0" u="none" strike="noStrike" baseline="0">
                <a:solidFill>
                  <a:schemeClr val="bg1">
                    <a:lumMod val="50000"/>
                  </a:schemeClr>
                </a:solidFill>
                <a:latin typeface="Calibri"/>
                <a:ea typeface="Calibri"/>
                <a:cs typeface="Calibri"/>
              </a:defRPr>
            </a:pPr>
            <a:endParaRPr lang="en-US"/>
          </a:p>
        </c:txPr>
        <c:crossAx val="42254720"/>
        <c:crosses val="autoZero"/>
        <c:crossBetween val="between"/>
      </c:valAx>
      <c:valAx>
        <c:axId val="42270720"/>
        <c:scaling>
          <c:orientation val="minMax"/>
          <c:max val="2.0000000000000011E-2"/>
          <c:min val="0"/>
        </c:scaling>
        <c:axPos val="r"/>
        <c:numFmt formatCode="0.00%" sourceLinked="1"/>
        <c:tickLblPos val="nextTo"/>
        <c:spPr>
          <a:ln>
            <a:noFill/>
          </a:ln>
        </c:spPr>
        <c:txPr>
          <a:bodyPr/>
          <a:lstStyle/>
          <a:p>
            <a:pPr>
              <a:defRPr>
                <a:solidFill>
                  <a:schemeClr val="bg1"/>
                </a:solidFill>
              </a:defRPr>
            </a:pPr>
            <a:endParaRPr lang="en-US"/>
          </a:p>
        </c:txPr>
        <c:crossAx val="42272256"/>
        <c:crosses val="max"/>
        <c:crossBetween val="between"/>
      </c:valAx>
      <c:catAx>
        <c:axId val="42272256"/>
        <c:scaling>
          <c:orientation val="minMax"/>
        </c:scaling>
        <c:delete val="1"/>
        <c:axPos val="b"/>
        <c:numFmt formatCode="General" sourceLinked="1"/>
        <c:tickLblPos val="none"/>
        <c:crossAx val="42270720"/>
        <c:crosses val="autoZero"/>
        <c:auto val="1"/>
        <c:lblAlgn val="ctr"/>
        <c:lblOffset val="100"/>
      </c:catAx>
      <c:spPr>
        <a:noFill/>
        <a:ln w="25400">
          <a:noFill/>
        </a:ln>
      </c:spPr>
    </c:plotArea>
    <c:legend>
      <c:legendPos val="r"/>
      <c:layout>
        <c:manualLayout>
          <c:xMode val="edge"/>
          <c:yMode val="edge"/>
          <c:x val="0.13183743031991321"/>
          <c:y val="0.12782243978039995"/>
          <c:w val="0.24748365409063849"/>
          <c:h val="0.19644049602699915"/>
        </c:manualLayout>
      </c:layout>
      <c:spPr>
        <a:noFill/>
        <a:ln w="25400">
          <a:noFill/>
        </a:ln>
      </c:spPr>
      <c:txPr>
        <a:bodyPr/>
        <a:lstStyle/>
        <a:p>
          <a:pPr>
            <a:defRPr sz="800" b="0" i="0" u="none" strike="noStrike" baseline="0">
              <a:solidFill>
                <a:schemeClr val="bg1">
                  <a:lumMod val="50000"/>
                </a:schemeClr>
              </a:solidFill>
              <a:latin typeface="Calibri"/>
              <a:ea typeface="Calibri"/>
              <a:cs typeface="Calibri"/>
            </a:defRPr>
          </a:pPr>
          <a:endParaRPr lang="en-US"/>
        </a:p>
      </c:txPr>
    </c:legend>
    <c:plotVisOnly val="1"/>
    <c:dispBlanksAs val="gap"/>
  </c:chart>
  <c:spPr>
    <a:solidFill>
      <a:srgbClr val="FFFFFF"/>
    </a:solidFill>
    <a:ln w="3175">
      <a:solidFill>
        <a:schemeClr val="bg1">
          <a:lumMod val="50000"/>
        </a:schemeClr>
      </a:solidFill>
      <a:prstDash val="solid"/>
    </a:ln>
  </c:spPr>
  <c:txPr>
    <a:bodyPr/>
    <a:lstStyle/>
    <a:p>
      <a:pPr>
        <a:defRPr sz="1200" b="0" i="0" u="none" strike="noStrike" baseline="0">
          <a:solidFill>
            <a:srgbClr val="000000"/>
          </a:solidFill>
          <a:latin typeface="Calibri"/>
          <a:ea typeface="Calibri"/>
          <a:cs typeface="Calibri"/>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0.38813</cdr:x>
      <cdr:y>0.0745</cdr:y>
    </cdr:from>
    <cdr:to>
      <cdr:x>0.64875</cdr:x>
      <cdr:y>0.14969</cdr:y>
    </cdr:to>
    <cdr:sp macro="" textlink="">
      <cdr:nvSpPr>
        <cdr:cNvPr id="2" name="TextBox 1"/>
        <cdr:cNvSpPr txBox="1"/>
      </cdr:nvSpPr>
      <cdr:spPr>
        <a:xfrm xmlns:a="http://schemas.openxmlformats.org/drawingml/2006/main">
          <a:off x="2418549" y="250599"/>
          <a:ext cx="1624001" cy="2529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800" b="0">
              <a:solidFill>
                <a:srgbClr val="FF0000"/>
              </a:solidFill>
            </a:rPr>
            <a:t>Average 1999 to 2006 </a:t>
          </a:r>
        </a:p>
      </cdr:txBody>
    </cdr:sp>
  </cdr:relSizeAnchor>
  <cdr:relSizeAnchor xmlns:cdr="http://schemas.openxmlformats.org/drawingml/2006/chartDrawing">
    <cdr:from>
      <cdr:x>0.65909</cdr:x>
      <cdr:y>0.27029</cdr:y>
    </cdr:from>
    <cdr:to>
      <cdr:x>0.92608</cdr:x>
      <cdr:y>0.34513</cdr:y>
    </cdr:to>
    <cdr:sp macro="" textlink="">
      <cdr:nvSpPr>
        <cdr:cNvPr id="3" name="TextBox 1"/>
        <cdr:cNvSpPr txBox="1"/>
      </cdr:nvSpPr>
      <cdr:spPr>
        <a:xfrm xmlns:a="http://schemas.openxmlformats.org/drawingml/2006/main">
          <a:off x="4106958" y="909176"/>
          <a:ext cx="1663689" cy="2517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solidFill>
                <a:srgbClr val="FF0000"/>
              </a:solidFill>
            </a:rPr>
            <a:t>Average 2007 to 2015 </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EC3A54377E54BA4BC2549893CE933A7"/>
        <w:category>
          <w:name w:val="General"/>
          <w:gallery w:val="placeholder"/>
        </w:category>
        <w:types>
          <w:type w:val="bbPlcHdr"/>
        </w:types>
        <w:behaviors>
          <w:behavior w:val="content"/>
        </w:behaviors>
        <w:guid w:val="{675AA752-53FF-409D-9E3B-F31C9C9350D9}"/>
      </w:docPartPr>
      <w:docPartBody>
        <w:p w:rsidR="002F72C8" w:rsidRDefault="002F72C8">
          <w:pPr>
            <w:pStyle w:val="BEC3A54377E54BA4BC2549893CE933A7"/>
          </w:pPr>
          <w:r w:rsidRPr="00576B93">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F72C8"/>
    <w:rsid w:val="0002362D"/>
    <w:rsid w:val="000500BD"/>
    <w:rsid w:val="00050528"/>
    <w:rsid w:val="00060393"/>
    <w:rsid w:val="000676D5"/>
    <w:rsid w:val="000713A7"/>
    <w:rsid w:val="000805CF"/>
    <w:rsid w:val="00082BB2"/>
    <w:rsid w:val="00091114"/>
    <w:rsid w:val="000A18B7"/>
    <w:rsid w:val="000B502C"/>
    <w:rsid w:val="000C25D4"/>
    <w:rsid w:val="000C3023"/>
    <w:rsid w:val="000C67C6"/>
    <w:rsid w:val="000C7138"/>
    <w:rsid w:val="000C79A1"/>
    <w:rsid w:val="000E0C8D"/>
    <w:rsid w:val="000E19AF"/>
    <w:rsid w:val="000E3556"/>
    <w:rsid w:val="000F4C12"/>
    <w:rsid w:val="000F5013"/>
    <w:rsid w:val="00112D47"/>
    <w:rsid w:val="00116606"/>
    <w:rsid w:val="0011669D"/>
    <w:rsid w:val="00120111"/>
    <w:rsid w:val="001330A8"/>
    <w:rsid w:val="00133D5F"/>
    <w:rsid w:val="0013773A"/>
    <w:rsid w:val="00142B07"/>
    <w:rsid w:val="0014556B"/>
    <w:rsid w:val="0015410F"/>
    <w:rsid w:val="00154CF4"/>
    <w:rsid w:val="00165013"/>
    <w:rsid w:val="001658C6"/>
    <w:rsid w:val="00165E46"/>
    <w:rsid w:val="001750F7"/>
    <w:rsid w:val="00175315"/>
    <w:rsid w:val="00175859"/>
    <w:rsid w:val="0018205C"/>
    <w:rsid w:val="00192ADB"/>
    <w:rsid w:val="001B41B8"/>
    <w:rsid w:val="001C11BC"/>
    <w:rsid w:val="001D7A03"/>
    <w:rsid w:val="001E015C"/>
    <w:rsid w:val="001E28B0"/>
    <w:rsid w:val="001E61EB"/>
    <w:rsid w:val="001E64B5"/>
    <w:rsid w:val="002013CC"/>
    <w:rsid w:val="002050DA"/>
    <w:rsid w:val="0021059A"/>
    <w:rsid w:val="002156C2"/>
    <w:rsid w:val="00217179"/>
    <w:rsid w:val="00236F7A"/>
    <w:rsid w:val="00237717"/>
    <w:rsid w:val="002409CE"/>
    <w:rsid w:val="0024114E"/>
    <w:rsid w:val="00251268"/>
    <w:rsid w:val="00252E48"/>
    <w:rsid w:val="00253FD0"/>
    <w:rsid w:val="00272225"/>
    <w:rsid w:val="0028248D"/>
    <w:rsid w:val="00291BCD"/>
    <w:rsid w:val="00292FEF"/>
    <w:rsid w:val="00294ED8"/>
    <w:rsid w:val="002A34EE"/>
    <w:rsid w:val="002A629B"/>
    <w:rsid w:val="002C3DF3"/>
    <w:rsid w:val="002C4619"/>
    <w:rsid w:val="002C6E52"/>
    <w:rsid w:val="002D007C"/>
    <w:rsid w:val="002E6BF7"/>
    <w:rsid w:val="002E7EF7"/>
    <w:rsid w:val="002F0173"/>
    <w:rsid w:val="002F28F4"/>
    <w:rsid w:val="002F72C8"/>
    <w:rsid w:val="003059A7"/>
    <w:rsid w:val="00313F08"/>
    <w:rsid w:val="00325DAB"/>
    <w:rsid w:val="0033568C"/>
    <w:rsid w:val="003707CB"/>
    <w:rsid w:val="00376CE7"/>
    <w:rsid w:val="003A3CEF"/>
    <w:rsid w:val="003B5A73"/>
    <w:rsid w:val="003B65D2"/>
    <w:rsid w:val="003B6CF5"/>
    <w:rsid w:val="003D01F8"/>
    <w:rsid w:val="003E67D4"/>
    <w:rsid w:val="003F4BC6"/>
    <w:rsid w:val="004035A3"/>
    <w:rsid w:val="004044B4"/>
    <w:rsid w:val="00404E50"/>
    <w:rsid w:val="00421773"/>
    <w:rsid w:val="00426F92"/>
    <w:rsid w:val="00430AB0"/>
    <w:rsid w:val="00430F5C"/>
    <w:rsid w:val="00435A5A"/>
    <w:rsid w:val="00435FF6"/>
    <w:rsid w:val="00462CD9"/>
    <w:rsid w:val="004634D7"/>
    <w:rsid w:val="00463D30"/>
    <w:rsid w:val="004734D6"/>
    <w:rsid w:val="00482920"/>
    <w:rsid w:val="004837D4"/>
    <w:rsid w:val="004846E9"/>
    <w:rsid w:val="00487017"/>
    <w:rsid w:val="004A0279"/>
    <w:rsid w:val="004A6714"/>
    <w:rsid w:val="004C2532"/>
    <w:rsid w:val="004C3ADE"/>
    <w:rsid w:val="004C4C1A"/>
    <w:rsid w:val="004C60FD"/>
    <w:rsid w:val="004D0463"/>
    <w:rsid w:val="004D1C6B"/>
    <w:rsid w:val="004D4FE1"/>
    <w:rsid w:val="004D5CD7"/>
    <w:rsid w:val="004E011F"/>
    <w:rsid w:val="004E60C5"/>
    <w:rsid w:val="00511C61"/>
    <w:rsid w:val="005155B4"/>
    <w:rsid w:val="00517F15"/>
    <w:rsid w:val="005203A9"/>
    <w:rsid w:val="005306C6"/>
    <w:rsid w:val="00532EC3"/>
    <w:rsid w:val="005330D4"/>
    <w:rsid w:val="00543E90"/>
    <w:rsid w:val="005456CE"/>
    <w:rsid w:val="0055250F"/>
    <w:rsid w:val="00553FFF"/>
    <w:rsid w:val="00557D73"/>
    <w:rsid w:val="005726AB"/>
    <w:rsid w:val="00586668"/>
    <w:rsid w:val="0059144A"/>
    <w:rsid w:val="0059419D"/>
    <w:rsid w:val="005A24BF"/>
    <w:rsid w:val="005B0888"/>
    <w:rsid w:val="005B19A0"/>
    <w:rsid w:val="005C1F8C"/>
    <w:rsid w:val="005C2640"/>
    <w:rsid w:val="005D2442"/>
    <w:rsid w:val="005E6A5B"/>
    <w:rsid w:val="005F7F1C"/>
    <w:rsid w:val="00606437"/>
    <w:rsid w:val="00620916"/>
    <w:rsid w:val="00625D4C"/>
    <w:rsid w:val="0063729F"/>
    <w:rsid w:val="006502AE"/>
    <w:rsid w:val="006524DB"/>
    <w:rsid w:val="00657FBC"/>
    <w:rsid w:val="00662631"/>
    <w:rsid w:val="0067785E"/>
    <w:rsid w:val="00685FD9"/>
    <w:rsid w:val="00687F4B"/>
    <w:rsid w:val="006950E0"/>
    <w:rsid w:val="00695CFF"/>
    <w:rsid w:val="006A09DA"/>
    <w:rsid w:val="006B6D98"/>
    <w:rsid w:val="006C012E"/>
    <w:rsid w:val="006C3758"/>
    <w:rsid w:val="006C73D2"/>
    <w:rsid w:val="006D54B9"/>
    <w:rsid w:val="006E39BD"/>
    <w:rsid w:val="006F0844"/>
    <w:rsid w:val="007164E4"/>
    <w:rsid w:val="00722052"/>
    <w:rsid w:val="00732D25"/>
    <w:rsid w:val="0073542F"/>
    <w:rsid w:val="00740640"/>
    <w:rsid w:val="00740A28"/>
    <w:rsid w:val="00745047"/>
    <w:rsid w:val="0076249A"/>
    <w:rsid w:val="00765488"/>
    <w:rsid w:val="00765E69"/>
    <w:rsid w:val="00777D82"/>
    <w:rsid w:val="0079445E"/>
    <w:rsid w:val="007B6292"/>
    <w:rsid w:val="007C43B5"/>
    <w:rsid w:val="007D06C6"/>
    <w:rsid w:val="007D7286"/>
    <w:rsid w:val="007E0623"/>
    <w:rsid w:val="007E12DB"/>
    <w:rsid w:val="007E68C4"/>
    <w:rsid w:val="007F205B"/>
    <w:rsid w:val="00804107"/>
    <w:rsid w:val="00814565"/>
    <w:rsid w:val="008153B5"/>
    <w:rsid w:val="008165C9"/>
    <w:rsid w:val="00826292"/>
    <w:rsid w:val="00842439"/>
    <w:rsid w:val="008565AE"/>
    <w:rsid w:val="0086673D"/>
    <w:rsid w:val="008824C5"/>
    <w:rsid w:val="00886850"/>
    <w:rsid w:val="00891765"/>
    <w:rsid w:val="00895B22"/>
    <w:rsid w:val="008A0D61"/>
    <w:rsid w:val="008A73BA"/>
    <w:rsid w:val="008B7881"/>
    <w:rsid w:val="008C3C8F"/>
    <w:rsid w:val="008C44C1"/>
    <w:rsid w:val="008D62B9"/>
    <w:rsid w:val="008F4295"/>
    <w:rsid w:val="00901967"/>
    <w:rsid w:val="009036C2"/>
    <w:rsid w:val="009059E2"/>
    <w:rsid w:val="00921355"/>
    <w:rsid w:val="009366B0"/>
    <w:rsid w:val="0093708D"/>
    <w:rsid w:val="00942605"/>
    <w:rsid w:val="0094380C"/>
    <w:rsid w:val="009542E2"/>
    <w:rsid w:val="00961148"/>
    <w:rsid w:val="00964D90"/>
    <w:rsid w:val="00972074"/>
    <w:rsid w:val="0098367D"/>
    <w:rsid w:val="00983F70"/>
    <w:rsid w:val="00985FA3"/>
    <w:rsid w:val="009946BE"/>
    <w:rsid w:val="009A7912"/>
    <w:rsid w:val="009B2B05"/>
    <w:rsid w:val="009B6CCB"/>
    <w:rsid w:val="009C2B8C"/>
    <w:rsid w:val="009C5811"/>
    <w:rsid w:val="009C5B0B"/>
    <w:rsid w:val="009D696F"/>
    <w:rsid w:val="009F1A7E"/>
    <w:rsid w:val="009F1ADF"/>
    <w:rsid w:val="009F2964"/>
    <w:rsid w:val="009F7D68"/>
    <w:rsid w:val="00A2590D"/>
    <w:rsid w:val="00A326D8"/>
    <w:rsid w:val="00A34900"/>
    <w:rsid w:val="00A35A45"/>
    <w:rsid w:val="00A363FD"/>
    <w:rsid w:val="00A4517D"/>
    <w:rsid w:val="00A52707"/>
    <w:rsid w:val="00A61EF1"/>
    <w:rsid w:val="00A63FFC"/>
    <w:rsid w:val="00A666E2"/>
    <w:rsid w:val="00A667F0"/>
    <w:rsid w:val="00A72CA6"/>
    <w:rsid w:val="00A73E24"/>
    <w:rsid w:val="00A760E8"/>
    <w:rsid w:val="00A819B3"/>
    <w:rsid w:val="00A9585D"/>
    <w:rsid w:val="00AA253B"/>
    <w:rsid w:val="00AC6E7E"/>
    <w:rsid w:val="00AE0E03"/>
    <w:rsid w:val="00AE25F1"/>
    <w:rsid w:val="00AE7919"/>
    <w:rsid w:val="00AF2922"/>
    <w:rsid w:val="00AF33D1"/>
    <w:rsid w:val="00B04A8F"/>
    <w:rsid w:val="00B04AB3"/>
    <w:rsid w:val="00B07FD8"/>
    <w:rsid w:val="00B271AC"/>
    <w:rsid w:val="00B27716"/>
    <w:rsid w:val="00B34988"/>
    <w:rsid w:val="00B404CB"/>
    <w:rsid w:val="00B44A32"/>
    <w:rsid w:val="00B529AA"/>
    <w:rsid w:val="00B52D44"/>
    <w:rsid w:val="00B54551"/>
    <w:rsid w:val="00B6681B"/>
    <w:rsid w:val="00B73C62"/>
    <w:rsid w:val="00B830A4"/>
    <w:rsid w:val="00B84F23"/>
    <w:rsid w:val="00B86764"/>
    <w:rsid w:val="00BA14A7"/>
    <w:rsid w:val="00BA4B8B"/>
    <w:rsid w:val="00BA7B83"/>
    <w:rsid w:val="00BA7C02"/>
    <w:rsid w:val="00BB0C39"/>
    <w:rsid w:val="00BC0E17"/>
    <w:rsid w:val="00BC617E"/>
    <w:rsid w:val="00BC62DC"/>
    <w:rsid w:val="00BD09BA"/>
    <w:rsid w:val="00BD400A"/>
    <w:rsid w:val="00BD72BD"/>
    <w:rsid w:val="00BE33CF"/>
    <w:rsid w:val="00C048E2"/>
    <w:rsid w:val="00C20F69"/>
    <w:rsid w:val="00C23982"/>
    <w:rsid w:val="00C2639D"/>
    <w:rsid w:val="00C330C5"/>
    <w:rsid w:val="00C464A3"/>
    <w:rsid w:val="00C660CE"/>
    <w:rsid w:val="00C67C7E"/>
    <w:rsid w:val="00C7184B"/>
    <w:rsid w:val="00C84114"/>
    <w:rsid w:val="00C928E8"/>
    <w:rsid w:val="00CA485C"/>
    <w:rsid w:val="00CA57FC"/>
    <w:rsid w:val="00CB679A"/>
    <w:rsid w:val="00CC3A8D"/>
    <w:rsid w:val="00CE3F47"/>
    <w:rsid w:val="00D27FCC"/>
    <w:rsid w:val="00D44FBF"/>
    <w:rsid w:val="00D62ED0"/>
    <w:rsid w:val="00D633F1"/>
    <w:rsid w:val="00D67B00"/>
    <w:rsid w:val="00D7195F"/>
    <w:rsid w:val="00D8453A"/>
    <w:rsid w:val="00D94B0E"/>
    <w:rsid w:val="00DA6AC3"/>
    <w:rsid w:val="00DE180A"/>
    <w:rsid w:val="00DF1D97"/>
    <w:rsid w:val="00DF53E1"/>
    <w:rsid w:val="00E00F5E"/>
    <w:rsid w:val="00E0491E"/>
    <w:rsid w:val="00E06826"/>
    <w:rsid w:val="00E0773A"/>
    <w:rsid w:val="00E130C5"/>
    <w:rsid w:val="00E135BD"/>
    <w:rsid w:val="00E243EA"/>
    <w:rsid w:val="00E36DD1"/>
    <w:rsid w:val="00E42127"/>
    <w:rsid w:val="00E46806"/>
    <w:rsid w:val="00E500ED"/>
    <w:rsid w:val="00E54812"/>
    <w:rsid w:val="00E55E60"/>
    <w:rsid w:val="00E602DC"/>
    <w:rsid w:val="00E61ED2"/>
    <w:rsid w:val="00E63A7E"/>
    <w:rsid w:val="00E76B38"/>
    <w:rsid w:val="00E81135"/>
    <w:rsid w:val="00E9486B"/>
    <w:rsid w:val="00EA1DA3"/>
    <w:rsid w:val="00EA278F"/>
    <w:rsid w:val="00EA3250"/>
    <w:rsid w:val="00EA4BFD"/>
    <w:rsid w:val="00EB099B"/>
    <w:rsid w:val="00EC3F36"/>
    <w:rsid w:val="00EC69B4"/>
    <w:rsid w:val="00EC753E"/>
    <w:rsid w:val="00ED1945"/>
    <w:rsid w:val="00EF1D85"/>
    <w:rsid w:val="00EF34C5"/>
    <w:rsid w:val="00F03C7A"/>
    <w:rsid w:val="00F05DD8"/>
    <w:rsid w:val="00F10F15"/>
    <w:rsid w:val="00F15398"/>
    <w:rsid w:val="00F25674"/>
    <w:rsid w:val="00F31255"/>
    <w:rsid w:val="00F32971"/>
    <w:rsid w:val="00F4784B"/>
    <w:rsid w:val="00F52B87"/>
    <w:rsid w:val="00F56ADA"/>
    <w:rsid w:val="00F56F85"/>
    <w:rsid w:val="00F6396E"/>
    <w:rsid w:val="00F6525A"/>
    <w:rsid w:val="00F70BBF"/>
    <w:rsid w:val="00F72759"/>
    <w:rsid w:val="00F86918"/>
    <w:rsid w:val="00F95C2D"/>
    <w:rsid w:val="00FB1FD1"/>
    <w:rsid w:val="00FB33F0"/>
    <w:rsid w:val="00FC2788"/>
    <w:rsid w:val="00FC55E0"/>
    <w:rsid w:val="00FC5AA5"/>
    <w:rsid w:val="00FE22CA"/>
    <w:rsid w:val="00FF23A9"/>
    <w:rsid w:val="00FF2FD5"/>
    <w:rsid w:val="00FF338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2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6AC3"/>
    <w:rPr>
      <w:color w:val="808080"/>
    </w:rPr>
  </w:style>
  <w:style w:type="paragraph" w:customStyle="1" w:styleId="BEC3A54377E54BA4BC2549893CE933A7">
    <w:name w:val="BEC3A54377E54BA4BC2549893CE933A7"/>
    <w:rsid w:val="002F72C8"/>
  </w:style>
  <w:style w:type="paragraph" w:customStyle="1" w:styleId="5C13EF065FB042ADA67396E180E6D136">
    <w:name w:val="5C13EF065FB042ADA67396E180E6D136"/>
    <w:rsid w:val="000B502C"/>
  </w:style>
  <w:style w:type="paragraph" w:customStyle="1" w:styleId="4FED488B85774D94AD0CD574335CDC0B">
    <w:name w:val="4FED488B85774D94AD0CD574335CDC0B"/>
    <w:rsid w:val="0088685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3526C-507E-4BE5-B0F8-4C9E6FB20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RREP - Issues Paper Template V1.3 13.09.17</Template>
  <TotalTime>0</TotalTime>
  <Pages>103</Pages>
  <Words>34903</Words>
  <Characters>198948</Characters>
  <Application>Microsoft Office Word</Application>
  <DocSecurity>0</DocSecurity>
  <Lines>1657</Lines>
  <Paragraphs>466</Paragraphs>
  <ScaleCrop>false</ScaleCrop>
  <HeadingPairs>
    <vt:vector size="2" baseType="variant">
      <vt:variant>
        <vt:lpstr>Title</vt:lpstr>
      </vt:variant>
      <vt:variant>
        <vt:i4>1</vt:i4>
      </vt:variant>
    </vt:vector>
  </HeadingPairs>
  <TitlesOfParts>
    <vt:vector size="1" baseType="lpstr">
      <vt:lpstr>Regulated water and sewerage services</vt:lpstr>
    </vt:vector>
  </TitlesOfParts>
  <Company>ACT Government</Company>
  <LinksUpToDate>false</LinksUpToDate>
  <CharactersWithSpaces>233385</CharactersWithSpaces>
  <SharedDoc>false</SharedDoc>
  <HLinks>
    <vt:vector size="138" baseType="variant">
      <vt:variant>
        <vt:i4>1507378</vt:i4>
      </vt:variant>
      <vt:variant>
        <vt:i4>131</vt:i4>
      </vt:variant>
      <vt:variant>
        <vt:i4>0</vt:i4>
      </vt:variant>
      <vt:variant>
        <vt:i4>5</vt:i4>
      </vt:variant>
      <vt:variant>
        <vt:lpwstr/>
      </vt:variant>
      <vt:variant>
        <vt:lpwstr>_Toc300311025</vt:lpwstr>
      </vt:variant>
      <vt:variant>
        <vt:i4>1507378</vt:i4>
      </vt:variant>
      <vt:variant>
        <vt:i4>125</vt:i4>
      </vt:variant>
      <vt:variant>
        <vt:i4>0</vt:i4>
      </vt:variant>
      <vt:variant>
        <vt:i4>5</vt:i4>
      </vt:variant>
      <vt:variant>
        <vt:lpwstr/>
      </vt:variant>
      <vt:variant>
        <vt:lpwstr>_Toc300311024</vt:lpwstr>
      </vt:variant>
      <vt:variant>
        <vt:i4>1507378</vt:i4>
      </vt:variant>
      <vt:variant>
        <vt:i4>119</vt:i4>
      </vt:variant>
      <vt:variant>
        <vt:i4>0</vt:i4>
      </vt:variant>
      <vt:variant>
        <vt:i4>5</vt:i4>
      </vt:variant>
      <vt:variant>
        <vt:lpwstr/>
      </vt:variant>
      <vt:variant>
        <vt:lpwstr>_Toc300311023</vt:lpwstr>
      </vt:variant>
      <vt:variant>
        <vt:i4>1507378</vt:i4>
      </vt:variant>
      <vt:variant>
        <vt:i4>113</vt:i4>
      </vt:variant>
      <vt:variant>
        <vt:i4>0</vt:i4>
      </vt:variant>
      <vt:variant>
        <vt:i4>5</vt:i4>
      </vt:variant>
      <vt:variant>
        <vt:lpwstr/>
      </vt:variant>
      <vt:variant>
        <vt:lpwstr>_Toc300311022</vt:lpwstr>
      </vt:variant>
      <vt:variant>
        <vt:i4>1507378</vt:i4>
      </vt:variant>
      <vt:variant>
        <vt:i4>107</vt:i4>
      </vt:variant>
      <vt:variant>
        <vt:i4>0</vt:i4>
      </vt:variant>
      <vt:variant>
        <vt:i4>5</vt:i4>
      </vt:variant>
      <vt:variant>
        <vt:lpwstr/>
      </vt:variant>
      <vt:variant>
        <vt:lpwstr>_Toc300311021</vt:lpwstr>
      </vt:variant>
      <vt:variant>
        <vt:i4>1507378</vt:i4>
      </vt:variant>
      <vt:variant>
        <vt:i4>101</vt:i4>
      </vt:variant>
      <vt:variant>
        <vt:i4>0</vt:i4>
      </vt:variant>
      <vt:variant>
        <vt:i4>5</vt:i4>
      </vt:variant>
      <vt:variant>
        <vt:lpwstr/>
      </vt:variant>
      <vt:variant>
        <vt:lpwstr>_Toc300311020</vt:lpwstr>
      </vt:variant>
      <vt:variant>
        <vt:i4>1310770</vt:i4>
      </vt:variant>
      <vt:variant>
        <vt:i4>95</vt:i4>
      </vt:variant>
      <vt:variant>
        <vt:i4>0</vt:i4>
      </vt:variant>
      <vt:variant>
        <vt:i4>5</vt:i4>
      </vt:variant>
      <vt:variant>
        <vt:lpwstr/>
      </vt:variant>
      <vt:variant>
        <vt:lpwstr>_Toc300311019</vt:lpwstr>
      </vt:variant>
      <vt:variant>
        <vt:i4>1310770</vt:i4>
      </vt:variant>
      <vt:variant>
        <vt:i4>89</vt:i4>
      </vt:variant>
      <vt:variant>
        <vt:i4>0</vt:i4>
      </vt:variant>
      <vt:variant>
        <vt:i4>5</vt:i4>
      </vt:variant>
      <vt:variant>
        <vt:lpwstr/>
      </vt:variant>
      <vt:variant>
        <vt:lpwstr>_Toc300311018</vt:lpwstr>
      </vt:variant>
      <vt:variant>
        <vt:i4>1310770</vt:i4>
      </vt:variant>
      <vt:variant>
        <vt:i4>83</vt:i4>
      </vt:variant>
      <vt:variant>
        <vt:i4>0</vt:i4>
      </vt:variant>
      <vt:variant>
        <vt:i4>5</vt:i4>
      </vt:variant>
      <vt:variant>
        <vt:lpwstr/>
      </vt:variant>
      <vt:variant>
        <vt:lpwstr>_Toc300311017</vt:lpwstr>
      </vt:variant>
      <vt:variant>
        <vt:i4>1310770</vt:i4>
      </vt:variant>
      <vt:variant>
        <vt:i4>77</vt:i4>
      </vt:variant>
      <vt:variant>
        <vt:i4>0</vt:i4>
      </vt:variant>
      <vt:variant>
        <vt:i4>5</vt:i4>
      </vt:variant>
      <vt:variant>
        <vt:lpwstr/>
      </vt:variant>
      <vt:variant>
        <vt:lpwstr>_Toc300311016</vt:lpwstr>
      </vt:variant>
      <vt:variant>
        <vt:i4>1310770</vt:i4>
      </vt:variant>
      <vt:variant>
        <vt:i4>71</vt:i4>
      </vt:variant>
      <vt:variant>
        <vt:i4>0</vt:i4>
      </vt:variant>
      <vt:variant>
        <vt:i4>5</vt:i4>
      </vt:variant>
      <vt:variant>
        <vt:lpwstr/>
      </vt:variant>
      <vt:variant>
        <vt:lpwstr>_Toc300311015</vt:lpwstr>
      </vt:variant>
      <vt:variant>
        <vt:i4>1310770</vt:i4>
      </vt:variant>
      <vt:variant>
        <vt:i4>65</vt:i4>
      </vt:variant>
      <vt:variant>
        <vt:i4>0</vt:i4>
      </vt:variant>
      <vt:variant>
        <vt:i4>5</vt:i4>
      </vt:variant>
      <vt:variant>
        <vt:lpwstr/>
      </vt:variant>
      <vt:variant>
        <vt:lpwstr>_Toc300311014</vt:lpwstr>
      </vt:variant>
      <vt:variant>
        <vt:i4>1310770</vt:i4>
      </vt:variant>
      <vt:variant>
        <vt:i4>59</vt:i4>
      </vt:variant>
      <vt:variant>
        <vt:i4>0</vt:i4>
      </vt:variant>
      <vt:variant>
        <vt:i4>5</vt:i4>
      </vt:variant>
      <vt:variant>
        <vt:lpwstr/>
      </vt:variant>
      <vt:variant>
        <vt:lpwstr>_Toc300311013</vt:lpwstr>
      </vt:variant>
      <vt:variant>
        <vt:i4>1310770</vt:i4>
      </vt:variant>
      <vt:variant>
        <vt:i4>53</vt:i4>
      </vt:variant>
      <vt:variant>
        <vt:i4>0</vt:i4>
      </vt:variant>
      <vt:variant>
        <vt:i4>5</vt:i4>
      </vt:variant>
      <vt:variant>
        <vt:lpwstr/>
      </vt:variant>
      <vt:variant>
        <vt:lpwstr>_Toc300311012</vt:lpwstr>
      </vt:variant>
      <vt:variant>
        <vt:i4>1310770</vt:i4>
      </vt:variant>
      <vt:variant>
        <vt:i4>47</vt:i4>
      </vt:variant>
      <vt:variant>
        <vt:i4>0</vt:i4>
      </vt:variant>
      <vt:variant>
        <vt:i4>5</vt:i4>
      </vt:variant>
      <vt:variant>
        <vt:lpwstr/>
      </vt:variant>
      <vt:variant>
        <vt:lpwstr>_Toc300311011</vt:lpwstr>
      </vt:variant>
      <vt:variant>
        <vt:i4>1310770</vt:i4>
      </vt:variant>
      <vt:variant>
        <vt:i4>41</vt:i4>
      </vt:variant>
      <vt:variant>
        <vt:i4>0</vt:i4>
      </vt:variant>
      <vt:variant>
        <vt:i4>5</vt:i4>
      </vt:variant>
      <vt:variant>
        <vt:lpwstr/>
      </vt:variant>
      <vt:variant>
        <vt:lpwstr>_Toc300311010</vt:lpwstr>
      </vt:variant>
      <vt:variant>
        <vt:i4>1376306</vt:i4>
      </vt:variant>
      <vt:variant>
        <vt:i4>35</vt:i4>
      </vt:variant>
      <vt:variant>
        <vt:i4>0</vt:i4>
      </vt:variant>
      <vt:variant>
        <vt:i4>5</vt:i4>
      </vt:variant>
      <vt:variant>
        <vt:lpwstr/>
      </vt:variant>
      <vt:variant>
        <vt:lpwstr>_Toc300311009</vt:lpwstr>
      </vt:variant>
      <vt:variant>
        <vt:i4>1376306</vt:i4>
      </vt:variant>
      <vt:variant>
        <vt:i4>29</vt:i4>
      </vt:variant>
      <vt:variant>
        <vt:i4>0</vt:i4>
      </vt:variant>
      <vt:variant>
        <vt:i4>5</vt:i4>
      </vt:variant>
      <vt:variant>
        <vt:lpwstr/>
      </vt:variant>
      <vt:variant>
        <vt:lpwstr>_Toc300311008</vt:lpwstr>
      </vt:variant>
      <vt:variant>
        <vt:i4>1376306</vt:i4>
      </vt:variant>
      <vt:variant>
        <vt:i4>23</vt:i4>
      </vt:variant>
      <vt:variant>
        <vt:i4>0</vt:i4>
      </vt:variant>
      <vt:variant>
        <vt:i4>5</vt:i4>
      </vt:variant>
      <vt:variant>
        <vt:lpwstr/>
      </vt:variant>
      <vt:variant>
        <vt:lpwstr>_Toc300311007</vt:lpwstr>
      </vt:variant>
      <vt:variant>
        <vt:i4>1376306</vt:i4>
      </vt:variant>
      <vt:variant>
        <vt:i4>17</vt:i4>
      </vt:variant>
      <vt:variant>
        <vt:i4>0</vt:i4>
      </vt:variant>
      <vt:variant>
        <vt:i4>5</vt:i4>
      </vt:variant>
      <vt:variant>
        <vt:lpwstr/>
      </vt:variant>
      <vt:variant>
        <vt:lpwstr>_Toc300311006</vt:lpwstr>
      </vt:variant>
      <vt:variant>
        <vt:i4>1376306</vt:i4>
      </vt:variant>
      <vt:variant>
        <vt:i4>11</vt:i4>
      </vt:variant>
      <vt:variant>
        <vt:i4>0</vt:i4>
      </vt:variant>
      <vt:variant>
        <vt:i4>5</vt:i4>
      </vt:variant>
      <vt:variant>
        <vt:lpwstr/>
      </vt:variant>
      <vt:variant>
        <vt:lpwstr>_Toc300311005</vt:lpwstr>
      </vt:variant>
      <vt:variant>
        <vt:i4>4194351</vt:i4>
      </vt:variant>
      <vt:variant>
        <vt:i4>6</vt:i4>
      </vt:variant>
      <vt:variant>
        <vt:i4>0</vt:i4>
      </vt:variant>
      <vt:variant>
        <vt:i4>5</vt:i4>
      </vt:variant>
      <vt:variant>
        <vt:lpwstr>mailto:icrc@act.gov.au</vt:lpwstr>
      </vt:variant>
      <vt:variant>
        <vt:lpwstr/>
      </vt:variant>
      <vt:variant>
        <vt:i4>6750261</vt:i4>
      </vt:variant>
      <vt:variant>
        <vt:i4>3</vt:i4>
      </vt:variant>
      <vt:variant>
        <vt:i4>0</vt:i4>
      </vt:variant>
      <vt:variant>
        <vt:i4>5</vt:i4>
      </vt:variant>
      <vt:variant>
        <vt:lpwstr>http://www.icrc.act.gov.au/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Regulated water and sewerage services</dc:title>
  <dc:creator>jack gregory</dc:creator>
  <cp:lastModifiedBy>deirdre burgess</cp:lastModifiedBy>
  <cp:revision>2</cp:revision>
  <cp:lastPrinted>2016-06-14T22:30:00Z</cp:lastPrinted>
  <dcterms:created xsi:type="dcterms:W3CDTF">2016-06-17T00:55:00Z</dcterms:created>
  <dcterms:modified xsi:type="dcterms:W3CDTF">2016-06-17T00:55:00Z</dcterms:modified>
</cp:coreProperties>
</file>