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A59ED5" w14:textId="77777777" w:rsidR="00A50906" w:rsidRPr="00D11A5A" w:rsidRDefault="00A50906" w:rsidP="008A1C91">
      <w:pPr>
        <w:pStyle w:val="References"/>
        <w:rPr>
          <w:lang w:val="en-AU"/>
        </w:rPr>
      </w:pPr>
    </w:p>
    <w:p w14:paraId="39CB2F7D" w14:textId="77777777" w:rsidR="00796887" w:rsidRPr="00D11A5A" w:rsidRDefault="00796887" w:rsidP="008A1C91">
      <w:pPr>
        <w:pStyle w:val="References"/>
        <w:rPr>
          <w:lang w:val="en-AU"/>
        </w:rPr>
      </w:pPr>
    </w:p>
    <w:p w14:paraId="42E9ADA5" w14:textId="161ACE01" w:rsidR="00796887" w:rsidRPr="00D11A5A" w:rsidRDefault="00B24CB3" w:rsidP="008A1C91">
      <w:pPr>
        <w:pStyle w:val="References"/>
        <w:rPr>
          <w:lang w:val="en-AU"/>
        </w:rPr>
      </w:pPr>
      <w:bookmarkStart w:id="0" w:name="_GoBack"/>
      <w:r>
        <w:rPr>
          <w:bCs/>
          <w:noProof/>
          <w:lang w:val="en-AU" w:eastAsia="en-AU"/>
        </w:rPr>
        <mc:AlternateContent>
          <mc:Choice Requires="wps">
            <w:drawing>
              <wp:anchor distT="0" distB="0" distL="114300" distR="114300" simplePos="0" relativeHeight="251651584" behindDoc="0" locked="0" layoutInCell="1" allowOverlap="1" wp14:anchorId="1138CD83" wp14:editId="26834C82">
                <wp:simplePos x="0" y="0"/>
                <wp:positionH relativeFrom="column">
                  <wp:posOffset>1179830</wp:posOffset>
                </wp:positionH>
                <wp:positionV relativeFrom="paragraph">
                  <wp:posOffset>3506470</wp:posOffset>
                </wp:positionV>
                <wp:extent cx="4095115" cy="4165600"/>
                <wp:effectExtent l="0" t="0" r="635" b="635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4165600"/>
                        </a:xfrm>
                        <a:prstGeom prst="rect">
                          <a:avLst/>
                        </a:prstGeom>
                        <a:solidFill>
                          <a:srgbClr val="FFFFFF"/>
                        </a:solidFill>
                        <a:ln>
                          <a:noFill/>
                        </a:ln>
                        <a:extLst/>
                      </wps:spPr>
                      <wps:txbx>
                        <w:txbxContent>
                          <w:p w14:paraId="4A1BB261" w14:textId="26950DA5" w:rsidR="00A003A1" w:rsidRPr="009A3FF8" w:rsidRDefault="009A3FF8" w:rsidP="00700C93">
                            <w:pPr>
                              <w:pStyle w:val="CoverReport"/>
                              <w:rPr>
                                <w:sz w:val="40"/>
                                <w:szCs w:val="48"/>
                              </w:rPr>
                            </w:pPr>
                            <w:r w:rsidRPr="009A3FF8">
                              <w:rPr>
                                <w:sz w:val="40"/>
                                <w:szCs w:val="48"/>
                              </w:rPr>
                              <w:t>Issues paper</w:t>
                            </w:r>
                          </w:p>
                          <w:p w14:paraId="23970FA0" w14:textId="77777777" w:rsidR="00A003A1" w:rsidRDefault="00A003A1" w:rsidP="00700C93">
                            <w:pPr>
                              <w:pStyle w:val="CoverReport"/>
                              <w:rPr>
                                <w:b/>
                                <w:sz w:val="48"/>
                                <w:szCs w:val="48"/>
                              </w:rPr>
                            </w:pPr>
                            <w:r>
                              <w:rPr>
                                <w:b/>
                                <w:sz w:val="48"/>
                                <w:szCs w:val="48"/>
                              </w:rPr>
                              <w:t>Regulated water and sewerage services prices 2018–2023</w:t>
                            </w:r>
                            <w:bookmarkStart w:id="1" w:name="_Toc265597563"/>
                          </w:p>
                          <w:p w14:paraId="753F458A" w14:textId="77777777" w:rsidR="00A003A1" w:rsidRDefault="00A003A1" w:rsidP="00700C93">
                            <w:pPr>
                              <w:pStyle w:val="CoverReport"/>
                              <w:rPr>
                                <w:rStyle w:val="Bold"/>
                              </w:rPr>
                            </w:pPr>
                          </w:p>
                          <w:p w14:paraId="175BA5DD" w14:textId="1BD77D37" w:rsidR="00A003A1" w:rsidRPr="00E729F4" w:rsidRDefault="00A003A1" w:rsidP="00287869">
                            <w:pPr>
                              <w:pStyle w:val="CoverReportNumMonth"/>
                              <w:rPr>
                                <w:rStyle w:val="Bold"/>
                              </w:rPr>
                            </w:pPr>
                            <w:r w:rsidRPr="00E729F4">
                              <w:rPr>
                                <w:rStyle w:val="Bold"/>
                              </w:rPr>
                              <w:t xml:space="preserve">Report </w:t>
                            </w:r>
                            <w:r>
                              <w:rPr>
                                <w:rStyle w:val="Bold"/>
                              </w:rPr>
                              <w:t xml:space="preserve">4 </w:t>
                            </w:r>
                            <w:r w:rsidRPr="00E729F4">
                              <w:rPr>
                                <w:rStyle w:val="Bold"/>
                              </w:rPr>
                              <w:t>of 201</w:t>
                            </w:r>
                            <w:r>
                              <w:rPr>
                                <w:rStyle w:val="Bold"/>
                              </w:rPr>
                              <w:t>7</w:t>
                            </w:r>
                            <w:r w:rsidRPr="00E729F4">
                              <w:rPr>
                                <w:rStyle w:val="Bold"/>
                              </w:rPr>
                              <w:t xml:space="preserve">, </w:t>
                            </w:r>
                            <w:r>
                              <w:rPr>
                                <w:rStyle w:val="Bold"/>
                              </w:rPr>
                              <w:t>March 2017</w:t>
                            </w:r>
                            <w:bookmarkEnd w:id="1"/>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38CD83" id="_x0000_t202" coordsize="21600,21600" o:spt="202" path="m,l,21600r21600,l21600,xe">
                <v:stroke joinstyle="miter"/>
                <v:path gradientshapeok="t" o:connecttype="rect"/>
              </v:shapetype>
              <v:shape id="Text Box 2" o:spid="_x0000_s1026" type="#_x0000_t202" style="position:absolute;left:0;text-align:left;margin-left:92.9pt;margin-top:276.1pt;width:322.45pt;height:3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" stroked="f">
                <v:textbox>
                  <w:txbxContent>
                    <w:p w14:paraId="4A1BB261" w14:textId="26950DA5" w:rsidR="00A003A1" w:rsidRPr="009A3FF8" w:rsidRDefault="009A3FF8" w:rsidP="00700C93">
                      <w:pPr>
                        <w:pStyle w:val="CoverReport"/>
                        <w:rPr>
                          <w:sz w:val="40"/>
                          <w:szCs w:val="48"/>
                        </w:rPr>
                      </w:pPr>
                      <w:r w:rsidRPr="009A3FF8">
                        <w:rPr>
                          <w:sz w:val="40"/>
                          <w:szCs w:val="48"/>
                        </w:rPr>
                        <w:t>Issues paper</w:t>
                      </w:r>
                    </w:p>
                    <w:p w14:paraId="23970FA0" w14:textId="77777777" w:rsidR="00A003A1" w:rsidRDefault="00A003A1" w:rsidP="00700C93">
                      <w:pPr>
                        <w:pStyle w:val="CoverReport"/>
                        <w:rPr>
                          <w:b/>
                          <w:sz w:val="48"/>
                          <w:szCs w:val="48"/>
                        </w:rPr>
                      </w:pPr>
                      <w:r>
                        <w:rPr>
                          <w:b/>
                          <w:sz w:val="48"/>
                          <w:szCs w:val="48"/>
                        </w:rPr>
                        <w:t>Regulated water and sewerage services prices 2018–2023</w:t>
                      </w:r>
                      <w:bookmarkStart w:id="2" w:name="_Toc265597563"/>
                    </w:p>
                    <w:p w14:paraId="753F458A" w14:textId="77777777" w:rsidR="00A003A1" w:rsidRDefault="00A003A1" w:rsidP="00700C93">
                      <w:pPr>
                        <w:pStyle w:val="CoverReport"/>
                        <w:rPr>
                          <w:rStyle w:val="Bold"/>
                        </w:rPr>
                      </w:pPr>
                    </w:p>
                    <w:p w14:paraId="175BA5DD" w14:textId="1BD77D37" w:rsidR="00A003A1" w:rsidRPr="00E729F4" w:rsidRDefault="00A003A1" w:rsidP="00287869">
                      <w:pPr>
                        <w:pStyle w:val="CoverReportNumMonth"/>
                        <w:rPr>
                          <w:rStyle w:val="Bold"/>
                        </w:rPr>
                      </w:pPr>
                      <w:r w:rsidRPr="00E729F4">
                        <w:rPr>
                          <w:rStyle w:val="Bold"/>
                        </w:rPr>
                        <w:t xml:space="preserve">Report </w:t>
                      </w:r>
                      <w:r>
                        <w:rPr>
                          <w:rStyle w:val="Bold"/>
                        </w:rPr>
                        <w:t xml:space="preserve">4 </w:t>
                      </w:r>
                      <w:r w:rsidRPr="00E729F4">
                        <w:rPr>
                          <w:rStyle w:val="Bold"/>
                        </w:rPr>
                        <w:t>of 201</w:t>
                      </w:r>
                      <w:r>
                        <w:rPr>
                          <w:rStyle w:val="Bold"/>
                        </w:rPr>
                        <w:t>7</w:t>
                      </w:r>
                      <w:r w:rsidRPr="00E729F4">
                        <w:rPr>
                          <w:rStyle w:val="Bold"/>
                        </w:rPr>
                        <w:t xml:space="preserve">, </w:t>
                      </w:r>
                      <w:r>
                        <w:rPr>
                          <w:rStyle w:val="Bold"/>
                        </w:rPr>
                        <w:t>March 2017</w:t>
                      </w:r>
                      <w:bookmarkEnd w:id="2"/>
                    </w:p>
                  </w:txbxContent>
                </v:textbox>
              </v:shape>
            </w:pict>
          </mc:Fallback>
        </mc:AlternateContent>
      </w:r>
    </w:p>
    <w:p w14:paraId="19B7679D" w14:textId="77777777" w:rsidR="00796887" w:rsidRPr="004A66E2" w:rsidRDefault="00796887" w:rsidP="008A1C91">
      <w:pPr>
        <w:pStyle w:val="References"/>
        <w:sectPr w:rsidR="00796887" w:rsidRPr="004A66E2" w:rsidSect="00662C7A">
          <w:headerReference w:type="even" r:id="rId8"/>
          <w:headerReference w:type="default" r:id="rId9"/>
          <w:footerReference w:type="even" r:id="rId10"/>
          <w:footerReference w:type="default" r:id="rId11"/>
          <w:headerReference w:type="first" r:id="rId12"/>
          <w:endnotePr>
            <w:numFmt w:val="decimal"/>
          </w:endnotePr>
          <w:pgSz w:w="11907" w:h="16840" w:code="9"/>
          <w:pgMar w:top="2268" w:right="2098" w:bottom="1701" w:left="2098" w:header="578" w:footer="578" w:gutter="0"/>
          <w:pgNumType w:fmt="lowerRoman" w:start="1"/>
          <w:cols w:space="720"/>
          <w:titlePg/>
          <w:docGrid w:linePitch="299"/>
        </w:sectPr>
      </w:pPr>
      <w:bookmarkStart w:id="3" w:name="_Toc27649604"/>
      <w:bookmarkStart w:id="4" w:name="_Toc43786474"/>
      <w:bookmarkStart w:id="5" w:name="_Toc44217184"/>
    </w:p>
    <w:p w14:paraId="2C0EAF41" w14:textId="72D640BC" w:rsidR="00DC51FC" w:rsidRPr="00B5530C" w:rsidRDefault="00DC51FC" w:rsidP="00DC51FC">
      <w:pPr>
        <w:pStyle w:val="References"/>
        <w:ind w:left="1134"/>
        <w:jc w:val="center"/>
      </w:pPr>
      <w:bookmarkStart w:id="6" w:name="_Toc44217186"/>
      <w:bookmarkStart w:id="7" w:name="_Toc118359366"/>
      <w:bookmarkEnd w:id="3"/>
      <w:bookmarkEnd w:id="4"/>
      <w:bookmarkEnd w:id="5"/>
      <w:bookmarkEnd w:id="0"/>
      <w:r w:rsidRPr="00B5530C">
        <w:lastRenderedPageBreak/>
        <w:t>The Independent Competition and Regulatory Commission</w:t>
      </w:r>
      <w:r w:rsidR="00B978B1">
        <w:t xml:space="preserve"> (the Commission)</w:t>
      </w:r>
      <w:r w:rsidRPr="00B5530C">
        <w:t xml:space="preserve"> is a Territory Authority established under the </w:t>
      </w:r>
      <w:r w:rsidRPr="00C04AA0">
        <w:rPr>
          <w:rStyle w:val="Italic"/>
        </w:rPr>
        <w:t>Independent Competition and Regulatory Commission Act 1997</w:t>
      </w:r>
      <w:r w:rsidRPr="00B5530C">
        <w:t xml:space="preserve"> (</w:t>
      </w:r>
      <w:r>
        <w:t xml:space="preserve">the </w:t>
      </w:r>
      <w:r w:rsidRPr="00B5530C">
        <w:t>ICRC Act). The Commission is constituted under the ICRC Act by one or more standing</w:t>
      </w:r>
      <w:r>
        <w:t xml:space="preserve"> commissioners and </w:t>
      </w:r>
      <w:r w:rsidRPr="00B5530C">
        <w:t>any associated commissioners appointed for particular purposes. Commissioners are statutory appointments</w:t>
      </w:r>
      <w:r>
        <w:t xml:space="preserve">. Joe Dimasi is the current Senior </w:t>
      </w:r>
      <w:r w:rsidRPr="00B5530C">
        <w:t>Commissioner who constitute</w:t>
      </w:r>
      <w:r>
        <w:t>s</w:t>
      </w:r>
      <w:r w:rsidRPr="00B5530C">
        <w:t xml:space="preserve"> the Commission</w:t>
      </w:r>
      <w:r>
        <w:t xml:space="preserve"> and </w:t>
      </w:r>
      <w:r w:rsidRPr="00B5530C">
        <w:t>take</w:t>
      </w:r>
      <w:r>
        <w:t>s</w:t>
      </w:r>
      <w:r w:rsidRPr="00B5530C">
        <w:t xml:space="preserve"> direct responsibility for delivery of the outcomes of the Commission.</w:t>
      </w:r>
    </w:p>
    <w:p w14:paraId="4A661373" w14:textId="77777777" w:rsidR="00DC51FC" w:rsidRPr="00B5530C" w:rsidRDefault="00DC51FC" w:rsidP="00DC51FC">
      <w:pPr>
        <w:pStyle w:val="References"/>
        <w:ind w:left="1134"/>
        <w:jc w:val="center"/>
      </w:pPr>
      <w:r>
        <w:t>The Commission</w:t>
      </w:r>
      <w:r w:rsidRPr="00B5530C">
        <w:t xml:space="preserve"> ha</w:t>
      </w:r>
      <w:r>
        <w:t>s</w:t>
      </w:r>
      <w:r w:rsidRPr="00B5530C">
        <w:t xml:space="preserve"> responsibilities for a broad range of regulatory and utility administrative matters. </w:t>
      </w:r>
      <w:r>
        <w:t>The Commission</w:t>
      </w:r>
      <w:r w:rsidRPr="00B5530C">
        <w:t xml:space="preserve"> ha</w:t>
      </w:r>
      <w:r>
        <w:t>s</w:t>
      </w:r>
      <w:r w:rsidRPr="00B5530C">
        <w:t xml:space="preserve"> responsibility under the ICRC Act for regulating and advising government about pricing and other matters for monopoly, near-monopoly and </w:t>
      </w:r>
      <w:proofErr w:type="spellStart"/>
      <w:r w:rsidRPr="00B5530C">
        <w:t>ministerially</w:t>
      </w:r>
      <w:proofErr w:type="spellEnd"/>
      <w:r w:rsidRPr="00B5530C">
        <w:t xml:space="preserve"> declared regulated industries, </w:t>
      </w:r>
      <w:r>
        <w:t xml:space="preserve">and </w:t>
      </w:r>
      <w:r w:rsidRPr="00B5530C">
        <w:t xml:space="preserve">providing advice on competitive neutrality complaints and government-regulated activities. </w:t>
      </w:r>
      <w:r>
        <w:t xml:space="preserve">The Commission </w:t>
      </w:r>
      <w:r w:rsidRPr="00B5530C">
        <w:t>also ha</w:t>
      </w:r>
      <w:r>
        <w:t>s</w:t>
      </w:r>
      <w:r w:rsidRPr="00B5530C">
        <w:t xml:space="preserve"> responsibility for arbitrating infrastructure access disputes under the ICRC Act. In discharging </w:t>
      </w:r>
      <w:r>
        <w:t xml:space="preserve">its </w:t>
      </w:r>
      <w:r w:rsidRPr="00B5530C">
        <w:t xml:space="preserve">objectives and functions, </w:t>
      </w:r>
      <w:r>
        <w:t xml:space="preserve">the Commission </w:t>
      </w:r>
      <w:r w:rsidRPr="00B5530C">
        <w:t>provide</w:t>
      </w:r>
      <w:r>
        <w:t>s</w:t>
      </w:r>
      <w:r w:rsidRPr="00B5530C">
        <w:t xml:space="preserve"> independent robust analysis and advice.</w:t>
      </w:r>
    </w:p>
    <w:p w14:paraId="4904FD84" w14:textId="77777777" w:rsidR="00DC51FC" w:rsidRPr="00B5530C" w:rsidRDefault="00DC51FC" w:rsidP="00DC51FC">
      <w:pPr>
        <w:pStyle w:val="References"/>
        <w:ind w:left="1134"/>
        <w:jc w:val="center"/>
      </w:pPr>
      <w:r>
        <w:t>The Commission’s</w:t>
      </w:r>
      <w:r w:rsidRPr="00B5530C">
        <w:t xml:space="preserve"> objectives are set out in section 7</w:t>
      </w:r>
      <w:r>
        <w:t xml:space="preserve"> and 19L</w:t>
      </w:r>
      <w:r w:rsidRPr="00B5530C">
        <w:t xml:space="preserve"> of the ICRC Act and section 3 of the </w:t>
      </w:r>
      <w:r w:rsidRPr="0036790F">
        <w:rPr>
          <w:i/>
        </w:rPr>
        <w:t>Utilities</w:t>
      </w:r>
      <w:r>
        <w:rPr>
          <w:i/>
        </w:rPr>
        <w:t> </w:t>
      </w:r>
      <w:r w:rsidRPr="0036790F">
        <w:rPr>
          <w:i/>
        </w:rPr>
        <w:t>Act</w:t>
      </w:r>
      <w:r>
        <w:rPr>
          <w:i/>
        </w:rPr>
        <w:t> </w:t>
      </w:r>
      <w:r w:rsidRPr="0036790F">
        <w:rPr>
          <w:i/>
        </w:rPr>
        <w:t>2000</w:t>
      </w:r>
      <w:r w:rsidRPr="00B5530C">
        <w:t>.</w:t>
      </w:r>
    </w:p>
    <w:p w14:paraId="5F7E8984" w14:textId="77777777" w:rsidR="00DC51FC" w:rsidRPr="00B5530C" w:rsidRDefault="00DC51FC" w:rsidP="00DC51FC">
      <w:pPr>
        <w:pStyle w:val="References"/>
        <w:ind w:left="1134"/>
        <w:jc w:val="center"/>
      </w:pPr>
      <w:r w:rsidRPr="00B5530C">
        <w:t xml:space="preserve">Correspondence or other inquiries may be directed to </w:t>
      </w:r>
      <w:r>
        <w:t>the Commission</w:t>
      </w:r>
      <w:r w:rsidRPr="00B5530C">
        <w:t xml:space="preserve"> at the </w:t>
      </w:r>
      <w:r>
        <w:t xml:space="preserve">following </w:t>
      </w:r>
      <w:r w:rsidRPr="00B5530C">
        <w:t>addresses:</w:t>
      </w:r>
    </w:p>
    <w:p w14:paraId="146E819F" w14:textId="77777777" w:rsidR="00DC51FC" w:rsidRPr="00B5530C" w:rsidRDefault="00DC51FC" w:rsidP="00DC51FC">
      <w:pPr>
        <w:pStyle w:val="References"/>
        <w:ind w:left="1134"/>
        <w:jc w:val="center"/>
      </w:pPr>
      <w:r w:rsidRPr="00B5530C">
        <w:t>Independent Competition and Regulatory Commission</w:t>
      </w:r>
      <w:r w:rsidRPr="00B5530C">
        <w:br/>
        <w:t>PO Box 161</w:t>
      </w:r>
      <w:r w:rsidRPr="00B5530C">
        <w:br/>
        <w:t>Civic Square ACT 2608</w:t>
      </w:r>
    </w:p>
    <w:p w14:paraId="6E6F5D1E" w14:textId="77777777" w:rsidR="00DC51FC" w:rsidRPr="00B5530C" w:rsidRDefault="00DC51FC" w:rsidP="00DC51FC">
      <w:pPr>
        <w:pStyle w:val="References"/>
        <w:ind w:left="1134"/>
        <w:jc w:val="center"/>
      </w:pPr>
      <w:r>
        <w:t xml:space="preserve">        </w:t>
      </w:r>
      <w:r w:rsidRPr="00B5530C">
        <w:t>Level 8</w:t>
      </w:r>
      <w:r w:rsidRPr="00B5530C">
        <w:br/>
        <w:t>221 London Circuit</w:t>
      </w:r>
      <w:r w:rsidRPr="00B5530C">
        <w:br/>
        <w:t>Canberra ACT 2601</w:t>
      </w:r>
    </w:p>
    <w:p w14:paraId="4154361E" w14:textId="77777777" w:rsidR="00DC51FC" w:rsidRDefault="00DC51FC" w:rsidP="00DC51FC">
      <w:pPr>
        <w:pStyle w:val="References"/>
        <w:ind w:left="1134"/>
        <w:jc w:val="center"/>
      </w:pPr>
      <w:r>
        <w:t xml:space="preserve">The Commission </w:t>
      </w:r>
      <w:r w:rsidRPr="00B5530C">
        <w:t xml:space="preserve">may be contacted at the above addresses, by telephone on (02) 6205 0799, or by fax on (02) 6207 5887. </w:t>
      </w:r>
      <w:r>
        <w:t xml:space="preserve">The Commission’s </w:t>
      </w:r>
      <w:r w:rsidRPr="00B5530C">
        <w:t xml:space="preserve">website is at </w:t>
      </w:r>
      <w:hyperlink r:id="rId13" w:history="1">
        <w:r w:rsidRPr="00B5530C">
          <w:rPr>
            <w:rStyle w:val="Hyperlink"/>
          </w:rPr>
          <w:t>www.icrc.act.gov.au</w:t>
        </w:r>
      </w:hyperlink>
      <w:r w:rsidRPr="00B5530C">
        <w:t xml:space="preserve"> and </w:t>
      </w:r>
      <w:r>
        <w:t xml:space="preserve">its </w:t>
      </w:r>
      <w:r w:rsidRPr="00B5530C">
        <w:t xml:space="preserve">email address is </w:t>
      </w:r>
      <w:hyperlink r:id="rId14" w:history="1">
        <w:r w:rsidRPr="00B5530C">
          <w:rPr>
            <w:rStyle w:val="Hyperlink"/>
          </w:rPr>
          <w:t>icrc@act.gov.au</w:t>
        </w:r>
      </w:hyperlink>
      <w:r w:rsidRPr="00B5530C">
        <w:t>.</w:t>
      </w:r>
    </w:p>
    <w:p w14:paraId="56ACFE3B" w14:textId="77777777" w:rsidR="00341230" w:rsidRDefault="00341230" w:rsidP="008A1C91">
      <w:pPr>
        <w:pStyle w:val="References"/>
      </w:pPr>
    </w:p>
    <w:p w14:paraId="45A1F566" w14:textId="77777777" w:rsidR="00341230" w:rsidRDefault="00341230" w:rsidP="008A1C91">
      <w:pPr>
        <w:pStyle w:val="References"/>
        <w:sectPr w:rsidR="00341230" w:rsidSect="00662C7A">
          <w:headerReference w:type="even" r:id="rId15"/>
          <w:headerReference w:type="default" r:id="rId16"/>
          <w:footerReference w:type="even" r:id="rId17"/>
          <w:footerReference w:type="default" r:id="rId18"/>
          <w:headerReference w:type="first" r:id="rId19"/>
          <w:endnotePr>
            <w:numFmt w:val="decimal"/>
          </w:endnotePr>
          <w:type w:val="oddPage"/>
          <w:pgSz w:w="11907" w:h="16840" w:code="9"/>
          <w:pgMar w:top="2268" w:right="2098" w:bottom="1701" w:left="2098" w:header="578" w:footer="578" w:gutter="0"/>
          <w:pgNumType w:fmt="lowerRoman" w:start="1"/>
          <w:cols w:space="720"/>
        </w:sectPr>
      </w:pPr>
    </w:p>
    <w:p w14:paraId="71502D55" w14:textId="77777777" w:rsidR="00B6494B" w:rsidRDefault="00F970B0" w:rsidP="00B6494B">
      <w:pPr>
        <w:pStyle w:val="Heading1"/>
        <w:numPr>
          <w:ilvl w:val="0"/>
          <w:numId w:val="0"/>
        </w:numPr>
        <w:ind w:left="720" w:hanging="720"/>
      </w:pPr>
      <w:bookmarkStart w:id="8" w:name="_Toc478557238"/>
      <w:bookmarkStart w:id="9" w:name="_Toc368572030"/>
      <w:r>
        <w:lastRenderedPageBreak/>
        <w:t>Forewo</w:t>
      </w:r>
      <w:r w:rsidR="00B6494B">
        <w:t>rd</w:t>
      </w:r>
      <w:bookmarkEnd w:id="8"/>
    </w:p>
    <w:p w14:paraId="2BE80992" w14:textId="77777777" w:rsidR="00B6494B" w:rsidRDefault="00B6494B" w:rsidP="00A60392">
      <w:r>
        <w:t xml:space="preserve">This </w:t>
      </w:r>
      <w:r w:rsidR="00AE3D19">
        <w:t>i</w:t>
      </w:r>
      <w:r>
        <w:t xml:space="preserve">ssues </w:t>
      </w:r>
      <w:r w:rsidR="00AE3D19">
        <w:t>p</w:t>
      </w:r>
      <w:r>
        <w:t xml:space="preserve">aper sets out the key issues the Independent Competition and </w:t>
      </w:r>
      <w:r w:rsidR="00F43602">
        <w:t xml:space="preserve">Regulatory </w:t>
      </w:r>
      <w:r>
        <w:t xml:space="preserve">Commission will be addressing in its investigation into regulated water and sewerage services </w:t>
      </w:r>
      <w:r w:rsidR="0017447D">
        <w:t>prices that</w:t>
      </w:r>
      <w:r>
        <w:t xml:space="preserve"> will apply</w:t>
      </w:r>
      <w:r w:rsidR="004439EE" w:rsidRPr="004439EE">
        <w:t xml:space="preserve"> </w:t>
      </w:r>
      <w:r w:rsidR="004439EE">
        <w:t>in the ACT</w:t>
      </w:r>
      <w:r>
        <w:t xml:space="preserve"> for the period</w:t>
      </w:r>
      <w:r w:rsidR="00AE3D19">
        <w:t xml:space="preserve"> </w:t>
      </w:r>
      <w:r>
        <w:t xml:space="preserve">1 July 2018 to 30 June 2023. </w:t>
      </w:r>
    </w:p>
    <w:p w14:paraId="7FC3EAE5" w14:textId="5B590746" w:rsidR="00F43602" w:rsidRDefault="004439EE">
      <w:pPr>
        <w:pStyle w:val="Bodybulletintro"/>
      </w:pPr>
      <w:r>
        <w:t xml:space="preserve">In accordance with the terms of reference and the legislative requirements of the </w:t>
      </w:r>
      <w:r w:rsidR="001601BE" w:rsidRPr="001601BE">
        <w:rPr>
          <w:i/>
        </w:rPr>
        <w:t xml:space="preserve">Independent Competition and </w:t>
      </w:r>
      <w:r w:rsidR="007959FF">
        <w:rPr>
          <w:i/>
        </w:rPr>
        <w:t>Regulatory</w:t>
      </w:r>
      <w:r w:rsidR="001601BE" w:rsidRPr="001601BE">
        <w:rPr>
          <w:i/>
        </w:rPr>
        <w:t xml:space="preserve"> Commission Act 1997</w:t>
      </w:r>
      <w:r w:rsidR="00124A6D">
        <w:t>,</w:t>
      </w:r>
      <w:r w:rsidR="00FF5BE2">
        <w:t xml:space="preserve"> the Commission proposes to c</w:t>
      </w:r>
      <w:r w:rsidR="00124A6D">
        <w:t>ontinue to use the current regulatory mo</w:t>
      </w:r>
      <w:r w:rsidR="00124A6D" w:rsidRPr="006200D1">
        <w:t>del where it</w:t>
      </w:r>
      <w:r w:rsidR="00124A6D">
        <w:t xml:space="preserve"> is working well, but will </w:t>
      </w:r>
      <w:r>
        <w:t xml:space="preserve">investigate whether improvements can be made </w:t>
      </w:r>
      <w:r w:rsidR="00124A6D">
        <w:t>for the next regulatory period</w:t>
      </w:r>
      <w:r>
        <w:t>.</w:t>
      </w:r>
      <w:r w:rsidR="00E75304">
        <w:t xml:space="preserve"> </w:t>
      </w:r>
      <w:r>
        <w:t>This will include consideration of</w:t>
      </w:r>
      <w:r w:rsidR="006200D1">
        <w:t>:</w:t>
      </w:r>
    </w:p>
    <w:p w14:paraId="1A1750A0" w14:textId="77777777" w:rsidR="00F43602" w:rsidRDefault="004439EE">
      <w:pPr>
        <w:pStyle w:val="Bullet"/>
      </w:pPr>
      <w:r>
        <w:t>mechanisms to ensure the recovery of prudent and efficient cos</w:t>
      </w:r>
      <w:r w:rsidRPr="00E75304">
        <w:t>ts, while minimising</w:t>
      </w:r>
      <w:r w:rsidRPr="00E6005B">
        <w:t xml:space="preserve"> the potential f</w:t>
      </w:r>
      <w:r>
        <w:t xml:space="preserve">or significant price fluctuations; </w:t>
      </w:r>
    </w:p>
    <w:p w14:paraId="0B7CC04D" w14:textId="77777777" w:rsidR="00F43602" w:rsidRDefault="004439EE">
      <w:pPr>
        <w:pStyle w:val="Bullet"/>
      </w:pPr>
      <w:r>
        <w:t>the potential for</w:t>
      </w:r>
      <w:r w:rsidR="00124A6D">
        <w:t xml:space="preserve"> </w:t>
      </w:r>
      <w:r w:rsidR="00D74D17">
        <w:t xml:space="preserve">implementing </w:t>
      </w:r>
      <w:r>
        <w:t>incentive schemes for service levels and for operating and capital expenditure; and</w:t>
      </w:r>
      <w:r w:rsidR="00D8634A">
        <w:t xml:space="preserve"> </w:t>
      </w:r>
    </w:p>
    <w:p w14:paraId="4BEA09F6" w14:textId="77777777" w:rsidR="00F43602" w:rsidRDefault="00D8634A">
      <w:pPr>
        <w:pStyle w:val="BulletLast"/>
      </w:pPr>
      <w:proofErr w:type="gramStart"/>
      <w:r>
        <w:t>any</w:t>
      </w:r>
      <w:proofErr w:type="gramEnd"/>
      <w:r>
        <w:t xml:space="preserve"> amendments </w:t>
      </w:r>
      <w:r w:rsidR="0016783F">
        <w:t>to the</w:t>
      </w:r>
      <w:r w:rsidR="004439EE">
        <w:t xml:space="preserve"> tariff structure.</w:t>
      </w:r>
    </w:p>
    <w:p w14:paraId="6C8D00D9" w14:textId="77777777" w:rsidR="004439EE" w:rsidRDefault="00124A6D" w:rsidP="00B6494B">
      <w:r>
        <w:t xml:space="preserve">As part of its </w:t>
      </w:r>
      <w:r w:rsidR="002F7B4D">
        <w:t>investigation,</w:t>
      </w:r>
      <w:r>
        <w:t xml:space="preserve"> the Commission will outline its intended approach to </w:t>
      </w:r>
      <w:r w:rsidR="00254CE2">
        <w:t>meeting its</w:t>
      </w:r>
      <w:r>
        <w:t xml:space="preserve"> various regulatory objectives within its decision</w:t>
      </w:r>
      <w:r w:rsidR="00AE3D19">
        <w:t>-</w:t>
      </w:r>
      <w:r>
        <w:t>making processes.</w:t>
      </w:r>
    </w:p>
    <w:p w14:paraId="786686E8" w14:textId="77777777" w:rsidR="00124A6D" w:rsidRDefault="00124A6D" w:rsidP="00B6494B">
      <w:r>
        <w:t xml:space="preserve">The Commission welcomes submissions </w:t>
      </w:r>
      <w:r w:rsidR="00AE3D19">
        <w:t xml:space="preserve">on </w:t>
      </w:r>
      <w:r>
        <w:t xml:space="preserve">this </w:t>
      </w:r>
      <w:r w:rsidR="00AE3D19">
        <w:t>i</w:t>
      </w:r>
      <w:r>
        <w:t xml:space="preserve">ssues </w:t>
      </w:r>
      <w:r w:rsidR="00AE3D19">
        <w:t>p</w:t>
      </w:r>
      <w:r>
        <w:t>aper.</w:t>
      </w:r>
      <w:r w:rsidR="00E75304">
        <w:t xml:space="preserve"> </w:t>
      </w:r>
      <w:r>
        <w:t>The process for making submissions is set out on the following page.</w:t>
      </w:r>
    </w:p>
    <w:p w14:paraId="105258B6" w14:textId="77777777" w:rsidR="00124A6D" w:rsidRDefault="00124A6D" w:rsidP="00B6494B">
      <w:r>
        <w:t>The timeline for</w:t>
      </w:r>
      <w:r w:rsidR="00AE3D19">
        <w:t xml:space="preserve"> the</w:t>
      </w:r>
      <w:r>
        <w:t xml:space="preserve"> investigation </w:t>
      </w:r>
      <w:r w:rsidR="00AE3D19">
        <w:t xml:space="preserve">is </w:t>
      </w:r>
      <w:r>
        <w:t xml:space="preserve">set out in Chapter </w:t>
      </w:r>
      <w:r w:rsidR="00C13784">
        <w:t>1</w:t>
      </w:r>
      <w:r>
        <w:t xml:space="preserve">. </w:t>
      </w:r>
    </w:p>
    <w:p w14:paraId="4221FD48" w14:textId="77777777" w:rsidR="00124A6D" w:rsidRDefault="00124A6D" w:rsidP="00B6494B"/>
    <w:p w14:paraId="2CFE91B8" w14:textId="77777777" w:rsidR="00B6494B" w:rsidRDefault="00B6494B" w:rsidP="00B6494B"/>
    <w:p w14:paraId="3D28FC29" w14:textId="77777777" w:rsidR="00B6494B" w:rsidRDefault="00B6494B" w:rsidP="00B6494B">
      <w:r>
        <w:t>Joe Dimasi</w:t>
      </w:r>
    </w:p>
    <w:p w14:paraId="685E9333" w14:textId="77777777" w:rsidR="00B6494B" w:rsidRDefault="00B6494B" w:rsidP="00B6494B">
      <w:r>
        <w:t>Senior Commissioner</w:t>
      </w:r>
    </w:p>
    <w:p w14:paraId="0F41F15C" w14:textId="77777777" w:rsidR="00AE3D19" w:rsidRDefault="00DC51FC" w:rsidP="00AE3D19">
      <w:r w:rsidRPr="00DC51FC">
        <w:t xml:space="preserve">31 </w:t>
      </w:r>
      <w:r w:rsidR="00F233D1" w:rsidRPr="00DC51FC">
        <w:t>March</w:t>
      </w:r>
      <w:r w:rsidR="00970019" w:rsidRPr="00DC51FC">
        <w:t xml:space="preserve"> 2017</w:t>
      </w:r>
    </w:p>
    <w:p w14:paraId="6FD50420" w14:textId="77777777" w:rsidR="00B6494B" w:rsidRPr="00AE3D19" w:rsidRDefault="00B6494B" w:rsidP="00AE3D19">
      <w:r>
        <w:br w:type="page"/>
      </w:r>
    </w:p>
    <w:p w14:paraId="5A0C382F" w14:textId="77777777" w:rsidR="00341230" w:rsidRDefault="00341230" w:rsidP="0088522D">
      <w:pPr>
        <w:pStyle w:val="Heading1a"/>
      </w:pPr>
      <w:bookmarkStart w:id="10" w:name="_Toc478557239"/>
      <w:r w:rsidRPr="001E53CC">
        <w:lastRenderedPageBreak/>
        <w:t>How to make a submission</w:t>
      </w:r>
      <w:bookmarkEnd w:id="9"/>
      <w:bookmarkEnd w:id="10"/>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58"/>
      </w:tblGrid>
      <w:tr w:rsidR="00341230" w:rsidRPr="00C6335A" w14:paraId="0BE4CCA7" w14:textId="77777777" w:rsidTr="00FD2BFE">
        <w:tc>
          <w:tcPr>
            <w:tcW w:w="5000" w:type="pct"/>
          </w:tcPr>
          <w:p w14:paraId="21D446F5" w14:textId="77777777" w:rsidR="001911FC" w:rsidRDefault="001911FC" w:rsidP="00B222E3">
            <w:pPr>
              <w:rPr>
                <w:lang w:val="en-AU"/>
              </w:rPr>
            </w:pPr>
            <w:r>
              <w:rPr>
                <w:lang w:val="en-AU"/>
              </w:rPr>
              <w:t xml:space="preserve">The Commission welcomes submissions on this </w:t>
            </w:r>
            <w:r w:rsidR="00E75304">
              <w:rPr>
                <w:lang w:val="en-AU"/>
              </w:rPr>
              <w:t>i</w:t>
            </w:r>
            <w:r>
              <w:rPr>
                <w:lang w:val="en-AU"/>
              </w:rPr>
              <w:t xml:space="preserve">ssues </w:t>
            </w:r>
            <w:r w:rsidR="00E75304">
              <w:rPr>
                <w:lang w:val="en-AU"/>
              </w:rPr>
              <w:t>p</w:t>
            </w:r>
            <w:r w:rsidR="00351027">
              <w:rPr>
                <w:lang w:val="en-AU"/>
              </w:rPr>
              <w:t xml:space="preserve">aper </w:t>
            </w:r>
            <w:r>
              <w:rPr>
                <w:lang w:val="en-AU"/>
              </w:rPr>
              <w:t>as well as any other relevant information that could assist the Commission’s inquiry into regulated prices for water and sewerage services for the period 1 July 2018 to 30 June 2023.</w:t>
            </w:r>
            <w:r w:rsidR="00351027">
              <w:rPr>
                <w:lang w:val="en-AU"/>
              </w:rPr>
              <w:t xml:space="preserve"> </w:t>
            </w:r>
          </w:p>
          <w:p w14:paraId="67B2DD59" w14:textId="77777777" w:rsidR="00341230" w:rsidRPr="00C6335A" w:rsidRDefault="00341230" w:rsidP="00B222E3">
            <w:pPr>
              <w:rPr>
                <w:rFonts w:eastAsia="SimSun"/>
                <w:lang w:val="en-AU"/>
              </w:rPr>
            </w:pPr>
            <w:r w:rsidRPr="00C6335A">
              <w:rPr>
                <w:rFonts w:eastAsia="SimSun"/>
                <w:lang w:val="en-AU"/>
              </w:rPr>
              <w:t>Submissions may be mailed to the Commission at:</w:t>
            </w:r>
          </w:p>
          <w:p w14:paraId="53E28FF3" w14:textId="77777777" w:rsidR="00341230" w:rsidRPr="00C6335A" w:rsidRDefault="00341230" w:rsidP="00B222E3">
            <w:pPr>
              <w:rPr>
                <w:rFonts w:eastAsia="SimSun"/>
                <w:lang w:val="en-AU"/>
              </w:rPr>
            </w:pPr>
            <w:r w:rsidRPr="00C6335A">
              <w:rPr>
                <w:rFonts w:eastAsia="SimSun"/>
                <w:lang w:val="en-AU"/>
              </w:rPr>
              <w:t>Independent Competition and R</w:t>
            </w:r>
            <w:r>
              <w:rPr>
                <w:rFonts w:eastAsia="SimSun"/>
                <w:lang w:val="en-AU"/>
              </w:rPr>
              <w:t>egulatory Commission</w:t>
            </w:r>
            <w:r>
              <w:rPr>
                <w:rFonts w:eastAsia="SimSun"/>
                <w:lang w:val="en-AU"/>
              </w:rPr>
              <w:br/>
              <w:t>PO Box 161</w:t>
            </w:r>
            <w:r>
              <w:rPr>
                <w:rFonts w:eastAsia="SimSun"/>
                <w:lang w:val="en-AU"/>
              </w:rPr>
              <w:br/>
              <w:t>Civic Square</w:t>
            </w:r>
            <w:r w:rsidRPr="00C6335A">
              <w:rPr>
                <w:rFonts w:eastAsia="SimSun"/>
                <w:lang w:val="en-AU"/>
              </w:rPr>
              <w:t xml:space="preserve"> ACT</w:t>
            </w:r>
            <w:r>
              <w:rPr>
                <w:rFonts w:eastAsia="SimSun"/>
                <w:lang w:val="en-AU"/>
              </w:rPr>
              <w:t xml:space="preserve"> </w:t>
            </w:r>
            <w:r w:rsidRPr="00C6335A">
              <w:rPr>
                <w:rFonts w:eastAsia="SimSun"/>
                <w:lang w:val="en-AU"/>
              </w:rPr>
              <w:t>260</w:t>
            </w:r>
            <w:r>
              <w:rPr>
                <w:rFonts w:eastAsia="SimSun"/>
                <w:lang w:val="en-AU"/>
              </w:rPr>
              <w:t>8</w:t>
            </w:r>
          </w:p>
          <w:p w14:paraId="35B93758" w14:textId="77777777" w:rsidR="00341230" w:rsidRDefault="00341230" w:rsidP="00B222E3">
            <w:pPr>
              <w:rPr>
                <w:rFonts w:eastAsia="SimSun"/>
                <w:lang w:val="en-AU"/>
              </w:rPr>
            </w:pPr>
            <w:r w:rsidRPr="00C6335A">
              <w:rPr>
                <w:rFonts w:eastAsia="SimSun"/>
                <w:lang w:val="en-AU"/>
              </w:rPr>
              <w:t xml:space="preserve">Alternatively, submissions may be emailed to the Commission at </w:t>
            </w:r>
            <w:hyperlink r:id="rId20" w:history="1">
              <w:r w:rsidRPr="00C36951">
                <w:rPr>
                  <w:rFonts w:eastAsia="SimSun"/>
                  <w:lang w:val="en-AU"/>
                </w:rPr>
                <w:t>icrc@act.gov.au</w:t>
              </w:r>
            </w:hyperlink>
            <w:r w:rsidRPr="00C6335A">
              <w:rPr>
                <w:rFonts w:eastAsia="SimSun"/>
                <w:lang w:val="en-AU"/>
              </w:rPr>
              <w:t>.</w:t>
            </w:r>
            <w:r>
              <w:rPr>
                <w:rFonts w:eastAsia="SimSun"/>
                <w:lang w:val="en-AU"/>
              </w:rPr>
              <w:t xml:space="preserve"> </w:t>
            </w:r>
            <w:r w:rsidRPr="00692BCF">
              <w:rPr>
                <w:rFonts w:eastAsia="SimSun"/>
                <w:lang w:val="en-AU"/>
              </w:rPr>
              <w:t xml:space="preserve">The </w:t>
            </w:r>
            <w:r>
              <w:rPr>
                <w:rFonts w:eastAsia="SimSun"/>
                <w:lang w:val="en-AU"/>
              </w:rPr>
              <w:t xml:space="preserve">Commission </w:t>
            </w:r>
            <w:r w:rsidRPr="00692BCF">
              <w:rPr>
                <w:rFonts w:eastAsia="SimSun"/>
                <w:lang w:val="en-AU"/>
              </w:rPr>
              <w:t>encourages</w:t>
            </w:r>
            <w:r>
              <w:rPr>
                <w:rFonts w:eastAsia="SimSun"/>
                <w:lang w:val="en-AU"/>
              </w:rPr>
              <w:t xml:space="preserve"> stakeholders </w:t>
            </w:r>
            <w:r w:rsidRPr="00692BCF">
              <w:rPr>
                <w:rFonts w:eastAsia="SimSun"/>
                <w:lang w:val="en-AU"/>
              </w:rPr>
              <w:t>to make submissions in either Microsoft Word format or PDF (OCR</w:t>
            </w:r>
            <w:r>
              <w:rPr>
                <w:rFonts w:eastAsia="SimSun"/>
                <w:lang w:val="en-AU"/>
              </w:rPr>
              <w:t xml:space="preserve"> </w:t>
            </w:r>
            <w:r w:rsidRPr="00692BCF">
              <w:rPr>
                <w:rFonts w:eastAsia="SimSun"/>
                <w:lang w:val="en-AU"/>
              </w:rPr>
              <w:t>readable text format</w:t>
            </w:r>
            <w:r>
              <w:rPr>
                <w:rFonts w:eastAsia="SimSun"/>
                <w:lang w:val="en-AU"/>
              </w:rPr>
              <w:t xml:space="preserve"> – </w:t>
            </w:r>
            <w:r w:rsidRPr="00692BCF">
              <w:rPr>
                <w:rFonts w:eastAsia="SimSun"/>
                <w:lang w:val="en-AU"/>
              </w:rPr>
              <w:t>that is</w:t>
            </w:r>
            <w:r>
              <w:rPr>
                <w:rFonts w:eastAsia="SimSun"/>
                <w:lang w:val="en-AU"/>
              </w:rPr>
              <w:t>,</w:t>
            </w:r>
            <w:r w:rsidRPr="00692BCF">
              <w:rPr>
                <w:rFonts w:eastAsia="SimSun"/>
                <w:lang w:val="en-AU"/>
              </w:rPr>
              <w:t xml:space="preserve"> they should be direct conversions from the word</w:t>
            </w:r>
            <w:r>
              <w:rPr>
                <w:rFonts w:eastAsia="SimSun"/>
                <w:lang w:val="en-AU"/>
              </w:rPr>
              <w:t>-</w:t>
            </w:r>
            <w:r w:rsidRPr="00692BCF">
              <w:rPr>
                <w:rFonts w:eastAsia="SimSun"/>
                <w:lang w:val="en-AU"/>
              </w:rPr>
              <w:t>processing program, rather than scanned copies in which the text cannot be searched)</w:t>
            </w:r>
            <w:r>
              <w:rPr>
                <w:rFonts w:eastAsia="SimSun"/>
                <w:lang w:val="en-AU"/>
              </w:rPr>
              <w:t>.</w:t>
            </w:r>
            <w:r w:rsidRPr="002D502F">
              <w:rPr>
                <w:rFonts w:eastAsia="SimSun"/>
                <w:lang w:val="en-AU"/>
              </w:rPr>
              <w:t xml:space="preserve"> </w:t>
            </w:r>
          </w:p>
          <w:p w14:paraId="1D8CEB2F" w14:textId="77777777" w:rsidR="00341230" w:rsidRPr="002D502F" w:rsidRDefault="00341230" w:rsidP="00B222E3">
            <w:pPr>
              <w:rPr>
                <w:rFonts w:eastAsia="SimSun"/>
                <w:lang w:val="en-AU"/>
              </w:rPr>
            </w:pPr>
            <w:r w:rsidRPr="00E5541B">
              <w:rPr>
                <w:rFonts w:eastAsia="SimSun"/>
                <w:lang w:val="en-AU"/>
              </w:rPr>
              <w:t>For submissions received from individuals, all</w:t>
            </w:r>
            <w:r w:rsidR="00F43602">
              <w:rPr>
                <w:rFonts w:eastAsia="SimSun"/>
                <w:lang w:val="en-AU"/>
              </w:rPr>
              <w:t xml:space="preserve"> contact</w:t>
            </w:r>
            <w:r w:rsidRPr="00E5541B">
              <w:rPr>
                <w:rFonts w:eastAsia="SimSun"/>
                <w:lang w:val="en-AU"/>
              </w:rPr>
              <w:t xml:space="preserve"> details (for example</w:t>
            </w:r>
            <w:r>
              <w:rPr>
                <w:rFonts w:eastAsia="SimSun"/>
                <w:lang w:val="en-AU"/>
              </w:rPr>
              <w:t>,</w:t>
            </w:r>
            <w:r w:rsidRPr="00E5541B">
              <w:rPr>
                <w:rFonts w:eastAsia="SimSun"/>
                <w:lang w:val="en-AU"/>
              </w:rPr>
              <w:t xml:space="preserve"> home and email address</w:t>
            </w:r>
            <w:r>
              <w:rPr>
                <w:rFonts w:eastAsia="SimSun"/>
                <w:lang w:val="en-AU"/>
              </w:rPr>
              <w:t>es</w:t>
            </w:r>
            <w:r w:rsidRPr="00E5541B">
              <w:rPr>
                <w:rFonts w:eastAsia="SimSun"/>
                <w:lang w:val="en-AU"/>
              </w:rPr>
              <w:t xml:space="preserve">, </w:t>
            </w:r>
            <w:r>
              <w:rPr>
                <w:rFonts w:eastAsia="SimSun"/>
                <w:lang w:val="en-AU"/>
              </w:rPr>
              <w:t>and tele</w:t>
            </w:r>
            <w:r w:rsidRPr="00E5541B">
              <w:rPr>
                <w:rFonts w:eastAsia="SimSun"/>
                <w:lang w:val="en-AU"/>
              </w:rPr>
              <w:t>phone and fax number</w:t>
            </w:r>
            <w:r>
              <w:rPr>
                <w:rFonts w:eastAsia="SimSun"/>
                <w:lang w:val="en-AU"/>
              </w:rPr>
              <w:t>s</w:t>
            </w:r>
            <w:r w:rsidRPr="00E5541B">
              <w:rPr>
                <w:rFonts w:eastAsia="SimSun"/>
                <w:lang w:val="en-AU"/>
              </w:rPr>
              <w:t xml:space="preserve">) will be removed for privacy reasons before </w:t>
            </w:r>
            <w:r>
              <w:rPr>
                <w:rFonts w:eastAsia="SimSun"/>
                <w:lang w:val="en-AU"/>
              </w:rPr>
              <w:t>the submissions</w:t>
            </w:r>
            <w:r w:rsidRPr="00E5541B">
              <w:rPr>
                <w:rFonts w:eastAsia="SimSun"/>
                <w:lang w:val="en-AU"/>
              </w:rPr>
              <w:t xml:space="preserve"> </w:t>
            </w:r>
            <w:r>
              <w:rPr>
                <w:rFonts w:eastAsia="SimSun"/>
                <w:lang w:val="en-AU"/>
              </w:rPr>
              <w:t>are</w:t>
            </w:r>
            <w:r w:rsidRPr="00E5541B">
              <w:rPr>
                <w:rFonts w:eastAsia="SimSun"/>
                <w:lang w:val="en-AU"/>
              </w:rPr>
              <w:t xml:space="preserve"> published on the website.</w:t>
            </w:r>
            <w:r w:rsidRPr="00E5541B">
              <w:rPr>
                <w:rFonts w:eastAsia="SimSun"/>
                <w:shd w:val="clear" w:color="auto" w:fill="FFFF00"/>
                <w:lang w:val="en-AU"/>
              </w:rPr>
              <w:t xml:space="preserve"> </w:t>
            </w:r>
          </w:p>
          <w:p w14:paraId="4227371A" w14:textId="77777777" w:rsidR="00341230" w:rsidRDefault="00341230" w:rsidP="00B222E3">
            <w:pPr>
              <w:rPr>
                <w:rFonts w:eastAsia="SimSun"/>
                <w:lang w:val="en-AU"/>
              </w:rPr>
            </w:pPr>
            <w:r w:rsidRPr="00C6335A">
              <w:rPr>
                <w:rFonts w:eastAsia="SimSun"/>
                <w:lang w:val="en-AU"/>
              </w:rPr>
              <w:t xml:space="preserve">The Commission is guided by and believes in the principles of openness, transparency, consistency and accountability. Public consultation is a crucial element of </w:t>
            </w:r>
            <w:r>
              <w:rPr>
                <w:rFonts w:eastAsia="SimSun"/>
                <w:lang w:val="en-AU"/>
              </w:rPr>
              <w:t xml:space="preserve">the </w:t>
            </w:r>
            <w:r w:rsidRPr="00C6335A">
              <w:rPr>
                <w:rFonts w:eastAsia="SimSun"/>
                <w:lang w:val="en-AU"/>
              </w:rPr>
              <w:t>Commission</w:t>
            </w:r>
            <w:r>
              <w:rPr>
                <w:rFonts w:eastAsia="SimSun"/>
                <w:lang w:val="en-AU"/>
              </w:rPr>
              <w:t>’</w:t>
            </w:r>
            <w:r w:rsidRPr="00C6335A">
              <w:rPr>
                <w:rFonts w:eastAsia="SimSun"/>
                <w:lang w:val="en-AU"/>
              </w:rPr>
              <w:t xml:space="preserve">s processes. </w:t>
            </w:r>
            <w:r>
              <w:rPr>
                <w:rFonts w:eastAsia="SimSun"/>
                <w:lang w:val="en-AU"/>
              </w:rPr>
              <w:t>T</w:t>
            </w:r>
            <w:r w:rsidRPr="00FB72CD">
              <w:t>he Commission</w:t>
            </w:r>
            <w:r>
              <w:t>’</w:t>
            </w:r>
            <w:r w:rsidRPr="00FB72CD">
              <w:t xml:space="preserve">s preference </w:t>
            </w:r>
            <w:r w:rsidR="00ED3916">
              <w:t xml:space="preserve">is </w:t>
            </w:r>
            <w:r w:rsidRPr="00FB72CD">
              <w:t>that all submissions it receives be treated as public and be published on the Commission</w:t>
            </w:r>
            <w:r>
              <w:t>’</w:t>
            </w:r>
            <w:r w:rsidRPr="00FB72CD">
              <w:t xml:space="preserve">s website unless the author of the submission indicates clearly that all or part of the submission is confidential and not to be made available publicly. Where confidential material is claimed, the Commission prefers that this be under a separate cover and clearly marked </w:t>
            </w:r>
            <w:r>
              <w:t>‘</w:t>
            </w:r>
            <w:r w:rsidRPr="00FB72CD">
              <w:t>In Confidence</w:t>
            </w:r>
            <w:r>
              <w:t>’</w:t>
            </w:r>
            <w:r w:rsidRPr="00FB72CD">
              <w:t>. The Commission will assess the author</w:t>
            </w:r>
            <w:r>
              <w:t>’</w:t>
            </w:r>
            <w:r w:rsidRPr="00FB72CD">
              <w:t>s claim and discuss appropriate steps to ensure that confidential material is</w:t>
            </w:r>
            <w:r w:rsidRPr="00FF5F02">
              <w:t xml:space="preserve"> protected while</w:t>
            </w:r>
            <w:r w:rsidRPr="00C6335A">
              <w:rPr>
                <w:rFonts w:eastAsia="SimSun"/>
                <w:lang w:val="en-AU"/>
              </w:rPr>
              <w:t xml:space="preserve"> maintaining the principles of openness, transparency, consistency and accountability.</w:t>
            </w:r>
          </w:p>
          <w:p w14:paraId="7579AFCB" w14:textId="77777777" w:rsidR="00341230" w:rsidRPr="00C6335A" w:rsidRDefault="00384301" w:rsidP="00B222E3">
            <w:pPr>
              <w:rPr>
                <w:rFonts w:eastAsia="SimSun"/>
                <w:lang w:val="en-AU"/>
              </w:rPr>
            </w:pPr>
            <w:r>
              <w:rPr>
                <w:rFonts w:eastAsia="SimSun"/>
                <w:lang w:val="en-AU"/>
              </w:rPr>
              <w:t>The Commission</w:t>
            </w:r>
            <w:r w:rsidR="00341230">
              <w:rPr>
                <w:rFonts w:eastAsia="SimSun"/>
                <w:lang w:val="en-AU"/>
              </w:rPr>
              <w:t xml:space="preserve"> </w:t>
            </w:r>
            <w:r w:rsidR="00341230" w:rsidRPr="00C6335A">
              <w:rPr>
                <w:rFonts w:eastAsia="SimSun"/>
                <w:lang w:val="en-AU"/>
              </w:rPr>
              <w:t xml:space="preserve">may be contacted at the above </w:t>
            </w:r>
            <w:r w:rsidR="000F1AF1">
              <w:rPr>
                <w:rFonts w:eastAsia="SimSun"/>
                <w:lang w:val="en-AU"/>
              </w:rPr>
              <w:t xml:space="preserve">postal and email </w:t>
            </w:r>
            <w:r w:rsidR="00341230" w:rsidRPr="00C6335A">
              <w:rPr>
                <w:rFonts w:eastAsia="SimSun"/>
                <w:lang w:val="en-AU"/>
              </w:rPr>
              <w:t>addresses, by telephone on (02)</w:t>
            </w:r>
            <w:r w:rsidR="00341230">
              <w:rPr>
                <w:rFonts w:eastAsia="SimSun"/>
                <w:lang w:val="en-AU"/>
              </w:rPr>
              <w:t> </w:t>
            </w:r>
            <w:r w:rsidR="00341230" w:rsidRPr="00C6335A">
              <w:rPr>
                <w:rFonts w:eastAsia="SimSun"/>
                <w:lang w:val="en-AU"/>
              </w:rPr>
              <w:t>6205</w:t>
            </w:r>
            <w:r w:rsidR="00341230">
              <w:rPr>
                <w:rFonts w:eastAsia="SimSun"/>
                <w:lang w:val="en-AU"/>
              </w:rPr>
              <w:t> </w:t>
            </w:r>
            <w:r w:rsidR="00341230" w:rsidRPr="00C6335A">
              <w:rPr>
                <w:rFonts w:eastAsia="SimSun"/>
                <w:lang w:val="en-AU"/>
              </w:rPr>
              <w:t>0799 or by fax on (02) 6207 5887. The Commission</w:t>
            </w:r>
            <w:r w:rsidR="00341230">
              <w:rPr>
                <w:rFonts w:eastAsia="SimSun"/>
                <w:lang w:val="en-AU"/>
              </w:rPr>
              <w:t>’</w:t>
            </w:r>
            <w:r w:rsidR="00341230" w:rsidRPr="00C6335A">
              <w:rPr>
                <w:rFonts w:eastAsia="SimSun"/>
                <w:lang w:val="en-AU"/>
              </w:rPr>
              <w:t>s website is at www.icrc.act.gov.au.</w:t>
            </w:r>
          </w:p>
          <w:p w14:paraId="5859E64C" w14:textId="77777777" w:rsidR="00341230" w:rsidRPr="00C6335A" w:rsidRDefault="00E85DDD" w:rsidP="00F233D1">
            <w:pPr>
              <w:rPr>
                <w:rFonts w:eastAsia="SimSun"/>
              </w:rPr>
            </w:pPr>
            <w:r>
              <w:t xml:space="preserve">The </w:t>
            </w:r>
            <w:r w:rsidRPr="007F56C7">
              <w:t xml:space="preserve">closing </w:t>
            </w:r>
            <w:r w:rsidR="00613485">
              <w:t xml:space="preserve">time </w:t>
            </w:r>
            <w:r w:rsidRPr="007F56C7">
              <w:t>for s</w:t>
            </w:r>
            <w:r w:rsidR="00341230" w:rsidRPr="007F56C7">
              <w:rPr>
                <w:rFonts w:eastAsia="SimSun"/>
              </w:rPr>
              <w:t>ubmissions on the issues paper</w:t>
            </w:r>
            <w:r w:rsidR="00963833">
              <w:rPr>
                <w:rFonts w:eastAsia="SimSun"/>
              </w:rPr>
              <w:t xml:space="preserve"> </w:t>
            </w:r>
            <w:r w:rsidRPr="007F56C7">
              <w:t xml:space="preserve">is </w:t>
            </w:r>
            <w:r w:rsidR="00341230" w:rsidRPr="00DC51FC">
              <w:rPr>
                <w:rFonts w:eastAsia="SimSun"/>
                <w:b/>
              </w:rPr>
              <w:t xml:space="preserve">5 pm, </w:t>
            </w:r>
            <w:r w:rsidR="00F233D1" w:rsidRPr="00DC51FC">
              <w:rPr>
                <w:rFonts w:eastAsia="SimSun"/>
                <w:b/>
              </w:rPr>
              <w:t>28 April</w:t>
            </w:r>
            <w:r w:rsidR="001911FC" w:rsidRPr="00DC51FC">
              <w:rPr>
                <w:rStyle w:val="Bold"/>
              </w:rPr>
              <w:t xml:space="preserve"> </w:t>
            </w:r>
            <w:r w:rsidR="00D50B7C" w:rsidRPr="00DC51FC">
              <w:rPr>
                <w:rStyle w:val="Bold"/>
              </w:rPr>
              <w:t>2017</w:t>
            </w:r>
            <w:r w:rsidR="00341230" w:rsidRPr="00DC51FC">
              <w:rPr>
                <w:rStyle w:val="Bold"/>
              </w:rPr>
              <w:t>.</w:t>
            </w:r>
          </w:p>
        </w:tc>
      </w:tr>
    </w:tbl>
    <w:p w14:paraId="638BCA61" w14:textId="77777777" w:rsidR="00341230" w:rsidRDefault="00341230" w:rsidP="008A1C91">
      <w:pPr>
        <w:pStyle w:val="References"/>
      </w:pPr>
    </w:p>
    <w:p w14:paraId="04DFCF6C" w14:textId="77777777" w:rsidR="00043BCD" w:rsidRDefault="00043BCD" w:rsidP="008A1C91">
      <w:pPr>
        <w:pStyle w:val="References"/>
      </w:pPr>
    </w:p>
    <w:p w14:paraId="19251018" w14:textId="77777777" w:rsidR="00866575" w:rsidRDefault="00866575" w:rsidP="008A1C91">
      <w:pPr>
        <w:pStyle w:val="References"/>
        <w:sectPr w:rsidR="00866575" w:rsidSect="00662C7A">
          <w:headerReference w:type="even" r:id="rId21"/>
          <w:headerReference w:type="default" r:id="rId22"/>
          <w:footerReference w:type="default" r:id="rId23"/>
          <w:headerReference w:type="first" r:id="rId24"/>
          <w:endnotePr>
            <w:numFmt w:val="decimal"/>
          </w:endnotePr>
          <w:type w:val="oddPage"/>
          <w:pgSz w:w="11907" w:h="16840" w:code="9"/>
          <w:pgMar w:top="2268" w:right="2098" w:bottom="1701" w:left="2098" w:header="578" w:footer="578" w:gutter="0"/>
          <w:pgNumType w:fmt="lowerRoman"/>
          <w:cols w:space="720"/>
        </w:sectPr>
      </w:pPr>
    </w:p>
    <w:p w14:paraId="3DE7227D" w14:textId="77777777" w:rsidR="00206261" w:rsidRDefault="00206261" w:rsidP="008A1C91">
      <w:pPr>
        <w:pStyle w:val="References"/>
        <w:sectPr w:rsidR="00206261" w:rsidSect="00662C7A">
          <w:endnotePr>
            <w:numFmt w:val="decimal"/>
          </w:endnotePr>
          <w:pgSz w:w="11907" w:h="16840" w:code="9"/>
          <w:pgMar w:top="2268" w:right="2098" w:bottom="1701" w:left="2098" w:header="578" w:footer="578" w:gutter="0"/>
          <w:pgNumType w:fmt="lowerRoman"/>
          <w:cols w:space="720"/>
          <w:docGrid w:linePitch="299"/>
        </w:sectPr>
      </w:pPr>
    </w:p>
    <w:p w14:paraId="6722F0F8" w14:textId="77777777" w:rsidR="00D5242B" w:rsidRPr="005E1CF9" w:rsidRDefault="00D5242B" w:rsidP="008A1C91">
      <w:pPr>
        <w:pStyle w:val="References"/>
        <w:rPr>
          <w:rFonts w:ascii="Tahoma" w:hAnsi="Tahoma" w:cs="Tahoma"/>
          <w:b/>
          <w:color w:val="000033"/>
          <w:sz w:val="40"/>
          <w:lang w:val="en-AU"/>
        </w:rPr>
      </w:pPr>
      <w:bookmarkStart w:id="11" w:name="Tariff_review_at_a_glance"/>
      <w:bookmarkEnd w:id="6"/>
      <w:bookmarkEnd w:id="7"/>
      <w:bookmarkEnd w:id="11"/>
      <w:r w:rsidRPr="005E1CF9">
        <w:rPr>
          <w:rFonts w:ascii="Tahoma" w:hAnsi="Tahoma" w:cs="Tahoma"/>
          <w:b/>
          <w:color w:val="000033"/>
          <w:sz w:val="40"/>
          <w:lang w:val="en-AU"/>
        </w:rPr>
        <w:t>Contents</w:t>
      </w:r>
    </w:p>
    <w:bookmarkStart w:id="12" w:name="_Toc44217187"/>
    <w:p w14:paraId="341C4931" w14:textId="77777777" w:rsidR="00F156DC" w:rsidRDefault="00F62621">
      <w:pPr>
        <w:pStyle w:val="TOC1"/>
        <w:rPr>
          <w:rFonts w:asciiTheme="minorHAnsi" w:eastAsiaTheme="minorEastAsia" w:hAnsiTheme="minorHAnsi" w:cstheme="minorBidi"/>
          <w:b w:val="0"/>
          <w:szCs w:val="22"/>
          <w:lang w:val="en-AU" w:eastAsia="en-AU"/>
        </w:rPr>
      </w:pPr>
      <w:r>
        <w:rPr>
          <w:lang w:val="en-AU"/>
        </w:rPr>
        <w:fldChar w:fldCharType="begin"/>
      </w:r>
      <w:r w:rsidR="007846F2">
        <w:rPr>
          <w:lang w:val="en-AU"/>
        </w:rPr>
        <w:instrText xml:space="preserve"> TOC \o "1-2" \h \z \u </w:instrText>
      </w:r>
      <w:r>
        <w:rPr>
          <w:lang w:val="en-AU"/>
        </w:rPr>
        <w:fldChar w:fldCharType="separate"/>
      </w:r>
      <w:hyperlink w:anchor="_Toc478557238" w:history="1">
        <w:r w:rsidR="00F156DC" w:rsidRPr="007E0C93">
          <w:rPr>
            <w:rStyle w:val="Hyperlink"/>
          </w:rPr>
          <w:t>Foreword</w:t>
        </w:r>
        <w:r w:rsidR="00F156DC">
          <w:rPr>
            <w:webHidden/>
          </w:rPr>
          <w:tab/>
        </w:r>
        <w:r w:rsidR="00F156DC">
          <w:rPr>
            <w:webHidden/>
          </w:rPr>
          <w:fldChar w:fldCharType="begin"/>
        </w:r>
        <w:r w:rsidR="00F156DC">
          <w:rPr>
            <w:webHidden/>
          </w:rPr>
          <w:instrText xml:space="preserve"> PAGEREF _Toc478557238 \h </w:instrText>
        </w:r>
        <w:r w:rsidR="00F156DC">
          <w:rPr>
            <w:webHidden/>
          </w:rPr>
        </w:r>
        <w:r w:rsidR="00F156DC">
          <w:rPr>
            <w:webHidden/>
          </w:rPr>
          <w:fldChar w:fldCharType="separate"/>
        </w:r>
        <w:r w:rsidR="00A003A1">
          <w:rPr>
            <w:webHidden/>
          </w:rPr>
          <w:t>iii</w:t>
        </w:r>
        <w:r w:rsidR="00F156DC">
          <w:rPr>
            <w:webHidden/>
          </w:rPr>
          <w:fldChar w:fldCharType="end"/>
        </w:r>
      </w:hyperlink>
    </w:p>
    <w:p w14:paraId="3C30B07F" w14:textId="77777777" w:rsidR="00F156DC" w:rsidRDefault="00306CBB">
      <w:pPr>
        <w:pStyle w:val="TOC1"/>
        <w:rPr>
          <w:rFonts w:asciiTheme="minorHAnsi" w:eastAsiaTheme="minorEastAsia" w:hAnsiTheme="minorHAnsi" w:cstheme="minorBidi"/>
          <w:b w:val="0"/>
          <w:szCs w:val="22"/>
          <w:lang w:val="en-AU" w:eastAsia="en-AU"/>
        </w:rPr>
      </w:pPr>
      <w:hyperlink w:anchor="_Toc478557239" w:history="1">
        <w:r w:rsidR="00F156DC" w:rsidRPr="007E0C93">
          <w:rPr>
            <w:rStyle w:val="Hyperlink"/>
          </w:rPr>
          <w:t>How to make a submission</w:t>
        </w:r>
        <w:r w:rsidR="00F156DC">
          <w:rPr>
            <w:webHidden/>
          </w:rPr>
          <w:tab/>
        </w:r>
        <w:r w:rsidR="00F156DC">
          <w:rPr>
            <w:webHidden/>
          </w:rPr>
          <w:fldChar w:fldCharType="begin"/>
        </w:r>
        <w:r w:rsidR="00F156DC">
          <w:rPr>
            <w:webHidden/>
          </w:rPr>
          <w:instrText xml:space="preserve"> PAGEREF _Toc478557239 \h </w:instrText>
        </w:r>
        <w:r w:rsidR="00F156DC">
          <w:rPr>
            <w:webHidden/>
          </w:rPr>
        </w:r>
        <w:r w:rsidR="00F156DC">
          <w:rPr>
            <w:webHidden/>
          </w:rPr>
          <w:fldChar w:fldCharType="separate"/>
        </w:r>
        <w:r w:rsidR="00A003A1">
          <w:rPr>
            <w:webHidden/>
          </w:rPr>
          <w:t>iv</w:t>
        </w:r>
        <w:r w:rsidR="00F156DC">
          <w:rPr>
            <w:webHidden/>
          </w:rPr>
          <w:fldChar w:fldCharType="end"/>
        </w:r>
      </w:hyperlink>
    </w:p>
    <w:p w14:paraId="32EFCDDB" w14:textId="77777777" w:rsidR="00F156DC" w:rsidRDefault="00306CBB">
      <w:pPr>
        <w:pStyle w:val="TOC1"/>
        <w:rPr>
          <w:rFonts w:asciiTheme="minorHAnsi" w:eastAsiaTheme="minorEastAsia" w:hAnsiTheme="minorHAnsi" w:cstheme="minorBidi"/>
          <w:b w:val="0"/>
          <w:szCs w:val="22"/>
          <w:lang w:val="en-AU" w:eastAsia="en-AU"/>
        </w:rPr>
      </w:pPr>
      <w:hyperlink w:anchor="_Toc478557240" w:history="1">
        <w:r w:rsidR="00F156DC" w:rsidRPr="007E0C93">
          <w:rPr>
            <w:rStyle w:val="Hyperlink"/>
          </w:rPr>
          <w:t>1</w:t>
        </w:r>
        <w:r w:rsidR="00F156DC">
          <w:rPr>
            <w:rFonts w:asciiTheme="minorHAnsi" w:eastAsiaTheme="minorEastAsia" w:hAnsiTheme="minorHAnsi" w:cstheme="minorBidi"/>
            <w:b w:val="0"/>
            <w:szCs w:val="22"/>
            <w:lang w:val="en-AU" w:eastAsia="en-AU"/>
          </w:rPr>
          <w:tab/>
        </w:r>
        <w:r w:rsidR="00F156DC" w:rsidRPr="007E0C93">
          <w:rPr>
            <w:rStyle w:val="Hyperlink"/>
          </w:rPr>
          <w:t>Introduction</w:t>
        </w:r>
        <w:r w:rsidR="00F156DC">
          <w:rPr>
            <w:webHidden/>
          </w:rPr>
          <w:tab/>
        </w:r>
        <w:r w:rsidR="00F156DC">
          <w:rPr>
            <w:webHidden/>
          </w:rPr>
          <w:fldChar w:fldCharType="begin"/>
        </w:r>
        <w:r w:rsidR="00F156DC">
          <w:rPr>
            <w:webHidden/>
          </w:rPr>
          <w:instrText xml:space="preserve"> PAGEREF _Toc478557240 \h </w:instrText>
        </w:r>
        <w:r w:rsidR="00F156DC">
          <w:rPr>
            <w:webHidden/>
          </w:rPr>
        </w:r>
        <w:r w:rsidR="00F156DC">
          <w:rPr>
            <w:webHidden/>
          </w:rPr>
          <w:fldChar w:fldCharType="separate"/>
        </w:r>
        <w:r w:rsidR="00A003A1">
          <w:rPr>
            <w:webHidden/>
          </w:rPr>
          <w:t>1</w:t>
        </w:r>
        <w:r w:rsidR="00F156DC">
          <w:rPr>
            <w:webHidden/>
          </w:rPr>
          <w:fldChar w:fldCharType="end"/>
        </w:r>
      </w:hyperlink>
    </w:p>
    <w:p w14:paraId="34B91C9B" w14:textId="77777777" w:rsidR="00F156DC" w:rsidRDefault="00306CBB">
      <w:pPr>
        <w:pStyle w:val="TOC2"/>
        <w:rPr>
          <w:rFonts w:asciiTheme="minorHAnsi" w:eastAsiaTheme="minorEastAsia" w:hAnsiTheme="minorHAnsi" w:cstheme="minorBidi"/>
          <w:szCs w:val="22"/>
          <w:lang w:val="en-AU" w:eastAsia="en-AU"/>
        </w:rPr>
      </w:pPr>
      <w:hyperlink w:anchor="_Toc478557241" w:history="1">
        <w:r w:rsidR="00F156DC" w:rsidRPr="007E0C93">
          <w:rPr>
            <w:rStyle w:val="Hyperlink"/>
          </w:rPr>
          <w:t>1.1</w:t>
        </w:r>
        <w:r w:rsidR="00F156DC">
          <w:rPr>
            <w:rFonts w:asciiTheme="minorHAnsi" w:eastAsiaTheme="minorEastAsia" w:hAnsiTheme="minorHAnsi" w:cstheme="minorBidi"/>
            <w:szCs w:val="22"/>
            <w:lang w:val="en-AU" w:eastAsia="en-AU"/>
          </w:rPr>
          <w:tab/>
        </w:r>
        <w:r w:rsidR="00F156DC" w:rsidRPr="007E0C93">
          <w:rPr>
            <w:rStyle w:val="Hyperlink"/>
          </w:rPr>
          <w:t>Background to the investigation</w:t>
        </w:r>
        <w:r w:rsidR="00F156DC">
          <w:rPr>
            <w:webHidden/>
          </w:rPr>
          <w:tab/>
        </w:r>
        <w:r w:rsidR="00F156DC">
          <w:rPr>
            <w:webHidden/>
          </w:rPr>
          <w:fldChar w:fldCharType="begin"/>
        </w:r>
        <w:r w:rsidR="00F156DC">
          <w:rPr>
            <w:webHidden/>
          </w:rPr>
          <w:instrText xml:space="preserve"> PAGEREF _Toc478557241 \h </w:instrText>
        </w:r>
        <w:r w:rsidR="00F156DC">
          <w:rPr>
            <w:webHidden/>
          </w:rPr>
        </w:r>
        <w:r w:rsidR="00F156DC">
          <w:rPr>
            <w:webHidden/>
          </w:rPr>
          <w:fldChar w:fldCharType="separate"/>
        </w:r>
        <w:r w:rsidR="00A003A1">
          <w:rPr>
            <w:webHidden/>
          </w:rPr>
          <w:t>1</w:t>
        </w:r>
        <w:r w:rsidR="00F156DC">
          <w:rPr>
            <w:webHidden/>
          </w:rPr>
          <w:fldChar w:fldCharType="end"/>
        </w:r>
      </w:hyperlink>
    </w:p>
    <w:p w14:paraId="3C8B3C2D" w14:textId="77777777" w:rsidR="00F156DC" w:rsidRDefault="00306CBB">
      <w:pPr>
        <w:pStyle w:val="TOC2"/>
        <w:rPr>
          <w:rFonts w:asciiTheme="minorHAnsi" w:eastAsiaTheme="minorEastAsia" w:hAnsiTheme="minorHAnsi" w:cstheme="minorBidi"/>
          <w:szCs w:val="22"/>
          <w:lang w:val="en-AU" w:eastAsia="en-AU"/>
        </w:rPr>
      </w:pPr>
      <w:hyperlink w:anchor="_Toc478557242" w:history="1">
        <w:r w:rsidR="00F156DC" w:rsidRPr="007E0C93">
          <w:rPr>
            <w:rStyle w:val="Hyperlink"/>
          </w:rPr>
          <w:t>1.2</w:t>
        </w:r>
        <w:r w:rsidR="00F156DC">
          <w:rPr>
            <w:rFonts w:asciiTheme="minorHAnsi" w:eastAsiaTheme="minorEastAsia" w:hAnsiTheme="minorHAnsi" w:cstheme="minorBidi"/>
            <w:szCs w:val="22"/>
            <w:lang w:val="en-AU" w:eastAsia="en-AU"/>
          </w:rPr>
          <w:tab/>
        </w:r>
        <w:r w:rsidR="00F156DC" w:rsidRPr="007E0C93">
          <w:rPr>
            <w:rStyle w:val="Hyperlink"/>
          </w:rPr>
          <w:t>Purpose of the issues paper</w:t>
        </w:r>
        <w:r w:rsidR="00F156DC">
          <w:rPr>
            <w:webHidden/>
          </w:rPr>
          <w:tab/>
        </w:r>
        <w:r w:rsidR="00F156DC">
          <w:rPr>
            <w:webHidden/>
          </w:rPr>
          <w:fldChar w:fldCharType="begin"/>
        </w:r>
        <w:r w:rsidR="00F156DC">
          <w:rPr>
            <w:webHidden/>
          </w:rPr>
          <w:instrText xml:space="preserve"> PAGEREF _Toc478557242 \h </w:instrText>
        </w:r>
        <w:r w:rsidR="00F156DC">
          <w:rPr>
            <w:webHidden/>
          </w:rPr>
        </w:r>
        <w:r w:rsidR="00F156DC">
          <w:rPr>
            <w:webHidden/>
          </w:rPr>
          <w:fldChar w:fldCharType="separate"/>
        </w:r>
        <w:r w:rsidR="00A003A1">
          <w:rPr>
            <w:webHidden/>
          </w:rPr>
          <w:t>2</w:t>
        </w:r>
        <w:r w:rsidR="00F156DC">
          <w:rPr>
            <w:webHidden/>
          </w:rPr>
          <w:fldChar w:fldCharType="end"/>
        </w:r>
      </w:hyperlink>
    </w:p>
    <w:p w14:paraId="44906A55" w14:textId="77777777" w:rsidR="00F156DC" w:rsidRDefault="00306CBB">
      <w:pPr>
        <w:pStyle w:val="TOC2"/>
        <w:rPr>
          <w:rFonts w:asciiTheme="minorHAnsi" w:eastAsiaTheme="minorEastAsia" w:hAnsiTheme="minorHAnsi" w:cstheme="minorBidi"/>
          <w:szCs w:val="22"/>
          <w:lang w:val="en-AU" w:eastAsia="en-AU"/>
        </w:rPr>
      </w:pPr>
      <w:hyperlink w:anchor="_Toc478557243" w:history="1">
        <w:r w:rsidR="00F156DC" w:rsidRPr="007E0C93">
          <w:rPr>
            <w:rStyle w:val="Hyperlink"/>
          </w:rPr>
          <w:t>1.3</w:t>
        </w:r>
        <w:r w:rsidR="00F156DC">
          <w:rPr>
            <w:rFonts w:asciiTheme="minorHAnsi" w:eastAsiaTheme="minorEastAsia" w:hAnsiTheme="minorHAnsi" w:cstheme="minorBidi"/>
            <w:szCs w:val="22"/>
            <w:lang w:val="en-AU" w:eastAsia="en-AU"/>
          </w:rPr>
          <w:tab/>
        </w:r>
        <w:r w:rsidR="00F156DC" w:rsidRPr="007E0C93">
          <w:rPr>
            <w:rStyle w:val="Hyperlink"/>
          </w:rPr>
          <w:t>Scope of the terms of reference</w:t>
        </w:r>
        <w:r w:rsidR="00F156DC">
          <w:rPr>
            <w:webHidden/>
          </w:rPr>
          <w:tab/>
        </w:r>
        <w:r w:rsidR="00F156DC">
          <w:rPr>
            <w:webHidden/>
          </w:rPr>
          <w:fldChar w:fldCharType="begin"/>
        </w:r>
        <w:r w:rsidR="00F156DC">
          <w:rPr>
            <w:webHidden/>
          </w:rPr>
          <w:instrText xml:space="preserve"> PAGEREF _Toc478557243 \h </w:instrText>
        </w:r>
        <w:r w:rsidR="00F156DC">
          <w:rPr>
            <w:webHidden/>
          </w:rPr>
        </w:r>
        <w:r w:rsidR="00F156DC">
          <w:rPr>
            <w:webHidden/>
          </w:rPr>
          <w:fldChar w:fldCharType="separate"/>
        </w:r>
        <w:r w:rsidR="00A003A1">
          <w:rPr>
            <w:webHidden/>
          </w:rPr>
          <w:t>2</w:t>
        </w:r>
        <w:r w:rsidR="00F156DC">
          <w:rPr>
            <w:webHidden/>
          </w:rPr>
          <w:fldChar w:fldCharType="end"/>
        </w:r>
      </w:hyperlink>
    </w:p>
    <w:p w14:paraId="734C0C80" w14:textId="77777777" w:rsidR="00F156DC" w:rsidRDefault="00306CBB">
      <w:pPr>
        <w:pStyle w:val="TOC2"/>
        <w:rPr>
          <w:rFonts w:asciiTheme="minorHAnsi" w:eastAsiaTheme="minorEastAsia" w:hAnsiTheme="minorHAnsi" w:cstheme="minorBidi"/>
          <w:szCs w:val="22"/>
          <w:lang w:val="en-AU" w:eastAsia="en-AU"/>
        </w:rPr>
      </w:pPr>
      <w:hyperlink w:anchor="_Toc478557244" w:history="1">
        <w:r w:rsidR="00F156DC" w:rsidRPr="007E0C93">
          <w:rPr>
            <w:rStyle w:val="Hyperlink"/>
          </w:rPr>
          <w:t>1.4</w:t>
        </w:r>
        <w:r w:rsidR="00F156DC">
          <w:rPr>
            <w:rFonts w:asciiTheme="minorHAnsi" w:eastAsiaTheme="minorEastAsia" w:hAnsiTheme="minorHAnsi" w:cstheme="minorBidi"/>
            <w:szCs w:val="22"/>
            <w:lang w:val="en-AU" w:eastAsia="en-AU"/>
          </w:rPr>
          <w:tab/>
        </w:r>
        <w:r w:rsidR="00F156DC" w:rsidRPr="007E0C93">
          <w:rPr>
            <w:rStyle w:val="Hyperlink"/>
          </w:rPr>
          <w:t>Investigation timeline</w:t>
        </w:r>
        <w:r w:rsidR="00F156DC">
          <w:rPr>
            <w:webHidden/>
          </w:rPr>
          <w:tab/>
        </w:r>
        <w:r w:rsidR="00F156DC">
          <w:rPr>
            <w:webHidden/>
          </w:rPr>
          <w:fldChar w:fldCharType="begin"/>
        </w:r>
        <w:r w:rsidR="00F156DC">
          <w:rPr>
            <w:webHidden/>
          </w:rPr>
          <w:instrText xml:space="preserve"> PAGEREF _Toc478557244 \h </w:instrText>
        </w:r>
        <w:r w:rsidR="00F156DC">
          <w:rPr>
            <w:webHidden/>
          </w:rPr>
        </w:r>
        <w:r w:rsidR="00F156DC">
          <w:rPr>
            <w:webHidden/>
          </w:rPr>
          <w:fldChar w:fldCharType="separate"/>
        </w:r>
        <w:r w:rsidR="00A003A1">
          <w:rPr>
            <w:webHidden/>
          </w:rPr>
          <w:t>3</w:t>
        </w:r>
        <w:r w:rsidR="00F156DC">
          <w:rPr>
            <w:webHidden/>
          </w:rPr>
          <w:fldChar w:fldCharType="end"/>
        </w:r>
      </w:hyperlink>
    </w:p>
    <w:p w14:paraId="47889198" w14:textId="77777777" w:rsidR="00F156DC" w:rsidRDefault="00306CBB">
      <w:pPr>
        <w:pStyle w:val="TOC2"/>
        <w:rPr>
          <w:rFonts w:asciiTheme="minorHAnsi" w:eastAsiaTheme="minorEastAsia" w:hAnsiTheme="minorHAnsi" w:cstheme="minorBidi"/>
          <w:szCs w:val="22"/>
          <w:lang w:val="en-AU" w:eastAsia="en-AU"/>
        </w:rPr>
      </w:pPr>
      <w:hyperlink w:anchor="_Toc478557245" w:history="1">
        <w:r w:rsidR="00F156DC" w:rsidRPr="007E0C93">
          <w:rPr>
            <w:rStyle w:val="Hyperlink"/>
          </w:rPr>
          <w:t>1.5</w:t>
        </w:r>
        <w:r w:rsidR="00F156DC">
          <w:rPr>
            <w:rFonts w:asciiTheme="minorHAnsi" w:eastAsiaTheme="minorEastAsia" w:hAnsiTheme="minorHAnsi" w:cstheme="minorBidi"/>
            <w:szCs w:val="22"/>
            <w:lang w:val="en-AU" w:eastAsia="en-AU"/>
          </w:rPr>
          <w:tab/>
        </w:r>
        <w:r w:rsidR="00F156DC" w:rsidRPr="007E0C93">
          <w:rPr>
            <w:rStyle w:val="Hyperlink"/>
          </w:rPr>
          <w:t>Structure of the issues paper</w:t>
        </w:r>
        <w:r w:rsidR="00F156DC">
          <w:rPr>
            <w:webHidden/>
          </w:rPr>
          <w:tab/>
        </w:r>
        <w:r w:rsidR="00F156DC">
          <w:rPr>
            <w:webHidden/>
          </w:rPr>
          <w:fldChar w:fldCharType="begin"/>
        </w:r>
        <w:r w:rsidR="00F156DC">
          <w:rPr>
            <w:webHidden/>
          </w:rPr>
          <w:instrText xml:space="preserve"> PAGEREF _Toc478557245 \h </w:instrText>
        </w:r>
        <w:r w:rsidR="00F156DC">
          <w:rPr>
            <w:webHidden/>
          </w:rPr>
        </w:r>
        <w:r w:rsidR="00F156DC">
          <w:rPr>
            <w:webHidden/>
          </w:rPr>
          <w:fldChar w:fldCharType="separate"/>
        </w:r>
        <w:r w:rsidR="00A003A1">
          <w:rPr>
            <w:webHidden/>
          </w:rPr>
          <w:t>4</w:t>
        </w:r>
        <w:r w:rsidR="00F156DC">
          <w:rPr>
            <w:webHidden/>
          </w:rPr>
          <w:fldChar w:fldCharType="end"/>
        </w:r>
      </w:hyperlink>
    </w:p>
    <w:p w14:paraId="5D46613D" w14:textId="77777777" w:rsidR="00F156DC" w:rsidRDefault="00306CBB">
      <w:pPr>
        <w:pStyle w:val="TOC1"/>
        <w:rPr>
          <w:rFonts w:asciiTheme="minorHAnsi" w:eastAsiaTheme="minorEastAsia" w:hAnsiTheme="minorHAnsi" w:cstheme="minorBidi"/>
          <w:b w:val="0"/>
          <w:szCs w:val="22"/>
          <w:lang w:val="en-AU" w:eastAsia="en-AU"/>
        </w:rPr>
      </w:pPr>
      <w:hyperlink w:anchor="_Toc478557246" w:history="1">
        <w:r w:rsidR="00F156DC" w:rsidRPr="007E0C93">
          <w:rPr>
            <w:rStyle w:val="Hyperlink"/>
          </w:rPr>
          <w:t>2</w:t>
        </w:r>
        <w:r w:rsidR="00F156DC">
          <w:rPr>
            <w:rFonts w:asciiTheme="minorHAnsi" w:eastAsiaTheme="minorEastAsia" w:hAnsiTheme="minorHAnsi" w:cstheme="minorBidi"/>
            <w:b w:val="0"/>
            <w:szCs w:val="22"/>
            <w:lang w:val="en-AU" w:eastAsia="en-AU"/>
          </w:rPr>
          <w:tab/>
        </w:r>
        <w:r w:rsidR="00F156DC" w:rsidRPr="007E0C93">
          <w:rPr>
            <w:rStyle w:val="Hyperlink"/>
          </w:rPr>
          <w:t>Regulatory objectives and the role of the Commission</w:t>
        </w:r>
        <w:r w:rsidR="00F156DC">
          <w:rPr>
            <w:webHidden/>
          </w:rPr>
          <w:tab/>
        </w:r>
        <w:r w:rsidR="00F156DC">
          <w:rPr>
            <w:webHidden/>
          </w:rPr>
          <w:fldChar w:fldCharType="begin"/>
        </w:r>
        <w:r w:rsidR="00F156DC">
          <w:rPr>
            <w:webHidden/>
          </w:rPr>
          <w:instrText xml:space="preserve"> PAGEREF _Toc478557246 \h </w:instrText>
        </w:r>
        <w:r w:rsidR="00F156DC">
          <w:rPr>
            <w:webHidden/>
          </w:rPr>
        </w:r>
        <w:r w:rsidR="00F156DC">
          <w:rPr>
            <w:webHidden/>
          </w:rPr>
          <w:fldChar w:fldCharType="separate"/>
        </w:r>
        <w:r w:rsidR="00A003A1">
          <w:rPr>
            <w:webHidden/>
          </w:rPr>
          <w:t>5</w:t>
        </w:r>
        <w:r w:rsidR="00F156DC">
          <w:rPr>
            <w:webHidden/>
          </w:rPr>
          <w:fldChar w:fldCharType="end"/>
        </w:r>
      </w:hyperlink>
    </w:p>
    <w:p w14:paraId="700D4603" w14:textId="77777777" w:rsidR="00F156DC" w:rsidRDefault="00306CBB">
      <w:pPr>
        <w:pStyle w:val="TOC2"/>
        <w:rPr>
          <w:rFonts w:asciiTheme="minorHAnsi" w:eastAsiaTheme="minorEastAsia" w:hAnsiTheme="minorHAnsi" w:cstheme="minorBidi"/>
          <w:szCs w:val="22"/>
          <w:lang w:val="en-AU" w:eastAsia="en-AU"/>
        </w:rPr>
      </w:pPr>
      <w:hyperlink w:anchor="_Toc478557247" w:history="1">
        <w:r w:rsidR="00F156DC" w:rsidRPr="007E0C93">
          <w:rPr>
            <w:rStyle w:val="Hyperlink"/>
          </w:rPr>
          <w:t>2.1</w:t>
        </w:r>
        <w:r w:rsidR="00F156DC">
          <w:rPr>
            <w:rFonts w:asciiTheme="minorHAnsi" w:eastAsiaTheme="minorEastAsia" w:hAnsiTheme="minorHAnsi" w:cstheme="minorBidi"/>
            <w:szCs w:val="22"/>
            <w:lang w:val="en-AU" w:eastAsia="en-AU"/>
          </w:rPr>
          <w:tab/>
        </w:r>
        <w:r w:rsidR="00F156DC" w:rsidRPr="007E0C93">
          <w:rPr>
            <w:rStyle w:val="Hyperlink"/>
          </w:rPr>
          <w:t>Introduction</w:t>
        </w:r>
        <w:r w:rsidR="00F156DC">
          <w:rPr>
            <w:webHidden/>
          </w:rPr>
          <w:tab/>
        </w:r>
        <w:r w:rsidR="00F156DC">
          <w:rPr>
            <w:webHidden/>
          </w:rPr>
          <w:fldChar w:fldCharType="begin"/>
        </w:r>
        <w:r w:rsidR="00F156DC">
          <w:rPr>
            <w:webHidden/>
          </w:rPr>
          <w:instrText xml:space="preserve"> PAGEREF _Toc478557247 \h </w:instrText>
        </w:r>
        <w:r w:rsidR="00F156DC">
          <w:rPr>
            <w:webHidden/>
          </w:rPr>
        </w:r>
        <w:r w:rsidR="00F156DC">
          <w:rPr>
            <w:webHidden/>
          </w:rPr>
          <w:fldChar w:fldCharType="separate"/>
        </w:r>
        <w:r w:rsidR="00A003A1">
          <w:rPr>
            <w:webHidden/>
          </w:rPr>
          <w:t>5</w:t>
        </w:r>
        <w:r w:rsidR="00F156DC">
          <w:rPr>
            <w:webHidden/>
          </w:rPr>
          <w:fldChar w:fldCharType="end"/>
        </w:r>
      </w:hyperlink>
    </w:p>
    <w:p w14:paraId="4843CDA9" w14:textId="77777777" w:rsidR="00F156DC" w:rsidRDefault="00306CBB">
      <w:pPr>
        <w:pStyle w:val="TOC2"/>
        <w:rPr>
          <w:rFonts w:asciiTheme="minorHAnsi" w:eastAsiaTheme="minorEastAsia" w:hAnsiTheme="minorHAnsi" w:cstheme="minorBidi"/>
          <w:szCs w:val="22"/>
          <w:lang w:val="en-AU" w:eastAsia="en-AU"/>
        </w:rPr>
      </w:pPr>
      <w:hyperlink w:anchor="_Toc478557248" w:history="1">
        <w:r w:rsidR="00F156DC" w:rsidRPr="007E0C93">
          <w:rPr>
            <w:rStyle w:val="Hyperlink"/>
          </w:rPr>
          <w:t>2.2</w:t>
        </w:r>
        <w:r w:rsidR="00F156DC">
          <w:rPr>
            <w:rFonts w:asciiTheme="minorHAnsi" w:eastAsiaTheme="minorEastAsia" w:hAnsiTheme="minorHAnsi" w:cstheme="minorBidi"/>
            <w:szCs w:val="22"/>
            <w:lang w:val="en-AU" w:eastAsia="en-AU"/>
          </w:rPr>
          <w:tab/>
        </w:r>
        <w:r w:rsidR="00F156DC" w:rsidRPr="007E0C93">
          <w:rPr>
            <w:rStyle w:val="Hyperlink"/>
          </w:rPr>
          <w:t>Legislative context</w:t>
        </w:r>
        <w:r w:rsidR="00F156DC">
          <w:rPr>
            <w:webHidden/>
          </w:rPr>
          <w:tab/>
        </w:r>
        <w:r w:rsidR="00F156DC">
          <w:rPr>
            <w:webHidden/>
          </w:rPr>
          <w:fldChar w:fldCharType="begin"/>
        </w:r>
        <w:r w:rsidR="00F156DC">
          <w:rPr>
            <w:webHidden/>
          </w:rPr>
          <w:instrText xml:space="preserve"> PAGEREF _Toc478557248 \h </w:instrText>
        </w:r>
        <w:r w:rsidR="00F156DC">
          <w:rPr>
            <w:webHidden/>
          </w:rPr>
        </w:r>
        <w:r w:rsidR="00F156DC">
          <w:rPr>
            <w:webHidden/>
          </w:rPr>
          <w:fldChar w:fldCharType="separate"/>
        </w:r>
        <w:r w:rsidR="00A003A1">
          <w:rPr>
            <w:webHidden/>
          </w:rPr>
          <w:t>5</w:t>
        </w:r>
        <w:r w:rsidR="00F156DC">
          <w:rPr>
            <w:webHidden/>
          </w:rPr>
          <w:fldChar w:fldCharType="end"/>
        </w:r>
      </w:hyperlink>
    </w:p>
    <w:p w14:paraId="6C35ADE0" w14:textId="77777777" w:rsidR="00F156DC" w:rsidRDefault="00306CBB">
      <w:pPr>
        <w:pStyle w:val="TOC2"/>
        <w:rPr>
          <w:rFonts w:asciiTheme="minorHAnsi" w:eastAsiaTheme="minorEastAsia" w:hAnsiTheme="minorHAnsi" w:cstheme="minorBidi"/>
          <w:szCs w:val="22"/>
          <w:lang w:val="en-AU" w:eastAsia="en-AU"/>
        </w:rPr>
      </w:pPr>
      <w:hyperlink w:anchor="_Toc478557249" w:history="1">
        <w:r w:rsidR="00F156DC" w:rsidRPr="007E0C93">
          <w:rPr>
            <w:rStyle w:val="Hyperlink"/>
          </w:rPr>
          <w:t>2.3</w:t>
        </w:r>
        <w:r w:rsidR="00F156DC">
          <w:rPr>
            <w:rFonts w:asciiTheme="minorHAnsi" w:eastAsiaTheme="minorEastAsia" w:hAnsiTheme="minorHAnsi" w:cstheme="minorBidi"/>
            <w:szCs w:val="22"/>
            <w:lang w:val="en-AU" w:eastAsia="en-AU"/>
          </w:rPr>
          <w:tab/>
        </w:r>
        <w:r w:rsidR="00F156DC" w:rsidRPr="007E0C93">
          <w:rPr>
            <w:rStyle w:val="Hyperlink"/>
          </w:rPr>
          <w:t>Government policy context</w:t>
        </w:r>
        <w:r w:rsidR="00F156DC">
          <w:rPr>
            <w:webHidden/>
          </w:rPr>
          <w:tab/>
        </w:r>
        <w:r w:rsidR="00F156DC">
          <w:rPr>
            <w:webHidden/>
          </w:rPr>
          <w:fldChar w:fldCharType="begin"/>
        </w:r>
        <w:r w:rsidR="00F156DC">
          <w:rPr>
            <w:webHidden/>
          </w:rPr>
          <w:instrText xml:space="preserve"> PAGEREF _Toc478557249 \h </w:instrText>
        </w:r>
        <w:r w:rsidR="00F156DC">
          <w:rPr>
            <w:webHidden/>
          </w:rPr>
        </w:r>
        <w:r w:rsidR="00F156DC">
          <w:rPr>
            <w:webHidden/>
          </w:rPr>
          <w:fldChar w:fldCharType="separate"/>
        </w:r>
        <w:r w:rsidR="00A003A1">
          <w:rPr>
            <w:webHidden/>
          </w:rPr>
          <w:t>6</w:t>
        </w:r>
        <w:r w:rsidR="00F156DC">
          <w:rPr>
            <w:webHidden/>
          </w:rPr>
          <w:fldChar w:fldCharType="end"/>
        </w:r>
      </w:hyperlink>
    </w:p>
    <w:p w14:paraId="625C5047" w14:textId="77777777" w:rsidR="00F156DC" w:rsidRDefault="00306CBB">
      <w:pPr>
        <w:pStyle w:val="TOC2"/>
        <w:rPr>
          <w:rFonts w:asciiTheme="minorHAnsi" w:eastAsiaTheme="minorEastAsia" w:hAnsiTheme="minorHAnsi" w:cstheme="minorBidi"/>
          <w:szCs w:val="22"/>
          <w:lang w:val="en-AU" w:eastAsia="en-AU"/>
        </w:rPr>
      </w:pPr>
      <w:hyperlink w:anchor="_Toc478557250" w:history="1">
        <w:r w:rsidR="00F156DC" w:rsidRPr="007E0C93">
          <w:rPr>
            <w:rStyle w:val="Hyperlink"/>
          </w:rPr>
          <w:t>2.4</w:t>
        </w:r>
        <w:r w:rsidR="00F156DC">
          <w:rPr>
            <w:rFonts w:asciiTheme="minorHAnsi" w:eastAsiaTheme="minorEastAsia" w:hAnsiTheme="minorHAnsi" w:cstheme="minorBidi"/>
            <w:szCs w:val="22"/>
            <w:lang w:val="en-AU" w:eastAsia="en-AU"/>
          </w:rPr>
          <w:tab/>
        </w:r>
        <w:r w:rsidR="00F156DC" w:rsidRPr="007E0C93">
          <w:rPr>
            <w:rStyle w:val="Hyperlink"/>
          </w:rPr>
          <w:t>The Commission’s approach to addressing regulatory objectives</w:t>
        </w:r>
        <w:r w:rsidR="00F156DC">
          <w:rPr>
            <w:webHidden/>
          </w:rPr>
          <w:tab/>
        </w:r>
        <w:r w:rsidR="00F156DC">
          <w:rPr>
            <w:webHidden/>
          </w:rPr>
          <w:fldChar w:fldCharType="begin"/>
        </w:r>
        <w:r w:rsidR="00F156DC">
          <w:rPr>
            <w:webHidden/>
          </w:rPr>
          <w:instrText xml:space="preserve"> PAGEREF _Toc478557250 \h </w:instrText>
        </w:r>
        <w:r w:rsidR="00F156DC">
          <w:rPr>
            <w:webHidden/>
          </w:rPr>
        </w:r>
        <w:r w:rsidR="00F156DC">
          <w:rPr>
            <w:webHidden/>
          </w:rPr>
          <w:fldChar w:fldCharType="separate"/>
        </w:r>
        <w:r w:rsidR="00A003A1">
          <w:rPr>
            <w:webHidden/>
          </w:rPr>
          <w:t>7</w:t>
        </w:r>
        <w:r w:rsidR="00F156DC">
          <w:rPr>
            <w:webHidden/>
          </w:rPr>
          <w:fldChar w:fldCharType="end"/>
        </w:r>
      </w:hyperlink>
    </w:p>
    <w:p w14:paraId="0A808ED6" w14:textId="77777777" w:rsidR="00F156DC" w:rsidRDefault="00306CBB">
      <w:pPr>
        <w:pStyle w:val="TOC1"/>
        <w:rPr>
          <w:rFonts w:asciiTheme="minorHAnsi" w:eastAsiaTheme="minorEastAsia" w:hAnsiTheme="minorHAnsi" w:cstheme="minorBidi"/>
          <w:b w:val="0"/>
          <w:szCs w:val="22"/>
          <w:lang w:val="en-AU" w:eastAsia="en-AU"/>
        </w:rPr>
      </w:pPr>
      <w:hyperlink w:anchor="_Toc478557251" w:history="1">
        <w:r w:rsidR="00F156DC" w:rsidRPr="007E0C93">
          <w:rPr>
            <w:rStyle w:val="Hyperlink"/>
          </w:rPr>
          <w:t>3</w:t>
        </w:r>
        <w:r w:rsidR="00F156DC">
          <w:rPr>
            <w:rFonts w:asciiTheme="minorHAnsi" w:eastAsiaTheme="minorEastAsia" w:hAnsiTheme="minorHAnsi" w:cstheme="minorBidi"/>
            <w:b w:val="0"/>
            <w:szCs w:val="22"/>
            <w:lang w:val="en-AU" w:eastAsia="en-AU"/>
          </w:rPr>
          <w:tab/>
        </w:r>
        <w:r w:rsidR="00F156DC" w:rsidRPr="007E0C93">
          <w:rPr>
            <w:rStyle w:val="Hyperlink"/>
          </w:rPr>
          <w:t>Current regulatory model and form of control</w:t>
        </w:r>
        <w:r w:rsidR="00F156DC">
          <w:rPr>
            <w:webHidden/>
          </w:rPr>
          <w:tab/>
        </w:r>
        <w:r w:rsidR="00F156DC">
          <w:rPr>
            <w:webHidden/>
          </w:rPr>
          <w:fldChar w:fldCharType="begin"/>
        </w:r>
        <w:r w:rsidR="00F156DC">
          <w:rPr>
            <w:webHidden/>
          </w:rPr>
          <w:instrText xml:space="preserve"> PAGEREF _Toc478557251 \h </w:instrText>
        </w:r>
        <w:r w:rsidR="00F156DC">
          <w:rPr>
            <w:webHidden/>
          </w:rPr>
        </w:r>
        <w:r w:rsidR="00F156DC">
          <w:rPr>
            <w:webHidden/>
          </w:rPr>
          <w:fldChar w:fldCharType="separate"/>
        </w:r>
        <w:r w:rsidR="00A003A1">
          <w:rPr>
            <w:webHidden/>
          </w:rPr>
          <w:t>13</w:t>
        </w:r>
        <w:r w:rsidR="00F156DC">
          <w:rPr>
            <w:webHidden/>
          </w:rPr>
          <w:fldChar w:fldCharType="end"/>
        </w:r>
      </w:hyperlink>
    </w:p>
    <w:p w14:paraId="00F44F75" w14:textId="77777777" w:rsidR="00F156DC" w:rsidRDefault="00306CBB">
      <w:pPr>
        <w:pStyle w:val="TOC2"/>
        <w:rPr>
          <w:rFonts w:asciiTheme="minorHAnsi" w:eastAsiaTheme="minorEastAsia" w:hAnsiTheme="minorHAnsi" w:cstheme="minorBidi"/>
          <w:szCs w:val="22"/>
          <w:lang w:val="en-AU" w:eastAsia="en-AU"/>
        </w:rPr>
      </w:pPr>
      <w:hyperlink w:anchor="_Toc478557252" w:history="1">
        <w:r w:rsidR="00F156DC" w:rsidRPr="007E0C93">
          <w:rPr>
            <w:rStyle w:val="Hyperlink"/>
          </w:rPr>
          <w:t>3.1</w:t>
        </w:r>
        <w:r w:rsidR="00F156DC">
          <w:rPr>
            <w:rFonts w:asciiTheme="minorHAnsi" w:eastAsiaTheme="minorEastAsia" w:hAnsiTheme="minorHAnsi" w:cstheme="minorBidi"/>
            <w:szCs w:val="22"/>
            <w:lang w:val="en-AU" w:eastAsia="en-AU"/>
          </w:rPr>
          <w:tab/>
        </w:r>
        <w:r w:rsidR="00F156DC" w:rsidRPr="007E0C93">
          <w:rPr>
            <w:rStyle w:val="Hyperlink"/>
          </w:rPr>
          <w:t>Introduction</w:t>
        </w:r>
        <w:r w:rsidR="00F156DC">
          <w:rPr>
            <w:webHidden/>
          </w:rPr>
          <w:tab/>
        </w:r>
        <w:r w:rsidR="00F156DC">
          <w:rPr>
            <w:webHidden/>
          </w:rPr>
          <w:fldChar w:fldCharType="begin"/>
        </w:r>
        <w:r w:rsidR="00F156DC">
          <w:rPr>
            <w:webHidden/>
          </w:rPr>
          <w:instrText xml:space="preserve"> PAGEREF _Toc478557252 \h </w:instrText>
        </w:r>
        <w:r w:rsidR="00F156DC">
          <w:rPr>
            <w:webHidden/>
          </w:rPr>
        </w:r>
        <w:r w:rsidR="00F156DC">
          <w:rPr>
            <w:webHidden/>
          </w:rPr>
          <w:fldChar w:fldCharType="separate"/>
        </w:r>
        <w:r w:rsidR="00A003A1">
          <w:rPr>
            <w:webHidden/>
          </w:rPr>
          <w:t>13</w:t>
        </w:r>
        <w:r w:rsidR="00F156DC">
          <w:rPr>
            <w:webHidden/>
          </w:rPr>
          <w:fldChar w:fldCharType="end"/>
        </w:r>
      </w:hyperlink>
    </w:p>
    <w:p w14:paraId="3798F952" w14:textId="77777777" w:rsidR="00F156DC" w:rsidRDefault="00306CBB">
      <w:pPr>
        <w:pStyle w:val="TOC2"/>
        <w:rPr>
          <w:rFonts w:asciiTheme="minorHAnsi" w:eastAsiaTheme="minorEastAsia" w:hAnsiTheme="minorHAnsi" w:cstheme="minorBidi"/>
          <w:szCs w:val="22"/>
          <w:lang w:val="en-AU" w:eastAsia="en-AU"/>
        </w:rPr>
      </w:pPr>
      <w:hyperlink w:anchor="_Toc478557253" w:history="1">
        <w:r w:rsidR="00F156DC" w:rsidRPr="007E0C93">
          <w:rPr>
            <w:rStyle w:val="Hyperlink"/>
          </w:rPr>
          <w:t>3.2</w:t>
        </w:r>
        <w:r w:rsidR="00F156DC">
          <w:rPr>
            <w:rFonts w:asciiTheme="minorHAnsi" w:eastAsiaTheme="minorEastAsia" w:hAnsiTheme="minorHAnsi" w:cstheme="minorBidi"/>
            <w:szCs w:val="22"/>
            <w:lang w:val="en-AU" w:eastAsia="en-AU"/>
          </w:rPr>
          <w:tab/>
        </w:r>
        <w:r w:rsidR="00F156DC" w:rsidRPr="007E0C93">
          <w:rPr>
            <w:rStyle w:val="Hyperlink"/>
          </w:rPr>
          <w:t>Form of control</w:t>
        </w:r>
        <w:r w:rsidR="00F156DC">
          <w:rPr>
            <w:webHidden/>
          </w:rPr>
          <w:tab/>
        </w:r>
        <w:r w:rsidR="00F156DC">
          <w:rPr>
            <w:webHidden/>
          </w:rPr>
          <w:fldChar w:fldCharType="begin"/>
        </w:r>
        <w:r w:rsidR="00F156DC">
          <w:rPr>
            <w:webHidden/>
          </w:rPr>
          <w:instrText xml:space="preserve"> PAGEREF _Toc478557253 \h </w:instrText>
        </w:r>
        <w:r w:rsidR="00F156DC">
          <w:rPr>
            <w:webHidden/>
          </w:rPr>
        </w:r>
        <w:r w:rsidR="00F156DC">
          <w:rPr>
            <w:webHidden/>
          </w:rPr>
          <w:fldChar w:fldCharType="separate"/>
        </w:r>
        <w:r w:rsidR="00A003A1">
          <w:rPr>
            <w:webHidden/>
          </w:rPr>
          <w:t>13</w:t>
        </w:r>
        <w:r w:rsidR="00F156DC">
          <w:rPr>
            <w:webHidden/>
          </w:rPr>
          <w:fldChar w:fldCharType="end"/>
        </w:r>
      </w:hyperlink>
    </w:p>
    <w:p w14:paraId="02A19304" w14:textId="77777777" w:rsidR="00F156DC" w:rsidRDefault="00306CBB">
      <w:pPr>
        <w:pStyle w:val="TOC1"/>
        <w:rPr>
          <w:rFonts w:asciiTheme="minorHAnsi" w:eastAsiaTheme="minorEastAsia" w:hAnsiTheme="minorHAnsi" w:cstheme="minorBidi"/>
          <w:b w:val="0"/>
          <w:szCs w:val="22"/>
          <w:lang w:val="en-AU" w:eastAsia="en-AU"/>
        </w:rPr>
      </w:pPr>
      <w:hyperlink w:anchor="_Toc478557254" w:history="1">
        <w:r w:rsidR="00F156DC" w:rsidRPr="007E0C93">
          <w:rPr>
            <w:rStyle w:val="Hyperlink"/>
          </w:rPr>
          <w:t>4</w:t>
        </w:r>
        <w:r w:rsidR="00F156DC">
          <w:rPr>
            <w:rFonts w:asciiTheme="minorHAnsi" w:eastAsiaTheme="minorEastAsia" w:hAnsiTheme="minorHAnsi" w:cstheme="minorBidi"/>
            <w:b w:val="0"/>
            <w:szCs w:val="22"/>
            <w:lang w:val="en-AU" w:eastAsia="en-AU"/>
          </w:rPr>
          <w:tab/>
        </w:r>
        <w:r w:rsidR="00F156DC" w:rsidRPr="007E0C93">
          <w:rPr>
            <w:rStyle w:val="Hyperlink"/>
          </w:rPr>
          <w:t>Carryover issues from the 2014–2018 price direction</w:t>
        </w:r>
        <w:r w:rsidR="00F156DC">
          <w:rPr>
            <w:webHidden/>
          </w:rPr>
          <w:tab/>
        </w:r>
        <w:r w:rsidR="00F156DC">
          <w:rPr>
            <w:webHidden/>
          </w:rPr>
          <w:fldChar w:fldCharType="begin"/>
        </w:r>
        <w:r w:rsidR="00F156DC">
          <w:rPr>
            <w:webHidden/>
          </w:rPr>
          <w:instrText xml:space="preserve"> PAGEREF _Toc478557254 \h </w:instrText>
        </w:r>
        <w:r w:rsidR="00F156DC">
          <w:rPr>
            <w:webHidden/>
          </w:rPr>
        </w:r>
        <w:r w:rsidR="00F156DC">
          <w:rPr>
            <w:webHidden/>
          </w:rPr>
          <w:fldChar w:fldCharType="separate"/>
        </w:r>
        <w:r w:rsidR="00A003A1">
          <w:rPr>
            <w:webHidden/>
          </w:rPr>
          <w:t>17</w:t>
        </w:r>
        <w:r w:rsidR="00F156DC">
          <w:rPr>
            <w:webHidden/>
          </w:rPr>
          <w:fldChar w:fldCharType="end"/>
        </w:r>
      </w:hyperlink>
    </w:p>
    <w:p w14:paraId="0B919F54" w14:textId="77777777" w:rsidR="00F156DC" w:rsidRDefault="00306CBB">
      <w:pPr>
        <w:pStyle w:val="TOC2"/>
        <w:rPr>
          <w:rFonts w:asciiTheme="minorHAnsi" w:eastAsiaTheme="minorEastAsia" w:hAnsiTheme="minorHAnsi" w:cstheme="minorBidi"/>
          <w:szCs w:val="22"/>
          <w:lang w:val="en-AU" w:eastAsia="en-AU"/>
        </w:rPr>
      </w:pPr>
      <w:hyperlink w:anchor="_Toc478557255" w:history="1">
        <w:r w:rsidR="00F156DC" w:rsidRPr="007E0C93">
          <w:rPr>
            <w:rStyle w:val="Hyperlink"/>
          </w:rPr>
          <w:t>4.1</w:t>
        </w:r>
        <w:r w:rsidR="00F156DC">
          <w:rPr>
            <w:rFonts w:asciiTheme="minorHAnsi" w:eastAsiaTheme="minorEastAsia" w:hAnsiTheme="minorHAnsi" w:cstheme="minorBidi"/>
            <w:szCs w:val="22"/>
            <w:lang w:val="en-AU" w:eastAsia="en-AU"/>
          </w:rPr>
          <w:tab/>
        </w:r>
        <w:r w:rsidR="00F156DC" w:rsidRPr="007E0C93">
          <w:rPr>
            <w:rStyle w:val="Hyperlink"/>
          </w:rPr>
          <w:t>Introduction</w:t>
        </w:r>
        <w:r w:rsidR="00F156DC">
          <w:rPr>
            <w:webHidden/>
          </w:rPr>
          <w:tab/>
        </w:r>
        <w:r w:rsidR="00F156DC">
          <w:rPr>
            <w:webHidden/>
          </w:rPr>
          <w:fldChar w:fldCharType="begin"/>
        </w:r>
        <w:r w:rsidR="00F156DC">
          <w:rPr>
            <w:webHidden/>
          </w:rPr>
          <w:instrText xml:space="preserve"> PAGEREF _Toc478557255 \h </w:instrText>
        </w:r>
        <w:r w:rsidR="00F156DC">
          <w:rPr>
            <w:webHidden/>
          </w:rPr>
        </w:r>
        <w:r w:rsidR="00F156DC">
          <w:rPr>
            <w:webHidden/>
          </w:rPr>
          <w:fldChar w:fldCharType="separate"/>
        </w:r>
        <w:r w:rsidR="00A003A1">
          <w:rPr>
            <w:webHidden/>
          </w:rPr>
          <w:t>17</w:t>
        </w:r>
        <w:r w:rsidR="00F156DC">
          <w:rPr>
            <w:webHidden/>
          </w:rPr>
          <w:fldChar w:fldCharType="end"/>
        </w:r>
      </w:hyperlink>
    </w:p>
    <w:p w14:paraId="6C9A06B3" w14:textId="77777777" w:rsidR="00F156DC" w:rsidRDefault="00306CBB">
      <w:pPr>
        <w:pStyle w:val="TOC2"/>
        <w:rPr>
          <w:rFonts w:asciiTheme="minorHAnsi" w:eastAsiaTheme="minorEastAsia" w:hAnsiTheme="minorHAnsi" w:cstheme="minorBidi"/>
          <w:szCs w:val="22"/>
          <w:lang w:val="en-AU" w:eastAsia="en-AU"/>
        </w:rPr>
      </w:pPr>
      <w:hyperlink w:anchor="_Toc478557256" w:history="1">
        <w:r w:rsidR="00F156DC" w:rsidRPr="007E0C93">
          <w:rPr>
            <w:rStyle w:val="Hyperlink"/>
          </w:rPr>
          <w:t>4.2</w:t>
        </w:r>
        <w:r w:rsidR="00F156DC">
          <w:rPr>
            <w:rFonts w:asciiTheme="minorHAnsi" w:eastAsiaTheme="minorEastAsia" w:hAnsiTheme="minorHAnsi" w:cstheme="minorBidi"/>
            <w:szCs w:val="22"/>
            <w:lang w:val="en-AU" w:eastAsia="en-AU"/>
          </w:rPr>
          <w:tab/>
        </w:r>
        <w:r w:rsidR="00F156DC" w:rsidRPr="007E0C93">
          <w:rPr>
            <w:rStyle w:val="Hyperlink"/>
          </w:rPr>
          <w:t>Under-recovery of approved revenue</w:t>
        </w:r>
        <w:r w:rsidR="00F156DC">
          <w:rPr>
            <w:webHidden/>
          </w:rPr>
          <w:tab/>
        </w:r>
        <w:r w:rsidR="00F156DC">
          <w:rPr>
            <w:webHidden/>
          </w:rPr>
          <w:fldChar w:fldCharType="begin"/>
        </w:r>
        <w:r w:rsidR="00F156DC">
          <w:rPr>
            <w:webHidden/>
          </w:rPr>
          <w:instrText xml:space="preserve"> PAGEREF _Toc478557256 \h </w:instrText>
        </w:r>
        <w:r w:rsidR="00F156DC">
          <w:rPr>
            <w:webHidden/>
          </w:rPr>
        </w:r>
        <w:r w:rsidR="00F156DC">
          <w:rPr>
            <w:webHidden/>
          </w:rPr>
          <w:fldChar w:fldCharType="separate"/>
        </w:r>
        <w:r w:rsidR="00A003A1">
          <w:rPr>
            <w:webHidden/>
          </w:rPr>
          <w:t>18</w:t>
        </w:r>
        <w:r w:rsidR="00F156DC">
          <w:rPr>
            <w:webHidden/>
          </w:rPr>
          <w:fldChar w:fldCharType="end"/>
        </w:r>
      </w:hyperlink>
    </w:p>
    <w:p w14:paraId="6BFFDFCD" w14:textId="77777777" w:rsidR="00F156DC" w:rsidRDefault="00306CBB">
      <w:pPr>
        <w:pStyle w:val="TOC2"/>
        <w:rPr>
          <w:rFonts w:asciiTheme="minorHAnsi" w:eastAsiaTheme="minorEastAsia" w:hAnsiTheme="minorHAnsi" w:cstheme="minorBidi"/>
          <w:szCs w:val="22"/>
          <w:lang w:val="en-AU" w:eastAsia="en-AU"/>
        </w:rPr>
      </w:pPr>
      <w:hyperlink w:anchor="_Toc478557257" w:history="1">
        <w:r w:rsidR="00F156DC" w:rsidRPr="007E0C93">
          <w:rPr>
            <w:rStyle w:val="Hyperlink"/>
          </w:rPr>
          <w:t>4.3</w:t>
        </w:r>
        <w:r w:rsidR="00F156DC">
          <w:rPr>
            <w:rFonts w:asciiTheme="minorHAnsi" w:eastAsiaTheme="minorEastAsia" w:hAnsiTheme="minorHAnsi" w:cstheme="minorBidi"/>
            <w:szCs w:val="22"/>
            <w:lang w:val="en-AU" w:eastAsia="en-AU"/>
          </w:rPr>
          <w:tab/>
        </w:r>
        <w:r w:rsidR="00F156DC" w:rsidRPr="007E0C93">
          <w:rPr>
            <w:rStyle w:val="Hyperlink"/>
          </w:rPr>
          <w:t>Capital expenditure outcome</w:t>
        </w:r>
        <w:r w:rsidR="00F156DC">
          <w:rPr>
            <w:webHidden/>
          </w:rPr>
          <w:tab/>
        </w:r>
        <w:r w:rsidR="00F156DC">
          <w:rPr>
            <w:webHidden/>
          </w:rPr>
          <w:fldChar w:fldCharType="begin"/>
        </w:r>
        <w:r w:rsidR="00F156DC">
          <w:rPr>
            <w:webHidden/>
          </w:rPr>
          <w:instrText xml:space="preserve"> PAGEREF _Toc478557257 \h </w:instrText>
        </w:r>
        <w:r w:rsidR="00F156DC">
          <w:rPr>
            <w:webHidden/>
          </w:rPr>
        </w:r>
        <w:r w:rsidR="00F156DC">
          <w:rPr>
            <w:webHidden/>
          </w:rPr>
          <w:fldChar w:fldCharType="separate"/>
        </w:r>
        <w:r w:rsidR="00A003A1">
          <w:rPr>
            <w:webHidden/>
          </w:rPr>
          <w:t>20</w:t>
        </w:r>
        <w:r w:rsidR="00F156DC">
          <w:rPr>
            <w:webHidden/>
          </w:rPr>
          <w:fldChar w:fldCharType="end"/>
        </w:r>
      </w:hyperlink>
    </w:p>
    <w:p w14:paraId="5239A3D9" w14:textId="77777777" w:rsidR="00F156DC" w:rsidRDefault="00306CBB">
      <w:pPr>
        <w:pStyle w:val="TOC2"/>
        <w:rPr>
          <w:rFonts w:asciiTheme="minorHAnsi" w:eastAsiaTheme="minorEastAsia" w:hAnsiTheme="minorHAnsi" w:cstheme="minorBidi"/>
          <w:szCs w:val="22"/>
          <w:lang w:val="en-AU" w:eastAsia="en-AU"/>
        </w:rPr>
      </w:pPr>
      <w:hyperlink w:anchor="_Toc478557258" w:history="1">
        <w:r w:rsidR="00F156DC" w:rsidRPr="007E0C93">
          <w:rPr>
            <w:rStyle w:val="Hyperlink"/>
          </w:rPr>
          <w:t>4.4</w:t>
        </w:r>
        <w:r w:rsidR="00F156DC">
          <w:rPr>
            <w:rFonts w:asciiTheme="minorHAnsi" w:eastAsiaTheme="minorEastAsia" w:hAnsiTheme="minorHAnsi" w:cstheme="minorBidi"/>
            <w:szCs w:val="22"/>
            <w:lang w:val="en-AU" w:eastAsia="en-AU"/>
          </w:rPr>
          <w:tab/>
        </w:r>
        <w:r w:rsidR="00F156DC" w:rsidRPr="007E0C93">
          <w:rPr>
            <w:rStyle w:val="Hyperlink"/>
          </w:rPr>
          <w:t>Forecasting sales volumes</w:t>
        </w:r>
        <w:r w:rsidR="00F156DC">
          <w:rPr>
            <w:webHidden/>
          </w:rPr>
          <w:tab/>
        </w:r>
        <w:r w:rsidR="00F156DC">
          <w:rPr>
            <w:webHidden/>
          </w:rPr>
          <w:fldChar w:fldCharType="begin"/>
        </w:r>
        <w:r w:rsidR="00F156DC">
          <w:rPr>
            <w:webHidden/>
          </w:rPr>
          <w:instrText xml:space="preserve"> PAGEREF _Toc478557258 \h </w:instrText>
        </w:r>
        <w:r w:rsidR="00F156DC">
          <w:rPr>
            <w:webHidden/>
          </w:rPr>
        </w:r>
        <w:r w:rsidR="00F156DC">
          <w:rPr>
            <w:webHidden/>
          </w:rPr>
          <w:fldChar w:fldCharType="separate"/>
        </w:r>
        <w:r w:rsidR="00A003A1">
          <w:rPr>
            <w:webHidden/>
          </w:rPr>
          <w:t>20</w:t>
        </w:r>
        <w:r w:rsidR="00F156DC">
          <w:rPr>
            <w:webHidden/>
          </w:rPr>
          <w:fldChar w:fldCharType="end"/>
        </w:r>
      </w:hyperlink>
    </w:p>
    <w:p w14:paraId="084F96B9" w14:textId="77777777" w:rsidR="00F156DC" w:rsidRDefault="00306CBB">
      <w:pPr>
        <w:pStyle w:val="TOC1"/>
        <w:rPr>
          <w:rFonts w:asciiTheme="minorHAnsi" w:eastAsiaTheme="minorEastAsia" w:hAnsiTheme="minorHAnsi" w:cstheme="minorBidi"/>
          <w:b w:val="0"/>
          <w:szCs w:val="22"/>
          <w:lang w:val="en-AU" w:eastAsia="en-AU"/>
        </w:rPr>
      </w:pPr>
      <w:hyperlink w:anchor="_Toc478557259" w:history="1">
        <w:r w:rsidR="00F156DC" w:rsidRPr="007E0C93">
          <w:rPr>
            <w:rStyle w:val="Hyperlink"/>
          </w:rPr>
          <w:t>5</w:t>
        </w:r>
        <w:r w:rsidR="00F156DC">
          <w:rPr>
            <w:rFonts w:asciiTheme="minorHAnsi" w:eastAsiaTheme="minorEastAsia" w:hAnsiTheme="minorHAnsi" w:cstheme="minorBidi"/>
            <w:b w:val="0"/>
            <w:szCs w:val="22"/>
            <w:lang w:val="en-AU" w:eastAsia="en-AU"/>
          </w:rPr>
          <w:tab/>
        </w:r>
        <w:r w:rsidR="00F156DC" w:rsidRPr="007E0C93">
          <w:rPr>
            <w:rStyle w:val="Hyperlink"/>
          </w:rPr>
          <w:t>Issues raised in the terms of reference</w:t>
        </w:r>
        <w:r w:rsidR="00F156DC">
          <w:rPr>
            <w:webHidden/>
          </w:rPr>
          <w:tab/>
        </w:r>
        <w:r w:rsidR="00F156DC">
          <w:rPr>
            <w:webHidden/>
          </w:rPr>
          <w:fldChar w:fldCharType="begin"/>
        </w:r>
        <w:r w:rsidR="00F156DC">
          <w:rPr>
            <w:webHidden/>
          </w:rPr>
          <w:instrText xml:space="preserve"> PAGEREF _Toc478557259 \h </w:instrText>
        </w:r>
        <w:r w:rsidR="00F156DC">
          <w:rPr>
            <w:webHidden/>
          </w:rPr>
        </w:r>
        <w:r w:rsidR="00F156DC">
          <w:rPr>
            <w:webHidden/>
          </w:rPr>
          <w:fldChar w:fldCharType="separate"/>
        </w:r>
        <w:r w:rsidR="00A003A1">
          <w:rPr>
            <w:webHidden/>
          </w:rPr>
          <w:t>23</w:t>
        </w:r>
        <w:r w:rsidR="00F156DC">
          <w:rPr>
            <w:webHidden/>
          </w:rPr>
          <w:fldChar w:fldCharType="end"/>
        </w:r>
      </w:hyperlink>
    </w:p>
    <w:p w14:paraId="7055F758" w14:textId="77777777" w:rsidR="00F156DC" w:rsidRDefault="00306CBB">
      <w:pPr>
        <w:pStyle w:val="TOC2"/>
        <w:rPr>
          <w:rFonts w:asciiTheme="minorHAnsi" w:eastAsiaTheme="minorEastAsia" w:hAnsiTheme="minorHAnsi" w:cstheme="minorBidi"/>
          <w:szCs w:val="22"/>
          <w:lang w:val="en-AU" w:eastAsia="en-AU"/>
        </w:rPr>
      </w:pPr>
      <w:hyperlink w:anchor="_Toc478557260" w:history="1">
        <w:r w:rsidR="00F156DC" w:rsidRPr="007E0C93">
          <w:rPr>
            <w:rStyle w:val="Hyperlink"/>
          </w:rPr>
          <w:t>5.1</w:t>
        </w:r>
        <w:r w:rsidR="00F156DC">
          <w:rPr>
            <w:rFonts w:asciiTheme="minorHAnsi" w:eastAsiaTheme="minorEastAsia" w:hAnsiTheme="minorHAnsi" w:cstheme="minorBidi"/>
            <w:szCs w:val="22"/>
            <w:lang w:val="en-AU" w:eastAsia="en-AU"/>
          </w:rPr>
          <w:tab/>
        </w:r>
        <w:r w:rsidR="00F156DC" w:rsidRPr="007E0C93">
          <w:rPr>
            <w:rStyle w:val="Hyperlink"/>
          </w:rPr>
          <w:t>Improvements in the regulatory methodology</w:t>
        </w:r>
        <w:r w:rsidR="00F156DC">
          <w:rPr>
            <w:webHidden/>
          </w:rPr>
          <w:tab/>
        </w:r>
        <w:r w:rsidR="00F156DC">
          <w:rPr>
            <w:webHidden/>
          </w:rPr>
          <w:fldChar w:fldCharType="begin"/>
        </w:r>
        <w:r w:rsidR="00F156DC">
          <w:rPr>
            <w:webHidden/>
          </w:rPr>
          <w:instrText xml:space="preserve"> PAGEREF _Toc478557260 \h </w:instrText>
        </w:r>
        <w:r w:rsidR="00F156DC">
          <w:rPr>
            <w:webHidden/>
          </w:rPr>
        </w:r>
        <w:r w:rsidR="00F156DC">
          <w:rPr>
            <w:webHidden/>
          </w:rPr>
          <w:fldChar w:fldCharType="separate"/>
        </w:r>
        <w:r w:rsidR="00A003A1">
          <w:rPr>
            <w:webHidden/>
          </w:rPr>
          <w:t>23</w:t>
        </w:r>
        <w:r w:rsidR="00F156DC">
          <w:rPr>
            <w:webHidden/>
          </w:rPr>
          <w:fldChar w:fldCharType="end"/>
        </w:r>
      </w:hyperlink>
    </w:p>
    <w:p w14:paraId="2CFED764" w14:textId="77777777" w:rsidR="00F156DC" w:rsidRDefault="00306CBB">
      <w:pPr>
        <w:pStyle w:val="TOC2"/>
        <w:rPr>
          <w:rFonts w:asciiTheme="minorHAnsi" w:eastAsiaTheme="minorEastAsia" w:hAnsiTheme="minorHAnsi" w:cstheme="minorBidi"/>
          <w:szCs w:val="22"/>
          <w:lang w:val="en-AU" w:eastAsia="en-AU"/>
        </w:rPr>
      </w:pPr>
      <w:hyperlink w:anchor="_Toc478557261" w:history="1">
        <w:r w:rsidR="00F156DC" w:rsidRPr="007E0C93">
          <w:rPr>
            <w:rStyle w:val="Hyperlink"/>
          </w:rPr>
          <w:t>5.2</w:t>
        </w:r>
        <w:r w:rsidR="00F156DC">
          <w:rPr>
            <w:rFonts w:asciiTheme="minorHAnsi" w:eastAsiaTheme="minorEastAsia" w:hAnsiTheme="minorHAnsi" w:cstheme="minorBidi"/>
            <w:szCs w:val="22"/>
            <w:lang w:val="en-AU" w:eastAsia="en-AU"/>
          </w:rPr>
          <w:tab/>
        </w:r>
        <w:r w:rsidR="00F156DC" w:rsidRPr="007E0C93">
          <w:rPr>
            <w:rStyle w:val="Hyperlink"/>
          </w:rPr>
          <w:t>Recovery of prudent and efficient costs</w:t>
        </w:r>
        <w:r w:rsidR="00F156DC">
          <w:rPr>
            <w:webHidden/>
          </w:rPr>
          <w:tab/>
        </w:r>
        <w:r w:rsidR="00F156DC">
          <w:rPr>
            <w:webHidden/>
          </w:rPr>
          <w:fldChar w:fldCharType="begin"/>
        </w:r>
        <w:r w:rsidR="00F156DC">
          <w:rPr>
            <w:webHidden/>
          </w:rPr>
          <w:instrText xml:space="preserve"> PAGEREF _Toc478557261 \h </w:instrText>
        </w:r>
        <w:r w:rsidR="00F156DC">
          <w:rPr>
            <w:webHidden/>
          </w:rPr>
        </w:r>
        <w:r w:rsidR="00F156DC">
          <w:rPr>
            <w:webHidden/>
          </w:rPr>
          <w:fldChar w:fldCharType="separate"/>
        </w:r>
        <w:r w:rsidR="00A003A1">
          <w:rPr>
            <w:webHidden/>
          </w:rPr>
          <w:t>28</w:t>
        </w:r>
        <w:r w:rsidR="00F156DC">
          <w:rPr>
            <w:webHidden/>
          </w:rPr>
          <w:fldChar w:fldCharType="end"/>
        </w:r>
      </w:hyperlink>
    </w:p>
    <w:p w14:paraId="4799EADF" w14:textId="77777777" w:rsidR="00F156DC" w:rsidRDefault="00306CBB">
      <w:pPr>
        <w:pStyle w:val="TOC2"/>
        <w:rPr>
          <w:rFonts w:asciiTheme="minorHAnsi" w:eastAsiaTheme="minorEastAsia" w:hAnsiTheme="minorHAnsi" w:cstheme="minorBidi"/>
          <w:szCs w:val="22"/>
          <w:lang w:val="en-AU" w:eastAsia="en-AU"/>
        </w:rPr>
      </w:pPr>
      <w:hyperlink w:anchor="_Toc478557262" w:history="1">
        <w:r w:rsidR="00F156DC" w:rsidRPr="007E0C93">
          <w:rPr>
            <w:rStyle w:val="Hyperlink"/>
          </w:rPr>
          <w:t>5.3</w:t>
        </w:r>
        <w:r w:rsidR="00F156DC">
          <w:rPr>
            <w:rFonts w:asciiTheme="minorHAnsi" w:eastAsiaTheme="minorEastAsia" w:hAnsiTheme="minorHAnsi" w:cstheme="minorBidi"/>
            <w:szCs w:val="22"/>
            <w:lang w:val="en-AU" w:eastAsia="en-AU"/>
          </w:rPr>
          <w:tab/>
        </w:r>
        <w:r w:rsidR="00F156DC" w:rsidRPr="007E0C93">
          <w:rPr>
            <w:rStyle w:val="Hyperlink"/>
          </w:rPr>
          <w:t>Incentive schemes</w:t>
        </w:r>
        <w:r w:rsidR="00F156DC">
          <w:rPr>
            <w:webHidden/>
          </w:rPr>
          <w:tab/>
        </w:r>
        <w:r w:rsidR="00F156DC">
          <w:rPr>
            <w:webHidden/>
          </w:rPr>
          <w:fldChar w:fldCharType="begin"/>
        </w:r>
        <w:r w:rsidR="00F156DC">
          <w:rPr>
            <w:webHidden/>
          </w:rPr>
          <w:instrText xml:space="preserve"> PAGEREF _Toc478557262 \h </w:instrText>
        </w:r>
        <w:r w:rsidR="00F156DC">
          <w:rPr>
            <w:webHidden/>
          </w:rPr>
        </w:r>
        <w:r w:rsidR="00F156DC">
          <w:rPr>
            <w:webHidden/>
          </w:rPr>
          <w:fldChar w:fldCharType="separate"/>
        </w:r>
        <w:r w:rsidR="00A003A1">
          <w:rPr>
            <w:webHidden/>
          </w:rPr>
          <w:t>32</w:t>
        </w:r>
        <w:r w:rsidR="00F156DC">
          <w:rPr>
            <w:webHidden/>
          </w:rPr>
          <w:fldChar w:fldCharType="end"/>
        </w:r>
      </w:hyperlink>
    </w:p>
    <w:p w14:paraId="76D45B27" w14:textId="77777777" w:rsidR="00F156DC" w:rsidRDefault="00306CBB">
      <w:pPr>
        <w:pStyle w:val="TOC2"/>
        <w:rPr>
          <w:rFonts w:asciiTheme="minorHAnsi" w:eastAsiaTheme="minorEastAsia" w:hAnsiTheme="minorHAnsi" w:cstheme="minorBidi"/>
          <w:szCs w:val="22"/>
          <w:lang w:val="en-AU" w:eastAsia="en-AU"/>
        </w:rPr>
      </w:pPr>
      <w:hyperlink w:anchor="_Toc478557263" w:history="1">
        <w:r w:rsidR="00F156DC" w:rsidRPr="007E0C93">
          <w:rPr>
            <w:rStyle w:val="Hyperlink"/>
          </w:rPr>
          <w:t>5.4</w:t>
        </w:r>
        <w:r w:rsidR="00F156DC">
          <w:rPr>
            <w:rFonts w:asciiTheme="minorHAnsi" w:eastAsiaTheme="minorEastAsia" w:hAnsiTheme="minorHAnsi" w:cstheme="minorBidi"/>
            <w:szCs w:val="22"/>
            <w:lang w:val="en-AU" w:eastAsia="en-AU"/>
          </w:rPr>
          <w:tab/>
        </w:r>
        <w:r w:rsidR="00F156DC" w:rsidRPr="007E0C93">
          <w:rPr>
            <w:rStyle w:val="Hyperlink"/>
          </w:rPr>
          <w:t>Changes in the tariff structure</w:t>
        </w:r>
        <w:r w:rsidR="00F156DC">
          <w:rPr>
            <w:webHidden/>
          </w:rPr>
          <w:tab/>
        </w:r>
        <w:r w:rsidR="00F156DC">
          <w:rPr>
            <w:webHidden/>
          </w:rPr>
          <w:fldChar w:fldCharType="begin"/>
        </w:r>
        <w:r w:rsidR="00F156DC">
          <w:rPr>
            <w:webHidden/>
          </w:rPr>
          <w:instrText xml:space="preserve"> PAGEREF _Toc478557263 \h </w:instrText>
        </w:r>
        <w:r w:rsidR="00F156DC">
          <w:rPr>
            <w:webHidden/>
          </w:rPr>
        </w:r>
        <w:r w:rsidR="00F156DC">
          <w:rPr>
            <w:webHidden/>
          </w:rPr>
          <w:fldChar w:fldCharType="separate"/>
        </w:r>
        <w:r w:rsidR="00A003A1">
          <w:rPr>
            <w:webHidden/>
          </w:rPr>
          <w:t>41</w:t>
        </w:r>
        <w:r w:rsidR="00F156DC">
          <w:rPr>
            <w:webHidden/>
          </w:rPr>
          <w:fldChar w:fldCharType="end"/>
        </w:r>
      </w:hyperlink>
    </w:p>
    <w:p w14:paraId="4BB9E7D2" w14:textId="77777777" w:rsidR="00F156DC" w:rsidRDefault="00306CBB">
      <w:pPr>
        <w:pStyle w:val="TOC2"/>
        <w:rPr>
          <w:rFonts w:asciiTheme="minorHAnsi" w:eastAsiaTheme="minorEastAsia" w:hAnsiTheme="minorHAnsi" w:cstheme="minorBidi"/>
          <w:szCs w:val="22"/>
          <w:lang w:val="en-AU" w:eastAsia="en-AU"/>
        </w:rPr>
      </w:pPr>
      <w:hyperlink w:anchor="_Toc478557264" w:history="1">
        <w:r w:rsidR="00F156DC" w:rsidRPr="007E0C93">
          <w:rPr>
            <w:rStyle w:val="Hyperlink"/>
          </w:rPr>
          <w:t>5.5</w:t>
        </w:r>
        <w:r w:rsidR="00F156DC">
          <w:rPr>
            <w:rFonts w:asciiTheme="minorHAnsi" w:eastAsiaTheme="minorEastAsia" w:hAnsiTheme="minorHAnsi" w:cstheme="minorBidi"/>
            <w:szCs w:val="22"/>
            <w:lang w:val="en-AU" w:eastAsia="en-AU"/>
          </w:rPr>
          <w:tab/>
        </w:r>
        <w:r w:rsidR="00F156DC" w:rsidRPr="007E0C93">
          <w:rPr>
            <w:rStyle w:val="Hyperlink"/>
          </w:rPr>
          <w:t>Incremental impacts on prices</w:t>
        </w:r>
        <w:r w:rsidR="00F156DC">
          <w:rPr>
            <w:webHidden/>
          </w:rPr>
          <w:tab/>
        </w:r>
        <w:r w:rsidR="00F156DC">
          <w:rPr>
            <w:webHidden/>
          </w:rPr>
          <w:fldChar w:fldCharType="begin"/>
        </w:r>
        <w:r w:rsidR="00F156DC">
          <w:rPr>
            <w:webHidden/>
          </w:rPr>
          <w:instrText xml:space="preserve"> PAGEREF _Toc478557264 \h </w:instrText>
        </w:r>
        <w:r w:rsidR="00F156DC">
          <w:rPr>
            <w:webHidden/>
          </w:rPr>
        </w:r>
        <w:r w:rsidR="00F156DC">
          <w:rPr>
            <w:webHidden/>
          </w:rPr>
          <w:fldChar w:fldCharType="separate"/>
        </w:r>
        <w:r w:rsidR="00A003A1">
          <w:rPr>
            <w:webHidden/>
          </w:rPr>
          <w:t>42</w:t>
        </w:r>
        <w:r w:rsidR="00F156DC">
          <w:rPr>
            <w:webHidden/>
          </w:rPr>
          <w:fldChar w:fldCharType="end"/>
        </w:r>
      </w:hyperlink>
    </w:p>
    <w:p w14:paraId="35FF387C" w14:textId="77777777" w:rsidR="00F156DC" w:rsidRDefault="00306CBB">
      <w:pPr>
        <w:pStyle w:val="TOC1"/>
        <w:rPr>
          <w:rFonts w:asciiTheme="minorHAnsi" w:eastAsiaTheme="minorEastAsia" w:hAnsiTheme="minorHAnsi" w:cstheme="minorBidi"/>
          <w:b w:val="0"/>
          <w:szCs w:val="22"/>
          <w:lang w:val="en-AU" w:eastAsia="en-AU"/>
        </w:rPr>
      </w:pPr>
      <w:hyperlink w:anchor="_Toc478557265" w:history="1">
        <w:r w:rsidR="00F156DC" w:rsidRPr="007E0C93">
          <w:rPr>
            <w:rStyle w:val="Hyperlink"/>
          </w:rPr>
          <w:t>6</w:t>
        </w:r>
        <w:r w:rsidR="00F156DC">
          <w:rPr>
            <w:rFonts w:asciiTheme="minorHAnsi" w:eastAsiaTheme="minorEastAsia" w:hAnsiTheme="minorHAnsi" w:cstheme="minorBidi"/>
            <w:b w:val="0"/>
            <w:szCs w:val="22"/>
            <w:lang w:val="en-AU" w:eastAsia="en-AU"/>
          </w:rPr>
          <w:tab/>
        </w:r>
        <w:r w:rsidR="00F156DC" w:rsidRPr="007E0C93">
          <w:rPr>
            <w:rStyle w:val="Hyperlink"/>
          </w:rPr>
          <w:t>Issues for consultation: Summary</w:t>
        </w:r>
        <w:r w:rsidR="00F156DC">
          <w:rPr>
            <w:webHidden/>
          </w:rPr>
          <w:tab/>
        </w:r>
        <w:r w:rsidR="00F156DC">
          <w:rPr>
            <w:webHidden/>
          </w:rPr>
          <w:fldChar w:fldCharType="begin"/>
        </w:r>
        <w:r w:rsidR="00F156DC">
          <w:rPr>
            <w:webHidden/>
          </w:rPr>
          <w:instrText xml:space="preserve"> PAGEREF _Toc478557265 \h </w:instrText>
        </w:r>
        <w:r w:rsidR="00F156DC">
          <w:rPr>
            <w:webHidden/>
          </w:rPr>
        </w:r>
        <w:r w:rsidR="00F156DC">
          <w:rPr>
            <w:webHidden/>
          </w:rPr>
          <w:fldChar w:fldCharType="separate"/>
        </w:r>
        <w:r w:rsidR="00A003A1">
          <w:rPr>
            <w:webHidden/>
          </w:rPr>
          <w:t>45</w:t>
        </w:r>
        <w:r w:rsidR="00F156DC">
          <w:rPr>
            <w:webHidden/>
          </w:rPr>
          <w:fldChar w:fldCharType="end"/>
        </w:r>
      </w:hyperlink>
    </w:p>
    <w:p w14:paraId="1B26B4AE" w14:textId="77777777" w:rsidR="00F156DC" w:rsidRDefault="00306CBB">
      <w:pPr>
        <w:pStyle w:val="TOC1"/>
        <w:tabs>
          <w:tab w:val="left" w:pos="1800"/>
        </w:tabs>
        <w:rPr>
          <w:rFonts w:asciiTheme="minorHAnsi" w:eastAsiaTheme="minorEastAsia" w:hAnsiTheme="minorHAnsi" w:cstheme="minorBidi"/>
          <w:b w:val="0"/>
          <w:szCs w:val="22"/>
          <w:lang w:val="en-AU" w:eastAsia="en-AU"/>
        </w:rPr>
      </w:pPr>
      <w:hyperlink w:anchor="_Toc478557266" w:history="1">
        <w:r w:rsidR="00F156DC" w:rsidRPr="007E0C93">
          <w:rPr>
            <w:rStyle w:val="Hyperlink"/>
          </w:rPr>
          <w:t>Appendix 1</w:t>
        </w:r>
        <w:r w:rsidR="00F156DC">
          <w:rPr>
            <w:rFonts w:asciiTheme="minorHAnsi" w:eastAsiaTheme="minorEastAsia" w:hAnsiTheme="minorHAnsi" w:cstheme="minorBidi"/>
            <w:b w:val="0"/>
            <w:szCs w:val="22"/>
            <w:lang w:val="en-AU" w:eastAsia="en-AU"/>
          </w:rPr>
          <w:tab/>
        </w:r>
        <w:r w:rsidR="00F156DC" w:rsidRPr="007E0C93">
          <w:rPr>
            <w:rStyle w:val="Hyperlink"/>
          </w:rPr>
          <w:t>Terms of reference</w:t>
        </w:r>
        <w:r w:rsidR="00F156DC">
          <w:rPr>
            <w:webHidden/>
          </w:rPr>
          <w:tab/>
        </w:r>
        <w:r w:rsidR="00F156DC">
          <w:rPr>
            <w:webHidden/>
          </w:rPr>
          <w:fldChar w:fldCharType="begin"/>
        </w:r>
        <w:r w:rsidR="00F156DC">
          <w:rPr>
            <w:webHidden/>
          </w:rPr>
          <w:instrText xml:space="preserve"> PAGEREF _Toc478557266 \h </w:instrText>
        </w:r>
        <w:r w:rsidR="00F156DC">
          <w:rPr>
            <w:webHidden/>
          </w:rPr>
        </w:r>
        <w:r w:rsidR="00F156DC">
          <w:rPr>
            <w:webHidden/>
          </w:rPr>
          <w:fldChar w:fldCharType="separate"/>
        </w:r>
        <w:r w:rsidR="00A003A1">
          <w:rPr>
            <w:webHidden/>
          </w:rPr>
          <w:t>49</w:t>
        </w:r>
        <w:r w:rsidR="00F156DC">
          <w:rPr>
            <w:webHidden/>
          </w:rPr>
          <w:fldChar w:fldCharType="end"/>
        </w:r>
      </w:hyperlink>
    </w:p>
    <w:p w14:paraId="36EE4390" w14:textId="77777777" w:rsidR="00F156DC" w:rsidRDefault="00306CBB">
      <w:pPr>
        <w:pStyle w:val="TOC1"/>
        <w:rPr>
          <w:rFonts w:asciiTheme="minorHAnsi" w:eastAsiaTheme="minorEastAsia" w:hAnsiTheme="minorHAnsi" w:cstheme="minorBidi"/>
          <w:b w:val="0"/>
          <w:szCs w:val="22"/>
          <w:lang w:val="en-AU" w:eastAsia="en-AU"/>
        </w:rPr>
      </w:pPr>
      <w:hyperlink w:anchor="_Toc478557267" w:history="1">
        <w:r w:rsidR="00F156DC" w:rsidRPr="007E0C93">
          <w:rPr>
            <w:rStyle w:val="Hyperlink"/>
          </w:rPr>
          <w:t>Abbreviations and acronyms</w:t>
        </w:r>
        <w:r w:rsidR="00F156DC">
          <w:rPr>
            <w:webHidden/>
          </w:rPr>
          <w:tab/>
        </w:r>
        <w:r w:rsidR="00F156DC">
          <w:rPr>
            <w:webHidden/>
          </w:rPr>
          <w:fldChar w:fldCharType="begin"/>
        </w:r>
        <w:r w:rsidR="00F156DC">
          <w:rPr>
            <w:webHidden/>
          </w:rPr>
          <w:instrText xml:space="preserve"> PAGEREF _Toc478557267 \h </w:instrText>
        </w:r>
        <w:r w:rsidR="00F156DC">
          <w:rPr>
            <w:webHidden/>
          </w:rPr>
        </w:r>
        <w:r w:rsidR="00F156DC">
          <w:rPr>
            <w:webHidden/>
          </w:rPr>
          <w:fldChar w:fldCharType="separate"/>
        </w:r>
        <w:r w:rsidR="00A003A1">
          <w:rPr>
            <w:webHidden/>
          </w:rPr>
          <w:t>51</w:t>
        </w:r>
        <w:r w:rsidR="00F156DC">
          <w:rPr>
            <w:webHidden/>
          </w:rPr>
          <w:fldChar w:fldCharType="end"/>
        </w:r>
      </w:hyperlink>
    </w:p>
    <w:p w14:paraId="6DA2C8AC" w14:textId="77777777" w:rsidR="00F156DC" w:rsidRDefault="00306CBB">
      <w:pPr>
        <w:pStyle w:val="TOC1"/>
        <w:rPr>
          <w:rFonts w:asciiTheme="minorHAnsi" w:eastAsiaTheme="minorEastAsia" w:hAnsiTheme="minorHAnsi" w:cstheme="minorBidi"/>
          <w:b w:val="0"/>
          <w:szCs w:val="22"/>
          <w:lang w:val="en-AU" w:eastAsia="en-AU"/>
        </w:rPr>
      </w:pPr>
      <w:hyperlink w:anchor="_Toc478557268" w:history="1">
        <w:r w:rsidR="00F156DC" w:rsidRPr="007E0C93">
          <w:rPr>
            <w:rStyle w:val="Hyperlink"/>
          </w:rPr>
          <w:t>References</w:t>
        </w:r>
        <w:r w:rsidR="00F156DC">
          <w:rPr>
            <w:webHidden/>
          </w:rPr>
          <w:tab/>
        </w:r>
        <w:r w:rsidR="00F156DC">
          <w:rPr>
            <w:webHidden/>
          </w:rPr>
          <w:fldChar w:fldCharType="begin"/>
        </w:r>
        <w:r w:rsidR="00F156DC">
          <w:rPr>
            <w:webHidden/>
          </w:rPr>
          <w:instrText xml:space="preserve"> PAGEREF _Toc478557268 \h </w:instrText>
        </w:r>
        <w:r w:rsidR="00F156DC">
          <w:rPr>
            <w:webHidden/>
          </w:rPr>
        </w:r>
        <w:r w:rsidR="00F156DC">
          <w:rPr>
            <w:webHidden/>
          </w:rPr>
          <w:fldChar w:fldCharType="separate"/>
        </w:r>
        <w:r w:rsidR="00A003A1">
          <w:rPr>
            <w:webHidden/>
          </w:rPr>
          <w:t>53</w:t>
        </w:r>
        <w:r w:rsidR="00F156DC">
          <w:rPr>
            <w:webHidden/>
          </w:rPr>
          <w:fldChar w:fldCharType="end"/>
        </w:r>
      </w:hyperlink>
    </w:p>
    <w:p w14:paraId="570A79A6" w14:textId="77777777" w:rsidR="00271598" w:rsidRDefault="00F62621">
      <w:pPr>
        <w:pStyle w:val="TableofFigures"/>
        <w:rPr>
          <w:szCs w:val="40"/>
          <w:lang w:val="en-AU"/>
        </w:rPr>
      </w:pPr>
      <w:r>
        <w:rPr>
          <w:szCs w:val="40"/>
          <w:lang w:val="en-AU"/>
        </w:rPr>
        <w:fldChar w:fldCharType="end"/>
      </w:r>
      <w:bookmarkStart w:id="13" w:name="_Toc118359367"/>
      <w:bookmarkStart w:id="14" w:name="_Toc202785427"/>
      <w:bookmarkStart w:id="15" w:name="_Toc260327869"/>
    </w:p>
    <w:p w14:paraId="47E9AD7F" w14:textId="77777777" w:rsidR="006417E2" w:rsidRPr="00D3154C" w:rsidRDefault="006417E2">
      <w:pPr>
        <w:pStyle w:val="TableofFigures"/>
        <w:rPr>
          <w:rStyle w:val="Hyperlink"/>
          <w:b/>
          <w:sz w:val="24"/>
        </w:rPr>
      </w:pPr>
      <w:r w:rsidRPr="00D3154C">
        <w:rPr>
          <w:rStyle w:val="Hyperlink"/>
          <w:b/>
          <w:sz w:val="24"/>
        </w:rPr>
        <w:t>List of tables</w:t>
      </w:r>
    </w:p>
    <w:p w14:paraId="6AB1B2F5" w14:textId="77777777" w:rsidR="00EC5743" w:rsidRDefault="00F62621">
      <w:pPr>
        <w:pStyle w:val="TableofFigures"/>
        <w:rPr>
          <w:rFonts w:asciiTheme="minorHAnsi" w:eastAsiaTheme="minorEastAsia" w:hAnsiTheme="minorHAnsi" w:cstheme="minorBidi"/>
          <w:szCs w:val="22"/>
          <w:lang w:val="en-AU" w:eastAsia="en-AU"/>
        </w:rPr>
      </w:pPr>
      <w:r>
        <w:rPr>
          <w:szCs w:val="40"/>
          <w:lang w:val="en-AU"/>
        </w:rPr>
        <w:fldChar w:fldCharType="begin"/>
      </w:r>
      <w:r w:rsidR="00D80E46">
        <w:rPr>
          <w:szCs w:val="40"/>
          <w:lang w:val="en-AU"/>
        </w:rPr>
        <w:instrText xml:space="preserve"> TOC \h \z \c "Table" </w:instrText>
      </w:r>
      <w:r>
        <w:rPr>
          <w:szCs w:val="40"/>
          <w:lang w:val="en-AU"/>
        </w:rPr>
        <w:fldChar w:fldCharType="separate"/>
      </w:r>
      <w:hyperlink w:anchor="_Toc478387742" w:history="1">
        <w:r w:rsidR="00EC5743" w:rsidRPr="00B33932">
          <w:rPr>
            <w:rStyle w:val="Hyperlink"/>
          </w:rPr>
          <w:t>Table 1.1</w:t>
        </w:r>
        <w:r w:rsidR="00EC5743">
          <w:rPr>
            <w:rFonts w:asciiTheme="minorHAnsi" w:eastAsiaTheme="minorEastAsia" w:hAnsiTheme="minorHAnsi" w:cstheme="minorBidi"/>
            <w:szCs w:val="22"/>
            <w:lang w:val="en-AU" w:eastAsia="en-AU"/>
          </w:rPr>
          <w:tab/>
        </w:r>
        <w:r w:rsidR="00EC5743" w:rsidRPr="00B33932">
          <w:rPr>
            <w:rStyle w:val="Hyperlink"/>
          </w:rPr>
          <w:t>Indicative timeline for the water and sewerage services price investigation</w:t>
        </w:r>
        <w:r w:rsidR="00EC5743">
          <w:rPr>
            <w:webHidden/>
          </w:rPr>
          <w:tab/>
        </w:r>
        <w:r>
          <w:rPr>
            <w:webHidden/>
          </w:rPr>
          <w:fldChar w:fldCharType="begin"/>
        </w:r>
        <w:r w:rsidR="00EC5743">
          <w:rPr>
            <w:webHidden/>
          </w:rPr>
          <w:instrText xml:space="preserve"> PAGEREF _Toc478387742 \h </w:instrText>
        </w:r>
        <w:r>
          <w:rPr>
            <w:webHidden/>
          </w:rPr>
        </w:r>
        <w:r>
          <w:rPr>
            <w:webHidden/>
          </w:rPr>
          <w:fldChar w:fldCharType="separate"/>
        </w:r>
        <w:r w:rsidR="00A003A1">
          <w:rPr>
            <w:webHidden/>
          </w:rPr>
          <w:t>3</w:t>
        </w:r>
        <w:r>
          <w:rPr>
            <w:webHidden/>
          </w:rPr>
          <w:fldChar w:fldCharType="end"/>
        </w:r>
      </w:hyperlink>
    </w:p>
    <w:p w14:paraId="3E2B4855" w14:textId="77777777" w:rsidR="00EC5743" w:rsidRDefault="00306CBB">
      <w:pPr>
        <w:pStyle w:val="TableofFigures"/>
        <w:rPr>
          <w:rFonts w:asciiTheme="minorHAnsi" w:eastAsiaTheme="minorEastAsia" w:hAnsiTheme="minorHAnsi" w:cstheme="minorBidi"/>
          <w:szCs w:val="22"/>
          <w:lang w:val="en-AU" w:eastAsia="en-AU"/>
        </w:rPr>
      </w:pPr>
      <w:hyperlink w:anchor="_Toc478387743" w:history="1">
        <w:r w:rsidR="00EC5743" w:rsidRPr="00B33932">
          <w:rPr>
            <w:rStyle w:val="Hyperlink"/>
          </w:rPr>
          <w:t>Table 2.1</w:t>
        </w:r>
        <w:r w:rsidR="00EC5743">
          <w:rPr>
            <w:rFonts w:asciiTheme="minorHAnsi" w:eastAsiaTheme="minorEastAsia" w:hAnsiTheme="minorHAnsi" w:cstheme="minorBidi"/>
            <w:szCs w:val="22"/>
            <w:lang w:val="en-AU" w:eastAsia="en-AU"/>
          </w:rPr>
          <w:tab/>
        </w:r>
        <w:r w:rsidR="00EC5743" w:rsidRPr="00B33932">
          <w:rPr>
            <w:rStyle w:val="Hyperlink"/>
          </w:rPr>
          <w:t>Regulatory objectives and pricing principles for water and sewerage tariffs</w:t>
        </w:r>
        <w:r w:rsidR="00EC5743">
          <w:rPr>
            <w:webHidden/>
          </w:rPr>
          <w:tab/>
        </w:r>
        <w:r w:rsidR="00F62621">
          <w:rPr>
            <w:webHidden/>
          </w:rPr>
          <w:fldChar w:fldCharType="begin"/>
        </w:r>
        <w:r w:rsidR="00EC5743">
          <w:rPr>
            <w:webHidden/>
          </w:rPr>
          <w:instrText xml:space="preserve"> PAGEREF _Toc478387743 \h </w:instrText>
        </w:r>
        <w:r w:rsidR="00F62621">
          <w:rPr>
            <w:webHidden/>
          </w:rPr>
        </w:r>
        <w:r w:rsidR="00F62621">
          <w:rPr>
            <w:webHidden/>
          </w:rPr>
          <w:fldChar w:fldCharType="separate"/>
        </w:r>
        <w:r w:rsidR="00A003A1">
          <w:rPr>
            <w:webHidden/>
          </w:rPr>
          <w:t>9</w:t>
        </w:r>
        <w:r w:rsidR="00F62621">
          <w:rPr>
            <w:webHidden/>
          </w:rPr>
          <w:fldChar w:fldCharType="end"/>
        </w:r>
      </w:hyperlink>
    </w:p>
    <w:p w14:paraId="1D82AADD" w14:textId="77777777" w:rsidR="006417E2" w:rsidRPr="00D3154C" w:rsidRDefault="00F62621" w:rsidP="00132B67">
      <w:pPr>
        <w:pStyle w:val="TableofFigures"/>
        <w:rPr>
          <w:rStyle w:val="Hyperlink"/>
          <w:b/>
          <w:sz w:val="24"/>
        </w:rPr>
      </w:pPr>
      <w:r>
        <w:rPr>
          <w:szCs w:val="40"/>
          <w:lang w:val="en-AU"/>
        </w:rPr>
        <w:fldChar w:fldCharType="end"/>
      </w:r>
      <w:r w:rsidR="00132B67" w:rsidRPr="00D3154C">
        <w:rPr>
          <w:rStyle w:val="Hyperlink"/>
          <w:b/>
          <w:sz w:val="24"/>
        </w:rPr>
        <w:t xml:space="preserve">List of </w:t>
      </w:r>
      <w:r w:rsidR="00AE3D19">
        <w:rPr>
          <w:rStyle w:val="Hyperlink"/>
          <w:b/>
          <w:sz w:val="24"/>
        </w:rPr>
        <w:t>b</w:t>
      </w:r>
      <w:r w:rsidR="00132B67" w:rsidRPr="00D3154C">
        <w:rPr>
          <w:rStyle w:val="Hyperlink"/>
          <w:b/>
          <w:sz w:val="24"/>
        </w:rPr>
        <w:t>oxes</w:t>
      </w:r>
    </w:p>
    <w:p w14:paraId="6EE6B620" w14:textId="77777777" w:rsidR="00306CBB" w:rsidRDefault="00F62621">
      <w:pPr>
        <w:pStyle w:val="TableofFigures"/>
        <w:rPr>
          <w:rFonts w:asciiTheme="minorHAnsi" w:eastAsiaTheme="minorEastAsia" w:hAnsiTheme="minorHAnsi" w:cstheme="minorBidi"/>
          <w:szCs w:val="22"/>
          <w:lang w:val="en-AU" w:eastAsia="en-AU"/>
        </w:rPr>
      </w:pPr>
      <w:r w:rsidRPr="00132B67">
        <w:rPr>
          <w:rStyle w:val="Hyperlink"/>
        </w:rPr>
        <w:fldChar w:fldCharType="begin"/>
      </w:r>
      <w:r w:rsidR="00132B67" w:rsidRPr="00132B67">
        <w:rPr>
          <w:rStyle w:val="Hyperlink"/>
        </w:rPr>
        <w:instrText xml:space="preserve"> TOC \h \z \c "Box" </w:instrText>
      </w:r>
      <w:r w:rsidRPr="00132B67">
        <w:rPr>
          <w:rStyle w:val="Hyperlink"/>
        </w:rPr>
        <w:fldChar w:fldCharType="separate"/>
      </w:r>
      <w:hyperlink w:anchor="_Toc478729931" w:history="1">
        <w:r w:rsidR="00306CBB" w:rsidRPr="00666213">
          <w:rPr>
            <w:rStyle w:val="Hyperlink"/>
          </w:rPr>
          <w:t>Box 6.1</w:t>
        </w:r>
        <w:r w:rsidR="00306CBB">
          <w:rPr>
            <w:rFonts w:asciiTheme="minorHAnsi" w:eastAsiaTheme="minorEastAsia" w:hAnsiTheme="minorHAnsi" w:cstheme="minorBidi"/>
            <w:szCs w:val="22"/>
            <w:lang w:val="en-AU" w:eastAsia="en-AU"/>
          </w:rPr>
          <w:tab/>
        </w:r>
        <w:r w:rsidR="00306CBB" w:rsidRPr="00666213">
          <w:rPr>
            <w:rStyle w:val="Hyperlink"/>
          </w:rPr>
          <w:t>List of issues</w:t>
        </w:r>
        <w:r w:rsidR="00306CBB">
          <w:rPr>
            <w:webHidden/>
          </w:rPr>
          <w:tab/>
        </w:r>
        <w:r w:rsidR="00306CBB">
          <w:rPr>
            <w:webHidden/>
          </w:rPr>
          <w:fldChar w:fldCharType="begin"/>
        </w:r>
        <w:r w:rsidR="00306CBB">
          <w:rPr>
            <w:webHidden/>
          </w:rPr>
          <w:instrText xml:space="preserve"> PAGEREF _Toc478729931 \h </w:instrText>
        </w:r>
        <w:r w:rsidR="00306CBB">
          <w:rPr>
            <w:webHidden/>
          </w:rPr>
        </w:r>
        <w:r w:rsidR="00306CBB">
          <w:rPr>
            <w:webHidden/>
          </w:rPr>
          <w:fldChar w:fldCharType="separate"/>
        </w:r>
        <w:r w:rsidR="00306CBB">
          <w:rPr>
            <w:webHidden/>
          </w:rPr>
          <w:t>45</w:t>
        </w:r>
        <w:r w:rsidR="00306CBB">
          <w:rPr>
            <w:webHidden/>
          </w:rPr>
          <w:fldChar w:fldCharType="end"/>
        </w:r>
      </w:hyperlink>
    </w:p>
    <w:p w14:paraId="44AE8651" w14:textId="77777777" w:rsidR="00132B67" w:rsidRPr="00132B67" w:rsidRDefault="00F62621" w:rsidP="00CC546A">
      <w:pPr>
        <w:pStyle w:val="References"/>
        <w:rPr>
          <w:noProof/>
          <w:szCs w:val="40"/>
          <w:lang w:val="en-AU"/>
        </w:rPr>
      </w:pPr>
      <w:r w:rsidRPr="00132B67">
        <w:rPr>
          <w:rStyle w:val="Hyperlink"/>
        </w:rPr>
        <w:fldChar w:fldCharType="end"/>
      </w:r>
    </w:p>
    <w:p w14:paraId="7663AF75" w14:textId="77777777" w:rsidR="00440F18" w:rsidRDefault="00440F18" w:rsidP="00EF4603">
      <w:pPr>
        <w:pStyle w:val="References"/>
        <w:rPr>
          <w:lang w:val="en-AU"/>
        </w:rPr>
        <w:sectPr w:rsidR="00440F18" w:rsidSect="00662C7A">
          <w:headerReference w:type="even" r:id="rId25"/>
          <w:headerReference w:type="default" r:id="rId26"/>
          <w:endnotePr>
            <w:numFmt w:val="decimal"/>
          </w:endnotePr>
          <w:type w:val="continuous"/>
          <w:pgSz w:w="11907" w:h="16840" w:code="9"/>
          <w:pgMar w:top="2268" w:right="2098" w:bottom="1701" w:left="2098" w:header="578" w:footer="578" w:gutter="0"/>
          <w:pgNumType w:fmt="lowerRoman"/>
          <w:cols w:space="720"/>
          <w:docGrid w:linePitch="299"/>
        </w:sectPr>
      </w:pPr>
    </w:p>
    <w:p w14:paraId="694F1A21" w14:textId="77777777" w:rsidR="00E2786A" w:rsidRDefault="00DC784F" w:rsidP="007176CC">
      <w:pPr>
        <w:pStyle w:val="Heading1"/>
      </w:pPr>
      <w:bookmarkStart w:id="16" w:name="Chap1"/>
      <w:bookmarkStart w:id="17" w:name="_Ref364695177"/>
      <w:bookmarkStart w:id="18" w:name="_Toc200251148"/>
      <w:bookmarkStart w:id="19" w:name="_Toc264971521"/>
      <w:bookmarkStart w:id="20" w:name="_Toc478557240"/>
      <w:bookmarkEnd w:id="12"/>
      <w:bookmarkEnd w:id="13"/>
      <w:bookmarkEnd w:id="14"/>
      <w:bookmarkEnd w:id="15"/>
      <w:bookmarkEnd w:id="16"/>
      <w:r>
        <w:lastRenderedPageBreak/>
        <w:t>Introduction</w:t>
      </w:r>
      <w:bookmarkStart w:id="21" w:name="_Ref349552218"/>
      <w:bookmarkStart w:id="22" w:name="_Toc349563150"/>
      <w:bookmarkStart w:id="23" w:name="_Toc349563312"/>
      <w:bookmarkStart w:id="24" w:name="_Toc349563390"/>
      <w:bookmarkStart w:id="25" w:name="_Toc349571506"/>
      <w:bookmarkEnd w:id="17"/>
      <w:bookmarkEnd w:id="18"/>
      <w:bookmarkEnd w:id="19"/>
      <w:bookmarkEnd w:id="20"/>
    </w:p>
    <w:p w14:paraId="1AAA634B" w14:textId="77777777" w:rsidR="000D1D6E" w:rsidRPr="000D1D6E" w:rsidRDefault="000D1D6E" w:rsidP="000D1D6E">
      <w:pPr>
        <w:sectPr w:rsidR="000D1D6E" w:rsidRPr="000D1D6E" w:rsidSect="00662C7A">
          <w:headerReference w:type="even" r:id="rId27"/>
          <w:headerReference w:type="default" r:id="rId28"/>
          <w:endnotePr>
            <w:numFmt w:val="decimal"/>
          </w:endnotePr>
          <w:type w:val="oddPage"/>
          <w:pgSz w:w="11907" w:h="16840" w:code="9"/>
          <w:pgMar w:top="2268" w:right="2098" w:bottom="1701" w:left="2098" w:header="578" w:footer="578" w:gutter="0"/>
          <w:pgNumType w:start="1"/>
          <w:cols w:space="720"/>
          <w:docGrid w:linePitch="299"/>
        </w:sectPr>
      </w:pPr>
    </w:p>
    <w:p w14:paraId="15AFFF07" w14:textId="77777777" w:rsidR="007D4436" w:rsidRDefault="00B92427" w:rsidP="006C7D4B">
      <w:pPr>
        <w:pStyle w:val="Heading2"/>
      </w:pPr>
      <w:bookmarkStart w:id="26" w:name="Tariffs_vs_prices"/>
      <w:bookmarkStart w:id="27" w:name="_Toc478557241"/>
      <w:bookmarkStart w:id="28" w:name="_Toc368572032"/>
      <w:bookmarkStart w:id="29" w:name="_Ref429400976"/>
      <w:bookmarkStart w:id="30" w:name="_Toc378334065"/>
      <w:bookmarkStart w:id="31" w:name="_Toc389642362"/>
      <w:bookmarkEnd w:id="21"/>
      <w:bookmarkEnd w:id="22"/>
      <w:bookmarkEnd w:id="23"/>
      <w:bookmarkEnd w:id="24"/>
      <w:bookmarkEnd w:id="25"/>
      <w:bookmarkEnd w:id="26"/>
      <w:r>
        <w:t xml:space="preserve">Background </w:t>
      </w:r>
      <w:r w:rsidR="009B412B">
        <w:t>to the investigation</w:t>
      </w:r>
      <w:bookmarkEnd w:id="27"/>
    </w:p>
    <w:p w14:paraId="1BD76DA9" w14:textId="77777777" w:rsidR="00F70C3C" w:rsidRDefault="0010347B" w:rsidP="00724AAF">
      <w:r>
        <w:t xml:space="preserve">On </w:t>
      </w:r>
      <w:r w:rsidR="00CD7EFC">
        <w:t>13 December 2016,</w:t>
      </w:r>
      <w:r w:rsidR="00724AAF">
        <w:t xml:space="preserve"> the </w:t>
      </w:r>
      <w:r w:rsidR="005A09F6">
        <w:t xml:space="preserve">ACT </w:t>
      </w:r>
      <w:r w:rsidR="00724AAF">
        <w:t xml:space="preserve">Treasurer signed terms of reference under the </w:t>
      </w:r>
      <w:r w:rsidR="00724AAF" w:rsidRPr="0079320B">
        <w:rPr>
          <w:i/>
        </w:rPr>
        <w:t>Independent Competition and Regulatory Commission Act 1997</w:t>
      </w:r>
      <w:r w:rsidR="00724AAF">
        <w:t xml:space="preserve"> </w:t>
      </w:r>
      <w:r w:rsidR="006714DA">
        <w:t xml:space="preserve">(the ICRC Act) </w:t>
      </w:r>
      <w:r w:rsidR="00724AAF">
        <w:t>for a</w:t>
      </w:r>
      <w:r w:rsidR="00F70C3C">
        <w:t>n investigation into, and the making of a price direction for</w:t>
      </w:r>
      <w:r w:rsidR="00E87601">
        <w:t>,</w:t>
      </w:r>
      <w:r w:rsidR="00F70C3C">
        <w:t xml:space="preserve"> regulated water and sewerage services provided by Icon Water Limited.</w:t>
      </w:r>
      <w:r w:rsidR="00E75304">
        <w:t xml:space="preserve"> </w:t>
      </w:r>
      <w:r w:rsidR="00F70C3C">
        <w:t xml:space="preserve">The price direction will be for the period 1 July 2018 to 30 June 2023. </w:t>
      </w:r>
    </w:p>
    <w:p w14:paraId="3296B620" w14:textId="77777777" w:rsidR="00467C71" w:rsidRDefault="00467C71" w:rsidP="00467C71">
      <w:r w:rsidRPr="00331E28">
        <w:t>This investigation represents the seventh occasion on which the Commission (or its predecessor bodies) has been called upon by the ACT Government to develop a price direction for Icon Water’s (and formerly ACTEW’s) regulated water and sewerage services.</w:t>
      </w:r>
      <w:r w:rsidR="00E75304">
        <w:t xml:space="preserve"> </w:t>
      </w:r>
      <w:r w:rsidRPr="00331E28">
        <w:t>The first price direction covered the period 1997</w:t>
      </w:r>
      <w:r w:rsidR="00E87601">
        <w:t>–</w:t>
      </w:r>
      <w:r w:rsidRPr="00331E28">
        <w:t xml:space="preserve">98. </w:t>
      </w:r>
    </w:p>
    <w:p w14:paraId="5AD5B946" w14:textId="77777777" w:rsidR="00331E28" w:rsidRDefault="009F756B" w:rsidP="0099058C">
      <w:r>
        <w:t xml:space="preserve">The </w:t>
      </w:r>
      <w:r w:rsidR="00467C71">
        <w:t xml:space="preserve">current </w:t>
      </w:r>
      <w:r w:rsidR="002E3C1F">
        <w:t>regulated prices for the period to 30 June 20</w:t>
      </w:r>
      <w:r w:rsidR="001E1839">
        <w:t>18</w:t>
      </w:r>
      <w:r w:rsidR="002E3C1F">
        <w:t xml:space="preserve"> are </w:t>
      </w:r>
      <w:r w:rsidR="00F70C3C">
        <w:t xml:space="preserve">specified </w:t>
      </w:r>
      <w:r w:rsidR="002E3C1F">
        <w:t>in</w:t>
      </w:r>
      <w:r w:rsidR="00F70C3C">
        <w:t xml:space="preserve"> the Industry Panel</w:t>
      </w:r>
      <w:r w:rsidR="00E044EB">
        <w:t xml:space="preserve"> </w:t>
      </w:r>
      <w:r w:rsidR="003371EA">
        <w:t>r</w:t>
      </w:r>
      <w:r w:rsidR="00E044EB">
        <w:t>eport,</w:t>
      </w:r>
      <w:r w:rsidR="0099058C">
        <w:t xml:space="preserve"> </w:t>
      </w:r>
      <w:r w:rsidR="0099058C" w:rsidRPr="002E7857">
        <w:rPr>
          <w:i/>
        </w:rPr>
        <w:t xml:space="preserve">Substituted </w:t>
      </w:r>
      <w:r w:rsidR="00E87601">
        <w:rPr>
          <w:i/>
        </w:rPr>
        <w:t>p</w:t>
      </w:r>
      <w:r w:rsidR="0099058C" w:rsidRPr="002E7857">
        <w:rPr>
          <w:i/>
        </w:rPr>
        <w:t xml:space="preserve">rice </w:t>
      </w:r>
      <w:r w:rsidR="00E87601">
        <w:rPr>
          <w:i/>
        </w:rPr>
        <w:t>d</w:t>
      </w:r>
      <w:r w:rsidR="0099058C" w:rsidRPr="002E7857">
        <w:rPr>
          <w:i/>
        </w:rPr>
        <w:t xml:space="preserve">irection: Regulated </w:t>
      </w:r>
      <w:r w:rsidR="00E87601">
        <w:rPr>
          <w:i/>
        </w:rPr>
        <w:t>w</w:t>
      </w:r>
      <w:r w:rsidR="0099058C" w:rsidRPr="002E7857">
        <w:rPr>
          <w:i/>
        </w:rPr>
        <w:t xml:space="preserve">ater and </w:t>
      </w:r>
      <w:r w:rsidR="00E87601">
        <w:rPr>
          <w:i/>
        </w:rPr>
        <w:t>s</w:t>
      </w:r>
      <w:r w:rsidR="0099058C" w:rsidRPr="002E7857">
        <w:rPr>
          <w:i/>
        </w:rPr>
        <w:t xml:space="preserve">ewerage </w:t>
      </w:r>
      <w:r w:rsidR="00E87601">
        <w:rPr>
          <w:i/>
        </w:rPr>
        <w:t>s</w:t>
      </w:r>
      <w:r w:rsidR="0099058C" w:rsidRPr="002E7857">
        <w:rPr>
          <w:i/>
        </w:rPr>
        <w:t xml:space="preserve">ervices </w:t>
      </w:r>
      <w:r w:rsidR="0099058C">
        <w:rPr>
          <w:i/>
        </w:rPr>
        <w:t xml:space="preserve">– </w:t>
      </w:r>
      <w:r w:rsidR="0099058C" w:rsidRPr="002E7857">
        <w:rPr>
          <w:i/>
        </w:rPr>
        <w:t>1</w:t>
      </w:r>
      <w:r w:rsidR="00E87601">
        <w:rPr>
          <w:i/>
        </w:rPr>
        <w:t> </w:t>
      </w:r>
      <w:r w:rsidR="0099058C" w:rsidRPr="002E7857">
        <w:rPr>
          <w:i/>
        </w:rPr>
        <w:t>July 2013 to 30 June 2018</w:t>
      </w:r>
      <w:r w:rsidR="00F70C3C">
        <w:rPr>
          <w:i/>
        </w:rPr>
        <w:t>.</w:t>
      </w:r>
      <w:r w:rsidRPr="005A09F6">
        <w:rPr>
          <w:rStyle w:val="FootnoteReference"/>
        </w:rPr>
        <w:footnoteReference w:id="2"/>
      </w:r>
      <w:r w:rsidR="00E75304" w:rsidRPr="005A09F6">
        <w:t xml:space="preserve"> </w:t>
      </w:r>
      <w:r w:rsidR="00F70C3C">
        <w:t>T</w:t>
      </w:r>
      <w:r w:rsidR="00F70C3C" w:rsidRPr="00AA334E">
        <w:t>he substitute price direction w</w:t>
      </w:r>
      <w:r w:rsidR="00F70C3C">
        <w:t>as developed</w:t>
      </w:r>
      <w:r w:rsidR="00994640">
        <w:t xml:space="preserve"> and implemented following an application by Icon Water for review of the Commission’s price direction that was to apply for the period 1 July 2013 to 30 June 2019</w:t>
      </w:r>
      <w:r w:rsidR="00467C71">
        <w:t>.</w:t>
      </w:r>
      <w:r w:rsidR="00ED3916" w:rsidRPr="00ED3916">
        <w:rPr>
          <w:rStyle w:val="FootnoteReference"/>
        </w:rPr>
        <w:t xml:space="preserve"> </w:t>
      </w:r>
      <w:r w:rsidR="00ED3916">
        <w:rPr>
          <w:rStyle w:val="FootnoteReference"/>
        </w:rPr>
        <w:footnoteReference w:id="3"/>
      </w:r>
      <w:r w:rsidR="00E75304">
        <w:t xml:space="preserve"> </w:t>
      </w:r>
    </w:p>
    <w:p w14:paraId="54318F7D" w14:textId="77777777" w:rsidR="002E3C1F" w:rsidRDefault="00467C71" w:rsidP="0099058C">
      <w:r>
        <w:t>The original price direction specified a six</w:t>
      </w:r>
      <w:r w:rsidR="003371EA">
        <w:t>-</w:t>
      </w:r>
      <w:r>
        <w:t>year regulatory period</w:t>
      </w:r>
      <w:r w:rsidR="009F756B">
        <w:t>,</w:t>
      </w:r>
      <w:r w:rsidR="00994640">
        <w:t xml:space="preserve"> with recalibration of prices on a biennial basis</w:t>
      </w:r>
      <w:r w:rsidR="002E3C1F">
        <w:t xml:space="preserve"> and </w:t>
      </w:r>
      <w:r w:rsidR="003371EA">
        <w:t xml:space="preserve">adjustment </w:t>
      </w:r>
      <w:r w:rsidR="002E3C1F">
        <w:t>for inflation and cost pass</w:t>
      </w:r>
      <w:r w:rsidR="003371EA">
        <w:t>-</w:t>
      </w:r>
      <w:r w:rsidR="002E3C1F">
        <w:t>through of specified items in alternate years</w:t>
      </w:r>
      <w:r w:rsidR="00994640">
        <w:t>.</w:t>
      </w:r>
      <w:r w:rsidR="00E75304">
        <w:t xml:space="preserve"> </w:t>
      </w:r>
      <w:r w:rsidR="00994640">
        <w:t xml:space="preserve">The Industry Panel maintained the same price levels as in the Commission’s </w:t>
      </w:r>
      <w:r w:rsidR="009F756B">
        <w:t>original decision for 201</w:t>
      </w:r>
      <w:r w:rsidR="00331E28">
        <w:t>3</w:t>
      </w:r>
      <w:r w:rsidR="00E87601">
        <w:t>–</w:t>
      </w:r>
      <w:r w:rsidR="00331E28">
        <w:t>1</w:t>
      </w:r>
      <w:r w:rsidR="009F756B">
        <w:t>4 and 201</w:t>
      </w:r>
      <w:r w:rsidR="00331E28">
        <w:t>4</w:t>
      </w:r>
      <w:r w:rsidR="00E87601">
        <w:t>–</w:t>
      </w:r>
      <w:r w:rsidR="00331E28">
        <w:t>1</w:t>
      </w:r>
      <w:r w:rsidR="009F756B">
        <w:t xml:space="preserve">5 </w:t>
      </w:r>
      <w:r w:rsidR="002E3C1F">
        <w:t>but</w:t>
      </w:r>
      <w:r w:rsidR="009F756B">
        <w:t xml:space="preserve"> used a different methodology to determine price</w:t>
      </w:r>
      <w:r w:rsidR="002E3C1F">
        <w:t xml:space="preserve">s for the following three years, changed the regulatory period from six to five years, </w:t>
      </w:r>
      <w:r w:rsidR="001E1839">
        <w:t xml:space="preserve">and provided for an </w:t>
      </w:r>
      <w:r w:rsidR="002E3C1F">
        <w:t>annual adjustment</w:t>
      </w:r>
      <w:r w:rsidR="001E1839">
        <w:t xml:space="preserve"> to prices</w:t>
      </w:r>
      <w:r w:rsidR="002E3C1F">
        <w:t xml:space="preserve"> for inflation and cost pass</w:t>
      </w:r>
      <w:r w:rsidR="003371EA">
        <w:t>-</w:t>
      </w:r>
      <w:r w:rsidR="002E3C1F">
        <w:t>through of specified items but without full recalibration.</w:t>
      </w:r>
    </w:p>
    <w:p w14:paraId="0C5A9F2E" w14:textId="77777777" w:rsidR="00CF4B46" w:rsidRPr="003C73AD" w:rsidRDefault="003C73AD" w:rsidP="0099058C">
      <w:r>
        <w:t>T</w:t>
      </w:r>
      <w:r w:rsidR="00CF4B46" w:rsidRPr="003C73AD">
        <w:t>he main differences</w:t>
      </w:r>
      <w:r w:rsidR="00CF4B46" w:rsidRPr="003C73AD">
        <w:rPr>
          <w:vertAlign w:val="superscript"/>
        </w:rPr>
        <w:footnoteReference w:id="4"/>
      </w:r>
      <w:r w:rsidR="00CF4B46" w:rsidRPr="003C73AD">
        <w:rPr>
          <w:vertAlign w:val="superscript"/>
        </w:rPr>
        <w:t xml:space="preserve"> </w:t>
      </w:r>
      <w:r w:rsidR="00CF4B46" w:rsidRPr="003C73AD">
        <w:t xml:space="preserve">between the Commission’s original </w:t>
      </w:r>
      <w:r>
        <w:t xml:space="preserve">price </w:t>
      </w:r>
      <w:r w:rsidR="00CF4B46" w:rsidRPr="003C73AD">
        <w:t>direction and the Industry Panel’s substitute price direction were that:</w:t>
      </w:r>
    </w:p>
    <w:p w14:paraId="0B99695A" w14:textId="77777777" w:rsidR="00CF4B46" w:rsidRDefault="00CF4B46" w:rsidP="003E19BE">
      <w:pPr>
        <w:numPr>
          <w:ilvl w:val="0"/>
          <w:numId w:val="14"/>
        </w:numPr>
      </w:pPr>
      <w:r w:rsidRPr="003C73AD">
        <w:t>the Commission set a lower nominal rate of return (4.42 per cent) with no allowance for net tax liabilities</w:t>
      </w:r>
      <w:r w:rsidR="008C5374">
        <w:t xml:space="preserve"> for 201</w:t>
      </w:r>
      <w:r w:rsidR="00331E28">
        <w:t>3</w:t>
      </w:r>
      <w:r w:rsidR="00E87601">
        <w:t>–</w:t>
      </w:r>
      <w:r w:rsidR="00331E28">
        <w:t>1</w:t>
      </w:r>
      <w:r w:rsidR="008C5374">
        <w:t>4 and 201</w:t>
      </w:r>
      <w:r w:rsidR="00331E28">
        <w:t>4</w:t>
      </w:r>
      <w:r w:rsidR="00E87601">
        <w:t>–</w:t>
      </w:r>
      <w:r w:rsidR="00331E28">
        <w:t>1</w:t>
      </w:r>
      <w:r w:rsidR="008C5374">
        <w:t>5</w:t>
      </w:r>
      <w:r w:rsidR="00194236">
        <w:t>,</w:t>
      </w:r>
      <w:r w:rsidR="008C5374">
        <w:rPr>
          <w:rStyle w:val="FootnoteReference"/>
        </w:rPr>
        <w:footnoteReference w:id="5"/>
      </w:r>
      <w:r w:rsidRPr="003C73AD">
        <w:t xml:space="preserve"> based on a firm</w:t>
      </w:r>
      <w:r w:rsidR="00194236">
        <w:t>-</w:t>
      </w:r>
      <w:r w:rsidRPr="003C73AD">
        <w:t xml:space="preserve">specific approach, while the Industry </w:t>
      </w:r>
      <w:r w:rsidR="007A49C7">
        <w:t>P</w:t>
      </w:r>
      <w:r w:rsidRPr="003C73AD">
        <w:t>anel set a higher nominal after</w:t>
      </w:r>
      <w:r w:rsidR="00194236">
        <w:t>-</w:t>
      </w:r>
      <w:r w:rsidRPr="003C73AD">
        <w:t xml:space="preserve">tax </w:t>
      </w:r>
      <w:r w:rsidRPr="003C73AD">
        <w:lastRenderedPageBreak/>
        <w:t>return (7.20 per cent) with an allowance for net tax liabilities based on a benc</w:t>
      </w:r>
      <w:r w:rsidR="003C73AD">
        <w:t xml:space="preserve">hmark efficient entity approach; and </w:t>
      </w:r>
    </w:p>
    <w:p w14:paraId="176B59AB" w14:textId="77777777" w:rsidR="003C73AD" w:rsidRPr="003C73AD" w:rsidRDefault="003C73AD" w:rsidP="003E19BE">
      <w:pPr>
        <w:numPr>
          <w:ilvl w:val="0"/>
          <w:numId w:val="14"/>
        </w:numPr>
      </w:pPr>
      <w:r>
        <w:t xml:space="preserve">the Commission adopted materially lower forecast water sales (38 </w:t>
      </w:r>
      <w:r w:rsidR="003371EA">
        <w:t>G</w:t>
      </w:r>
      <w:r>
        <w:t xml:space="preserve">L in </w:t>
      </w:r>
      <w:r w:rsidR="007A49C7">
        <w:br/>
      </w:r>
      <w:r>
        <w:t>2013</w:t>
      </w:r>
      <w:r w:rsidR="00E87601">
        <w:t>–</w:t>
      </w:r>
      <w:r>
        <w:t>14 and 2014</w:t>
      </w:r>
      <w:r w:rsidR="00E87601">
        <w:t>–</w:t>
      </w:r>
      <w:r>
        <w:t>15) a</w:t>
      </w:r>
      <w:r w:rsidRPr="005A09F6">
        <w:t>nd lower customer numbers growth co</w:t>
      </w:r>
      <w:r>
        <w:t xml:space="preserve">mpared </w:t>
      </w:r>
      <w:r w:rsidR="00896B23">
        <w:t xml:space="preserve">to </w:t>
      </w:r>
      <w:r>
        <w:t xml:space="preserve">the Industry Panel’s forecast of water sales (41.9 </w:t>
      </w:r>
      <w:r w:rsidR="003371EA">
        <w:t>G</w:t>
      </w:r>
      <w:r>
        <w:t>L in 2013</w:t>
      </w:r>
      <w:r w:rsidR="00E87601">
        <w:t>–</w:t>
      </w:r>
      <w:r w:rsidR="00E044EB">
        <w:t xml:space="preserve">14 and </w:t>
      </w:r>
      <w:r w:rsidR="00330DFB">
        <w:br/>
      </w:r>
      <w:r w:rsidR="00E044EB">
        <w:t>43.1</w:t>
      </w:r>
      <w:r w:rsidR="00E87601">
        <w:t>–</w:t>
      </w:r>
      <w:r w:rsidR="00E044EB">
        <w:t xml:space="preserve">44.8 </w:t>
      </w:r>
      <w:r w:rsidR="003371EA">
        <w:t>G</w:t>
      </w:r>
      <w:r w:rsidR="00E044EB">
        <w:t xml:space="preserve">L per annum </w:t>
      </w:r>
      <w:r>
        <w:t>for 2014</w:t>
      </w:r>
      <w:r w:rsidR="00E87601">
        <w:t>–</w:t>
      </w:r>
      <w:r>
        <w:t>1</w:t>
      </w:r>
      <w:r w:rsidR="00330DFB">
        <w:t>5</w:t>
      </w:r>
      <w:r>
        <w:t xml:space="preserve"> to 2017</w:t>
      </w:r>
      <w:r w:rsidR="00E87601">
        <w:t>–</w:t>
      </w:r>
      <w:r>
        <w:t>18</w:t>
      </w:r>
      <w:r w:rsidR="00896B23">
        <w:t>)</w:t>
      </w:r>
      <w:r>
        <w:t>.</w:t>
      </w:r>
      <w:r>
        <w:rPr>
          <w:rStyle w:val="FootnoteReference"/>
        </w:rPr>
        <w:footnoteReference w:id="6"/>
      </w:r>
      <w:r w:rsidR="00E75304">
        <w:t xml:space="preserve"> </w:t>
      </w:r>
    </w:p>
    <w:p w14:paraId="0C5BC2E6" w14:textId="77777777" w:rsidR="0099058C" w:rsidRPr="0072503B" w:rsidRDefault="00467C71" w:rsidP="00724AAF">
      <w:r>
        <w:t>This review will consider whether any improvements can be made to the current methodolo</w:t>
      </w:r>
      <w:r w:rsidRPr="00146871">
        <w:t>gy that was specified by the Industry Panel</w:t>
      </w:r>
      <w:r w:rsidR="00146871">
        <w:t>,</w:t>
      </w:r>
      <w:r w:rsidRPr="00146871">
        <w:t xml:space="preserve"> in accordance</w:t>
      </w:r>
      <w:r>
        <w:t xml:space="preserve"> with specific matters set out in the terms of reference and taking into account relevant regulatory practice and supporting principles.</w:t>
      </w:r>
      <w:r w:rsidR="00E75304">
        <w:t xml:space="preserve"> </w:t>
      </w:r>
      <w:r w:rsidR="00357AE6">
        <w:t xml:space="preserve">Changes to the current methodology </w:t>
      </w:r>
      <w:r w:rsidR="00FF5BE2">
        <w:t>may</w:t>
      </w:r>
      <w:r w:rsidR="00357AE6">
        <w:t xml:space="preserve"> be made where </w:t>
      </w:r>
      <w:r w:rsidR="00FF5BE2">
        <w:t>the Commission believes</w:t>
      </w:r>
      <w:r w:rsidR="00357AE6">
        <w:t xml:space="preserve"> that changes are likely to entail substantially better outcomes for the ACT community as a whole. </w:t>
      </w:r>
    </w:p>
    <w:p w14:paraId="3750B9DD" w14:textId="77777777" w:rsidR="00BF6EE5" w:rsidRDefault="001B1FAF" w:rsidP="006C7D4B">
      <w:pPr>
        <w:pStyle w:val="Heading2"/>
      </w:pPr>
      <w:bookmarkStart w:id="32" w:name="Scope"/>
      <w:bookmarkStart w:id="33" w:name="Timeline"/>
      <w:bookmarkStart w:id="34" w:name="_Toc368572036"/>
      <w:bookmarkStart w:id="35" w:name="_Toc478557242"/>
      <w:bookmarkEnd w:id="28"/>
      <w:bookmarkEnd w:id="29"/>
      <w:bookmarkEnd w:id="32"/>
      <w:bookmarkEnd w:id="33"/>
      <w:r>
        <w:t>Purpose of the issues paper</w:t>
      </w:r>
      <w:bookmarkEnd w:id="34"/>
      <w:bookmarkEnd w:id="35"/>
    </w:p>
    <w:p w14:paraId="2EF711A0" w14:textId="77777777" w:rsidR="009402AF" w:rsidRDefault="00724AAF" w:rsidP="00724AAF">
      <w:pPr>
        <w:rPr>
          <w:lang w:val="en-AU" w:eastAsia="en-AU"/>
        </w:rPr>
      </w:pPr>
      <w:r w:rsidRPr="00A70180">
        <w:rPr>
          <w:lang w:val="en-AU" w:eastAsia="en-AU"/>
        </w:rPr>
        <w:t xml:space="preserve">The purpose </w:t>
      </w:r>
      <w:r>
        <w:rPr>
          <w:lang w:val="en-AU" w:eastAsia="en-AU"/>
        </w:rPr>
        <w:t>of this issues paper is</w:t>
      </w:r>
      <w:r w:rsidR="009402AF">
        <w:rPr>
          <w:lang w:val="en-AU" w:eastAsia="en-AU"/>
        </w:rPr>
        <w:t xml:space="preserve"> twofold.</w:t>
      </w:r>
      <w:r w:rsidR="006462F0">
        <w:rPr>
          <w:lang w:val="en-AU" w:eastAsia="en-AU"/>
        </w:rPr>
        <w:t xml:space="preserve"> </w:t>
      </w:r>
    </w:p>
    <w:p w14:paraId="576C05C2" w14:textId="77777777" w:rsidR="00724AAF" w:rsidRDefault="009402AF" w:rsidP="00724AAF">
      <w:pPr>
        <w:rPr>
          <w:lang w:val="en-AU" w:eastAsia="en-AU"/>
        </w:rPr>
      </w:pPr>
      <w:r>
        <w:rPr>
          <w:lang w:val="en-AU" w:eastAsia="en-AU"/>
        </w:rPr>
        <w:t xml:space="preserve">The first is </w:t>
      </w:r>
      <w:r w:rsidR="00724AAF">
        <w:rPr>
          <w:lang w:val="en-AU" w:eastAsia="en-AU"/>
        </w:rPr>
        <w:t xml:space="preserve">to alert stakeholders that the Commission is undertaking an investigation into </w:t>
      </w:r>
      <w:r w:rsidR="00357AE6">
        <w:rPr>
          <w:lang w:val="en-AU" w:eastAsia="en-AU"/>
        </w:rPr>
        <w:t>regulated water and sewerage</w:t>
      </w:r>
      <w:r w:rsidR="00E044EB">
        <w:rPr>
          <w:lang w:val="en-AU" w:eastAsia="en-AU"/>
        </w:rPr>
        <w:t xml:space="preserve"> prices</w:t>
      </w:r>
      <w:r w:rsidR="00357AE6">
        <w:rPr>
          <w:lang w:val="en-AU" w:eastAsia="en-AU"/>
        </w:rPr>
        <w:t xml:space="preserve"> </w:t>
      </w:r>
      <w:r w:rsidR="001855F5">
        <w:rPr>
          <w:lang w:val="en-AU" w:eastAsia="en-AU"/>
        </w:rPr>
        <w:t>for t</w:t>
      </w:r>
      <w:r w:rsidR="001855F5" w:rsidRPr="005A09F6">
        <w:rPr>
          <w:lang w:val="en-AU" w:eastAsia="en-AU"/>
        </w:rPr>
        <w:t xml:space="preserve">he period </w:t>
      </w:r>
      <w:r w:rsidR="00E044EB" w:rsidRPr="005A09F6">
        <w:rPr>
          <w:lang w:val="en-AU" w:eastAsia="en-AU"/>
        </w:rPr>
        <w:t>from</w:t>
      </w:r>
      <w:r w:rsidR="001855F5" w:rsidRPr="005A09F6">
        <w:rPr>
          <w:lang w:val="en-AU" w:eastAsia="en-AU"/>
        </w:rPr>
        <w:t xml:space="preserve"> 1</w:t>
      </w:r>
      <w:r w:rsidR="001855F5">
        <w:rPr>
          <w:lang w:val="en-AU" w:eastAsia="en-AU"/>
        </w:rPr>
        <w:t> July </w:t>
      </w:r>
      <w:r w:rsidR="00724AAF">
        <w:rPr>
          <w:lang w:val="en-AU" w:eastAsia="en-AU"/>
        </w:rPr>
        <w:t>201</w:t>
      </w:r>
      <w:r w:rsidR="00357AE6">
        <w:rPr>
          <w:lang w:val="en-AU" w:eastAsia="en-AU"/>
        </w:rPr>
        <w:t xml:space="preserve">8 to </w:t>
      </w:r>
      <w:r w:rsidR="00940680">
        <w:rPr>
          <w:lang w:val="en-AU" w:eastAsia="en-AU"/>
        </w:rPr>
        <w:br/>
      </w:r>
      <w:r w:rsidR="00357AE6">
        <w:rPr>
          <w:lang w:val="en-AU" w:eastAsia="en-AU"/>
        </w:rPr>
        <w:t>30 June 2023</w:t>
      </w:r>
      <w:r w:rsidR="00724AAF">
        <w:rPr>
          <w:lang w:val="en-AU" w:eastAsia="en-AU"/>
        </w:rPr>
        <w:t xml:space="preserve"> and </w:t>
      </w:r>
      <w:r w:rsidR="00BB6D62">
        <w:rPr>
          <w:lang w:val="en-AU" w:eastAsia="en-AU"/>
        </w:rPr>
        <w:t xml:space="preserve">is </w:t>
      </w:r>
      <w:r w:rsidR="00724AAF">
        <w:rPr>
          <w:lang w:val="en-AU" w:eastAsia="en-AU"/>
        </w:rPr>
        <w:t>seeking stakeholder input</w:t>
      </w:r>
      <w:r w:rsidR="006714DA">
        <w:rPr>
          <w:lang w:val="en-AU" w:eastAsia="en-AU"/>
        </w:rPr>
        <w:t xml:space="preserve"> on any issues they consider relevant</w:t>
      </w:r>
      <w:r w:rsidR="00724AAF">
        <w:rPr>
          <w:lang w:val="en-AU" w:eastAsia="en-AU"/>
        </w:rPr>
        <w:t>.</w:t>
      </w:r>
    </w:p>
    <w:p w14:paraId="6625CD20" w14:textId="77777777" w:rsidR="00724AAF" w:rsidRPr="00A70180" w:rsidRDefault="002E49CD" w:rsidP="00724AAF">
      <w:pPr>
        <w:rPr>
          <w:lang w:val="en-AU" w:eastAsia="en-AU"/>
        </w:rPr>
      </w:pPr>
      <w:r>
        <w:rPr>
          <w:lang w:val="en-AU" w:eastAsia="en-AU"/>
        </w:rPr>
        <w:t>T</w:t>
      </w:r>
      <w:r w:rsidRPr="005A09F6">
        <w:rPr>
          <w:lang w:val="en-AU" w:eastAsia="en-AU"/>
        </w:rPr>
        <w:t xml:space="preserve">he second purpose is </w:t>
      </w:r>
      <w:r w:rsidR="00724AAF" w:rsidRPr="005A09F6">
        <w:rPr>
          <w:lang w:val="en-AU" w:eastAsia="en-AU"/>
        </w:rPr>
        <w:t xml:space="preserve">to inform stakeholders of </w:t>
      </w:r>
      <w:r w:rsidR="00E044EB" w:rsidRPr="005A09F6">
        <w:rPr>
          <w:lang w:val="en-AU" w:eastAsia="en-AU"/>
        </w:rPr>
        <w:t>key</w:t>
      </w:r>
      <w:r w:rsidR="00724AAF" w:rsidRPr="005A09F6">
        <w:rPr>
          <w:lang w:val="en-AU" w:eastAsia="en-AU"/>
        </w:rPr>
        <w:t xml:space="preserve"> issues that the Commission has identified </w:t>
      </w:r>
      <w:r w:rsidR="00E044EB" w:rsidRPr="005A09F6">
        <w:rPr>
          <w:lang w:val="en-AU" w:eastAsia="en-AU"/>
        </w:rPr>
        <w:t>for</w:t>
      </w:r>
      <w:r w:rsidR="00724AAF" w:rsidRPr="005A09F6">
        <w:rPr>
          <w:lang w:val="en-AU" w:eastAsia="en-AU"/>
        </w:rPr>
        <w:t xml:space="preserve"> this </w:t>
      </w:r>
      <w:r w:rsidR="006714DA" w:rsidRPr="005A09F6">
        <w:rPr>
          <w:lang w:val="en-AU" w:eastAsia="en-AU"/>
        </w:rPr>
        <w:t xml:space="preserve">price </w:t>
      </w:r>
      <w:r w:rsidR="00724AAF" w:rsidRPr="005A09F6">
        <w:rPr>
          <w:lang w:val="en-AU" w:eastAsia="en-AU"/>
        </w:rPr>
        <w:t>inves</w:t>
      </w:r>
      <w:r w:rsidR="00724AAF">
        <w:rPr>
          <w:lang w:val="en-AU" w:eastAsia="en-AU"/>
        </w:rPr>
        <w:t>tigation, including</w:t>
      </w:r>
      <w:r w:rsidR="00E044EB">
        <w:rPr>
          <w:lang w:val="en-AU" w:eastAsia="en-AU"/>
        </w:rPr>
        <w:t xml:space="preserve"> carryover issues from the current regulatory period and</w:t>
      </w:r>
      <w:r w:rsidR="00724AAF">
        <w:rPr>
          <w:lang w:val="en-AU" w:eastAsia="en-AU"/>
        </w:rPr>
        <w:t xml:space="preserve"> </w:t>
      </w:r>
      <w:r w:rsidR="0088119F">
        <w:rPr>
          <w:lang w:val="en-AU" w:eastAsia="en-AU"/>
        </w:rPr>
        <w:t xml:space="preserve">issues </w:t>
      </w:r>
      <w:r w:rsidR="00724AAF" w:rsidRPr="0088119F">
        <w:rPr>
          <w:lang w:val="en-AU" w:eastAsia="en-AU"/>
        </w:rPr>
        <w:t>a</w:t>
      </w:r>
      <w:r w:rsidR="00724AAF">
        <w:rPr>
          <w:lang w:val="en-AU" w:eastAsia="en-AU"/>
        </w:rPr>
        <w:t>rising from the terms of reference</w:t>
      </w:r>
      <w:r w:rsidR="00357AE6">
        <w:rPr>
          <w:lang w:val="en-AU" w:eastAsia="en-AU"/>
        </w:rPr>
        <w:t xml:space="preserve">. </w:t>
      </w:r>
    </w:p>
    <w:p w14:paraId="533B22CF" w14:textId="77777777" w:rsidR="00AE2910" w:rsidRDefault="001B1FAF" w:rsidP="006C7D4B">
      <w:pPr>
        <w:pStyle w:val="Heading2"/>
      </w:pPr>
      <w:bookmarkStart w:id="36" w:name="What_happens_next"/>
      <w:bookmarkStart w:id="37" w:name="_Toc368572035"/>
      <w:bookmarkStart w:id="38" w:name="_Toc478557243"/>
      <w:bookmarkEnd w:id="36"/>
      <w:r>
        <w:t>Scope of the terms of reference</w:t>
      </w:r>
      <w:bookmarkEnd w:id="37"/>
      <w:bookmarkEnd w:id="38"/>
    </w:p>
    <w:p w14:paraId="1EB34567" w14:textId="77777777" w:rsidR="00724AAF" w:rsidRDefault="00724AAF" w:rsidP="00724AAF">
      <w:r>
        <w:t>The terms of reference</w:t>
      </w:r>
      <w:r w:rsidR="004C7BB0">
        <w:t xml:space="preserve"> (reproduced in Appendix 1)</w:t>
      </w:r>
      <w:r>
        <w:t xml:space="preserve"> </w:t>
      </w:r>
      <w:r w:rsidRPr="005A09F6">
        <w:t>require th</w:t>
      </w:r>
      <w:r>
        <w:t>e Commission to consider the following matters in this investigation</w:t>
      </w:r>
      <w:r w:rsidR="00FB051C">
        <w:t>:</w:t>
      </w:r>
    </w:p>
    <w:p w14:paraId="5E7A50F7" w14:textId="77777777" w:rsidR="004C7BB0" w:rsidRDefault="00B77288" w:rsidP="0088119F">
      <w:pPr>
        <w:pStyle w:val="Bullet"/>
      </w:pPr>
      <w:r>
        <w:t>t</w:t>
      </w:r>
      <w:r w:rsidR="004C7BB0">
        <w:t xml:space="preserve">he relevant regulatory objectives and requirements as set out in the </w:t>
      </w:r>
      <w:r w:rsidR="00EA6318">
        <w:t>ICRC Act</w:t>
      </w:r>
      <w:r w:rsidR="004C7BB0">
        <w:t>;</w:t>
      </w:r>
    </w:p>
    <w:p w14:paraId="1580F7B0" w14:textId="77777777" w:rsidR="004C7BB0" w:rsidRDefault="00B77288" w:rsidP="00724AAF">
      <w:pPr>
        <w:pStyle w:val="Bullet"/>
      </w:pPr>
      <w:r>
        <w:t xml:space="preserve">ACT government policies relating to water and sewerage services including the </w:t>
      </w:r>
      <w:r w:rsidR="00970019" w:rsidRPr="00970019">
        <w:rPr>
          <w:i/>
        </w:rPr>
        <w:t>ACT Water Strategy</w:t>
      </w:r>
      <w:r w:rsidR="00146871">
        <w:rPr>
          <w:i/>
        </w:rPr>
        <w:t xml:space="preserve"> </w:t>
      </w:r>
      <w:r w:rsidR="00146871" w:rsidRPr="00970019">
        <w:rPr>
          <w:i/>
        </w:rPr>
        <w:t>2014</w:t>
      </w:r>
      <w:r w:rsidR="00146871">
        <w:rPr>
          <w:i/>
        </w:rPr>
        <w:t>–</w:t>
      </w:r>
      <w:r w:rsidR="00146871" w:rsidRPr="00970019">
        <w:rPr>
          <w:i/>
        </w:rPr>
        <w:t>44</w:t>
      </w:r>
      <w:r w:rsidR="00970019" w:rsidRPr="00970019">
        <w:rPr>
          <w:i/>
        </w:rPr>
        <w:t xml:space="preserve"> – Striking the </w:t>
      </w:r>
      <w:r w:rsidR="00146871">
        <w:rPr>
          <w:i/>
        </w:rPr>
        <w:t>b</w:t>
      </w:r>
      <w:r w:rsidR="00970019" w:rsidRPr="00970019">
        <w:rPr>
          <w:i/>
        </w:rPr>
        <w:t>alance</w:t>
      </w:r>
      <w:r>
        <w:t>;</w:t>
      </w:r>
    </w:p>
    <w:p w14:paraId="0FAADA41" w14:textId="77777777" w:rsidR="00B77288" w:rsidRDefault="00B77288" w:rsidP="0088119F">
      <w:pPr>
        <w:pStyle w:val="Bullet"/>
      </w:pPr>
      <w:r>
        <w:t xml:space="preserve">national and intergovernmental water policies and commitments; </w:t>
      </w:r>
    </w:p>
    <w:p w14:paraId="2883B5BF" w14:textId="77777777" w:rsidR="00B77288" w:rsidRDefault="00B77288" w:rsidP="00724AAF">
      <w:pPr>
        <w:pStyle w:val="Bullet"/>
      </w:pPr>
      <w:r w:rsidRPr="005A09F6">
        <w:t>continuing to us</w:t>
      </w:r>
      <w:r>
        <w:t>e the current regulatory model and implement improvements to particular aspects of the methodology;</w:t>
      </w:r>
    </w:p>
    <w:p w14:paraId="5FE03AD3" w14:textId="77777777" w:rsidR="00B77288" w:rsidRDefault="00B77288" w:rsidP="00B77288">
      <w:pPr>
        <w:pStyle w:val="Bullet"/>
        <w:rPr>
          <w:lang w:val="en-US" w:eastAsia="en-AU"/>
        </w:rPr>
      </w:pPr>
      <w:r>
        <w:rPr>
          <w:lang w:val="en-US" w:eastAsia="en-AU"/>
        </w:rPr>
        <w:t xml:space="preserve">appropriate mechanisms to ensure the recovery of the prudent and efficient costs of Icon Water during the regulatory period, while </w:t>
      </w:r>
      <w:proofErr w:type="spellStart"/>
      <w:r>
        <w:rPr>
          <w:lang w:val="en-US" w:eastAsia="en-AU"/>
        </w:rPr>
        <w:t>minimising</w:t>
      </w:r>
      <w:proofErr w:type="spellEnd"/>
      <w:r>
        <w:rPr>
          <w:lang w:val="en-US" w:eastAsia="en-AU"/>
        </w:rPr>
        <w:t xml:space="preserve"> the potential for significant price fluctuations;</w:t>
      </w:r>
      <w:r w:rsidR="00ED3916">
        <w:rPr>
          <w:lang w:val="en-US" w:eastAsia="en-AU"/>
        </w:rPr>
        <w:t xml:space="preserve"> and</w:t>
      </w:r>
    </w:p>
    <w:p w14:paraId="383D93B5" w14:textId="77777777" w:rsidR="00B77288" w:rsidRDefault="00B77288" w:rsidP="0088119F">
      <w:pPr>
        <w:pStyle w:val="BulletLast"/>
        <w:rPr>
          <w:lang w:val="en-US" w:eastAsia="en-AU"/>
        </w:rPr>
      </w:pPr>
      <w:r>
        <w:rPr>
          <w:lang w:val="en-US" w:eastAsia="en-AU"/>
        </w:rPr>
        <w:lastRenderedPageBreak/>
        <w:t>whether there is potential for implement</w:t>
      </w:r>
      <w:r w:rsidR="008C7054">
        <w:rPr>
          <w:lang w:val="en-US" w:eastAsia="en-AU"/>
        </w:rPr>
        <w:t>ing</w:t>
      </w:r>
      <w:r>
        <w:rPr>
          <w:lang w:val="en-US" w:eastAsia="en-AU"/>
        </w:rPr>
        <w:t xml:space="preserve"> incentive schemes for service levels, operating expenditure or capital expenditure for I</w:t>
      </w:r>
      <w:r w:rsidR="00ED3916">
        <w:rPr>
          <w:lang w:val="en-US" w:eastAsia="en-AU"/>
        </w:rPr>
        <w:t>con Water in the future.</w:t>
      </w:r>
    </w:p>
    <w:p w14:paraId="2D58658A" w14:textId="77777777" w:rsidR="00B77288" w:rsidRDefault="00B77288" w:rsidP="0088119F">
      <w:pPr>
        <w:rPr>
          <w:lang w:val="en-US" w:eastAsia="en-AU"/>
        </w:rPr>
      </w:pPr>
      <w:r>
        <w:rPr>
          <w:lang w:val="en-US" w:eastAsia="en-AU"/>
        </w:rPr>
        <w:t xml:space="preserve">As part of its investigation, the Commission </w:t>
      </w:r>
      <w:r w:rsidR="00356FB5">
        <w:rPr>
          <w:lang w:val="en-US" w:eastAsia="en-AU"/>
        </w:rPr>
        <w:t xml:space="preserve">is also required to </w:t>
      </w:r>
      <w:r>
        <w:rPr>
          <w:lang w:val="en-US" w:eastAsia="en-AU"/>
        </w:rPr>
        <w:t xml:space="preserve">outline its intended approach to </w:t>
      </w:r>
      <w:r w:rsidR="00254CE2">
        <w:rPr>
          <w:lang w:val="en-US" w:eastAsia="en-AU"/>
        </w:rPr>
        <w:t>meeting</w:t>
      </w:r>
      <w:r w:rsidR="00EA6318">
        <w:rPr>
          <w:lang w:val="en-US" w:eastAsia="en-AU"/>
        </w:rPr>
        <w:t xml:space="preserve"> </w:t>
      </w:r>
      <w:r>
        <w:rPr>
          <w:lang w:val="en-US" w:eastAsia="en-AU"/>
        </w:rPr>
        <w:t>its various regulatory objectives within its decision</w:t>
      </w:r>
      <w:r w:rsidR="005A09F6">
        <w:rPr>
          <w:lang w:val="en-US" w:eastAsia="en-AU"/>
        </w:rPr>
        <w:t>-</w:t>
      </w:r>
      <w:r>
        <w:rPr>
          <w:lang w:val="en-US" w:eastAsia="en-AU"/>
        </w:rPr>
        <w:t>making process.</w:t>
      </w:r>
    </w:p>
    <w:p w14:paraId="333C305B" w14:textId="77777777" w:rsidR="00B77288" w:rsidRDefault="00356FB5" w:rsidP="0088119F">
      <w:pPr>
        <w:rPr>
          <w:lang w:val="en-US" w:eastAsia="en-AU"/>
        </w:rPr>
      </w:pPr>
      <w:r>
        <w:rPr>
          <w:lang w:val="en-US" w:eastAsia="en-AU"/>
        </w:rPr>
        <w:t xml:space="preserve">It is also required to identify the </w:t>
      </w:r>
      <w:r w:rsidR="00B77288">
        <w:rPr>
          <w:lang w:val="en-US" w:eastAsia="en-AU"/>
        </w:rPr>
        <w:t>incremental impact on prices associated with</w:t>
      </w:r>
      <w:r>
        <w:rPr>
          <w:lang w:val="en-US" w:eastAsia="en-AU"/>
        </w:rPr>
        <w:t xml:space="preserve"> any changes to the total allowed revenue for Icon Water; any changes to </w:t>
      </w:r>
      <w:r w:rsidR="00B77288" w:rsidRPr="00356FB5">
        <w:rPr>
          <w:lang w:val="en-US" w:eastAsia="en-AU"/>
        </w:rPr>
        <w:t>the water demand forecasts used in the regulatory model; and</w:t>
      </w:r>
      <w:r>
        <w:rPr>
          <w:lang w:val="en-US" w:eastAsia="en-AU"/>
        </w:rPr>
        <w:t xml:space="preserve"> the implementation of any </w:t>
      </w:r>
      <w:r w:rsidR="00D8634A">
        <w:rPr>
          <w:lang w:val="en-US" w:eastAsia="en-AU"/>
        </w:rPr>
        <w:t>amendments</w:t>
      </w:r>
      <w:r>
        <w:rPr>
          <w:lang w:val="en-US" w:eastAsia="en-AU"/>
        </w:rPr>
        <w:t xml:space="preserve"> to the tariff structure arising from the Commission’s review of Icon Water’s regulated water and sewerage services tariff</w:t>
      </w:r>
      <w:r w:rsidR="00ED3916">
        <w:rPr>
          <w:lang w:val="en-US" w:eastAsia="en-AU"/>
        </w:rPr>
        <w:t xml:space="preserve"> </w:t>
      </w:r>
      <w:r>
        <w:rPr>
          <w:lang w:val="en-US" w:eastAsia="en-AU"/>
        </w:rPr>
        <w:t>s</w:t>
      </w:r>
      <w:r w:rsidR="00ED3916">
        <w:rPr>
          <w:lang w:val="en-US" w:eastAsia="en-AU"/>
        </w:rPr>
        <w:t>tructures</w:t>
      </w:r>
      <w:r>
        <w:rPr>
          <w:lang w:val="en-US" w:eastAsia="en-AU"/>
        </w:rPr>
        <w:t xml:space="preserve">. </w:t>
      </w:r>
    </w:p>
    <w:p w14:paraId="2717E901" w14:textId="77777777" w:rsidR="00356FB5" w:rsidRPr="00356FB5" w:rsidRDefault="00356FB5" w:rsidP="0088119F">
      <w:pPr>
        <w:rPr>
          <w:lang w:val="en-US" w:eastAsia="en-AU"/>
        </w:rPr>
      </w:pPr>
      <w:r>
        <w:rPr>
          <w:lang w:val="en-US" w:eastAsia="en-AU"/>
        </w:rPr>
        <w:t xml:space="preserve">The Commission is required to make a draft report available for public inspection within the period 1 September 2017 to 12 December 2017 and submit its final report within the period 1 March 2018 to 1 May 2018. </w:t>
      </w:r>
    </w:p>
    <w:p w14:paraId="5B528BF3" w14:textId="77777777" w:rsidR="00C119C6" w:rsidRDefault="00C119C6" w:rsidP="00C119C6">
      <w:r>
        <w:t xml:space="preserve">The </w:t>
      </w:r>
      <w:r w:rsidR="00BD11D8">
        <w:t xml:space="preserve">terms of reference prescribe a </w:t>
      </w:r>
      <w:r w:rsidR="00356FB5">
        <w:t>five</w:t>
      </w:r>
      <w:r w:rsidR="001E7C14">
        <w:t>-</w:t>
      </w:r>
      <w:r w:rsidR="00BD11D8">
        <w:t xml:space="preserve">year regulatory period from </w:t>
      </w:r>
      <w:r>
        <w:t>1</w:t>
      </w:r>
      <w:r w:rsidR="001855F5">
        <w:t> July 201</w:t>
      </w:r>
      <w:r w:rsidR="00356FB5">
        <w:t>8</w:t>
      </w:r>
      <w:r w:rsidR="001855F5">
        <w:t xml:space="preserve"> to 30 June </w:t>
      </w:r>
      <w:r>
        <w:t>20</w:t>
      </w:r>
      <w:r w:rsidR="00602B12">
        <w:t>23</w:t>
      </w:r>
      <w:r>
        <w:t>.</w:t>
      </w:r>
    </w:p>
    <w:p w14:paraId="08CFD926" w14:textId="77777777" w:rsidR="00515D4F" w:rsidRDefault="00515D4F" w:rsidP="006C7D4B">
      <w:pPr>
        <w:pStyle w:val="Heading2"/>
      </w:pPr>
      <w:bookmarkStart w:id="39" w:name="_Toc478557244"/>
      <w:bookmarkEnd w:id="30"/>
      <w:bookmarkEnd w:id="31"/>
      <w:r>
        <w:t>Investigation timeline</w:t>
      </w:r>
      <w:bookmarkEnd w:id="39"/>
    </w:p>
    <w:p w14:paraId="28CA418D" w14:textId="7A4AB721" w:rsidR="00724AAF" w:rsidRDefault="00724AAF" w:rsidP="00724AAF">
      <w:pPr>
        <w:spacing w:line="360" w:lineRule="auto"/>
        <w:rPr>
          <w:webHidden/>
        </w:rPr>
      </w:pPr>
      <w:r>
        <w:rPr>
          <w:webHidden/>
        </w:rPr>
        <w:t xml:space="preserve">The Commission proposes to adopt the timeline set out in </w:t>
      </w:r>
      <w:r w:rsidR="00F62621">
        <w:rPr>
          <w:webHidden/>
        </w:rPr>
        <w:fldChar w:fldCharType="begin"/>
      </w:r>
      <w:r w:rsidR="00C10AB5">
        <w:rPr>
          <w:webHidden/>
        </w:rPr>
        <w:instrText xml:space="preserve"> REF _Ref459274452 \h </w:instrText>
      </w:r>
      <w:r w:rsidR="00F62621">
        <w:rPr>
          <w:webHidden/>
        </w:rPr>
      </w:r>
      <w:r w:rsidR="00F62621">
        <w:rPr>
          <w:webHidden/>
        </w:rPr>
        <w:fldChar w:fldCharType="separate"/>
      </w:r>
      <w:r w:rsidR="00A003A1" w:rsidRPr="00E4260E">
        <w:t xml:space="preserve">Table </w:t>
      </w:r>
      <w:r w:rsidR="00A003A1">
        <w:rPr>
          <w:noProof/>
        </w:rPr>
        <w:t>1</w:t>
      </w:r>
      <w:r w:rsidR="00A003A1" w:rsidRPr="00E4260E">
        <w:t>.</w:t>
      </w:r>
      <w:r w:rsidR="00A003A1">
        <w:rPr>
          <w:noProof/>
        </w:rPr>
        <w:t>1</w:t>
      </w:r>
      <w:r w:rsidR="00F62621">
        <w:rPr>
          <w:webHidden/>
        </w:rPr>
        <w:fldChar w:fldCharType="end"/>
      </w:r>
      <w:r w:rsidR="00730D6D">
        <w:rPr>
          <w:webHidden/>
        </w:rPr>
        <w:t>.</w:t>
      </w:r>
    </w:p>
    <w:p w14:paraId="72418148" w14:textId="77777777" w:rsidR="00724AAF" w:rsidRPr="00E4260E" w:rsidRDefault="00724AAF" w:rsidP="007C5BF9">
      <w:pPr>
        <w:pStyle w:val="FigureName"/>
      </w:pPr>
      <w:bookmarkStart w:id="40" w:name="_Ref459274452"/>
      <w:bookmarkStart w:id="41" w:name="_Toc345503505"/>
      <w:bookmarkStart w:id="42" w:name="_Toc478387742"/>
      <w:r w:rsidRPr="00E4260E">
        <w:t xml:space="preserve">Table </w:t>
      </w:r>
      <w:r w:rsidR="00F62621">
        <w:fldChar w:fldCharType="begin"/>
      </w:r>
      <w:r w:rsidR="00216F07">
        <w:instrText xml:space="preserve"> STYLEREF 1 \s </w:instrText>
      </w:r>
      <w:r w:rsidR="00F62621">
        <w:fldChar w:fldCharType="separate"/>
      </w:r>
      <w:r w:rsidR="00A003A1">
        <w:rPr>
          <w:noProof/>
        </w:rPr>
        <w:t>1</w:t>
      </w:r>
      <w:r w:rsidR="00F62621">
        <w:rPr>
          <w:noProof/>
        </w:rPr>
        <w:fldChar w:fldCharType="end"/>
      </w:r>
      <w:r w:rsidRPr="00E4260E">
        <w:t>.</w:t>
      </w:r>
      <w:r w:rsidR="00F62621">
        <w:fldChar w:fldCharType="begin"/>
      </w:r>
      <w:r w:rsidR="009C2743">
        <w:instrText xml:space="preserve"> SEQ Table \* ARABIC \s 1 </w:instrText>
      </w:r>
      <w:r w:rsidR="00F62621">
        <w:fldChar w:fldCharType="separate"/>
      </w:r>
      <w:r w:rsidR="00A003A1">
        <w:rPr>
          <w:noProof/>
        </w:rPr>
        <w:t>1</w:t>
      </w:r>
      <w:r w:rsidR="00F62621">
        <w:fldChar w:fldCharType="end"/>
      </w:r>
      <w:bookmarkEnd w:id="40"/>
      <w:r w:rsidRPr="00E4260E">
        <w:tab/>
      </w:r>
      <w:r w:rsidR="007C5BF9">
        <w:t xml:space="preserve">Indicative timeline for the </w:t>
      </w:r>
      <w:r w:rsidR="002F7B4D">
        <w:t xml:space="preserve">water and sewerage services </w:t>
      </w:r>
      <w:r w:rsidR="007C5BF9">
        <w:t>price investigation</w:t>
      </w:r>
      <w:bookmarkEnd w:id="41"/>
      <w:bookmarkEnd w:id="42"/>
    </w:p>
    <w:tbl>
      <w:tblPr>
        <w:tblW w:w="3743"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3579"/>
        <w:gridCol w:w="2193"/>
      </w:tblGrid>
      <w:tr w:rsidR="00724AAF" w:rsidRPr="00144F8C" w14:paraId="7AD83602" w14:textId="77777777" w:rsidTr="00D50B7C">
        <w:trPr>
          <w:cantSplit/>
        </w:trPr>
        <w:tc>
          <w:tcPr>
            <w:tcW w:w="3100" w:type="pct"/>
            <w:tcBorders>
              <w:top w:val="single" w:sz="12" w:space="0" w:color="1F497D"/>
              <w:left w:val="nil"/>
              <w:bottom w:val="single" w:sz="8" w:space="0" w:color="1F497D"/>
              <w:right w:val="nil"/>
            </w:tcBorders>
            <w:shd w:val="clear" w:color="auto" w:fill="DBE5F1"/>
            <w:vAlign w:val="bottom"/>
          </w:tcPr>
          <w:p w14:paraId="560996CC" w14:textId="77777777" w:rsidR="00724AAF" w:rsidRPr="00347ADB" w:rsidRDefault="00724AAF" w:rsidP="005C03C6">
            <w:pPr>
              <w:pStyle w:val="TableHeadingLeft"/>
            </w:pPr>
            <w:r w:rsidRPr="00901DA4">
              <w:t>Task</w:t>
            </w:r>
          </w:p>
        </w:tc>
        <w:tc>
          <w:tcPr>
            <w:tcW w:w="1900" w:type="pct"/>
            <w:tcBorders>
              <w:top w:val="single" w:sz="12" w:space="0" w:color="1F497D"/>
              <w:left w:val="nil"/>
              <w:bottom w:val="single" w:sz="8" w:space="0" w:color="1F497D"/>
              <w:right w:val="nil"/>
            </w:tcBorders>
            <w:shd w:val="clear" w:color="auto" w:fill="DBE5F1"/>
            <w:vAlign w:val="bottom"/>
          </w:tcPr>
          <w:p w14:paraId="48EB02D3" w14:textId="77777777" w:rsidR="00724AAF" w:rsidRPr="00347ADB" w:rsidRDefault="00724AAF" w:rsidP="005C03C6">
            <w:pPr>
              <w:pStyle w:val="TableHeadingLeft"/>
            </w:pPr>
            <w:r w:rsidRPr="00901DA4">
              <w:t>Date</w:t>
            </w:r>
          </w:p>
        </w:tc>
      </w:tr>
      <w:tr w:rsidR="00724AAF" w:rsidRPr="00144F8C" w14:paraId="44B84176" w14:textId="77777777" w:rsidTr="0088119F">
        <w:trPr>
          <w:cantSplit/>
          <w:trHeight w:val="291"/>
        </w:trPr>
        <w:tc>
          <w:tcPr>
            <w:tcW w:w="3100" w:type="pct"/>
            <w:tcBorders>
              <w:top w:val="nil"/>
              <w:left w:val="nil"/>
              <w:bottom w:val="nil"/>
              <w:right w:val="nil"/>
            </w:tcBorders>
            <w:vAlign w:val="bottom"/>
          </w:tcPr>
          <w:p w14:paraId="539CF75E" w14:textId="77777777" w:rsidR="00724AAF" w:rsidRPr="007C5BF9" w:rsidRDefault="00724AAF" w:rsidP="005C03C6">
            <w:pPr>
              <w:pStyle w:val="TableTextLeft"/>
              <w:rPr>
                <w:rStyle w:val="Bold"/>
              </w:rPr>
            </w:pPr>
            <w:r w:rsidRPr="007C5BF9">
              <w:rPr>
                <w:rStyle w:val="Bold"/>
              </w:rPr>
              <w:t>Terms of reference signed</w:t>
            </w:r>
          </w:p>
        </w:tc>
        <w:tc>
          <w:tcPr>
            <w:tcW w:w="1900" w:type="pct"/>
            <w:tcBorders>
              <w:top w:val="nil"/>
              <w:left w:val="nil"/>
              <w:bottom w:val="nil"/>
              <w:right w:val="nil"/>
            </w:tcBorders>
            <w:vAlign w:val="bottom"/>
          </w:tcPr>
          <w:p w14:paraId="47CAA8BD" w14:textId="77777777" w:rsidR="00724AAF" w:rsidRPr="007C5BF9" w:rsidRDefault="0026053F" w:rsidP="0026053F">
            <w:pPr>
              <w:pStyle w:val="TableTextLeft"/>
              <w:rPr>
                <w:rStyle w:val="Bold"/>
              </w:rPr>
            </w:pPr>
            <w:r>
              <w:rPr>
                <w:rStyle w:val="Bold"/>
              </w:rPr>
              <w:t xml:space="preserve">13 December </w:t>
            </w:r>
            <w:r w:rsidR="00724AAF" w:rsidRPr="007C5BF9">
              <w:rPr>
                <w:rStyle w:val="Bold"/>
              </w:rPr>
              <w:t>2016</w:t>
            </w:r>
          </w:p>
        </w:tc>
      </w:tr>
      <w:tr w:rsidR="00724AAF" w:rsidRPr="00144F8C" w14:paraId="16DC7555" w14:textId="77777777" w:rsidTr="0088119F">
        <w:trPr>
          <w:cantSplit/>
          <w:trHeight w:val="291"/>
        </w:trPr>
        <w:tc>
          <w:tcPr>
            <w:tcW w:w="3100" w:type="pct"/>
            <w:tcBorders>
              <w:top w:val="nil"/>
              <w:left w:val="nil"/>
              <w:bottom w:val="nil"/>
              <w:right w:val="nil"/>
            </w:tcBorders>
            <w:vAlign w:val="bottom"/>
          </w:tcPr>
          <w:p w14:paraId="6BB42DCC" w14:textId="77777777" w:rsidR="00724AAF" w:rsidRPr="004926E2" w:rsidRDefault="00724AAF" w:rsidP="005C03C6">
            <w:pPr>
              <w:pStyle w:val="TableTextLeft"/>
              <w:rPr>
                <w:b/>
              </w:rPr>
            </w:pPr>
            <w:r w:rsidRPr="004926E2">
              <w:rPr>
                <w:b/>
              </w:rPr>
              <w:t>Release of issues paper</w:t>
            </w:r>
          </w:p>
        </w:tc>
        <w:tc>
          <w:tcPr>
            <w:tcW w:w="1900" w:type="pct"/>
            <w:tcBorders>
              <w:top w:val="nil"/>
              <w:left w:val="nil"/>
              <w:bottom w:val="nil"/>
              <w:right w:val="nil"/>
            </w:tcBorders>
            <w:vAlign w:val="bottom"/>
          </w:tcPr>
          <w:p w14:paraId="7A4DD475" w14:textId="77777777" w:rsidR="00724AAF" w:rsidRPr="004926E2" w:rsidRDefault="00DC51FC" w:rsidP="00271BD7">
            <w:pPr>
              <w:pStyle w:val="TableTextLeft"/>
              <w:rPr>
                <w:b/>
              </w:rPr>
            </w:pPr>
            <w:r w:rsidRPr="00DC51FC">
              <w:rPr>
                <w:b/>
              </w:rPr>
              <w:t>31</w:t>
            </w:r>
            <w:r w:rsidR="00724AAF" w:rsidRPr="004926E2">
              <w:rPr>
                <w:b/>
              </w:rPr>
              <w:t xml:space="preserve"> </w:t>
            </w:r>
            <w:r w:rsidR="00271BD7">
              <w:rPr>
                <w:b/>
              </w:rPr>
              <w:t>March</w:t>
            </w:r>
            <w:r w:rsidR="0026053F">
              <w:rPr>
                <w:b/>
              </w:rPr>
              <w:t xml:space="preserve"> </w:t>
            </w:r>
            <w:r w:rsidR="00724AAF" w:rsidRPr="004926E2">
              <w:rPr>
                <w:b/>
              </w:rPr>
              <w:t>201</w:t>
            </w:r>
            <w:r w:rsidR="0026053F">
              <w:rPr>
                <w:b/>
              </w:rPr>
              <w:t>7</w:t>
            </w:r>
          </w:p>
        </w:tc>
      </w:tr>
      <w:tr w:rsidR="00724AAF" w:rsidRPr="00144F8C" w14:paraId="74DD0DC3" w14:textId="77777777" w:rsidTr="0088119F">
        <w:trPr>
          <w:cantSplit/>
          <w:trHeight w:val="291"/>
        </w:trPr>
        <w:tc>
          <w:tcPr>
            <w:tcW w:w="3100" w:type="pct"/>
            <w:tcBorders>
              <w:top w:val="nil"/>
              <w:left w:val="nil"/>
              <w:bottom w:val="nil"/>
              <w:right w:val="nil"/>
            </w:tcBorders>
            <w:vAlign w:val="bottom"/>
          </w:tcPr>
          <w:p w14:paraId="228DF5DA" w14:textId="77777777" w:rsidR="00724AAF" w:rsidRPr="00347ADB" w:rsidRDefault="00724AAF" w:rsidP="005C03C6">
            <w:pPr>
              <w:pStyle w:val="TableTextLeft"/>
            </w:pPr>
            <w:r>
              <w:t>Submissions on issues paper close</w:t>
            </w:r>
          </w:p>
        </w:tc>
        <w:tc>
          <w:tcPr>
            <w:tcW w:w="1900" w:type="pct"/>
            <w:tcBorders>
              <w:top w:val="nil"/>
              <w:left w:val="nil"/>
              <w:bottom w:val="nil"/>
              <w:right w:val="nil"/>
            </w:tcBorders>
            <w:vAlign w:val="bottom"/>
          </w:tcPr>
          <w:p w14:paraId="3B1D79F9" w14:textId="77777777" w:rsidR="00724AAF" w:rsidRPr="000840A0" w:rsidRDefault="00F233D1" w:rsidP="00ED3916">
            <w:pPr>
              <w:pStyle w:val="TableTextLeft"/>
            </w:pPr>
            <w:r w:rsidRPr="000840A0">
              <w:t>28 April</w:t>
            </w:r>
            <w:r w:rsidR="0026053F" w:rsidRPr="000840A0">
              <w:t xml:space="preserve"> </w:t>
            </w:r>
            <w:r w:rsidR="00724AAF" w:rsidRPr="000840A0">
              <w:t>201</w:t>
            </w:r>
            <w:r w:rsidR="0026053F" w:rsidRPr="00AE5FBC">
              <w:t>7</w:t>
            </w:r>
          </w:p>
        </w:tc>
      </w:tr>
      <w:tr w:rsidR="00724AAF" w:rsidRPr="00144F8C" w14:paraId="36D4E8A3" w14:textId="77777777" w:rsidTr="0088119F">
        <w:trPr>
          <w:cantSplit/>
          <w:trHeight w:val="291"/>
        </w:trPr>
        <w:tc>
          <w:tcPr>
            <w:tcW w:w="3100" w:type="pct"/>
            <w:tcBorders>
              <w:top w:val="nil"/>
              <w:left w:val="nil"/>
              <w:bottom w:val="nil"/>
              <w:right w:val="nil"/>
            </w:tcBorders>
            <w:vAlign w:val="bottom"/>
          </w:tcPr>
          <w:p w14:paraId="5F65D68B" w14:textId="77777777" w:rsidR="00724AAF" w:rsidRPr="00347ADB" w:rsidRDefault="004200AF" w:rsidP="005C03C6">
            <w:pPr>
              <w:pStyle w:val="TableTextLeft"/>
            </w:pPr>
            <w:r>
              <w:t>D</w:t>
            </w:r>
            <w:r w:rsidR="00724AAF" w:rsidRPr="00A258B5">
              <w:t>raft report</w:t>
            </w:r>
            <w:r w:rsidR="00724AAF">
              <w:t xml:space="preserve"> and proposed price direction</w:t>
            </w:r>
          </w:p>
        </w:tc>
        <w:tc>
          <w:tcPr>
            <w:tcW w:w="1900" w:type="pct"/>
            <w:tcBorders>
              <w:top w:val="nil"/>
              <w:left w:val="nil"/>
              <w:bottom w:val="nil"/>
              <w:right w:val="nil"/>
            </w:tcBorders>
            <w:vAlign w:val="bottom"/>
          </w:tcPr>
          <w:p w14:paraId="60E47121" w14:textId="77777777" w:rsidR="00724AAF" w:rsidRPr="00347ADB" w:rsidRDefault="0026053F" w:rsidP="0026053F">
            <w:pPr>
              <w:pStyle w:val="TableTextLeft"/>
            </w:pPr>
            <w:r>
              <w:t>12 December</w:t>
            </w:r>
            <w:r w:rsidR="00724AAF" w:rsidRPr="00347ADB">
              <w:t xml:space="preserve"> 201</w:t>
            </w:r>
            <w:r w:rsidR="00724AAF">
              <w:t>7</w:t>
            </w:r>
          </w:p>
        </w:tc>
      </w:tr>
      <w:tr w:rsidR="00724AAF" w:rsidRPr="00144F8C" w14:paraId="105D3287" w14:textId="77777777" w:rsidTr="0088119F">
        <w:trPr>
          <w:cantSplit/>
          <w:trHeight w:val="291"/>
        </w:trPr>
        <w:tc>
          <w:tcPr>
            <w:tcW w:w="3100" w:type="pct"/>
            <w:tcBorders>
              <w:top w:val="nil"/>
              <w:left w:val="nil"/>
              <w:bottom w:val="nil"/>
              <w:right w:val="nil"/>
            </w:tcBorders>
            <w:vAlign w:val="bottom"/>
          </w:tcPr>
          <w:p w14:paraId="20ED9367" w14:textId="77777777" w:rsidR="00724AAF" w:rsidRPr="00347ADB" w:rsidRDefault="00724AAF" w:rsidP="005C03C6">
            <w:pPr>
              <w:pStyle w:val="TableTextLeft"/>
            </w:pPr>
            <w:r w:rsidRPr="00A258B5">
              <w:t>Submissions on draft report close</w:t>
            </w:r>
          </w:p>
        </w:tc>
        <w:tc>
          <w:tcPr>
            <w:tcW w:w="1900" w:type="pct"/>
            <w:tcBorders>
              <w:top w:val="nil"/>
              <w:left w:val="nil"/>
              <w:bottom w:val="nil"/>
              <w:right w:val="nil"/>
            </w:tcBorders>
            <w:vAlign w:val="bottom"/>
          </w:tcPr>
          <w:p w14:paraId="553C9642" w14:textId="77777777" w:rsidR="00724AAF" w:rsidRPr="00347ADB" w:rsidRDefault="0026053F" w:rsidP="0026053F">
            <w:pPr>
              <w:pStyle w:val="TableTextLeft"/>
              <w:rPr>
                <w:rStyle w:val="HighlightYellow"/>
                <w:highlight w:val="yellow"/>
              </w:rPr>
            </w:pPr>
            <w:r>
              <w:t xml:space="preserve">February </w:t>
            </w:r>
            <w:r w:rsidR="00724AAF" w:rsidRPr="005B50F4">
              <w:t>201</w:t>
            </w:r>
            <w:r>
              <w:t>8</w:t>
            </w:r>
          </w:p>
        </w:tc>
      </w:tr>
      <w:tr w:rsidR="00724AAF" w:rsidRPr="00144F8C" w14:paraId="7F06D589" w14:textId="77777777" w:rsidTr="0088119F">
        <w:trPr>
          <w:cantSplit/>
          <w:trHeight w:val="291"/>
        </w:trPr>
        <w:tc>
          <w:tcPr>
            <w:tcW w:w="3100" w:type="pct"/>
            <w:tcBorders>
              <w:top w:val="nil"/>
              <w:left w:val="nil"/>
              <w:bottom w:val="nil"/>
              <w:right w:val="nil"/>
            </w:tcBorders>
            <w:vAlign w:val="bottom"/>
          </w:tcPr>
          <w:p w14:paraId="626822A2" w14:textId="77777777" w:rsidR="00724AAF" w:rsidRPr="00347ADB" w:rsidRDefault="00724AAF" w:rsidP="005C03C6">
            <w:pPr>
              <w:pStyle w:val="TableTextLeft"/>
            </w:pPr>
            <w:r w:rsidRPr="00A258B5">
              <w:t>Public hearing</w:t>
            </w:r>
          </w:p>
        </w:tc>
        <w:tc>
          <w:tcPr>
            <w:tcW w:w="1900" w:type="pct"/>
            <w:tcBorders>
              <w:top w:val="nil"/>
              <w:left w:val="nil"/>
              <w:bottom w:val="nil"/>
              <w:right w:val="nil"/>
            </w:tcBorders>
            <w:vAlign w:val="bottom"/>
          </w:tcPr>
          <w:p w14:paraId="50058687" w14:textId="77777777" w:rsidR="00724AAF" w:rsidRDefault="0026053F" w:rsidP="0026053F">
            <w:pPr>
              <w:pStyle w:val="TableTextLeft"/>
              <w:rPr>
                <w:rStyle w:val="HighlightYellow"/>
                <w:highlight w:val="yellow"/>
              </w:rPr>
            </w:pPr>
            <w:r>
              <w:t xml:space="preserve">February </w:t>
            </w:r>
            <w:r w:rsidR="00724AAF">
              <w:t>201</w:t>
            </w:r>
            <w:r>
              <w:t>8</w:t>
            </w:r>
          </w:p>
        </w:tc>
      </w:tr>
      <w:tr w:rsidR="00724AAF" w:rsidRPr="00144F8C" w14:paraId="07127C61" w14:textId="77777777" w:rsidTr="0088119F">
        <w:trPr>
          <w:cantSplit/>
          <w:trHeight w:val="291"/>
        </w:trPr>
        <w:tc>
          <w:tcPr>
            <w:tcW w:w="3100" w:type="pct"/>
            <w:tcBorders>
              <w:top w:val="nil"/>
              <w:left w:val="nil"/>
              <w:bottom w:val="single" w:sz="12" w:space="0" w:color="1F497D"/>
              <w:right w:val="nil"/>
            </w:tcBorders>
            <w:vAlign w:val="bottom"/>
          </w:tcPr>
          <w:p w14:paraId="443AE992" w14:textId="77777777" w:rsidR="00724AAF" w:rsidRPr="00347ADB" w:rsidRDefault="00724AAF" w:rsidP="005C03C6">
            <w:pPr>
              <w:pStyle w:val="TableTextLeft"/>
            </w:pPr>
            <w:r>
              <w:t>Release of f</w:t>
            </w:r>
            <w:r w:rsidRPr="00347ADB">
              <w:t xml:space="preserve">inal report </w:t>
            </w:r>
            <w:r w:rsidRPr="008F4176">
              <w:t>and price direction</w:t>
            </w:r>
          </w:p>
        </w:tc>
        <w:tc>
          <w:tcPr>
            <w:tcW w:w="1900" w:type="pct"/>
            <w:tcBorders>
              <w:top w:val="nil"/>
              <w:left w:val="nil"/>
              <w:bottom w:val="single" w:sz="12" w:space="0" w:color="1F497D"/>
              <w:right w:val="nil"/>
            </w:tcBorders>
            <w:vAlign w:val="bottom"/>
          </w:tcPr>
          <w:p w14:paraId="231F692C" w14:textId="77777777" w:rsidR="00724AAF" w:rsidRPr="00347ADB" w:rsidRDefault="0026053F" w:rsidP="0026053F">
            <w:pPr>
              <w:pStyle w:val="TableTextLeft"/>
              <w:rPr>
                <w:rStyle w:val="HighlightYellow"/>
                <w:highlight w:val="yellow"/>
              </w:rPr>
            </w:pPr>
            <w:r>
              <w:t>1 May</w:t>
            </w:r>
            <w:r w:rsidR="00724AAF" w:rsidRPr="005B50F4">
              <w:t xml:space="preserve"> 201</w:t>
            </w:r>
            <w:r>
              <w:t>8</w:t>
            </w:r>
          </w:p>
        </w:tc>
      </w:tr>
    </w:tbl>
    <w:p w14:paraId="6B3A3BF9" w14:textId="77777777" w:rsidR="002D186B" w:rsidRDefault="002D186B" w:rsidP="002D186B"/>
    <w:p w14:paraId="341BBC24" w14:textId="77777777" w:rsidR="00D17F58" w:rsidRPr="00EC5743" w:rsidRDefault="006D14FB" w:rsidP="00D17F58">
      <w:r>
        <w:t xml:space="preserve">The closing date for submissions on the issues paper is </w:t>
      </w:r>
      <w:r w:rsidR="00F62621" w:rsidRPr="000840A0">
        <w:t>28 April 2017</w:t>
      </w:r>
      <w:r w:rsidR="00227F23">
        <w:t>.</w:t>
      </w:r>
      <w:r w:rsidR="00E75304">
        <w:t xml:space="preserve"> </w:t>
      </w:r>
      <w:r w:rsidR="00227F23">
        <w:t>W</w:t>
      </w:r>
      <w:r w:rsidR="00227F23" w:rsidRPr="005662AB">
        <w:t xml:space="preserve">ritten submissions received by the closing date will be considered in the development of the </w:t>
      </w:r>
      <w:r w:rsidR="00227F23">
        <w:t xml:space="preserve">draft </w:t>
      </w:r>
      <w:r w:rsidR="00227F23" w:rsidRPr="005662AB">
        <w:t>report</w:t>
      </w:r>
      <w:r w:rsidR="00227F23">
        <w:t xml:space="preserve"> and </w:t>
      </w:r>
      <w:r w:rsidR="00C45259">
        <w:t>the proposed price direction.</w:t>
      </w:r>
      <w:r w:rsidR="00E75304">
        <w:t xml:space="preserve"> </w:t>
      </w:r>
      <w:r w:rsidR="005F0710">
        <w:t xml:space="preserve">The Commission is required under </w:t>
      </w:r>
      <w:r w:rsidR="00B75A63">
        <w:t>section </w:t>
      </w:r>
      <w:r w:rsidR="005F0710">
        <w:t>17(4</w:t>
      </w:r>
      <w:proofErr w:type="gramStart"/>
      <w:r w:rsidR="005F0710">
        <w:t>)(</w:t>
      </w:r>
      <w:proofErr w:type="gramEnd"/>
      <w:r w:rsidR="005F0710">
        <w:t>b) of the ICRC Act to conduct a public hearing for all price regulation investigations.</w:t>
      </w:r>
      <w:r w:rsidR="00E75304">
        <w:t xml:space="preserve"> </w:t>
      </w:r>
      <w:r w:rsidR="005F0710">
        <w:t>The Commission intends to conduct a hearing after the release of the draft report.</w:t>
      </w:r>
    </w:p>
    <w:p w14:paraId="270D6E26" w14:textId="77777777" w:rsidR="0026053F" w:rsidRDefault="0026053F" w:rsidP="006C7D4B">
      <w:pPr>
        <w:pStyle w:val="Heading2"/>
      </w:pPr>
      <w:bookmarkStart w:id="43" w:name="_Toc478557245"/>
      <w:r>
        <w:lastRenderedPageBreak/>
        <w:t>Structure of the issues paper</w:t>
      </w:r>
      <w:bookmarkEnd w:id="43"/>
    </w:p>
    <w:p w14:paraId="49475CB4" w14:textId="77777777" w:rsidR="0026053F" w:rsidRPr="00724AAF" w:rsidRDefault="0026053F" w:rsidP="0026053F">
      <w:r w:rsidRPr="00724AAF">
        <w:t>The remainder of this paper is structured as follows:</w:t>
      </w:r>
    </w:p>
    <w:p w14:paraId="51BC485F" w14:textId="77777777" w:rsidR="0026053F" w:rsidRDefault="0026053F" w:rsidP="0026053F">
      <w:pPr>
        <w:pStyle w:val="Bullet"/>
        <w:rPr>
          <w:rFonts w:eastAsia="MS Mincho"/>
          <w:szCs w:val="22"/>
          <w:lang w:val="en-AU" w:eastAsia="en-AU"/>
        </w:rPr>
      </w:pPr>
      <w:r w:rsidRPr="00D50B7C">
        <w:rPr>
          <w:rFonts w:eastAsia="MS Mincho"/>
          <w:szCs w:val="22"/>
          <w:lang w:val="en-AU" w:eastAsia="en-AU"/>
        </w:rPr>
        <w:t xml:space="preserve">Chapter </w:t>
      </w:r>
      <w:r w:rsidR="00F62621" w:rsidRPr="00D50B7C">
        <w:rPr>
          <w:rFonts w:eastAsia="MS Mincho"/>
          <w:szCs w:val="22"/>
          <w:lang w:val="en-AU" w:eastAsia="en-AU"/>
        </w:rPr>
        <w:fldChar w:fldCharType="begin"/>
      </w:r>
      <w:r w:rsidRPr="00D50B7C">
        <w:rPr>
          <w:rFonts w:eastAsia="MS Mincho"/>
          <w:szCs w:val="22"/>
          <w:lang w:val="en-AU" w:eastAsia="en-AU"/>
        </w:rPr>
        <w:instrText xml:space="preserve"> REF _Ref459274372 \r \h </w:instrText>
      </w:r>
      <w:r w:rsidR="00F62621" w:rsidRPr="00D50B7C">
        <w:rPr>
          <w:rFonts w:eastAsia="MS Mincho"/>
          <w:szCs w:val="22"/>
          <w:lang w:val="en-AU" w:eastAsia="en-AU"/>
        </w:rPr>
      </w:r>
      <w:r w:rsidR="00F62621" w:rsidRPr="00D50B7C">
        <w:rPr>
          <w:rFonts w:eastAsia="MS Mincho"/>
          <w:szCs w:val="22"/>
          <w:lang w:val="en-AU" w:eastAsia="en-AU"/>
        </w:rPr>
        <w:fldChar w:fldCharType="separate"/>
      </w:r>
      <w:r w:rsidR="00A003A1">
        <w:rPr>
          <w:rFonts w:eastAsia="MS Mincho"/>
          <w:szCs w:val="22"/>
          <w:lang w:val="en-AU" w:eastAsia="en-AU"/>
        </w:rPr>
        <w:t>2</w:t>
      </w:r>
      <w:r w:rsidR="00F62621" w:rsidRPr="00D50B7C">
        <w:rPr>
          <w:rFonts w:eastAsia="MS Mincho"/>
          <w:szCs w:val="22"/>
          <w:lang w:val="en-AU" w:eastAsia="en-AU"/>
        </w:rPr>
        <w:fldChar w:fldCharType="end"/>
      </w:r>
      <w:r w:rsidRPr="00D50B7C">
        <w:rPr>
          <w:rFonts w:eastAsia="MS Mincho"/>
          <w:szCs w:val="22"/>
          <w:lang w:val="en-AU" w:eastAsia="en-AU"/>
        </w:rPr>
        <w:t xml:space="preserve"> discusses </w:t>
      </w:r>
      <w:r>
        <w:rPr>
          <w:rFonts w:eastAsia="MS Mincho"/>
          <w:szCs w:val="22"/>
          <w:lang w:val="en-AU" w:eastAsia="en-AU"/>
        </w:rPr>
        <w:t xml:space="preserve">regulatory </w:t>
      </w:r>
      <w:r w:rsidR="00602B12">
        <w:rPr>
          <w:rFonts w:eastAsia="MS Mincho"/>
          <w:szCs w:val="22"/>
          <w:lang w:val="en-AU" w:eastAsia="en-AU"/>
        </w:rPr>
        <w:t>objectives</w:t>
      </w:r>
      <w:r>
        <w:rPr>
          <w:rFonts w:eastAsia="MS Mincho"/>
          <w:szCs w:val="22"/>
          <w:lang w:val="en-AU" w:eastAsia="en-AU"/>
        </w:rPr>
        <w:t xml:space="preserve"> and the role of the Commission. </w:t>
      </w:r>
    </w:p>
    <w:p w14:paraId="3F313C54" w14:textId="77777777" w:rsidR="002E24F1" w:rsidRPr="00D50B7C" w:rsidRDefault="002E24F1" w:rsidP="0026053F">
      <w:pPr>
        <w:pStyle w:val="Bullet"/>
        <w:rPr>
          <w:rFonts w:eastAsia="MS Mincho"/>
          <w:szCs w:val="22"/>
          <w:lang w:val="en-AU" w:eastAsia="en-AU"/>
        </w:rPr>
      </w:pPr>
      <w:r>
        <w:rPr>
          <w:rFonts w:eastAsia="MS Mincho"/>
          <w:szCs w:val="22"/>
          <w:lang w:val="en-AU" w:eastAsia="en-AU"/>
        </w:rPr>
        <w:t>Chapter 3 discusses the current regulatory model and form of control.</w:t>
      </w:r>
    </w:p>
    <w:p w14:paraId="5EE437DB" w14:textId="77777777" w:rsidR="003B0BCB" w:rsidRDefault="00602B12" w:rsidP="0026053F">
      <w:pPr>
        <w:pStyle w:val="Bullet"/>
        <w:rPr>
          <w:szCs w:val="22"/>
          <w:lang w:val="en-AU" w:eastAsia="en-AU"/>
        </w:rPr>
      </w:pPr>
      <w:r>
        <w:rPr>
          <w:szCs w:val="22"/>
          <w:lang w:val="en-AU" w:eastAsia="en-AU"/>
        </w:rPr>
        <w:t xml:space="preserve">Chapter </w:t>
      </w:r>
      <w:r w:rsidR="00557FD5">
        <w:rPr>
          <w:szCs w:val="22"/>
          <w:lang w:val="en-AU" w:eastAsia="en-AU"/>
        </w:rPr>
        <w:t>4</w:t>
      </w:r>
      <w:r w:rsidR="0026053F">
        <w:rPr>
          <w:szCs w:val="22"/>
          <w:lang w:val="en-AU" w:eastAsia="en-AU"/>
        </w:rPr>
        <w:t xml:space="preserve"> </w:t>
      </w:r>
      <w:r w:rsidR="003B0BCB">
        <w:rPr>
          <w:szCs w:val="22"/>
          <w:lang w:val="en-AU" w:eastAsia="en-AU"/>
        </w:rPr>
        <w:t>discusses carryover issues from t</w:t>
      </w:r>
      <w:r w:rsidR="003B0BCB" w:rsidRPr="00BB6D62">
        <w:rPr>
          <w:szCs w:val="22"/>
          <w:lang w:val="en-AU" w:eastAsia="en-AU"/>
        </w:rPr>
        <w:t>he 2013</w:t>
      </w:r>
      <w:r w:rsidR="00E87601" w:rsidRPr="00BB6D62">
        <w:rPr>
          <w:szCs w:val="22"/>
          <w:lang w:val="en-AU" w:eastAsia="en-AU"/>
        </w:rPr>
        <w:t>–</w:t>
      </w:r>
      <w:r w:rsidR="00331E28" w:rsidRPr="00BB6D62">
        <w:rPr>
          <w:szCs w:val="22"/>
          <w:lang w:val="en-AU" w:eastAsia="en-AU"/>
        </w:rPr>
        <w:t>14</w:t>
      </w:r>
      <w:r w:rsidR="003B0BCB" w:rsidRPr="00BB6D62">
        <w:rPr>
          <w:szCs w:val="22"/>
          <w:lang w:val="en-AU" w:eastAsia="en-AU"/>
        </w:rPr>
        <w:t xml:space="preserve"> to </w:t>
      </w:r>
      <w:r w:rsidR="00331E28" w:rsidRPr="00BB6D62">
        <w:rPr>
          <w:szCs w:val="22"/>
          <w:lang w:val="en-AU" w:eastAsia="en-AU"/>
        </w:rPr>
        <w:t>2017</w:t>
      </w:r>
      <w:r w:rsidR="00E87601" w:rsidRPr="00BB6D62">
        <w:rPr>
          <w:szCs w:val="22"/>
          <w:lang w:val="en-AU" w:eastAsia="en-AU"/>
        </w:rPr>
        <w:t>–</w:t>
      </w:r>
      <w:r w:rsidR="003B0BCB" w:rsidRPr="00B75A63">
        <w:rPr>
          <w:szCs w:val="22"/>
          <w:lang w:val="en-AU" w:eastAsia="en-AU"/>
        </w:rPr>
        <w:t>18 p</w:t>
      </w:r>
      <w:r w:rsidR="003B0BCB">
        <w:rPr>
          <w:szCs w:val="22"/>
          <w:lang w:val="en-AU" w:eastAsia="en-AU"/>
        </w:rPr>
        <w:t>rice direction.</w:t>
      </w:r>
    </w:p>
    <w:p w14:paraId="743FC87D" w14:textId="77777777" w:rsidR="00602B12" w:rsidRDefault="00602B12" w:rsidP="00602B12">
      <w:pPr>
        <w:pStyle w:val="Bullet"/>
        <w:rPr>
          <w:szCs w:val="22"/>
          <w:lang w:val="en-AU" w:eastAsia="en-AU"/>
        </w:rPr>
      </w:pPr>
      <w:r w:rsidRPr="0008204B">
        <w:rPr>
          <w:szCs w:val="22"/>
          <w:lang w:val="en-AU" w:eastAsia="en-AU"/>
        </w:rPr>
        <w:t xml:space="preserve">Chapter </w:t>
      </w:r>
      <w:r w:rsidR="002E24F1">
        <w:rPr>
          <w:szCs w:val="22"/>
          <w:lang w:val="en-AU" w:eastAsia="en-AU"/>
        </w:rPr>
        <w:t>5</w:t>
      </w:r>
      <w:r>
        <w:rPr>
          <w:szCs w:val="22"/>
          <w:lang w:val="en-AU" w:eastAsia="en-AU"/>
        </w:rPr>
        <w:t xml:space="preserve"> </w:t>
      </w:r>
      <w:r w:rsidR="003B0BCB">
        <w:rPr>
          <w:szCs w:val="22"/>
          <w:lang w:val="en-AU" w:eastAsia="en-AU"/>
        </w:rPr>
        <w:t xml:space="preserve">discusses issues raised in </w:t>
      </w:r>
      <w:r w:rsidR="001E7C14">
        <w:rPr>
          <w:szCs w:val="22"/>
          <w:lang w:val="en-AU" w:eastAsia="en-AU"/>
        </w:rPr>
        <w:t xml:space="preserve">the </w:t>
      </w:r>
      <w:r w:rsidR="003B0BCB">
        <w:rPr>
          <w:szCs w:val="22"/>
          <w:lang w:val="en-AU" w:eastAsia="en-AU"/>
        </w:rPr>
        <w:t>terms of reference.</w:t>
      </w:r>
    </w:p>
    <w:p w14:paraId="4DFB4DE2" w14:textId="49B8508B" w:rsidR="00CC026C" w:rsidRDefault="00CC026C" w:rsidP="00602B12">
      <w:pPr>
        <w:pStyle w:val="Bullet"/>
        <w:rPr>
          <w:szCs w:val="22"/>
          <w:lang w:val="en-AU" w:eastAsia="en-AU"/>
        </w:rPr>
      </w:pPr>
      <w:r>
        <w:rPr>
          <w:szCs w:val="22"/>
          <w:lang w:val="en-AU" w:eastAsia="en-AU"/>
        </w:rPr>
        <w:t xml:space="preserve">Chapter </w:t>
      </w:r>
      <w:r w:rsidR="002E24F1">
        <w:rPr>
          <w:szCs w:val="22"/>
          <w:lang w:val="en-AU" w:eastAsia="en-AU"/>
        </w:rPr>
        <w:t>6</w:t>
      </w:r>
      <w:r w:rsidR="006074A2">
        <w:rPr>
          <w:szCs w:val="22"/>
          <w:lang w:val="en-AU" w:eastAsia="en-AU"/>
        </w:rPr>
        <w:t xml:space="preserve"> </w:t>
      </w:r>
      <w:r>
        <w:rPr>
          <w:szCs w:val="22"/>
          <w:lang w:val="en-AU" w:eastAsia="en-AU"/>
        </w:rPr>
        <w:t xml:space="preserve">presents </w:t>
      </w:r>
      <w:r w:rsidR="006074A2">
        <w:rPr>
          <w:szCs w:val="22"/>
          <w:lang w:val="en-AU" w:eastAsia="en-AU"/>
        </w:rPr>
        <w:t xml:space="preserve">a </w:t>
      </w:r>
      <w:r w:rsidR="001E7C14">
        <w:rPr>
          <w:szCs w:val="22"/>
          <w:lang w:val="en-AU" w:eastAsia="en-AU"/>
        </w:rPr>
        <w:t xml:space="preserve">consolidated </w:t>
      </w:r>
      <w:r w:rsidR="006074A2">
        <w:rPr>
          <w:szCs w:val="22"/>
          <w:lang w:val="en-AU" w:eastAsia="en-AU"/>
        </w:rPr>
        <w:t xml:space="preserve">list of </w:t>
      </w:r>
      <w:r w:rsidR="001E7C14">
        <w:rPr>
          <w:szCs w:val="22"/>
          <w:lang w:val="en-AU" w:eastAsia="en-AU"/>
        </w:rPr>
        <w:t xml:space="preserve">the </w:t>
      </w:r>
      <w:r w:rsidR="00575917">
        <w:rPr>
          <w:szCs w:val="22"/>
          <w:lang w:val="en-AU" w:eastAsia="en-AU"/>
        </w:rPr>
        <w:t>issues</w:t>
      </w:r>
      <w:r w:rsidR="00C52510">
        <w:rPr>
          <w:szCs w:val="22"/>
          <w:lang w:val="en-AU" w:eastAsia="en-AU"/>
        </w:rPr>
        <w:t xml:space="preserve"> raised</w:t>
      </w:r>
      <w:r>
        <w:rPr>
          <w:szCs w:val="22"/>
          <w:lang w:val="en-AU" w:eastAsia="en-AU"/>
        </w:rPr>
        <w:t xml:space="preserve"> in the report.</w:t>
      </w:r>
    </w:p>
    <w:p w14:paraId="3CE7B549" w14:textId="77777777" w:rsidR="0026053F" w:rsidRPr="00062E84" w:rsidRDefault="00DC51FC" w:rsidP="0026053F">
      <w:pPr>
        <w:pStyle w:val="BulletLast"/>
        <w:rPr>
          <w:lang w:val="en-AU" w:eastAsia="en-AU"/>
        </w:rPr>
      </w:pPr>
      <w:r>
        <w:fldChar w:fldCharType="begin"/>
      </w:r>
      <w:r>
        <w:instrText xml:space="preserve"> REF _Ref459711230 \r \h  \* MERGEFORMAT </w:instrText>
      </w:r>
      <w:r>
        <w:fldChar w:fldCharType="separate"/>
      </w:r>
      <w:r w:rsidR="00A003A1">
        <w:t>Appendix 1</w:t>
      </w:r>
      <w:r>
        <w:fldChar w:fldCharType="end"/>
      </w:r>
      <w:r w:rsidR="0026053F">
        <w:t xml:space="preserve"> </w:t>
      </w:r>
      <w:r w:rsidR="0026053F" w:rsidRPr="00AE2809">
        <w:t>reproduces the terms of reference</w:t>
      </w:r>
      <w:r w:rsidR="0026053F">
        <w:t>.</w:t>
      </w:r>
    </w:p>
    <w:p w14:paraId="202297B9" w14:textId="77777777" w:rsidR="00D17F58" w:rsidRPr="00D17F58" w:rsidRDefault="00D17F58" w:rsidP="00D17F58">
      <w:pPr>
        <w:rPr>
          <w:lang w:val="en-AU" w:eastAsia="en-AU"/>
        </w:rPr>
        <w:sectPr w:rsidR="00D17F58" w:rsidRPr="00D17F58" w:rsidSect="00662C7A">
          <w:headerReference w:type="even" r:id="rId29"/>
          <w:headerReference w:type="default" r:id="rId30"/>
          <w:endnotePr>
            <w:numFmt w:val="decimal"/>
          </w:endnotePr>
          <w:type w:val="continuous"/>
          <w:pgSz w:w="11907" w:h="16840" w:code="9"/>
          <w:pgMar w:top="2268" w:right="2098" w:bottom="1701" w:left="2098" w:header="578" w:footer="578" w:gutter="0"/>
          <w:cols w:space="720"/>
          <w:docGrid w:linePitch="299"/>
        </w:sectPr>
      </w:pPr>
    </w:p>
    <w:p w14:paraId="6A2364C1" w14:textId="77777777" w:rsidR="00660AA9" w:rsidRDefault="00924870" w:rsidP="008A1C91">
      <w:pPr>
        <w:pStyle w:val="Heading1"/>
      </w:pPr>
      <w:bookmarkStart w:id="44" w:name="Chap2"/>
      <w:bookmarkStart w:id="45" w:name="_Ref415046117"/>
      <w:bookmarkStart w:id="46" w:name="_Ref429472550"/>
      <w:bookmarkStart w:id="47" w:name="_Ref435008895"/>
      <w:bookmarkStart w:id="48" w:name="_Ref435008912"/>
      <w:bookmarkStart w:id="49" w:name="_Ref447870428"/>
      <w:bookmarkStart w:id="50" w:name="_Ref447870472"/>
      <w:bookmarkStart w:id="51" w:name="_Ref459274372"/>
      <w:bookmarkStart w:id="52" w:name="_Toc478557246"/>
      <w:bookmarkEnd w:id="44"/>
      <w:r>
        <w:lastRenderedPageBreak/>
        <w:t xml:space="preserve">Regulatory </w:t>
      </w:r>
      <w:r w:rsidR="00E606AB">
        <w:t xml:space="preserve">objectives </w:t>
      </w:r>
      <w:r>
        <w:t>and the role of the Commission</w:t>
      </w:r>
      <w:bookmarkEnd w:id="45"/>
      <w:bookmarkEnd w:id="46"/>
      <w:bookmarkEnd w:id="47"/>
      <w:bookmarkEnd w:id="48"/>
      <w:bookmarkEnd w:id="49"/>
      <w:bookmarkEnd w:id="50"/>
      <w:bookmarkEnd w:id="51"/>
      <w:bookmarkEnd w:id="52"/>
    </w:p>
    <w:p w14:paraId="6ADD2411" w14:textId="77777777" w:rsidR="00660AA9" w:rsidRPr="00660AA9" w:rsidRDefault="00660AA9" w:rsidP="00660AA9">
      <w:pPr>
        <w:sectPr w:rsidR="00660AA9" w:rsidRPr="00660AA9" w:rsidSect="00662C7A">
          <w:headerReference w:type="even" r:id="rId31"/>
          <w:headerReference w:type="default" r:id="rId32"/>
          <w:endnotePr>
            <w:numFmt w:val="decimal"/>
          </w:endnotePr>
          <w:type w:val="oddPage"/>
          <w:pgSz w:w="11907" w:h="16840" w:code="9"/>
          <w:pgMar w:top="2268" w:right="2098" w:bottom="1701" w:left="2098" w:header="578" w:footer="578" w:gutter="0"/>
          <w:cols w:space="720"/>
          <w:docGrid w:linePitch="299"/>
        </w:sectPr>
      </w:pPr>
    </w:p>
    <w:p w14:paraId="40BD85DB" w14:textId="77777777" w:rsidR="00970019" w:rsidRDefault="006C555F" w:rsidP="00970019">
      <w:pPr>
        <w:pStyle w:val="Heading2a"/>
      </w:pPr>
      <w:bookmarkStart w:id="53" w:name="_Toc343608054"/>
      <w:bookmarkStart w:id="54" w:name="_Toc478557247"/>
      <w:bookmarkStart w:id="55" w:name="_Ref429637090"/>
      <w:bookmarkStart w:id="56" w:name="_Ref429470714"/>
      <w:r>
        <w:t>2.1</w:t>
      </w:r>
      <w:r>
        <w:tab/>
        <w:t>Introduction</w:t>
      </w:r>
      <w:bookmarkEnd w:id="53"/>
      <w:bookmarkEnd w:id="54"/>
    </w:p>
    <w:p w14:paraId="41C4E8C4" w14:textId="77777777" w:rsidR="005607E8" w:rsidRPr="005607E8" w:rsidRDefault="006C555F" w:rsidP="005607E8">
      <w:r>
        <w:t xml:space="preserve">This </w:t>
      </w:r>
      <w:r w:rsidR="0088119F">
        <w:t>c</w:t>
      </w:r>
      <w:r>
        <w:t xml:space="preserve">hapter </w:t>
      </w:r>
      <w:r w:rsidR="005607E8">
        <w:t>discusses the regulatory objectives and public policies that are relevant for the Commission’s price investigations and decisions</w:t>
      </w:r>
      <w:r w:rsidR="00331E28">
        <w:t>,</w:t>
      </w:r>
      <w:r w:rsidR="005607E8">
        <w:t xml:space="preserve"> and the Commission’s </w:t>
      </w:r>
      <w:r w:rsidR="005607E8" w:rsidRPr="005607E8">
        <w:t>intended approach to achieving its various regulatory objecti</w:t>
      </w:r>
      <w:r w:rsidR="005607E8" w:rsidRPr="00B75A63">
        <w:t>ves within its</w:t>
      </w:r>
      <w:r w:rsidR="005607E8" w:rsidRPr="005607E8">
        <w:t xml:space="preserve"> decision</w:t>
      </w:r>
      <w:r w:rsidR="0088119F">
        <w:t>-</w:t>
      </w:r>
      <w:r w:rsidR="005607E8" w:rsidRPr="005607E8">
        <w:t>making process.</w:t>
      </w:r>
    </w:p>
    <w:p w14:paraId="3A22889C" w14:textId="77777777" w:rsidR="00970019" w:rsidRDefault="006C555F" w:rsidP="00970019">
      <w:pPr>
        <w:pStyle w:val="Heading2a"/>
      </w:pPr>
      <w:bookmarkStart w:id="57" w:name="_Toc468175203"/>
      <w:bookmarkStart w:id="58" w:name="_Toc343608055"/>
      <w:bookmarkStart w:id="59" w:name="_Toc478557248"/>
      <w:r>
        <w:t>2.2</w:t>
      </w:r>
      <w:r>
        <w:tab/>
        <w:t>Legislative context</w:t>
      </w:r>
      <w:bookmarkEnd w:id="57"/>
      <w:bookmarkEnd w:id="58"/>
      <w:bookmarkEnd w:id="59"/>
    </w:p>
    <w:p w14:paraId="59DFA79B" w14:textId="77777777" w:rsidR="006C555F" w:rsidRDefault="006C555F" w:rsidP="00B75A63">
      <w:pPr>
        <w:pStyle w:val="Bodybulletintro"/>
      </w:pPr>
      <w:r>
        <w:t xml:space="preserve">In carrying out its functions under the ICRC Act, the </w:t>
      </w:r>
      <w:r w:rsidRPr="00A50EA4">
        <w:t>Commission has the following objectives set out in section 7</w:t>
      </w:r>
      <w:r w:rsidR="005607E8">
        <w:t xml:space="preserve"> of the Act</w:t>
      </w:r>
      <w:r w:rsidRPr="00A50EA4">
        <w:t>:</w:t>
      </w:r>
    </w:p>
    <w:p w14:paraId="742DC477" w14:textId="77777777" w:rsidR="006C555F" w:rsidRPr="0051506C" w:rsidRDefault="006C555F" w:rsidP="0051506C">
      <w:pPr>
        <w:pStyle w:val="QuoteListletter"/>
      </w:pPr>
      <w:r w:rsidRPr="0051506C">
        <w:t>to promote effective competition in the interests of consumers;</w:t>
      </w:r>
    </w:p>
    <w:p w14:paraId="1AD6FD4C" w14:textId="77777777" w:rsidR="006C555F" w:rsidRPr="0051506C" w:rsidRDefault="006C555F" w:rsidP="0051506C">
      <w:pPr>
        <w:pStyle w:val="QuoteListletter"/>
      </w:pPr>
      <w:r w:rsidRPr="0051506C">
        <w:t>to facilitate an appropriate balance between efficiency and environmental and social considerations;</w:t>
      </w:r>
    </w:p>
    <w:p w14:paraId="44C00E06" w14:textId="77777777" w:rsidR="006C555F" w:rsidRPr="0051506C" w:rsidRDefault="006C555F" w:rsidP="00B75A63">
      <w:pPr>
        <w:pStyle w:val="QuoteListletter"/>
        <w:spacing w:after="220"/>
      </w:pPr>
      <w:proofErr w:type="gramStart"/>
      <w:r w:rsidRPr="0051506C">
        <w:t>to</w:t>
      </w:r>
      <w:proofErr w:type="gramEnd"/>
      <w:r w:rsidRPr="0051506C">
        <w:t xml:space="preserve"> ensure non-discriminatory access to monopoly and near-monopoly infrastructure.</w:t>
      </w:r>
    </w:p>
    <w:p w14:paraId="16E6C59D" w14:textId="77777777" w:rsidR="006C555F" w:rsidRDefault="006C555F" w:rsidP="00B75A63">
      <w:pPr>
        <w:pStyle w:val="Bodybulletintro"/>
      </w:pPr>
      <w:r>
        <w:t xml:space="preserve">In making a price direction, the Commission has the following overarching objective set out in </w:t>
      </w:r>
      <w:r w:rsidR="0051506C">
        <w:t>s</w:t>
      </w:r>
      <w:r>
        <w:t>ection 19L</w:t>
      </w:r>
      <w:r w:rsidR="005607E8">
        <w:t xml:space="preserve"> of the Act</w:t>
      </w:r>
      <w:r>
        <w:t>:</w:t>
      </w:r>
    </w:p>
    <w:p w14:paraId="2E37CBD0" w14:textId="77777777" w:rsidR="006C555F" w:rsidRPr="0051506C" w:rsidRDefault="006C555F" w:rsidP="0051506C">
      <w:pPr>
        <w:pStyle w:val="Quote"/>
      </w:pPr>
      <w:r w:rsidRPr="0051506C">
        <w:t xml:space="preserve">The objective of the commission, when making a price direction in a regulated industry, is to promote the efficient investment in, and efficient operation and use of regulated services for the long term interests of consumers in relation to the price, quality, safety, reliability and security of the service. </w:t>
      </w:r>
    </w:p>
    <w:p w14:paraId="2D92B1BF" w14:textId="77777777" w:rsidR="006C555F" w:rsidRPr="00F523C4" w:rsidRDefault="006C555F" w:rsidP="00B75A63">
      <w:pPr>
        <w:pStyle w:val="Bodybulletintro"/>
      </w:pPr>
      <w:r w:rsidRPr="007D01AF">
        <w:t xml:space="preserve">In making a price direction, the Commission is also </w:t>
      </w:r>
      <w:r>
        <w:t xml:space="preserve">required to have regard to the provisions set out in </w:t>
      </w:r>
      <w:r w:rsidRPr="00F523C4">
        <w:t>section 20</w:t>
      </w:r>
      <w:r>
        <w:t>(2)</w:t>
      </w:r>
      <w:r w:rsidRPr="00F523C4">
        <w:t>:</w:t>
      </w:r>
    </w:p>
    <w:p w14:paraId="6FB9B54A" w14:textId="77777777" w:rsidR="006C555F" w:rsidRPr="0051506C" w:rsidRDefault="006C555F" w:rsidP="0051506C">
      <w:pPr>
        <w:pStyle w:val="QuoteListletter"/>
        <w:numPr>
          <w:ilvl w:val="0"/>
          <w:numId w:val="46"/>
        </w:numPr>
        <w:ind w:left="714" w:hanging="357"/>
      </w:pPr>
      <w:r w:rsidRPr="0051506C">
        <w:t>the protection of consumers from abuses of monopoly power in terms of prices, pricing policies (including policies relating to the level or structure of prices for services) and standard of regulated services; and</w:t>
      </w:r>
    </w:p>
    <w:p w14:paraId="426CCDF8" w14:textId="77777777" w:rsidR="006C555F" w:rsidRPr="0051506C" w:rsidRDefault="006C555F" w:rsidP="0051506C">
      <w:pPr>
        <w:pStyle w:val="QuoteListletter"/>
      </w:pPr>
      <w:r w:rsidRPr="0051506C">
        <w:t>standards of quality, reliability and safety of the regulated services; and</w:t>
      </w:r>
    </w:p>
    <w:p w14:paraId="6326871F" w14:textId="77777777" w:rsidR="006C555F" w:rsidRPr="0051506C" w:rsidRDefault="006C555F" w:rsidP="0051506C">
      <w:pPr>
        <w:pStyle w:val="QuoteListletter"/>
      </w:pPr>
      <w:r w:rsidRPr="0051506C">
        <w:t>the need for greater efficiency in the provision of regulated services to reduce costs to consumers and taxpayers; and</w:t>
      </w:r>
    </w:p>
    <w:p w14:paraId="581A9CE8" w14:textId="77777777" w:rsidR="006C555F" w:rsidRPr="0051506C" w:rsidRDefault="006C555F" w:rsidP="0051506C">
      <w:pPr>
        <w:pStyle w:val="QuoteListletter"/>
      </w:pPr>
      <w:r w:rsidRPr="0051506C">
        <w:t>an appropriate rate of return on any investment in the regulated industry; and</w:t>
      </w:r>
    </w:p>
    <w:p w14:paraId="100258A9" w14:textId="77777777" w:rsidR="006C555F" w:rsidRPr="0051506C" w:rsidRDefault="006C555F" w:rsidP="0051506C">
      <w:pPr>
        <w:pStyle w:val="QuoteListletter"/>
      </w:pPr>
      <w:r w:rsidRPr="0051506C">
        <w:t>the cost of providing the regulated services; and</w:t>
      </w:r>
    </w:p>
    <w:p w14:paraId="450FFFD8" w14:textId="77777777" w:rsidR="006C555F" w:rsidRPr="0051506C" w:rsidRDefault="006C555F" w:rsidP="0051506C">
      <w:pPr>
        <w:pStyle w:val="QuoteListletter"/>
      </w:pPr>
      <w:r w:rsidRPr="0051506C">
        <w:t>the principles of ecologically sustainable development mentioned in subsection (5);</w:t>
      </w:r>
    </w:p>
    <w:p w14:paraId="11D6E101" w14:textId="77777777" w:rsidR="006C555F" w:rsidRPr="0051506C" w:rsidRDefault="006C555F" w:rsidP="0051506C">
      <w:pPr>
        <w:pStyle w:val="QuoteListletter"/>
      </w:pPr>
      <w:r w:rsidRPr="0051506C">
        <w:t>the social impacts of the decision; and</w:t>
      </w:r>
    </w:p>
    <w:p w14:paraId="7B82AD8A" w14:textId="77777777" w:rsidR="006C555F" w:rsidRPr="0051506C" w:rsidRDefault="006C555F" w:rsidP="0051506C">
      <w:pPr>
        <w:pStyle w:val="QuoteListletter"/>
      </w:pPr>
      <w:r w:rsidRPr="0051506C">
        <w:t>considerations of demand management and least cost planning; and</w:t>
      </w:r>
    </w:p>
    <w:p w14:paraId="5F488097" w14:textId="77777777" w:rsidR="006C555F" w:rsidRPr="0051506C" w:rsidRDefault="006C555F" w:rsidP="0051506C">
      <w:pPr>
        <w:pStyle w:val="QuoteListletter"/>
      </w:pPr>
      <w:r w:rsidRPr="0051506C">
        <w:t>the borrowing, capital and cash flow requirements of people providing regulated services and the need to renew or increase relevant assets in the regulated industry; and</w:t>
      </w:r>
    </w:p>
    <w:p w14:paraId="7B7A0BA0" w14:textId="77777777" w:rsidR="006C555F" w:rsidRPr="0051506C" w:rsidRDefault="006C555F" w:rsidP="0051506C">
      <w:pPr>
        <w:pStyle w:val="QuoteListletter"/>
      </w:pPr>
      <w:r w:rsidRPr="0051506C">
        <w:lastRenderedPageBreak/>
        <w:t xml:space="preserve">the effect on general price inflation over the medium term; and </w:t>
      </w:r>
    </w:p>
    <w:p w14:paraId="141CF31C" w14:textId="77777777" w:rsidR="00BC4CE4" w:rsidRPr="0051506C" w:rsidRDefault="00BC4CE4" w:rsidP="00B75A63">
      <w:pPr>
        <w:pStyle w:val="QuoteListletter"/>
        <w:spacing w:after="220"/>
      </w:pPr>
      <w:proofErr w:type="gramStart"/>
      <w:r w:rsidRPr="0051506C">
        <w:t>any</w:t>
      </w:r>
      <w:proofErr w:type="gramEnd"/>
      <w:r w:rsidRPr="0051506C">
        <w:t xml:space="preserve"> arrangements that a person providing regulated services has entered into for the exercise of its functions by some other person.</w:t>
      </w:r>
    </w:p>
    <w:p w14:paraId="35A747EC" w14:textId="77777777" w:rsidR="006C555F" w:rsidRDefault="006C555F" w:rsidP="006C555F">
      <w:r>
        <w:t>At a high level</w:t>
      </w:r>
      <w:r w:rsidR="00381AB5">
        <w:t>,</w:t>
      </w:r>
      <w:r>
        <w:t xml:space="preserve"> there are essentially three</w:t>
      </w:r>
      <w:r w:rsidR="00E214D0">
        <w:t xml:space="preserve"> considerations</w:t>
      </w:r>
      <w:r>
        <w:t>: economic efficiency, environmental considerations and social impacts.</w:t>
      </w:r>
      <w:r w:rsidR="00E75304">
        <w:t xml:space="preserve"> </w:t>
      </w:r>
      <w:r w:rsidR="005607E8">
        <w:t>The concept of</w:t>
      </w:r>
      <w:r>
        <w:t xml:space="preserve"> economic efficiency encompasses many of the other specific objectives</w:t>
      </w:r>
      <w:r w:rsidR="00745B8A">
        <w:t>,</w:t>
      </w:r>
      <w:r>
        <w:t xml:space="preserve"> including financial considerations, monopoly power and c</w:t>
      </w:r>
      <w:r w:rsidR="005607E8">
        <w:t>ertain environmental effects.</w:t>
      </w:r>
      <w:r w:rsidR="00E75304">
        <w:t xml:space="preserve"> </w:t>
      </w:r>
      <w:r>
        <w:t>There are likely to be trade-offs in balancing the various objectives and further objectives set by government policies.</w:t>
      </w:r>
      <w:r w:rsidR="00E75304">
        <w:t xml:space="preserve"> </w:t>
      </w:r>
      <w:r>
        <w:t>The Commission’s key considerations in balancin</w:t>
      </w:r>
      <w:r w:rsidR="005607E8">
        <w:t>g the objectives are discussed i</w:t>
      </w:r>
      <w:r>
        <w:t xml:space="preserve">n </w:t>
      </w:r>
      <w:r w:rsidR="00745B8A">
        <w:t>s</w:t>
      </w:r>
      <w:r w:rsidR="005607E8">
        <w:t>ection</w:t>
      </w:r>
      <w:r w:rsidR="000F1AF1">
        <w:t> </w:t>
      </w:r>
      <w:r w:rsidR="005607E8">
        <w:t>2.4.</w:t>
      </w:r>
      <w:r>
        <w:t xml:space="preserve"> </w:t>
      </w:r>
    </w:p>
    <w:p w14:paraId="6D7EFEE6" w14:textId="77777777" w:rsidR="00970019" w:rsidRDefault="006C555F" w:rsidP="00970019">
      <w:pPr>
        <w:pStyle w:val="Heading2a"/>
      </w:pPr>
      <w:bookmarkStart w:id="60" w:name="_Toc420064864"/>
      <w:bookmarkStart w:id="61" w:name="_Toc468175204"/>
      <w:bookmarkStart w:id="62" w:name="_Toc343608056"/>
      <w:bookmarkStart w:id="63" w:name="_Toc478557249"/>
      <w:r>
        <w:t>2.3</w:t>
      </w:r>
      <w:r>
        <w:tab/>
        <w:t>Government policy context</w:t>
      </w:r>
      <w:bookmarkEnd w:id="60"/>
      <w:bookmarkEnd w:id="61"/>
      <w:bookmarkEnd w:id="62"/>
      <w:bookmarkEnd w:id="63"/>
      <w:r>
        <w:t xml:space="preserve"> </w:t>
      </w:r>
    </w:p>
    <w:p w14:paraId="3C05B969" w14:textId="77777777" w:rsidR="003301EB" w:rsidRDefault="006C555F" w:rsidP="006C555F">
      <w:r>
        <w:t>There are a number of government policies and national agreements</w:t>
      </w:r>
      <w:r w:rsidR="003301EB">
        <w:t xml:space="preserve"> that are relevant in determining appropriate regulatory arrangements and prices for regulated water and sewerage services.</w:t>
      </w:r>
    </w:p>
    <w:p w14:paraId="42A6D4B9" w14:textId="77777777" w:rsidR="00970019" w:rsidRDefault="006C555F" w:rsidP="00970019">
      <w:pPr>
        <w:pStyle w:val="Heading3a"/>
      </w:pPr>
      <w:r>
        <w:t>2.3.1</w:t>
      </w:r>
      <w:r>
        <w:tab/>
        <w:t>The ACT Water Strategy 2014</w:t>
      </w:r>
      <w:r>
        <w:sym w:font="Symbol" w:char="F02D"/>
      </w:r>
      <w:r>
        <w:t>44</w:t>
      </w:r>
    </w:p>
    <w:p w14:paraId="153BA669" w14:textId="77777777" w:rsidR="006C555F" w:rsidRDefault="006C555F" w:rsidP="006C555F">
      <w:r>
        <w:t xml:space="preserve">The </w:t>
      </w:r>
      <w:r w:rsidRPr="00A74EE0">
        <w:rPr>
          <w:rStyle w:val="Italic"/>
        </w:rPr>
        <w:t>ACT Water Strategy 2014</w:t>
      </w:r>
      <w:r w:rsidRPr="00A74EE0">
        <w:rPr>
          <w:rStyle w:val="Italic"/>
        </w:rPr>
        <w:sym w:font="Symbol" w:char="F02D"/>
      </w:r>
      <w:r w:rsidRPr="00A74EE0">
        <w:rPr>
          <w:rStyle w:val="Italic"/>
        </w:rPr>
        <w:t xml:space="preserve">44: Striking the </w:t>
      </w:r>
      <w:r w:rsidR="00395443">
        <w:rPr>
          <w:rStyle w:val="Italic"/>
        </w:rPr>
        <w:t>b</w:t>
      </w:r>
      <w:r w:rsidRPr="00A74EE0">
        <w:rPr>
          <w:rStyle w:val="Italic"/>
        </w:rPr>
        <w:t>alance</w:t>
      </w:r>
      <w:r>
        <w:t xml:space="preserve"> sets out the ACT Government’s overarching </w:t>
      </w:r>
      <w:r w:rsidRPr="00A436F5">
        <w:t>long</w:t>
      </w:r>
      <w:r>
        <w:t>-</w:t>
      </w:r>
      <w:r w:rsidRPr="00A436F5">
        <w:t xml:space="preserve">term water resources </w:t>
      </w:r>
      <w:r>
        <w:t>management policy. The strategy is intended to achieve three outcomes</w:t>
      </w:r>
      <w:r w:rsidR="00395443">
        <w:t>,</w:t>
      </w:r>
      <w:r>
        <w:t xml:space="preserve"> the second of which </w:t>
      </w:r>
      <w:r>
        <w:sym w:font="Symbol" w:char="F02D"/>
      </w:r>
      <w:r>
        <w:t xml:space="preserve"> a sustainable water supply used efficiently </w:t>
      </w:r>
      <w:r>
        <w:sym w:font="Symbol" w:char="F02D"/>
      </w:r>
      <w:r>
        <w:t xml:space="preserve"> is of primary interest for the </w:t>
      </w:r>
      <w:r w:rsidR="003301EB">
        <w:t>price investigation.</w:t>
      </w:r>
      <w:r w:rsidR="00E75304">
        <w:t xml:space="preserve"> </w:t>
      </w:r>
      <w:r>
        <w:t xml:space="preserve">Strategy 5, directed to this outcome, is to manage and promote the </w:t>
      </w:r>
      <w:r w:rsidRPr="003301EB">
        <w:t>sustainable use of water.</w:t>
      </w:r>
      <w:r w:rsidR="00E75304">
        <w:t xml:space="preserve"> </w:t>
      </w:r>
      <w:r w:rsidRPr="003301EB">
        <w:t>Action 15 un</w:t>
      </w:r>
      <w:r>
        <w:t>der this strategy is to encourage water users to conserve and use water wisely.</w:t>
      </w:r>
      <w:r w:rsidR="00E75304">
        <w:t xml:space="preserve"> </w:t>
      </w:r>
      <w:r>
        <w:t xml:space="preserve">The </w:t>
      </w:r>
      <w:r w:rsidR="00F62621" w:rsidRPr="00F62621">
        <w:t xml:space="preserve">ACT </w:t>
      </w:r>
      <w:r w:rsidR="00395443">
        <w:t>w</w:t>
      </w:r>
      <w:r w:rsidR="00F62621" w:rsidRPr="00F62621">
        <w:t xml:space="preserve">ater </w:t>
      </w:r>
      <w:r w:rsidR="00395443">
        <w:t>s</w:t>
      </w:r>
      <w:r w:rsidR="00F62621" w:rsidRPr="00F62621">
        <w:t>trategy</w:t>
      </w:r>
      <w:r w:rsidRPr="00395443">
        <w:t xml:space="preserve"> </w:t>
      </w:r>
      <w:r>
        <w:t xml:space="preserve">also proposes investigating </w:t>
      </w:r>
      <w:r w:rsidRPr="001D115F">
        <w:t xml:space="preserve">the </w:t>
      </w:r>
      <w:r w:rsidRPr="003301EB">
        <w:t>use of scarcity pricing</w:t>
      </w:r>
      <w:r w:rsidRPr="001D115F">
        <w:t xml:space="preserve"> </w:t>
      </w:r>
      <w:r w:rsidR="00395443">
        <w:t>to promote</w:t>
      </w:r>
      <w:r>
        <w:t xml:space="preserve"> water use efficiency.</w:t>
      </w:r>
    </w:p>
    <w:p w14:paraId="2C6BBE85" w14:textId="77777777" w:rsidR="006C555F" w:rsidRDefault="006C555F" w:rsidP="006C555F">
      <w:r>
        <w:t>To help achieve the outcome of a sustainable water supply used efficiently</w:t>
      </w:r>
      <w:r w:rsidR="00CC026C">
        <w:t>,</w:t>
      </w:r>
      <w:r>
        <w:t xml:space="preserve"> the ACT has a number of schemes in place</w:t>
      </w:r>
      <w:r w:rsidR="00745B8A">
        <w:t>,</w:t>
      </w:r>
      <w:r>
        <w:t xml:space="preserve"> including </w:t>
      </w:r>
      <w:r w:rsidRPr="00AB3928">
        <w:t>permanent water conservation measures and a temporary water restrictions scheme</w:t>
      </w:r>
      <w:r>
        <w:t xml:space="preserve"> that can be imposed in times of acute water shortage</w:t>
      </w:r>
      <w:r w:rsidRPr="00AB3928">
        <w:t>.</w:t>
      </w:r>
      <w:r w:rsidR="00E75304">
        <w:t xml:space="preserve"> </w:t>
      </w:r>
      <w:r>
        <w:t>The ACT has been under permanent water conservation measures since Stage</w:t>
      </w:r>
      <w:r w:rsidR="00395443">
        <w:t> </w:t>
      </w:r>
      <w:r>
        <w:t>2 temporary restrictions were revoked on 31 October 2010.</w:t>
      </w:r>
    </w:p>
    <w:p w14:paraId="3C78CCE2" w14:textId="77777777" w:rsidR="006C555F" w:rsidRDefault="006C555F" w:rsidP="006C555F">
      <w:r>
        <w:t xml:space="preserve">The ACT Government’s overarching planning act, the Territory Plan, also places a number of water quality requirements on developers relating to the control of </w:t>
      </w:r>
      <w:proofErr w:type="spellStart"/>
      <w:r>
        <w:t>stormwater</w:t>
      </w:r>
      <w:proofErr w:type="spellEnd"/>
      <w:r>
        <w:t xml:space="preserve"> and run-off.</w:t>
      </w:r>
      <w:r w:rsidR="00E75304">
        <w:t xml:space="preserve"> </w:t>
      </w:r>
    </w:p>
    <w:p w14:paraId="0158C868" w14:textId="77777777" w:rsidR="006C555F" w:rsidRDefault="006C555F" w:rsidP="006C555F">
      <w:r>
        <w:t xml:space="preserve">These various water conservation actions are complementary and supportive </w:t>
      </w:r>
      <w:r w:rsidRPr="00B75A63">
        <w:t>of tariff reform directions t</w:t>
      </w:r>
      <w:r>
        <w:t xml:space="preserve">hat are being considered by the Commission. </w:t>
      </w:r>
    </w:p>
    <w:p w14:paraId="460CEA24" w14:textId="77777777" w:rsidR="00970019" w:rsidRDefault="006C555F" w:rsidP="00970019">
      <w:pPr>
        <w:pStyle w:val="Heading3a"/>
      </w:pPr>
      <w:r>
        <w:t>2.3.2</w:t>
      </w:r>
      <w:r>
        <w:tab/>
        <w:t xml:space="preserve">National agreements </w:t>
      </w:r>
    </w:p>
    <w:p w14:paraId="787F2EEF" w14:textId="77777777" w:rsidR="006C555F" w:rsidRPr="00E80F43" w:rsidRDefault="006C555F" w:rsidP="006C555F">
      <w:r w:rsidRPr="00E80F43">
        <w:t xml:space="preserve">The ACT is a signatory to the </w:t>
      </w:r>
      <w:r w:rsidR="00F62621" w:rsidRPr="00F62621">
        <w:t>Murray–Darling Basin Agreement</w:t>
      </w:r>
      <w:r w:rsidRPr="00E80F43">
        <w:t>, an intergovernmental agreement between Basin jurisdictions.</w:t>
      </w:r>
      <w:r w:rsidR="00E75304">
        <w:t xml:space="preserve"> </w:t>
      </w:r>
      <w:r w:rsidRPr="00E80F43">
        <w:t xml:space="preserve">The </w:t>
      </w:r>
      <w:r>
        <w:t>a</w:t>
      </w:r>
      <w:r w:rsidRPr="00E80F43">
        <w:t>greement, among oth</w:t>
      </w:r>
      <w:r>
        <w:t xml:space="preserve">er things, sets a </w:t>
      </w:r>
      <w:r>
        <w:lastRenderedPageBreak/>
        <w:t xml:space="preserve">long-term cap – or upper limit – </w:t>
      </w:r>
      <w:r w:rsidRPr="00E80F43">
        <w:t>on surface water diversions</w:t>
      </w:r>
      <w:r>
        <w:t>.</w:t>
      </w:r>
      <w:r w:rsidR="00E75304">
        <w:t xml:space="preserve"> </w:t>
      </w:r>
      <w:r>
        <w:t xml:space="preserve">This </w:t>
      </w:r>
      <w:r w:rsidRPr="00203866">
        <w:t>allows the ACT to take out of the ACT watercourses (dams and rivers) a long-term average of 40</w:t>
      </w:r>
      <w:r>
        <w:t>.5</w:t>
      </w:r>
      <w:r w:rsidRPr="00203866">
        <w:t xml:space="preserve"> </w:t>
      </w:r>
      <w:r w:rsidR="003371EA">
        <w:t>G</w:t>
      </w:r>
      <w:r w:rsidRPr="00203866">
        <w:t>L net per year for consumptive u</w:t>
      </w:r>
      <w:r>
        <w:t>se.</w:t>
      </w:r>
      <w:r w:rsidR="00E214D0" w:rsidDel="00E214D0">
        <w:rPr>
          <w:rStyle w:val="FootnoteReference"/>
        </w:rPr>
        <w:t xml:space="preserve"> </w:t>
      </w:r>
      <w:r w:rsidR="00E75304">
        <w:t xml:space="preserve"> </w:t>
      </w:r>
      <w:r>
        <w:t xml:space="preserve">The net take in the ACT has fallen significantly in recent years to below or around 20 </w:t>
      </w:r>
      <w:r w:rsidR="003371EA">
        <w:t>G</w:t>
      </w:r>
      <w:r>
        <w:t xml:space="preserve">L per year. </w:t>
      </w:r>
    </w:p>
    <w:p w14:paraId="4238738C" w14:textId="77777777" w:rsidR="006C555F" w:rsidRDefault="006C555F" w:rsidP="006C555F">
      <w:r>
        <w:t xml:space="preserve">The </w:t>
      </w:r>
      <w:r w:rsidR="00F62621" w:rsidRPr="00F62621">
        <w:t>2004 National Water Initiative</w:t>
      </w:r>
      <w:r w:rsidRPr="00745B8A">
        <w:t xml:space="preserve"> </w:t>
      </w:r>
      <w:r>
        <w:t xml:space="preserve">commits the ACT Government to a number of best practice water pricing and institutional arrangements covering the relevant aspects in relation to economically efficient prices for water infrastructure and water resources. </w:t>
      </w:r>
    </w:p>
    <w:p w14:paraId="0AB58AEB" w14:textId="77777777" w:rsidR="006C555F" w:rsidRDefault="006C555F" w:rsidP="006C555F">
      <w:r w:rsidRPr="0022149B">
        <w:t>In 2010, a set of N</w:t>
      </w:r>
      <w:r>
        <w:t xml:space="preserve">ational </w:t>
      </w:r>
      <w:r w:rsidRPr="0022149B">
        <w:t>W</w:t>
      </w:r>
      <w:r>
        <w:t xml:space="preserve">ater </w:t>
      </w:r>
      <w:r w:rsidRPr="0022149B">
        <w:t>I</w:t>
      </w:r>
      <w:r>
        <w:t>nitiative</w:t>
      </w:r>
      <w:r w:rsidRPr="0022149B">
        <w:t xml:space="preserve"> pricing principles, agreed by all Australian governments and</w:t>
      </w:r>
      <w:r>
        <w:t xml:space="preserve"> endorsed by the </w:t>
      </w:r>
      <w:r w:rsidRPr="00AC1553">
        <w:t>Natural Resource Management Ministerial Council</w:t>
      </w:r>
      <w:r>
        <w:t xml:space="preserve">, was developed </w:t>
      </w:r>
      <w:r w:rsidRPr="00101524">
        <w:t>as the basis for setting water</w:t>
      </w:r>
      <w:r>
        <w:t xml:space="preserve"> </w:t>
      </w:r>
      <w:r w:rsidRPr="00101524">
        <w:t xml:space="preserve">prices in </w:t>
      </w:r>
      <w:r>
        <w:t xml:space="preserve">all </w:t>
      </w:r>
      <w:r w:rsidRPr="00101524">
        <w:t>jurisdictions.</w:t>
      </w:r>
      <w:r w:rsidR="00E75304">
        <w:t xml:space="preserve"> </w:t>
      </w:r>
      <w:r>
        <w:t xml:space="preserve">The price-setting principles cover various </w:t>
      </w:r>
      <w:r w:rsidRPr="00B75A63">
        <w:t>addition</w:t>
      </w:r>
      <w:r w:rsidR="00D8634A" w:rsidRPr="00B75A63">
        <w:t>al</w:t>
      </w:r>
      <w:r w:rsidRPr="00B75A63">
        <w:t xml:space="preserve"> aspec</w:t>
      </w:r>
      <w:r>
        <w:t>ts of economically efficient prices</w:t>
      </w:r>
      <w:r w:rsidR="00745B8A">
        <w:t>,</w:t>
      </w:r>
      <w:r>
        <w:t xml:space="preserve"> including application of two-part tariffs unless demonstrated to not </w:t>
      </w:r>
      <w:r w:rsidR="00745B8A">
        <w:t xml:space="preserve">be </w:t>
      </w:r>
      <w:r>
        <w:t>cost effective.</w:t>
      </w:r>
    </w:p>
    <w:p w14:paraId="719F10AA" w14:textId="77777777" w:rsidR="0086272D" w:rsidRDefault="006C555F">
      <w:pPr>
        <w:pStyle w:val="Heading2a"/>
        <w:ind w:left="720" w:hanging="720"/>
      </w:pPr>
      <w:bookmarkStart w:id="64" w:name="_Toc478557250"/>
      <w:bookmarkEnd w:id="55"/>
      <w:bookmarkEnd w:id="56"/>
      <w:r>
        <w:t>2.</w:t>
      </w:r>
      <w:r w:rsidR="00AF7B19">
        <w:t>4</w:t>
      </w:r>
      <w:r w:rsidR="00EF6E6D">
        <w:tab/>
        <w:t>The Commission’s approach to addressing regulatory</w:t>
      </w:r>
      <w:r w:rsidR="002C20D8">
        <w:br/>
      </w:r>
      <w:r w:rsidR="00EF6E6D">
        <w:t>o</w:t>
      </w:r>
      <w:r>
        <w:t>bjectives</w:t>
      </w:r>
      <w:bookmarkEnd w:id="64"/>
      <w:r>
        <w:t xml:space="preserve"> </w:t>
      </w:r>
    </w:p>
    <w:p w14:paraId="7E4F4BE8" w14:textId="77777777" w:rsidR="0086272D" w:rsidRDefault="00AF7B19">
      <w:pPr>
        <w:pStyle w:val="Heading3a"/>
      </w:pPr>
      <w:bookmarkStart w:id="65" w:name="_Toc343608058"/>
      <w:r>
        <w:t>2.4</w:t>
      </w:r>
      <w:r w:rsidR="006C555F">
        <w:t>.1</w:t>
      </w:r>
      <w:r w:rsidR="006C555F">
        <w:tab/>
        <w:t>The need for pricing principles</w:t>
      </w:r>
      <w:bookmarkEnd w:id="65"/>
    </w:p>
    <w:p w14:paraId="431FF0C0" w14:textId="77777777" w:rsidR="004108C9" w:rsidRDefault="004108C9" w:rsidP="004108C9">
      <w:r>
        <w:t xml:space="preserve">The terms of reference </w:t>
      </w:r>
      <w:r w:rsidR="00CD7EFC">
        <w:t>refer</w:t>
      </w:r>
      <w:r>
        <w:t xml:space="preserve"> to regulatory objectives and public policies that are relevant f</w:t>
      </w:r>
      <w:r w:rsidR="000275EF">
        <w:t xml:space="preserve">or the Commission in </w:t>
      </w:r>
      <w:r>
        <w:t>making a determination about appropriate prices for water and sewerage services.</w:t>
      </w:r>
      <w:r w:rsidR="00E75304">
        <w:t xml:space="preserve"> </w:t>
      </w:r>
      <w:r w:rsidRPr="004108C9">
        <w:t>As part of its in</w:t>
      </w:r>
      <w:r w:rsidRPr="00B75A63">
        <w:t xml:space="preserve">vestigation, the Commission is required to outline its intended approach to </w:t>
      </w:r>
      <w:r w:rsidR="00254CE2" w:rsidRPr="00B75A63">
        <w:t xml:space="preserve">meeting </w:t>
      </w:r>
      <w:r w:rsidRPr="00B75A63">
        <w:t>its various regulatory objectives within its dec</w:t>
      </w:r>
      <w:r w:rsidRPr="004108C9">
        <w:t>ision</w:t>
      </w:r>
      <w:r w:rsidR="005C72F9">
        <w:t>-</w:t>
      </w:r>
      <w:r w:rsidRPr="004108C9">
        <w:t>making process.</w:t>
      </w:r>
      <w:r w:rsidR="00E75304">
        <w:t xml:space="preserve"> </w:t>
      </w:r>
    </w:p>
    <w:p w14:paraId="3B63DE20" w14:textId="77777777" w:rsidR="004108C9" w:rsidRPr="004108C9" w:rsidRDefault="004108C9" w:rsidP="004108C9">
      <w:r>
        <w:t>In order to clarify h</w:t>
      </w:r>
      <w:r w:rsidRPr="00B75A63">
        <w:t xml:space="preserve">ow </w:t>
      </w:r>
      <w:r w:rsidR="00B75A63">
        <w:t>it</w:t>
      </w:r>
      <w:r w:rsidRPr="00B75A63">
        <w:t xml:space="preserve"> intends to take account of the regulatory objectives in its d</w:t>
      </w:r>
      <w:r>
        <w:t>ecision</w:t>
      </w:r>
      <w:r w:rsidR="005C72F9">
        <w:t>-</w:t>
      </w:r>
      <w:r>
        <w:t>making process</w:t>
      </w:r>
      <w:r w:rsidR="005C72F9">
        <w:t>,</w:t>
      </w:r>
      <w:r>
        <w:t xml:space="preserve"> </w:t>
      </w:r>
      <w:r w:rsidR="00B75A63">
        <w:t>the Commission has</w:t>
      </w:r>
      <w:r>
        <w:t xml:space="preserve"> </w:t>
      </w:r>
      <w:r w:rsidR="000275EF">
        <w:t>establish</w:t>
      </w:r>
      <w:r w:rsidR="00B75A63">
        <w:t>ed</w:t>
      </w:r>
      <w:r w:rsidR="000275EF">
        <w:t xml:space="preserve"> key pricing principles that take account of both legislative and government policy objectives as well as generally accepted economic and regulatory principles.</w:t>
      </w:r>
      <w:r w:rsidR="00E75304">
        <w:t xml:space="preserve"> </w:t>
      </w:r>
      <w:r w:rsidR="000275EF">
        <w:t>The principles provide the basis for the assessment framework that the Commission is intending to use to develop its recommendations for prices for water and sewerage services.</w:t>
      </w:r>
      <w:r w:rsidR="00E75304">
        <w:t xml:space="preserve"> </w:t>
      </w:r>
      <w:r>
        <w:t>The pricing principles set out in this section are consistent with the pricing principles recently presented in the Commission’s final report on the tariff structure review</w:t>
      </w:r>
      <w:r w:rsidR="00CC026C">
        <w:t>.</w:t>
      </w:r>
      <w:r>
        <w:rPr>
          <w:rStyle w:val="FootnoteReference"/>
        </w:rPr>
        <w:footnoteReference w:id="7"/>
      </w:r>
      <w:r>
        <w:t xml:space="preserve"> </w:t>
      </w:r>
    </w:p>
    <w:p w14:paraId="014D4C71" w14:textId="77777777" w:rsidR="006C555F" w:rsidRDefault="006C555F" w:rsidP="006C555F">
      <w:r>
        <w:t>The key price</w:t>
      </w:r>
      <w:r w:rsidR="005C72F9">
        <w:t>-</w:t>
      </w:r>
      <w:r>
        <w:t xml:space="preserve">setting principles that the Commission considers relevant </w:t>
      </w:r>
      <w:r w:rsidR="00D22648">
        <w:t xml:space="preserve">to </w:t>
      </w:r>
      <w:r w:rsidR="009343DE">
        <w:t>setting prices for regulated water and sewerage services</w:t>
      </w:r>
      <w:r>
        <w:t xml:space="preserve"> are summarised in </w:t>
      </w:r>
      <w:r w:rsidR="00F62621">
        <w:fldChar w:fldCharType="begin"/>
      </w:r>
      <w:r w:rsidR="00D80E46">
        <w:instrText xml:space="preserve"> REF _Ref474400439 \h </w:instrText>
      </w:r>
      <w:r w:rsidR="00F62621">
        <w:fldChar w:fldCharType="separate"/>
      </w:r>
      <w:r w:rsidR="00A003A1">
        <w:t xml:space="preserve">Table </w:t>
      </w:r>
      <w:r w:rsidR="00A003A1">
        <w:rPr>
          <w:noProof/>
        </w:rPr>
        <w:t>2</w:t>
      </w:r>
      <w:r w:rsidR="00F62621">
        <w:fldChar w:fldCharType="end"/>
      </w:r>
      <w:r w:rsidR="00D80E46">
        <w:t>.1</w:t>
      </w:r>
      <w:r>
        <w:t>.</w:t>
      </w:r>
      <w:r w:rsidR="00E75304">
        <w:t xml:space="preserve"> </w:t>
      </w:r>
      <w:r>
        <w:t xml:space="preserve">The principles reflect the Commission’s interpretation of the legislative objectives, government policies and national agreements that prescribe and guide its decisions </w:t>
      </w:r>
      <w:r w:rsidR="00DE10C7">
        <w:t>on</w:t>
      </w:r>
      <w:r>
        <w:t xml:space="preserve"> water and sewerage prices.</w:t>
      </w:r>
      <w:r w:rsidR="00E75304">
        <w:t xml:space="preserve"> </w:t>
      </w:r>
      <w:r w:rsidR="009343DE">
        <w:t>However, these principles are also likely to be relevant in considering other econo</w:t>
      </w:r>
      <w:r w:rsidR="009343DE" w:rsidRPr="002636EF">
        <w:t>mic regulation ma</w:t>
      </w:r>
      <w:r w:rsidR="009343DE">
        <w:t xml:space="preserve">tters, although they may require some modification or expansion depending on the circumstances. </w:t>
      </w:r>
    </w:p>
    <w:p w14:paraId="0D7A4439" w14:textId="77777777" w:rsidR="006C555F" w:rsidRDefault="006C555F" w:rsidP="006C555F">
      <w:r>
        <w:lastRenderedPageBreak/>
        <w:t xml:space="preserve">A </w:t>
      </w:r>
      <w:r w:rsidR="00D8634A">
        <w:t xml:space="preserve">challenge </w:t>
      </w:r>
      <w:r w:rsidR="0003796A">
        <w:t>faced by</w:t>
      </w:r>
      <w:r w:rsidR="00331E28">
        <w:t xml:space="preserve"> </w:t>
      </w:r>
      <w:r>
        <w:t>the Commission</w:t>
      </w:r>
      <w:r w:rsidR="0003796A">
        <w:t>,</w:t>
      </w:r>
      <w:r w:rsidR="00D8634A">
        <w:t xml:space="preserve"> and </w:t>
      </w:r>
      <w:r w:rsidR="00C10AB5">
        <w:t>regulators</w:t>
      </w:r>
      <w:r w:rsidR="0003796A">
        <w:t xml:space="preserve"> more generally</w:t>
      </w:r>
      <w:r w:rsidR="00395443">
        <w:t>,</w:t>
      </w:r>
      <w:r>
        <w:t xml:space="preserve"> is in setting priorities</w:t>
      </w:r>
      <w:r w:rsidR="0003796A">
        <w:t>.</w:t>
      </w:r>
      <w:r w:rsidR="00E75304">
        <w:t xml:space="preserve"> </w:t>
      </w:r>
      <w:r w:rsidR="0003796A">
        <w:t>There are</w:t>
      </w:r>
      <w:r>
        <w:t xml:space="preserve"> multiple objectives tha</w:t>
      </w:r>
      <w:r w:rsidR="0003796A">
        <w:t>t may sometimes conflict</w:t>
      </w:r>
      <w:r>
        <w:t xml:space="preserve"> and limited policy instruments </w:t>
      </w:r>
      <w:r w:rsidR="0003796A">
        <w:t xml:space="preserve">for </w:t>
      </w:r>
      <w:r w:rsidR="0003796A" w:rsidRPr="002636EF">
        <w:t>the regulator to deal</w:t>
      </w:r>
      <w:r w:rsidR="0003796A">
        <w:t xml:space="preserve"> with them</w:t>
      </w:r>
      <w:r>
        <w:t>.</w:t>
      </w:r>
      <w:r w:rsidR="00E75304">
        <w:t xml:space="preserve"> </w:t>
      </w:r>
      <w:r>
        <w:t xml:space="preserve">In this </w:t>
      </w:r>
      <w:r w:rsidR="00E260F1">
        <w:t>respect,</w:t>
      </w:r>
      <w:r>
        <w:t xml:space="preserve"> it is noted that there is a long</w:t>
      </w:r>
      <w:r w:rsidR="00DE10C7">
        <w:t>-</w:t>
      </w:r>
      <w:r>
        <w:t>established economic and public policy principle that if one wants to be effective in achieving multiple, potentially conflicting objectives</w:t>
      </w:r>
      <w:r w:rsidR="002636EF">
        <w:t>,</w:t>
      </w:r>
      <w:r>
        <w:t xml:space="preserve"> ther</w:t>
      </w:r>
      <w:r w:rsidRPr="002636EF">
        <w:t>e need to be</w:t>
      </w:r>
      <w:r>
        <w:t xml:space="preserve"> at least as many separate and well-designed policy instruments (i.e. specific policy actions or mechanisms) as there are objectives.</w:t>
      </w:r>
      <w:r w:rsidR="00E75304">
        <w:t xml:space="preserve"> </w:t>
      </w:r>
      <w:r w:rsidR="00BD332F">
        <w:t>Furthermore,</w:t>
      </w:r>
      <w:r>
        <w:t xml:space="preserve"> a single policy </w:t>
      </w:r>
      <w:r w:rsidR="006359A6">
        <w:t>mechanism</w:t>
      </w:r>
      <w:r>
        <w:t xml:space="preserve"> needs to be assigned exclusively to a specific objective.</w:t>
      </w:r>
      <w:r w:rsidR="00E75304">
        <w:t xml:space="preserve"> </w:t>
      </w:r>
    </w:p>
    <w:p w14:paraId="269808E4" w14:textId="77777777" w:rsidR="006C555F" w:rsidRDefault="006C555F" w:rsidP="006C555F">
      <w:r>
        <w:t xml:space="preserve">The </w:t>
      </w:r>
      <w:r w:rsidR="006359A6">
        <w:t xml:space="preserve">main </w:t>
      </w:r>
      <w:r w:rsidR="00E260F1">
        <w:t xml:space="preserve">instrument over which the Commission has control is pricing, </w:t>
      </w:r>
      <w:r w:rsidR="002636EF">
        <w:t xml:space="preserve">yet in setting prices </w:t>
      </w:r>
      <w:r w:rsidR="00E260F1">
        <w:t>it must have regard to effic</w:t>
      </w:r>
      <w:r w:rsidR="00FF3FDA">
        <w:t>iency, environmental and social considerations. Primary responsibility for environmental and social objectives lie</w:t>
      </w:r>
      <w:r w:rsidR="002E24F1">
        <w:t>s</w:t>
      </w:r>
      <w:r w:rsidR="00FF3FDA">
        <w:t xml:space="preserve"> with other parts of </w:t>
      </w:r>
      <w:r w:rsidR="002636EF">
        <w:t>g</w:t>
      </w:r>
      <w:r w:rsidR="00FF3FDA">
        <w:t>overnment</w:t>
      </w:r>
      <w:r w:rsidR="002636EF">
        <w:t>,</w:t>
      </w:r>
      <w:r w:rsidR="004B4F55">
        <w:t xml:space="preserve"> but</w:t>
      </w:r>
      <w:r w:rsidR="006359A6">
        <w:t xml:space="preserve"> the Commission must give </w:t>
      </w:r>
      <w:r w:rsidR="004B4F55">
        <w:t xml:space="preserve">them </w:t>
      </w:r>
      <w:r w:rsidR="006359A6">
        <w:t>due regard and consideration</w:t>
      </w:r>
      <w:r w:rsidR="004B4F55">
        <w:t xml:space="preserve"> in its decisions</w:t>
      </w:r>
      <w:r w:rsidR="006359A6">
        <w:t>.</w:t>
      </w:r>
      <w:r w:rsidR="00E75304">
        <w:t xml:space="preserve"> </w:t>
      </w:r>
      <w:r>
        <w:t xml:space="preserve">This then inevitably requires some compromise and consultation with affected parties in arriving at conclusions </w:t>
      </w:r>
      <w:r w:rsidR="00331E28">
        <w:t>that</w:t>
      </w:r>
      <w:r>
        <w:t xml:space="preserve"> will effectively balance the various objectives. </w:t>
      </w:r>
    </w:p>
    <w:p w14:paraId="3199CB10" w14:textId="3E595255" w:rsidR="006C555F" w:rsidRDefault="006C555F" w:rsidP="006C555F">
      <w:r>
        <w:t xml:space="preserve">The principles set out </w:t>
      </w:r>
      <w:r w:rsidR="00DE10C7">
        <w:t xml:space="preserve">in </w:t>
      </w:r>
      <w:r w:rsidR="00C52510">
        <w:fldChar w:fldCharType="begin"/>
      </w:r>
      <w:r w:rsidR="00C52510">
        <w:instrText xml:space="preserve"> REF _Ref474400439 \h </w:instrText>
      </w:r>
      <w:r w:rsidR="00C52510">
        <w:fldChar w:fldCharType="separate"/>
      </w:r>
      <w:r w:rsidR="00A003A1">
        <w:t xml:space="preserve">Table </w:t>
      </w:r>
      <w:r w:rsidR="00A003A1">
        <w:rPr>
          <w:noProof/>
        </w:rPr>
        <w:t>2</w:t>
      </w:r>
      <w:r w:rsidR="00C52510">
        <w:fldChar w:fldCharType="end"/>
      </w:r>
      <w:r w:rsidR="00C52510">
        <w:t>.1</w:t>
      </w:r>
      <w:r w:rsidR="00DE10C7">
        <w:t xml:space="preserve"> </w:t>
      </w:r>
      <w:r>
        <w:t>are consistent with how</w:t>
      </w:r>
      <w:r w:rsidR="004B4F55">
        <w:t xml:space="preserve"> the Commission believes</w:t>
      </w:r>
      <w:r>
        <w:t xml:space="preserve"> economic regulators in similar jurisdictions consider and assess the various objectives.</w:t>
      </w:r>
      <w:r w:rsidR="00E75304">
        <w:t xml:space="preserve"> </w:t>
      </w:r>
      <w:r>
        <w:t>In balancing competing objectives, the Commission will consider economic efficiency aspects as a starting point</w:t>
      </w:r>
      <w:r w:rsidR="00DE10C7">
        <w:t>,</w:t>
      </w:r>
      <w:r>
        <w:t xml:space="preserve"> but </w:t>
      </w:r>
      <w:r w:rsidR="00E214D0">
        <w:t xml:space="preserve">will also give </w:t>
      </w:r>
      <w:r>
        <w:t xml:space="preserve">careful and transparent consideration of social and environmental impacts. </w:t>
      </w:r>
    </w:p>
    <w:p w14:paraId="740FF7CB" w14:textId="77777777" w:rsidR="006C555F" w:rsidRDefault="006C555F" w:rsidP="006C555F"/>
    <w:p w14:paraId="23A21A2D" w14:textId="77777777" w:rsidR="006C555F" w:rsidRDefault="006C555F" w:rsidP="006C555F">
      <w:pPr>
        <w:spacing w:after="0" w:line="240" w:lineRule="auto"/>
        <w:rPr>
          <w:rFonts w:ascii="Arial Narrow" w:hAnsi="Arial Narrow"/>
          <w:b/>
          <w:sz w:val="18"/>
        </w:rPr>
      </w:pPr>
      <w:bookmarkStart w:id="66" w:name="_Toc468171757"/>
      <w:r>
        <w:br w:type="page"/>
      </w:r>
    </w:p>
    <w:p w14:paraId="1CD2F01D" w14:textId="5DF040B7" w:rsidR="00D80E46" w:rsidRPr="00D80E46" w:rsidRDefault="00D80E46" w:rsidP="00D80E46">
      <w:pPr>
        <w:pStyle w:val="FigureName"/>
      </w:pPr>
      <w:bookmarkStart w:id="67" w:name="_Ref474400439"/>
      <w:bookmarkStart w:id="68" w:name="_Toc478387743"/>
      <w:bookmarkEnd w:id="66"/>
      <w:r>
        <w:lastRenderedPageBreak/>
        <w:t xml:space="preserve">Table </w:t>
      </w:r>
      <w:r w:rsidR="00F62621">
        <w:fldChar w:fldCharType="begin"/>
      </w:r>
      <w:r w:rsidR="00216F07">
        <w:instrText xml:space="preserve"> SEQ Table \* ARABIC </w:instrText>
      </w:r>
      <w:r w:rsidR="00F62621">
        <w:fldChar w:fldCharType="separate"/>
      </w:r>
      <w:r w:rsidR="00A003A1">
        <w:rPr>
          <w:noProof/>
        </w:rPr>
        <w:t>2</w:t>
      </w:r>
      <w:r w:rsidR="00F62621">
        <w:rPr>
          <w:noProof/>
        </w:rPr>
        <w:fldChar w:fldCharType="end"/>
      </w:r>
      <w:bookmarkEnd w:id="67"/>
      <w:r>
        <w:t>.1</w:t>
      </w:r>
      <w:r>
        <w:tab/>
        <w:t>Regulatory objectives and pricing principles for water and sewera</w:t>
      </w:r>
      <w:r w:rsidRPr="00DE10C7">
        <w:t>ge</w:t>
      </w:r>
      <w:r w:rsidR="009D5F28">
        <w:t xml:space="preserve"> services</w:t>
      </w:r>
      <w:r w:rsidR="00225D58">
        <w:t xml:space="preserve"> tariffs</w:t>
      </w:r>
      <w:r w:rsidRPr="00DE10C7">
        <w:t xml:space="preserve"> </w:t>
      </w:r>
      <w:bookmarkEnd w:id="68"/>
    </w:p>
    <w:tbl>
      <w:tblPr>
        <w:tblW w:w="4892" w:type="pct"/>
        <w:tblBorders>
          <w:top w:val="single" w:sz="12" w:space="0" w:color="333399"/>
          <w:bottom w:val="single" w:sz="12" w:space="0" w:color="333399"/>
        </w:tblBorders>
        <w:tblLayout w:type="fixed"/>
        <w:tblCellMar>
          <w:left w:w="115" w:type="dxa"/>
          <w:right w:w="115" w:type="dxa"/>
        </w:tblCellMar>
        <w:tblLook w:val="0000" w:firstRow="0" w:lastRow="0" w:firstColumn="0" w:lastColumn="0" w:noHBand="0" w:noVBand="0"/>
      </w:tblPr>
      <w:tblGrid>
        <w:gridCol w:w="1217"/>
        <w:gridCol w:w="1786"/>
        <w:gridCol w:w="4541"/>
      </w:tblGrid>
      <w:tr w:rsidR="00E75304" w:rsidRPr="00144F8C" w14:paraId="6D142B79" w14:textId="77777777" w:rsidTr="00E6005B">
        <w:trPr>
          <w:cantSplit/>
          <w:trHeight w:val="385"/>
        </w:trPr>
        <w:tc>
          <w:tcPr>
            <w:tcW w:w="806" w:type="pct"/>
            <w:tcBorders>
              <w:top w:val="single" w:sz="12" w:space="0" w:color="44546A"/>
              <w:left w:val="nil"/>
              <w:bottom w:val="single" w:sz="8" w:space="0" w:color="44546A"/>
              <w:right w:val="nil"/>
            </w:tcBorders>
            <w:shd w:val="clear" w:color="auto" w:fill="DEEAF6"/>
            <w:vAlign w:val="bottom"/>
          </w:tcPr>
          <w:p w14:paraId="6352521D" w14:textId="77777777" w:rsidR="00E75304" w:rsidRPr="00B40AA3" w:rsidRDefault="00E75304" w:rsidP="006C555F">
            <w:pPr>
              <w:pStyle w:val="TableHeadingLeft"/>
            </w:pPr>
            <w:r>
              <w:t>Category</w:t>
            </w:r>
          </w:p>
        </w:tc>
        <w:tc>
          <w:tcPr>
            <w:tcW w:w="1184" w:type="pct"/>
            <w:tcBorders>
              <w:top w:val="single" w:sz="12" w:space="0" w:color="44546A"/>
              <w:left w:val="nil"/>
              <w:bottom w:val="single" w:sz="8" w:space="0" w:color="44546A"/>
              <w:right w:val="nil"/>
            </w:tcBorders>
            <w:shd w:val="clear" w:color="auto" w:fill="DEEAF6"/>
          </w:tcPr>
          <w:p w14:paraId="68250A9C" w14:textId="77777777" w:rsidR="00E75304" w:rsidRPr="00B40AA3" w:rsidRDefault="00E75304" w:rsidP="006C555F">
            <w:pPr>
              <w:pStyle w:val="TableHeadingLeft"/>
            </w:pPr>
            <w:r>
              <w:t>Aspect</w:t>
            </w:r>
          </w:p>
        </w:tc>
        <w:tc>
          <w:tcPr>
            <w:tcW w:w="3010" w:type="pct"/>
            <w:tcBorders>
              <w:top w:val="single" w:sz="12" w:space="0" w:color="44546A"/>
              <w:left w:val="nil"/>
              <w:bottom w:val="single" w:sz="8" w:space="0" w:color="44546A"/>
              <w:right w:val="nil"/>
            </w:tcBorders>
            <w:shd w:val="clear" w:color="auto" w:fill="DEEAF6"/>
            <w:vAlign w:val="bottom"/>
          </w:tcPr>
          <w:p w14:paraId="7014E7F9" w14:textId="77777777" w:rsidR="00E75304" w:rsidRPr="00B40AA3" w:rsidRDefault="00E75304" w:rsidP="006C555F">
            <w:pPr>
              <w:pStyle w:val="TableHeadingLeft"/>
            </w:pPr>
            <w:r>
              <w:t>Detail</w:t>
            </w:r>
          </w:p>
        </w:tc>
      </w:tr>
      <w:tr w:rsidR="00E75304" w:rsidRPr="00144F8C" w14:paraId="5EC354F0" w14:textId="77777777" w:rsidTr="00E6005B">
        <w:trPr>
          <w:cantSplit/>
          <w:trHeight w:val="2483"/>
        </w:trPr>
        <w:tc>
          <w:tcPr>
            <w:tcW w:w="806" w:type="pct"/>
            <w:tcBorders>
              <w:top w:val="nil"/>
              <w:left w:val="nil"/>
              <w:bottom w:val="nil"/>
              <w:right w:val="nil"/>
            </w:tcBorders>
            <w:shd w:val="clear" w:color="auto" w:fill="F2F2F2"/>
          </w:tcPr>
          <w:p w14:paraId="39D4B014" w14:textId="77777777" w:rsidR="00E75304" w:rsidRPr="00A658D0" w:rsidRDefault="00E75304" w:rsidP="006C555F">
            <w:pPr>
              <w:pStyle w:val="TableTextLeft"/>
              <w:rPr>
                <w:b/>
              </w:rPr>
            </w:pPr>
            <w:r w:rsidRPr="00A658D0">
              <w:rPr>
                <w:b/>
              </w:rPr>
              <w:t>Objective</w:t>
            </w:r>
          </w:p>
        </w:tc>
        <w:tc>
          <w:tcPr>
            <w:tcW w:w="1184" w:type="pct"/>
            <w:tcBorders>
              <w:top w:val="nil"/>
              <w:left w:val="nil"/>
              <w:bottom w:val="nil"/>
              <w:right w:val="nil"/>
            </w:tcBorders>
            <w:shd w:val="clear" w:color="auto" w:fill="F2F2F2"/>
          </w:tcPr>
          <w:p w14:paraId="2F73B121" w14:textId="77777777" w:rsidR="00E6005B" w:rsidRDefault="00E6005B" w:rsidP="006C555F">
            <w:pPr>
              <w:pStyle w:val="TableTextLeft"/>
              <w:rPr>
                <w:b/>
              </w:rPr>
            </w:pPr>
            <w:r>
              <w:rPr>
                <w:b/>
              </w:rPr>
              <w:t>Overarching</w:t>
            </w:r>
            <w:r>
              <w:rPr>
                <w:b/>
              </w:rPr>
              <w:br/>
            </w:r>
            <w:r>
              <w:rPr>
                <w:b/>
              </w:rPr>
              <w:br/>
            </w:r>
            <w:r>
              <w:rPr>
                <w:b/>
              </w:rPr>
              <w:br/>
            </w:r>
          </w:p>
          <w:p w14:paraId="045F0BDE" w14:textId="77777777" w:rsidR="00E75304" w:rsidRPr="00D370E6" w:rsidRDefault="00E75304" w:rsidP="006C555F">
            <w:pPr>
              <w:pStyle w:val="TableTextLeft"/>
              <w:rPr>
                <w:b/>
              </w:rPr>
            </w:pPr>
            <w:r w:rsidRPr="00D370E6">
              <w:rPr>
                <w:b/>
              </w:rPr>
              <w:t>Interpretation</w:t>
            </w:r>
          </w:p>
        </w:tc>
        <w:tc>
          <w:tcPr>
            <w:tcW w:w="3010" w:type="pct"/>
            <w:tcBorders>
              <w:top w:val="nil"/>
              <w:left w:val="nil"/>
              <w:bottom w:val="nil"/>
              <w:right w:val="nil"/>
            </w:tcBorders>
            <w:shd w:val="clear" w:color="auto" w:fill="F2F2F2"/>
          </w:tcPr>
          <w:p w14:paraId="4D57050F" w14:textId="77777777" w:rsidR="00E75304" w:rsidRDefault="00E75304" w:rsidP="006C555F">
            <w:pPr>
              <w:pStyle w:val="TableTextLeft"/>
            </w:pPr>
            <w:r w:rsidRPr="00A658D0">
              <w:t>To promote efficient investment in, and efficient operation and use of</w:t>
            </w:r>
            <w:r w:rsidR="00DE10C7">
              <w:t>,</w:t>
            </w:r>
            <w:r w:rsidRPr="00A658D0">
              <w:t xml:space="preserve"> regulated services for the long</w:t>
            </w:r>
            <w:r w:rsidR="00DE10C7">
              <w:t>-</w:t>
            </w:r>
            <w:r w:rsidRPr="00A658D0">
              <w:t>term interests of consumers in relation to the price, quality, safety, reliability and security of the service.</w:t>
            </w:r>
          </w:p>
          <w:p w14:paraId="1E6A003F" w14:textId="77777777" w:rsidR="00E75304" w:rsidRDefault="00E75304" w:rsidP="006C555F">
            <w:pPr>
              <w:pStyle w:val="TableTextLeft"/>
            </w:pPr>
            <w:r>
              <w:t>The various aspects of economic efficiency are given emphasis</w:t>
            </w:r>
            <w:r w:rsidR="00DE10C7">
              <w:t>,</w:t>
            </w:r>
            <w:r>
              <w:t xml:space="preserve"> but with the ultimate objective being the long</w:t>
            </w:r>
            <w:r w:rsidR="00DE10C7">
              <w:t>-</w:t>
            </w:r>
            <w:r>
              <w:t xml:space="preserve">term interests of consumers. Economic efficiency when properly defined encompasses environmental objectives. Consumer interests must take account of equity and other social impacts as required by the ICRC Act. </w:t>
            </w:r>
          </w:p>
          <w:p w14:paraId="639824A9" w14:textId="77777777" w:rsidR="00E75304" w:rsidRPr="00EC68F3" w:rsidRDefault="00E75304" w:rsidP="006C555F">
            <w:pPr>
              <w:pStyle w:val="TableTextLeft"/>
            </w:pPr>
            <w:r>
              <w:t xml:space="preserve">Economic efficiency considerations related to pricing are a starting point but need to be balanced with environmental and social considerations. </w:t>
            </w:r>
          </w:p>
        </w:tc>
      </w:tr>
      <w:tr w:rsidR="00E75304" w:rsidRPr="00144F8C" w14:paraId="38628FBA" w14:textId="77777777" w:rsidTr="00E6005B">
        <w:trPr>
          <w:cantSplit/>
          <w:trHeight w:val="1001"/>
        </w:trPr>
        <w:tc>
          <w:tcPr>
            <w:tcW w:w="806" w:type="pct"/>
            <w:tcBorders>
              <w:top w:val="nil"/>
              <w:left w:val="nil"/>
              <w:bottom w:val="nil"/>
              <w:right w:val="nil"/>
            </w:tcBorders>
            <w:shd w:val="clear" w:color="auto" w:fill="D0CECE"/>
          </w:tcPr>
          <w:p w14:paraId="069E6A76" w14:textId="4E0E2ADE" w:rsidR="00E75304" w:rsidRPr="000B08E5" w:rsidRDefault="00E75304" w:rsidP="00F63349">
            <w:pPr>
              <w:pStyle w:val="TableTextLeft"/>
              <w:tabs>
                <w:tab w:val="left" w:pos="851"/>
              </w:tabs>
              <w:rPr>
                <w:b/>
              </w:rPr>
            </w:pPr>
            <w:r>
              <w:rPr>
                <w:b/>
              </w:rPr>
              <w:t>Pricing</w:t>
            </w:r>
            <w:r w:rsidR="00434575">
              <w:rPr>
                <w:b/>
              </w:rPr>
              <w:t xml:space="preserve">         1</w:t>
            </w:r>
            <w:r w:rsidR="00F63349">
              <w:rPr>
                <w:b/>
              </w:rPr>
              <w:t xml:space="preserve">         </w:t>
            </w:r>
            <w:r>
              <w:rPr>
                <w:b/>
              </w:rPr>
              <w:t>principle</w:t>
            </w:r>
            <w:r w:rsidR="00F63349">
              <w:rPr>
                <w:b/>
              </w:rPr>
              <w:t xml:space="preserve">       </w:t>
            </w:r>
            <w:r>
              <w:rPr>
                <w:b/>
              </w:rPr>
              <w:tab/>
            </w:r>
            <w:r w:rsidR="00E6005B">
              <w:rPr>
                <w:b/>
              </w:rPr>
              <w:t xml:space="preserve">  </w:t>
            </w:r>
          </w:p>
        </w:tc>
        <w:tc>
          <w:tcPr>
            <w:tcW w:w="1184" w:type="pct"/>
            <w:tcBorders>
              <w:top w:val="nil"/>
              <w:left w:val="nil"/>
              <w:bottom w:val="nil"/>
              <w:right w:val="nil"/>
            </w:tcBorders>
            <w:shd w:val="clear" w:color="auto" w:fill="D0CECE"/>
          </w:tcPr>
          <w:p w14:paraId="0666DA3B" w14:textId="77777777" w:rsidR="00E75304" w:rsidRPr="001E56D3" w:rsidRDefault="00E75304" w:rsidP="006C555F">
            <w:pPr>
              <w:pStyle w:val="TableTextLeft"/>
              <w:rPr>
                <w:b/>
              </w:rPr>
            </w:pPr>
            <w:r w:rsidRPr="001E56D3">
              <w:rPr>
                <w:b/>
              </w:rPr>
              <w:t>Economic efficiency</w:t>
            </w:r>
            <w:r>
              <w:rPr>
                <w:b/>
              </w:rPr>
              <w:t xml:space="preserve"> in use</w:t>
            </w:r>
          </w:p>
          <w:p w14:paraId="32CEC71A" w14:textId="77777777" w:rsidR="00E75304" w:rsidRPr="0051604C" w:rsidRDefault="00E75304" w:rsidP="006C555F">
            <w:pPr>
              <w:pStyle w:val="TableTextLeft"/>
            </w:pPr>
          </w:p>
        </w:tc>
        <w:tc>
          <w:tcPr>
            <w:tcW w:w="3010" w:type="pct"/>
            <w:tcBorders>
              <w:top w:val="nil"/>
              <w:left w:val="nil"/>
              <w:bottom w:val="nil"/>
              <w:right w:val="nil"/>
            </w:tcBorders>
            <w:shd w:val="clear" w:color="auto" w:fill="D0CECE"/>
          </w:tcPr>
          <w:p w14:paraId="41B8F6BA" w14:textId="77777777" w:rsidR="00E75304" w:rsidRDefault="00E75304" w:rsidP="006C555F">
            <w:pPr>
              <w:pStyle w:val="TableTextLeft"/>
            </w:pPr>
            <w:r>
              <w:t>Regulated</w:t>
            </w:r>
            <w:r w:rsidRPr="0051604C">
              <w:t xml:space="preserve"> prices should promote the economically efficient use of Icon Water’s water and sewerage services infrastructure, and should also encourage economically efficient use of the water resource</w:t>
            </w:r>
            <w:r>
              <w:t xml:space="preserve"> itself</w:t>
            </w:r>
            <w:r w:rsidRPr="0051604C">
              <w:t xml:space="preserve">. </w:t>
            </w:r>
          </w:p>
          <w:p w14:paraId="6FDE25F1" w14:textId="77777777" w:rsidR="00E75304" w:rsidRPr="00B40AA3" w:rsidRDefault="00E75304" w:rsidP="00A7549A">
            <w:pPr>
              <w:pStyle w:val="TableTextLeft"/>
            </w:pPr>
            <w:r>
              <w:t>This includes having regard to uneconomic bypass where water supply is sourced from a higher cost alternative.</w:t>
            </w:r>
          </w:p>
        </w:tc>
      </w:tr>
      <w:tr w:rsidR="00E75304" w:rsidRPr="00144F8C" w14:paraId="26CF3F77" w14:textId="77777777" w:rsidTr="00E6005B">
        <w:trPr>
          <w:cantSplit/>
          <w:trHeight w:val="1249"/>
        </w:trPr>
        <w:tc>
          <w:tcPr>
            <w:tcW w:w="806" w:type="pct"/>
            <w:tcBorders>
              <w:top w:val="nil"/>
              <w:left w:val="nil"/>
              <w:bottom w:val="nil"/>
              <w:right w:val="nil"/>
            </w:tcBorders>
            <w:shd w:val="clear" w:color="auto" w:fill="D0CECE"/>
          </w:tcPr>
          <w:p w14:paraId="3830B21B" w14:textId="77777777" w:rsidR="00E75304" w:rsidRPr="000B2173" w:rsidRDefault="00E75304" w:rsidP="006C555F">
            <w:pPr>
              <w:pStyle w:val="TableTextLeft"/>
              <w:jc w:val="right"/>
              <w:rPr>
                <w:b/>
              </w:rPr>
            </w:pPr>
            <w:r w:rsidRPr="000B2173">
              <w:rPr>
                <w:b/>
              </w:rPr>
              <w:t>2</w:t>
            </w:r>
          </w:p>
        </w:tc>
        <w:tc>
          <w:tcPr>
            <w:tcW w:w="1184" w:type="pct"/>
            <w:tcBorders>
              <w:top w:val="nil"/>
              <w:left w:val="nil"/>
              <w:bottom w:val="nil"/>
              <w:right w:val="nil"/>
            </w:tcBorders>
            <w:shd w:val="clear" w:color="auto" w:fill="D0CECE"/>
          </w:tcPr>
          <w:p w14:paraId="3F2D7FFD" w14:textId="77777777" w:rsidR="00E75304" w:rsidRPr="001E56D3" w:rsidRDefault="00E75304" w:rsidP="006C555F">
            <w:pPr>
              <w:pStyle w:val="TableTextLeft"/>
              <w:rPr>
                <w:b/>
              </w:rPr>
            </w:pPr>
            <w:r>
              <w:rPr>
                <w:b/>
              </w:rPr>
              <w:t>Economic efficiency for investment and operation</w:t>
            </w:r>
          </w:p>
        </w:tc>
        <w:tc>
          <w:tcPr>
            <w:tcW w:w="3010" w:type="pct"/>
            <w:tcBorders>
              <w:top w:val="nil"/>
              <w:left w:val="nil"/>
              <w:bottom w:val="nil"/>
              <w:right w:val="nil"/>
            </w:tcBorders>
            <w:shd w:val="clear" w:color="auto" w:fill="D0CECE"/>
          </w:tcPr>
          <w:p w14:paraId="4F93E001" w14:textId="77777777" w:rsidR="00E75304" w:rsidRDefault="00E75304" w:rsidP="006C555F">
            <w:pPr>
              <w:pStyle w:val="TableTextLeft"/>
            </w:pPr>
            <w:r>
              <w:t>Regulated prices and supporting regulatory arrangements should facilitate the efficient recovery of the prudent and efficient costs of investment and operation.</w:t>
            </w:r>
            <w:r w:rsidR="00E6005B">
              <w:t xml:space="preserve"> </w:t>
            </w:r>
            <w:r>
              <w:t xml:space="preserve">The finance recovery aspect of this principle is often described as ensuring revenue adequacy or financial viability. </w:t>
            </w:r>
          </w:p>
          <w:p w14:paraId="7705710F" w14:textId="1B200757" w:rsidR="00E75304" w:rsidRPr="0051604C" w:rsidRDefault="00E75304" w:rsidP="006C555F">
            <w:pPr>
              <w:pStyle w:val="TableTextLeft"/>
            </w:pPr>
            <w:r>
              <w:t>Costs also need to be efficient</w:t>
            </w:r>
            <w:r w:rsidR="00DE10C7">
              <w:t>,</w:t>
            </w:r>
            <w:r>
              <w:t xml:space="preserve"> which is primarily addressed by auditing a</w:t>
            </w:r>
            <w:r w:rsidRPr="002636EF">
              <w:t>nd incentive</w:t>
            </w:r>
            <w:r w:rsidR="00D734FB">
              <w:t>-sharing</w:t>
            </w:r>
            <w:r w:rsidRPr="002636EF">
              <w:t xml:space="preserve"> mec</w:t>
            </w:r>
            <w:r>
              <w:t>hanisms.</w:t>
            </w:r>
          </w:p>
        </w:tc>
      </w:tr>
      <w:tr w:rsidR="00E75304" w:rsidRPr="00144F8C" w14:paraId="3C87131D" w14:textId="77777777" w:rsidTr="00E6005B">
        <w:trPr>
          <w:cantSplit/>
          <w:trHeight w:val="461"/>
        </w:trPr>
        <w:tc>
          <w:tcPr>
            <w:tcW w:w="806" w:type="pct"/>
            <w:tcBorders>
              <w:top w:val="nil"/>
              <w:left w:val="nil"/>
              <w:bottom w:val="nil"/>
              <w:right w:val="nil"/>
            </w:tcBorders>
            <w:shd w:val="clear" w:color="auto" w:fill="FBE4D5"/>
          </w:tcPr>
          <w:p w14:paraId="77C28B2C" w14:textId="77777777" w:rsidR="00E75304" w:rsidRPr="000B2173" w:rsidRDefault="00E75304" w:rsidP="006C555F">
            <w:pPr>
              <w:pStyle w:val="TableTextLeft"/>
              <w:jc w:val="right"/>
              <w:rPr>
                <w:b/>
              </w:rPr>
            </w:pPr>
            <w:r>
              <w:rPr>
                <w:b/>
              </w:rPr>
              <w:t>3</w:t>
            </w:r>
          </w:p>
        </w:tc>
        <w:tc>
          <w:tcPr>
            <w:tcW w:w="1184" w:type="pct"/>
            <w:tcBorders>
              <w:top w:val="nil"/>
              <w:left w:val="nil"/>
              <w:bottom w:val="nil"/>
              <w:right w:val="nil"/>
            </w:tcBorders>
            <w:shd w:val="clear" w:color="auto" w:fill="FBE4D5"/>
          </w:tcPr>
          <w:p w14:paraId="7D621A1B" w14:textId="77777777" w:rsidR="00E75304" w:rsidRPr="001E56D3" w:rsidRDefault="00E75304" w:rsidP="006C555F">
            <w:pPr>
              <w:pStyle w:val="TableTextLeft"/>
              <w:rPr>
                <w:b/>
              </w:rPr>
            </w:pPr>
            <w:r>
              <w:rPr>
                <w:b/>
              </w:rPr>
              <w:t>Environmental considerations</w:t>
            </w:r>
          </w:p>
        </w:tc>
        <w:tc>
          <w:tcPr>
            <w:tcW w:w="3010" w:type="pct"/>
            <w:tcBorders>
              <w:top w:val="nil"/>
              <w:left w:val="nil"/>
              <w:bottom w:val="nil"/>
              <w:right w:val="nil"/>
            </w:tcBorders>
            <w:shd w:val="clear" w:color="auto" w:fill="FBE4D5"/>
          </w:tcPr>
          <w:p w14:paraId="37907937" w14:textId="77777777" w:rsidR="00E75304" w:rsidRPr="00B40AA3" w:rsidRDefault="00E75304" w:rsidP="00310773">
            <w:pPr>
              <w:pStyle w:val="TableTextLeft"/>
            </w:pPr>
            <w:r>
              <w:t>Regulated</w:t>
            </w:r>
            <w:r w:rsidRPr="00C159FF">
              <w:t xml:space="preserve"> prices </w:t>
            </w:r>
            <w:r>
              <w:t xml:space="preserve">and complementary mechanisms should ensure </w:t>
            </w:r>
            <w:r w:rsidR="00DE10C7">
              <w:t xml:space="preserve">that </w:t>
            </w:r>
            <w:r>
              <w:t xml:space="preserve">environmental objectives are effectively addressed. </w:t>
            </w:r>
          </w:p>
        </w:tc>
      </w:tr>
      <w:tr w:rsidR="00E75304" w:rsidRPr="00144F8C" w14:paraId="40C4EF24" w14:textId="77777777" w:rsidTr="00E6005B">
        <w:trPr>
          <w:cantSplit/>
          <w:trHeight w:val="667"/>
        </w:trPr>
        <w:tc>
          <w:tcPr>
            <w:tcW w:w="806" w:type="pct"/>
            <w:tcBorders>
              <w:top w:val="nil"/>
              <w:left w:val="nil"/>
              <w:bottom w:val="nil"/>
              <w:right w:val="nil"/>
            </w:tcBorders>
            <w:shd w:val="clear" w:color="auto" w:fill="D9E2F3"/>
          </w:tcPr>
          <w:p w14:paraId="24F51B19" w14:textId="77777777" w:rsidR="00E75304" w:rsidRPr="000B2173" w:rsidRDefault="00E75304" w:rsidP="006C555F">
            <w:pPr>
              <w:pStyle w:val="TableTextLeft"/>
              <w:jc w:val="right"/>
              <w:rPr>
                <w:b/>
              </w:rPr>
            </w:pPr>
            <w:r>
              <w:rPr>
                <w:b/>
              </w:rPr>
              <w:t>4</w:t>
            </w:r>
          </w:p>
        </w:tc>
        <w:tc>
          <w:tcPr>
            <w:tcW w:w="1184" w:type="pct"/>
            <w:tcBorders>
              <w:top w:val="nil"/>
              <w:left w:val="nil"/>
              <w:bottom w:val="nil"/>
              <w:right w:val="nil"/>
            </w:tcBorders>
            <w:shd w:val="clear" w:color="auto" w:fill="D9E2F3"/>
          </w:tcPr>
          <w:p w14:paraId="6A1D6692" w14:textId="77777777" w:rsidR="00E75304" w:rsidRPr="00D255AE" w:rsidRDefault="00E75304" w:rsidP="006C555F">
            <w:pPr>
              <w:pStyle w:val="TableTextLeft"/>
              <w:rPr>
                <w:b/>
              </w:rPr>
            </w:pPr>
            <w:r w:rsidRPr="00D255AE">
              <w:rPr>
                <w:b/>
              </w:rPr>
              <w:t xml:space="preserve">Community impact </w:t>
            </w:r>
            <w:r>
              <w:rPr>
                <w:b/>
              </w:rPr>
              <w:t>–</w:t>
            </w:r>
            <w:r w:rsidRPr="00D255AE">
              <w:rPr>
                <w:b/>
              </w:rPr>
              <w:t xml:space="preserve"> </w:t>
            </w:r>
            <w:r>
              <w:rPr>
                <w:b/>
              </w:rPr>
              <w:t xml:space="preserve">gradual adjustment </w:t>
            </w:r>
          </w:p>
        </w:tc>
        <w:tc>
          <w:tcPr>
            <w:tcW w:w="3010" w:type="pct"/>
            <w:tcBorders>
              <w:top w:val="nil"/>
              <w:left w:val="nil"/>
              <w:bottom w:val="nil"/>
              <w:right w:val="nil"/>
            </w:tcBorders>
            <w:shd w:val="clear" w:color="auto" w:fill="D9E2F3"/>
          </w:tcPr>
          <w:p w14:paraId="04F4DCBD" w14:textId="77777777" w:rsidR="00E75304" w:rsidRPr="00B40AA3" w:rsidRDefault="00E75304" w:rsidP="00310773">
            <w:pPr>
              <w:pStyle w:val="TableTextLeft"/>
            </w:pPr>
            <w:r>
              <w:t>Any change to prices or other regulatory arrangements that will have substantial customer impacts should be phased in over a transition period to allow reasonable time for customers to adjust to the change.</w:t>
            </w:r>
          </w:p>
        </w:tc>
      </w:tr>
      <w:tr w:rsidR="00E75304" w:rsidRPr="00144F8C" w14:paraId="53486B83" w14:textId="77777777" w:rsidTr="00E6005B">
        <w:trPr>
          <w:cantSplit/>
          <w:trHeight w:val="878"/>
        </w:trPr>
        <w:tc>
          <w:tcPr>
            <w:tcW w:w="806" w:type="pct"/>
            <w:tcBorders>
              <w:top w:val="nil"/>
              <w:left w:val="nil"/>
              <w:bottom w:val="nil"/>
              <w:right w:val="nil"/>
            </w:tcBorders>
            <w:shd w:val="clear" w:color="auto" w:fill="D9E2F3"/>
          </w:tcPr>
          <w:p w14:paraId="5E16FF8F" w14:textId="77777777" w:rsidR="00E75304" w:rsidRPr="000B2173" w:rsidRDefault="00E75304" w:rsidP="006C555F">
            <w:pPr>
              <w:pStyle w:val="TableTextLeft"/>
              <w:jc w:val="right"/>
              <w:rPr>
                <w:b/>
              </w:rPr>
            </w:pPr>
            <w:r>
              <w:rPr>
                <w:b/>
              </w:rPr>
              <w:t>5</w:t>
            </w:r>
          </w:p>
        </w:tc>
        <w:tc>
          <w:tcPr>
            <w:tcW w:w="1184" w:type="pct"/>
            <w:tcBorders>
              <w:top w:val="nil"/>
              <w:left w:val="nil"/>
              <w:bottom w:val="nil"/>
              <w:right w:val="nil"/>
            </w:tcBorders>
            <w:shd w:val="clear" w:color="auto" w:fill="D9E2F3"/>
          </w:tcPr>
          <w:p w14:paraId="3356F5BB" w14:textId="77777777" w:rsidR="00E75304" w:rsidRPr="00D255AE" w:rsidRDefault="00E75304" w:rsidP="00FB346F">
            <w:pPr>
              <w:pStyle w:val="TableTextLeft"/>
              <w:rPr>
                <w:b/>
              </w:rPr>
            </w:pPr>
            <w:r w:rsidRPr="00D255AE">
              <w:rPr>
                <w:b/>
              </w:rPr>
              <w:t xml:space="preserve">Community impact </w:t>
            </w:r>
            <w:r>
              <w:rPr>
                <w:b/>
              </w:rPr>
              <w:t>–</w:t>
            </w:r>
            <w:r w:rsidRPr="00D255AE">
              <w:rPr>
                <w:b/>
              </w:rPr>
              <w:t xml:space="preserve"> </w:t>
            </w:r>
            <w:r>
              <w:rPr>
                <w:b/>
              </w:rPr>
              <w:t>fair outcomes for low</w:t>
            </w:r>
            <w:r w:rsidR="00DE10C7">
              <w:rPr>
                <w:b/>
              </w:rPr>
              <w:t>-</w:t>
            </w:r>
            <w:r>
              <w:rPr>
                <w:b/>
              </w:rPr>
              <w:t>income households</w:t>
            </w:r>
          </w:p>
        </w:tc>
        <w:tc>
          <w:tcPr>
            <w:tcW w:w="3010" w:type="pct"/>
            <w:tcBorders>
              <w:top w:val="nil"/>
              <w:left w:val="nil"/>
              <w:bottom w:val="nil"/>
              <w:right w:val="nil"/>
            </w:tcBorders>
            <w:shd w:val="clear" w:color="auto" w:fill="D9E2F3"/>
          </w:tcPr>
          <w:p w14:paraId="2A1DC62D" w14:textId="77777777" w:rsidR="00E75304" w:rsidRPr="00B40AA3" w:rsidRDefault="00E75304" w:rsidP="006C555F">
            <w:pPr>
              <w:pStyle w:val="TableTextLeft"/>
            </w:pPr>
            <w:r>
              <w:t>Adverse impacts on households with low incomes need to be limited or moderated by phasing and other compensating mechanisms or limits on changes to regulated prices or other regulatory arrangements.</w:t>
            </w:r>
          </w:p>
        </w:tc>
      </w:tr>
      <w:tr w:rsidR="00E75304" w:rsidRPr="00144F8C" w14:paraId="72DBAC85" w14:textId="77777777" w:rsidTr="00E6005B">
        <w:trPr>
          <w:cantSplit/>
          <w:trHeight w:val="423"/>
        </w:trPr>
        <w:tc>
          <w:tcPr>
            <w:tcW w:w="806" w:type="pct"/>
            <w:tcBorders>
              <w:top w:val="nil"/>
              <w:left w:val="nil"/>
              <w:bottom w:val="nil"/>
              <w:right w:val="nil"/>
            </w:tcBorders>
            <w:shd w:val="clear" w:color="auto" w:fill="E2EFD9"/>
          </w:tcPr>
          <w:p w14:paraId="1C515F27" w14:textId="77777777" w:rsidR="00E75304" w:rsidRPr="000B2173" w:rsidRDefault="00E75304" w:rsidP="006C555F">
            <w:pPr>
              <w:pStyle w:val="TableTextLeft"/>
              <w:jc w:val="right"/>
              <w:rPr>
                <w:b/>
              </w:rPr>
            </w:pPr>
            <w:r>
              <w:rPr>
                <w:b/>
              </w:rPr>
              <w:t>6</w:t>
            </w:r>
          </w:p>
        </w:tc>
        <w:tc>
          <w:tcPr>
            <w:tcW w:w="1184" w:type="pct"/>
            <w:tcBorders>
              <w:top w:val="nil"/>
              <w:left w:val="nil"/>
              <w:bottom w:val="nil"/>
              <w:right w:val="nil"/>
            </w:tcBorders>
            <w:shd w:val="clear" w:color="auto" w:fill="E2EFD9"/>
          </w:tcPr>
          <w:p w14:paraId="78BC177B" w14:textId="77777777" w:rsidR="00E75304" w:rsidRPr="00912C28" w:rsidRDefault="009D5F28" w:rsidP="009D5F28">
            <w:pPr>
              <w:pStyle w:val="TableTextLeft"/>
              <w:rPr>
                <w:b/>
              </w:rPr>
            </w:pPr>
            <w:r>
              <w:rPr>
                <w:b/>
              </w:rPr>
              <w:t xml:space="preserve">Regulatory governance – simplicity </w:t>
            </w:r>
          </w:p>
        </w:tc>
        <w:tc>
          <w:tcPr>
            <w:tcW w:w="3010" w:type="pct"/>
            <w:tcBorders>
              <w:top w:val="nil"/>
              <w:left w:val="nil"/>
              <w:bottom w:val="nil"/>
              <w:right w:val="nil"/>
            </w:tcBorders>
            <w:shd w:val="clear" w:color="auto" w:fill="E2EFD9"/>
          </w:tcPr>
          <w:p w14:paraId="62DDD25A" w14:textId="77777777" w:rsidR="00E75304" w:rsidRPr="00B40AA3" w:rsidRDefault="00E75304" w:rsidP="00310773">
            <w:pPr>
              <w:pStyle w:val="TableTextLeft"/>
            </w:pPr>
            <w:r>
              <w:t>Regulated prices and their form should be simple for customers to understand and straightforward for the utility to implement.</w:t>
            </w:r>
          </w:p>
        </w:tc>
      </w:tr>
      <w:tr w:rsidR="00E75304" w:rsidRPr="00144F8C" w14:paraId="71EFCC3C" w14:textId="77777777" w:rsidTr="00E6005B">
        <w:trPr>
          <w:cantSplit/>
          <w:trHeight w:val="360"/>
        </w:trPr>
        <w:tc>
          <w:tcPr>
            <w:tcW w:w="806" w:type="pct"/>
            <w:tcBorders>
              <w:top w:val="nil"/>
              <w:left w:val="nil"/>
              <w:bottom w:val="single" w:sz="12" w:space="0" w:color="44546A"/>
              <w:right w:val="nil"/>
            </w:tcBorders>
            <w:shd w:val="clear" w:color="auto" w:fill="E2EFD9"/>
          </w:tcPr>
          <w:p w14:paraId="707664BF" w14:textId="77777777" w:rsidR="00E75304" w:rsidRPr="000B2173" w:rsidRDefault="00E75304" w:rsidP="006C555F">
            <w:pPr>
              <w:pStyle w:val="TableTextLeft"/>
              <w:jc w:val="right"/>
              <w:rPr>
                <w:b/>
              </w:rPr>
            </w:pPr>
            <w:r>
              <w:rPr>
                <w:b/>
              </w:rPr>
              <w:t>7</w:t>
            </w:r>
          </w:p>
        </w:tc>
        <w:tc>
          <w:tcPr>
            <w:tcW w:w="1184" w:type="pct"/>
            <w:tcBorders>
              <w:top w:val="nil"/>
              <w:left w:val="nil"/>
              <w:bottom w:val="single" w:sz="12" w:space="0" w:color="44546A"/>
              <w:right w:val="nil"/>
            </w:tcBorders>
            <w:shd w:val="clear" w:color="auto" w:fill="E2EFD9"/>
          </w:tcPr>
          <w:p w14:paraId="0903EC1A" w14:textId="77777777" w:rsidR="00E75304" w:rsidRPr="00D255AE" w:rsidRDefault="009D5F28" w:rsidP="009D5F28">
            <w:pPr>
              <w:pStyle w:val="TableTextLeft"/>
              <w:rPr>
                <w:b/>
              </w:rPr>
            </w:pPr>
            <w:r>
              <w:rPr>
                <w:b/>
              </w:rPr>
              <w:t>Regulatory governance – t</w:t>
            </w:r>
            <w:r w:rsidRPr="00D255AE">
              <w:rPr>
                <w:b/>
              </w:rPr>
              <w:t>ransparency</w:t>
            </w:r>
          </w:p>
        </w:tc>
        <w:tc>
          <w:tcPr>
            <w:tcW w:w="3010" w:type="pct"/>
            <w:tcBorders>
              <w:top w:val="nil"/>
              <w:left w:val="nil"/>
              <w:bottom w:val="single" w:sz="12" w:space="0" w:color="44546A"/>
              <w:right w:val="nil"/>
            </w:tcBorders>
            <w:shd w:val="clear" w:color="auto" w:fill="E2EFD9"/>
          </w:tcPr>
          <w:p w14:paraId="76854688" w14:textId="77777777" w:rsidR="00E75304" w:rsidRPr="00B40AA3" w:rsidRDefault="00E75304" w:rsidP="006C555F">
            <w:pPr>
              <w:pStyle w:val="TableTextLeft"/>
            </w:pPr>
            <w:r>
              <w:t>Regulated prices should be set using a transparent methodology and subject to public consultation and scrutiny.</w:t>
            </w:r>
          </w:p>
        </w:tc>
      </w:tr>
    </w:tbl>
    <w:p w14:paraId="177B0B51" w14:textId="77777777" w:rsidR="00970019" w:rsidRDefault="00AF7B19" w:rsidP="00E6005B">
      <w:pPr>
        <w:pStyle w:val="Heading3a"/>
        <w:spacing w:before="360"/>
      </w:pPr>
      <w:bookmarkStart w:id="69" w:name="_Toc468175207"/>
      <w:bookmarkStart w:id="70" w:name="_Toc343608059"/>
      <w:r>
        <w:t>2.4</w:t>
      </w:r>
      <w:r w:rsidR="006C555F">
        <w:t>.2</w:t>
      </w:r>
      <w:r w:rsidR="006C555F">
        <w:tab/>
        <w:t>Explanation of the principles</w:t>
      </w:r>
      <w:bookmarkEnd w:id="69"/>
      <w:bookmarkEnd w:id="70"/>
    </w:p>
    <w:p w14:paraId="666DDD18" w14:textId="6B09E7B7" w:rsidR="006C555F" w:rsidRDefault="006C555F" w:rsidP="006C555F">
      <w:r>
        <w:t>As already noted, the Commission is required to set prices that address a number of potentially conflicting objectives.</w:t>
      </w:r>
      <w:r w:rsidR="00E6005B">
        <w:t xml:space="preserve"> </w:t>
      </w:r>
      <w:r>
        <w:t xml:space="preserve">The recent inclusion of </w:t>
      </w:r>
      <w:r w:rsidR="00DE10C7">
        <w:t>s</w:t>
      </w:r>
      <w:r>
        <w:t>ection 19L in the ICRC Act assists in clarifying objectives and priorities.</w:t>
      </w:r>
      <w:r w:rsidR="00E6005B">
        <w:t xml:space="preserve"> </w:t>
      </w:r>
      <w:r>
        <w:t>It highlights the importance of all the main aspects of economic efficiency</w:t>
      </w:r>
      <w:r w:rsidR="009D5F28">
        <w:t xml:space="preserve"> for</w:t>
      </w:r>
      <w:r>
        <w:t xml:space="preserve"> the long</w:t>
      </w:r>
      <w:r w:rsidR="00DE10C7">
        <w:t>-</w:t>
      </w:r>
      <w:r>
        <w:t>term interests of consumers.</w:t>
      </w:r>
      <w:r w:rsidR="00E6005B">
        <w:t xml:space="preserve"> </w:t>
      </w:r>
    </w:p>
    <w:p w14:paraId="1FC7C42D" w14:textId="77777777" w:rsidR="006C555F" w:rsidRDefault="006C555F" w:rsidP="006C555F">
      <w:r>
        <w:lastRenderedPageBreak/>
        <w:t>The focus on economic efficiency is consistent with the starting point for economics in evaluating virtually all government policies and regulatory decisions.</w:t>
      </w:r>
      <w:r w:rsidR="00E6005B">
        <w:t xml:space="preserve"> </w:t>
      </w:r>
      <w:r>
        <w:t xml:space="preserve">It is consistent with how decisions are made </w:t>
      </w:r>
      <w:r w:rsidR="00DE10C7">
        <w:t>about</w:t>
      </w:r>
      <w:r>
        <w:t xml:space="preserve"> economic regulation in other sectors and other jurisdictions.</w:t>
      </w:r>
      <w:r w:rsidR="00E6005B">
        <w:t xml:space="preserve"> </w:t>
      </w:r>
      <w:r>
        <w:t xml:space="preserve">However, the approach of the Commission (and many other regulators) is to pursue economic efficiency </w:t>
      </w:r>
      <w:r w:rsidR="00CD3EC3">
        <w:t>while also giving</w:t>
      </w:r>
      <w:r>
        <w:t xml:space="preserve"> due consideration to social, environmental and other specific objectives.</w:t>
      </w:r>
      <w:r w:rsidR="00E6005B">
        <w:t xml:space="preserve"> </w:t>
      </w:r>
    </w:p>
    <w:p w14:paraId="4DBDBFC0" w14:textId="77777777" w:rsidR="006C555F" w:rsidRDefault="006C555F" w:rsidP="006C555F">
      <w:r>
        <w:t>To help ensure that the final outcome is well understood and broadly accepted by the community, the Commission endeavours to consult thoroughly and make its recommendations as simple as possible and the reasoning for those recommendations as transparent as possible.</w:t>
      </w:r>
      <w:r w:rsidR="00E6005B">
        <w:t xml:space="preserve"> </w:t>
      </w:r>
      <w:r>
        <w:t>In this respect</w:t>
      </w:r>
      <w:r w:rsidR="00C3790C">
        <w:t>,</w:t>
      </w:r>
      <w:r>
        <w:t xml:space="preserve"> two of the pricing principles relate to simplicity and transparency.</w:t>
      </w:r>
    </w:p>
    <w:p w14:paraId="0371F495" w14:textId="77777777" w:rsidR="006C555F" w:rsidRPr="00707C55" w:rsidRDefault="006C555F" w:rsidP="006C555F">
      <w:pPr>
        <w:pStyle w:val="Heading4"/>
      </w:pPr>
      <w:r w:rsidRPr="00707C55">
        <w:t>Pricing principle 1</w:t>
      </w:r>
      <w:r w:rsidR="00CD3EC3">
        <w:t>:</w:t>
      </w:r>
      <w:r w:rsidRPr="00707C55">
        <w:t xml:space="preserve"> Economic efficiency in use</w:t>
      </w:r>
    </w:p>
    <w:p w14:paraId="0EDB7629" w14:textId="77777777" w:rsidR="0061548A" w:rsidRDefault="0061548A" w:rsidP="0061548A">
      <w:r w:rsidRPr="00F86C49">
        <w:rPr>
          <w:i/>
        </w:rPr>
        <w:t>The overarching efficiency objective leads to the first proposed pricing principle that tariff structures and prices should promote the economically efficient use of Icon Water</w:t>
      </w:r>
      <w:r>
        <w:rPr>
          <w:i/>
        </w:rPr>
        <w:t>’</w:t>
      </w:r>
      <w:r w:rsidRPr="00F86C49">
        <w:rPr>
          <w:i/>
        </w:rPr>
        <w:t>s water and sewerage services infrastructure, and should also encourage economically efficient use of the water resource itself.</w:t>
      </w:r>
      <w:r>
        <w:t xml:space="preserve"> </w:t>
      </w:r>
    </w:p>
    <w:p w14:paraId="0A7BB6E2" w14:textId="77777777" w:rsidR="006C555F" w:rsidRDefault="006C555F" w:rsidP="006C555F">
      <w:r>
        <w:t>This principle reflects the fundamental economic proposition that the community as a whole will benefit if the usage component of a tariff is based on the additional social costs that are incurred as a result of using an additional unit of water.</w:t>
      </w:r>
      <w:r w:rsidR="00E6005B">
        <w:t xml:space="preserve"> </w:t>
      </w:r>
      <w:r>
        <w:t>The social costs in this case need to be defined to include the value of additional water use</w:t>
      </w:r>
      <w:r w:rsidR="002F30CF">
        <w:t>,</w:t>
      </w:r>
      <w:r>
        <w:t xml:space="preserve"> including the impact if less water is available for future use. </w:t>
      </w:r>
    </w:p>
    <w:p w14:paraId="4723AAA2" w14:textId="1882409E" w:rsidR="006C555F" w:rsidRPr="0095488C" w:rsidRDefault="006C555F" w:rsidP="006C555F">
      <w:r>
        <w:t xml:space="preserve">In addition, the tariff structure and tariff levels may create a risk of uneconomic bypass where a large user is able to </w:t>
      </w:r>
      <w:r w:rsidR="00CD3EC3">
        <w:t xml:space="preserve">access </w:t>
      </w:r>
      <w:r>
        <w:t>a lower priced alternative source of supply</w:t>
      </w:r>
      <w:r w:rsidR="00CD3EC3">
        <w:t>,</w:t>
      </w:r>
      <w:r>
        <w:t xml:space="preserve"> but one which is in fact</w:t>
      </w:r>
      <w:r w:rsidR="00CD3EC3">
        <w:t xml:space="preserve"> of</w:t>
      </w:r>
      <w:r>
        <w:t xml:space="preserve"> higher cost than the efficient costs of th</w:t>
      </w:r>
      <w:r w:rsidR="000539BF">
        <w:t>e regulated natural monopoly.</w:t>
      </w:r>
      <w:r w:rsidR="00E6005B">
        <w:t xml:space="preserve"> </w:t>
      </w:r>
      <w:r>
        <w:t>This effect means both inefficient use and higher cost of supply</w:t>
      </w:r>
      <w:r w:rsidR="00CD3EC3">
        <w:t>,</w:t>
      </w:r>
      <w:r>
        <w:t xml:space="preserve"> which is an aspect of principle 2.</w:t>
      </w:r>
    </w:p>
    <w:p w14:paraId="3E55DAF9" w14:textId="77777777" w:rsidR="006C555F" w:rsidRDefault="006C555F" w:rsidP="006C555F">
      <w:pPr>
        <w:pStyle w:val="Heading4"/>
      </w:pPr>
      <w:r w:rsidRPr="0095488C">
        <w:t>Pricing principle 2</w:t>
      </w:r>
      <w:r w:rsidR="00CD3EC3">
        <w:t>:</w:t>
      </w:r>
      <w:r w:rsidRPr="0095488C">
        <w:t xml:space="preserve"> Economic efficiency for investment and operation</w:t>
      </w:r>
    </w:p>
    <w:p w14:paraId="7EBE5F4A" w14:textId="29C79CC6" w:rsidR="006C555F" w:rsidRDefault="0061548A" w:rsidP="006C555F">
      <w:r w:rsidRPr="00F86C49">
        <w:rPr>
          <w:i/>
        </w:rPr>
        <w:t>The second pricing principle is that tariff structures should facilitate the efficient recovery of the prudent and efficient costs of investment and operation.</w:t>
      </w:r>
      <w:r>
        <w:t xml:space="preserve"> </w:t>
      </w:r>
      <w:r w:rsidR="006C555F">
        <w:t xml:space="preserve"> </w:t>
      </w:r>
    </w:p>
    <w:p w14:paraId="7723AC52" w14:textId="77777777" w:rsidR="006C555F" w:rsidRDefault="00CD3EC3" w:rsidP="006C555F">
      <w:r>
        <w:t>The principle covers</w:t>
      </w:r>
      <w:r w:rsidR="006C555F">
        <w:t xml:space="preserve"> two aspects of economic efficiency.</w:t>
      </w:r>
      <w:r w:rsidR="00E6005B">
        <w:t xml:space="preserve"> </w:t>
      </w:r>
      <w:r w:rsidR="006C555F">
        <w:t>First</w:t>
      </w:r>
      <w:r w:rsidR="007E1A66">
        <w:t>,</w:t>
      </w:r>
      <w:r w:rsidR="006C555F">
        <w:t xml:space="preserve"> overall revenue needs to be sufficient to finance the costs</w:t>
      </w:r>
      <w:r w:rsidR="00616A78">
        <w:t xml:space="preserve"> of operation and investment.</w:t>
      </w:r>
      <w:r w:rsidR="00E6005B">
        <w:t xml:space="preserve"> </w:t>
      </w:r>
      <w:r w:rsidR="006C555F">
        <w:t>If this is not the case</w:t>
      </w:r>
      <w:r>
        <w:t>,</w:t>
      </w:r>
      <w:r w:rsidR="006C555F">
        <w:t xml:space="preserve"> efficient investment may not occur</w:t>
      </w:r>
      <w:r>
        <w:t>,</w:t>
      </w:r>
      <w:r w:rsidR="006C555F">
        <w:t xml:space="preserve"> which could have a major adverse impact on services.</w:t>
      </w:r>
      <w:r w:rsidR="00E6005B">
        <w:t xml:space="preserve"> </w:t>
      </w:r>
      <w:r w:rsidR="00CC026C">
        <w:t>The finance recovery aspect of this principle is often described as ensuring revenue adequacy or financial viability.</w:t>
      </w:r>
    </w:p>
    <w:p w14:paraId="2E96B0F0" w14:textId="77777777" w:rsidR="006C555F" w:rsidRDefault="006C555F" w:rsidP="006C555F">
      <w:r>
        <w:t>Second</w:t>
      </w:r>
      <w:r w:rsidR="007E1A66">
        <w:t>,</w:t>
      </w:r>
      <w:r>
        <w:t xml:space="preserve"> the cost of investment and operations expenditure need</w:t>
      </w:r>
      <w:r w:rsidR="000539BF">
        <w:t>s</w:t>
      </w:r>
      <w:r>
        <w:t xml:space="preserve"> to be efficient </w:t>
      </w:r>
      <w:r w:rsidR="00C575CD">
        <w:t>– that is,</w:t>
      </w:r>
      <w:r>
        <w:t xml:space="preserve"> investment and operations should occur at the lowest cost possible to provide the defined desirable services.</w:t>
      </w:r>
      <w:r w:rsidR="00E6005B">
        <w:t xml:space="preserve"> </w:t>
      </w:r>
      <w:r>
        <w:t>Other regulatory mechanisms (auditing and incentive</w:t>
      </w:r>
      <w:r w:rsidR="00C575CD">
        <w:t>-</w:t>
      </w:r>
      <w:r>
        <w:t>sharing mechanisms) are the major means of addressing this objective</w:t>
      </w:r>
      <w:r w:rsidR="00C575CD">
        <w:t>;</w:t>
      </w:r>
      <w:r>
        <w:t xml:space="preserve"> however, the </w:t>
      </w:r>
      <w:r>
        <w:lastRenderedPageBreak/>
        <w:t>structure of the tariff</w:t>
      </w:r>
      <w:r w:rsidR="00CC026C">
        <w:t xml:space="preserve"> or other form of regulation</w:t>
      </w:r>
      <w:r>
        <w:t xml:space="preserve"> and</w:t>
      </w:r>
      <w:r w:rsidR="00CC026C">
        <w:t>,</w:t>
      </w:r>
      <w:r>
        <w:t xml:space="preserve"> in particular</w:t>
      </w:r>
      <w:r w:rsidR="00CC026C">
        <w:t>,</w:t>
      </w:r>
      <w:r>
        <w:t xml:space="preserve"> the extent to which revenues are guaranteed</w:t>
      </w:r>
      <w:r w:rsidR="005B1FD7">
        <w:t>,</w:t>
      </w:r>
      <w:r>
        <w:t xml:space="preserve"> may </w:t>
      </w:r>
      <w:r w:rsidR="00C575CD">
        <w:t>affect</w:t>
      </w:r>
      <w:r>
        <w:t xml:space="preserve"> this aspect of economic efficiency.</w:t>
      </w:r>
      <w:r w:rsidR="00E6005B">
        <w:t xml:space="preserve"> </w:t>
      </w:r>
    </w:p>
    <w:p w14:paraId="660EB76F" w14:textId="760B6EFF" w:rsidR="006C555F" w:rsidRDefault="006C555F" w:rsidP="006C555F">
      <w:pPr>
        <w:pStyle w:val="Heading4"/>
      </w:pPr>
      <w:r w:rsidRPr="0095488C">
        <w:t xml:space="preserve">Pricing principle </w:t>
      </w:r>
      <w:r>
        <w:t>3</w:t>
      </w:r>
      <w:r w:rsidR="00CD3EC3">
        <w:t>:</w:t>
      </w:r>
      <w:r w:rsidRPr="0095488C">
        <w:t xml:space="preserve"> E</w:t>
      </w:r>
      <w:r>
        <w:t>nvironmental considerations</w:t>
      </w:r>
    </w:p>
    <w:p w14:paraId="55B132A2" w14:textId="77777777" w:rsidR="0061548A" w:rsidRDefault="0061548A" w:rsidP="0061548A">
      <w:r w:rsidRPr="005E7986">
        <w:rPr>
          <w:i/>
        </w:rPr>
        <w:t xml:space="preserve">Tariff structures, prices and complementary mechanisms should ensure </w:t>
      </w:r>
      <w:r>
        <w:rPr>
          <w:i/>
        </w:rPr>
        <w:t xml:space="preserve">that </w:t>
      </w:r>
      <w:r w:rsidRPr="005E7986">
        <w:rPr>
          <w:i/>
        </w:rPr>
        <w:t>environmental objectives are effectively addressed.</w:t>
      </w:r>
      <w:r>
        <w:t xml:space="preserve"> </w:t>
      </w:r>
    </w:p>
    <w:p w14:paraId="5FF0545D" w14:textId="77777777" w:rsidR="006C555F" w:rsidRDefault="006C555F" w:rsidP="006C555F">
      <w:r>
        <w:t>Some environmental impacts can be reflected in prices</w:t>
      </w:r>
      <w:r w:rsidR="00C575CD">
        <w:t>,</w:t>
      </w:r>
      <w:r>
        <w:t xml:space="preserve"> but </w:t>
      </w:r>
      <w:r w:rsidR="00BD332F">
        <w:t>typically</w:t>
      </w:r>
      <w:r>
        <w:t xml:space="preserve"> environmental objectives are primarily addressed by specific legislated and government policy requirements.</w:t>
      </w:r>
      <w:r w:rsidR="00E6005B">
        <w:t xml:space="preserve"> </w:t>
      </w:r>
      <w:r>
        <w:t xml:space="preserve">This includes giving priority to </w:t>
      </w:r>
      <w:r w:rsidR="006359A6">
        <w:t>designated</w:t>
      </w:r>
      <w:r>
        <w:t xml:space="preserve"> environmental flows and various permanent and temporary water conservation measures or restrictions.</w:t>
      </w:r>
    </w:p>
    <w:p w14:paraId="21E15EC9" w14:textId="77777777" w:rsidR="006C555F" w:rsidRDefault="006C555F" w:rsidP="006C555F">
      <w:pPr>
        <w:pStyle w:val="Heading4"/>
      </w:pPr>
      <w:r w:rsidRPr="0095488C">
        <w:t xml:space="preserve">Pricing principle </w:t>
      </w:r>
      <w:r>
        <w:t>4</w:t>
      </w:r>
      <w:r w:rsidR="00CD3EC3">
        <w:t>:</w:t>
      </w:r>
      <w:r w:rsidRPr="0095488C">
        <w:t xml:space="preserve"> </w:t>
      </w:r>
      <w:r>
        <w:t xml:space="preserve">Community impact – </w:t>
      </w:r>
      <w:r w:rsidR="00FB346F">
        <w:t xml:space="preserve">gradual </w:t>
      </w:r>
      <w:r>
        <w:t>adjustment</w:t>
      </w:r>
    </w:p>
    <w:p w14:paraId="597EBAAA" w14:textId="77777777" w:rsidR="0061548A" w:rsidRDefault="0061548A" w:rsidP="0061548A">
      <w:r w:rsidRPr="005E7986">
        <w:rPr>
          <w:i/>
        </w:rPr>
        <w:t>Any change to the structure of tariffs and prices that will have substantial customer impacts should be phased in over a transition period to allow reasonable time for customers to adjust to the change.</w:t>
      </w:r>
      <w:r>
        <w:t xml:space="preserve"> </w:t>
      </w:r>
    </w:p>
    <w:p w14:paraId="75665875" w14:textId="77777777" w:rsidR="006C555F" w:rsidRDefault="006C555F" w:rsidP="006C555F">
      <w:r>
        <w:t xml:space="preserve">Customers prefer price stability </w:t>
      </w:r>
      <w:r w:rsidR="00C575CD">
        <w:t>in</w:t>
      </w:r>
      <w:r>
        <w:t xml:space="preserve"> the overall bill</w:t>
      </w:r>
      <w:r w:rsidR="00C575CD">
        <w:t>s</w:t>
      </w:r>
      <w:r>
        <w:t xml:space="preserve"> they face.</w:t>
      </w:r>
      <w:r w:rsidR="00E6005B">
        <w:t xml:space="preserve"> </w:t>
      </w:r>
      <w:r>
        <w:t>An appropriate transition period</w:t>
      </w:r>
      <w:r w:rsidR="00C575CD">
        <w:t xml:space="preserve"> for any</w:t>
      </w:r>
      <w:r w:rsidR="000539BF">
        <w:t xml:space="preserve"> material changes in prices can ease adjustment costs</w:t>
      </w:r>
      <w:r>
        <w:t xml:space="preserve">. </w:t>
      </w:r>
    </w:p>
    <w:p w14:paraId="725C7E28" w14:textId="77777777" w:rsidR="006C555F" w:rsidRDefault="006C555F" w:rsidP="006C555F">
      <w:pPr>
        <w:pStyle w:val="Heading4"/>
      </w:pPr>
      <w:r w:rsidRPr="0095488C">
        <w:t xml:space="preserve">Pricing principle </w:t>
      </w:r>
      <w:r>
        <w:t>5</w:t>
      </w:r>
      <w:r w:rsidR="00CD3EC3">
        <w:t>:</w:t>
      </w:r>
      <w:r w:rsidRPr="0095488C">
        <w:t xml:space="preserve"> </w:t>
      </w:r>
      <w:r>
        <w:t xml:space="preserve">Community impact – </w:t>
      </w:r>
      <w:r w:rsidR="00FB346F">
        <w:t>fair outcomes</w:t>
      </w:r>
      <w:r>
        <w:t xml:space="preserve"> for low</w:t>
      </w:r>
      <w:r w:rsidR="00CD3EC3">
        <w:t>-</w:t>
      </w:r>
      <w:r>
        <w:t>income households</w:t>
      </w:r>
    </w:p>
    <w:p w14:paraId="6160B5E5" w14:textId="77777777" w:rsidR="006C555F" w:rsidRPr="005E7986" w:rsidRDefault="006C555F" w:rsidP="006C555F">
      <w:pPr>
        <w:rPr>
          <w:i/>
        </w:rPr>
      </w:pPr>
      <w:r w:rsidRPr="005E7986">
        <w:rPr>
          <w:i/>
        </w:rPr>
        <w:t>Adverse impacts on households with low incomes need to be limited or moderated by phasing and other compensating mechanisms or limits on changes to</w:t>
      </w:r>
      <w:r w:rsidR="000539BF">
        <w:rPr>
          <w:i/>
        </w:rPr>
        <w:t xml:space="preserve"> regulated prices or other regulatory arrangements</w:t>
      </w:r>
      <w:r w:rsidRPr="005E7986">
        <w:rPr>
          <w:i/>
        </w:rPr>
        <w:t>.</w:t>
      </w:r>
    </w:p>
    <w:p w14:paraId="562F0BA6" w14:textId="77777777" w:rsidR="006C555F" w:rsidRDefault="00C575CD" w:rsidP="006C555F">
      <w:r>
        <w:t>E</w:t>
      </w:r>
      <w:r w:rsidR="006C555F" w:rsidRPr="00183CD8">
        <w:t>ffectively address</w:t>
      </w:r>
      <w:r>
        <w:t>ing</w:t>
      </w:r>
      <w:r w:rsidR="006C555F" w:rsidRPr="00183CD8">
        <w:t xml:space="preserve"> concerns about increases in water bills for households with l</w:t>
      </w:r>
      <w:r w:rsidR="006C555F">
        <w:t xml:space="preserve">ow </w:t>
      </w:r>
      <w:r w:rsidR="006C555F" w:rsidRPr="00183CD8">
        <w:t xml:space="preserve">incomes is </w:t>
      </w:r>
      <w:r w:rsidR="006C555F">
        <w:t xml:space="preserve">probably the most </w:t>
      </w:r>
      <w:r w:rsidR="006C555F" w:rsidRPr="00183CD8">
        <w:t>difficult</w:t>
      </w:r>
      <w:r w:rsidR="006C555F">
        <w:t xml:space="preserve"> issue in developing a set of pricing principles for water and sewerage services</w:t>
      </w:r>
      <w:r w:rsidR="006C555F" w:rsidRPr="00183CD8">
        <w:t>.</w:t>
      </w:r>
      <w:r w:rsidR="00E6005B">
        <w:t xml:space="preserve"> </w:t>
      </w:r>
      <w:r w:rsidR="006C555F" w:rsidRPr="00183CD8">
        <w:t xml:space="preserve">This is especially the case when the Commission does not </w:t>
      </w:r>
      <w:r w:rsidR="006C555F" w:rsidRPr="005B1FD7">
        <w:t>have authority for i</w:t>
      </w:r>
      <w:r w:rsidR="006C555F" w:rsidRPr="00183CD8">
        <w:t xml:space="preserve">mplementing specific policies that are targeted </w:t>
      </w:r>
      <w:r w:rsidR="00816FEF">
        <w:t>at addressing</w:t>
      </w:r>
      <w:r w:rsidR="006C555F" w:rsidRPr="00183CD8">
        <w:t xml:space="preserve"> the impact </w:t>
      </w:r>
      <w:r>
        <w:t>on</w:t>
      </w:r>
      <w:r w:rsidRPr="00183CD8">
        <w:t xml:space="preserve"> </w:t>
      </w:r>
      <w:r w:rsidR="006C555F" w:rsidRPr="00183CD8">
        <w:t>households with l</w:t>
      </w:r>
      <w:r w:rsidR="006C555F">
        <w:t>ow</w:t>
      </w:r>
      <w:r w:rsidR="006C555F" w:rsidRPr="00183CD8">
        <w:t xml:space="preserve"> incomes</w:t>
      </w:r>
      <w:r w:rsidR="006C555F">
        <w:t xml:space="preserve"> or tight budgets</w:t>
      </w:r>
      <w:r w:rsidR="006C555F" w:rsidRPr="00183CD8">
        <w:t>.</w:t>
      </w:r>
      <w:r w:rsidR="00E6005B">
        <w:t xml:space="preserve"> </w:t>
      </w:r>
      <w:r w:rsidR="006C555F" w:rsidRPr="00183CD8">
        <w:t xml:space="preserve">It is also difficult to identify the impacts on all </w:t>
      </w:r>
      <w:r w:rsidR="006C555F">
        <w:t>households with low incomes and form a judgement about the value of equity</w:t>
      </w:r>
      <w:r w:rsidR="00FB346F">
        <w:t xml:space="preserve"> or fairness</w:t>
      </w:r>
      <w:r w:rsidR="006C555F">
        <w:t xml:space="preserve"> impacts.</w:t>
      </w:r>
    </w:p>
    <w:p w14:paraId="65DECA00" w14:textId="57F5A54B" w:rsidR="006C555F" w:rsidRPr="00183CD8" w:rsidRDefault="006C555F" w:rsidP="006C555F">
      <w:pPr>
        <w:rPr>
          <w:b/>
        </w:rPr>
      </w:pPr>
      <w:r>
        <w:t>The Commission will carefully consider the likely impact</w:t>
      </w:r>
      <w:r w:rsidR="007D0659">
        <w:t>s of price changes</w:t>
      </w:r>
      <w:r>
        <w:t xml:space="preserve"> on households with low incomes and suggest mechanisms to address or moderate any adverse impacts.</w:t>
      </w:r>
      <w:r w:rsidR="00E6005B">
        <w:t xml:space="preserve"> </w:t>
      </w:r>
      <w:r>
        <w:t xml:space="preserve">Where such measures cannot be implemented in a reasonable period of time, the Commission </w:t>
      </w:r>
      <w:r w:rsidRPr="005B1FD7">
        <w:t>will form a judgement about an acceptable cap for price increases for low and mo</w:t>
      </w:r>
      <w:r w:rsidR="00197382" w:rsidRPr="005B1FD7">
        <w:t>derate levels of water usage</w:t>
      </w:r>
      <w:r w:rsidR="00197382">
        <w:t>.</w:t>
      </w:r>
      <w:r w:rsidR="00E6005B">
        <w:t xml:space="preserve"> </w:t>
      </w:r>
      <w:r>
        <w:t xml:space="preserve">However, it is noted that this </w:t>
      </w:r>
      <w:r w:rsidR="00816FEF">
        <w:t>matter is not just limited to low and moderate water users</w:t>
      </w:r>
      <w:r>
        <w:t xml:space="preserve"> as many </w:t>
      </w:r>
      <w:r w:rsidR="00816FEF">
        <w:t>low</w:t>
      </w:r>
      <w:r w:rsidR="00C575CD">
        <w:t>-</w:t>
      </w:r>
      <w:r w:rsidR="00816FEF">
        <w:t>income</w:t>
      </w:r>
      <w:r>
        <w:t xml:space="preserve"> household</w:t>
      </w:r>
      <w:r w:rsidRPr="007914EE">
        <w:t xml:space="preserve">s </w:t>
      </w:r>
      <w:r w:rsidR="006359A6" w:rsidRPr="007914EE">
        <w:t>include</w:t>
      </w:r>
      <w:r w:rsidRPr="007914EE">
        <w:t xml:space="preserve"> large</w:t>
      </w:r>
      <w:r>
        <w:t xml:space="preserve"> families </w:t>
      </w:r>
      <w:r w:rsidR="006359A6">
        <w:t>with</w:t>
      </w:r>
      <w:r>
        <w:t xml:space="preserve"> high water usage. </w:t>
      </w:r>
    </w:p>
    <w:p w14:paraId="2EF85504" w14:textId="77777777" w:rsidR="006C555F" w:rsidRDefault="006C555F" w:rsidP="006C555F">
      <w:pPr>
        <w:pStyle w:val="Heading4"/>
      </w:pPr>
      <w:r w:rsidRPr="0095488C">
        <w:t xml:space="preserve">Pricing principle </w:t>
      </w:r>
      <w:r>
        <w:t>6</w:t>
      </w:r>
      <w:r w:rsidRPr="0095488C">
        <w:t xml:space="preserve"> – </w:t>
      </w:r>
      <w:r>
        <w:t>Regulatory governance – simplicity</w:t>
      </w:r>
    </w:p>
    <w:p w14:paraId="6F1F1401" w14:textId="77777777" w:rsidR="0061548A" w:rsidRDefault="0061548A" w:rsidP="0061548A">
      <w:r w:rsidRPr="005E7986">
        <w:rPr>
          <w:i/>
        </w:rPr>
        <w:t>Tariff structures should be simple for customers to understand and straightforward for the utility to implement</w:t>
      </w:r>
      <w:r w:rsidRPr="00150211">
        <w:t>.</w:t>
      </w:r>
      <w:r>
        <w:t xml:space="preserve"> </w:t>
      </w:r>
    </w:p>
    <w:p w14:paraId="0FBD3EF3" w14:textId="77777777" w:rsidR="006C555F" w:rsidRDefault="006C555F" w:rsidP="006C555F">
      <w:r w:rsidRPr="00150211">
        <w:lastRenderedPageBreak/>
        <w:t>This principle seems self-evident.</w:t>
      </w:r>
      <w:r w:rsidR="00E6005B">
        <w:t xml:space="preserve"> </w:t>
      </w:r>
      <w:r w:rsidRPr="00150211">
        <w:t xml:space="preserve">Most consumers of water are likely to prefer </w:t>
      </w:r>
      <w:r w:rsidR="00841008">
        <w:t>regulated prices and regulatory arrangements that are readily understood</w:t>
      </w:r>
      <w:r w:rsidRPr="00150211">
        <w:t>.</w:t>
      </w:r>
      <w:r w:rsidR="00E6005B">
        <w:t xml:space="preserve"> </w:t>
      </w:r>
      <w:r w:rsidRPr="00150211">
        <w:t>Readily understood tariff structures have the added benefit of being easier and cheaper for the utility to implement</w:t>
      </w:r>
      <w:r w:rsidR="005C2159">
        <w:t xml:space="preserve">, which </w:t>
      </w:r>
      <w:r w:rsidRPr="00150211">
        <w:t xml:space="preserve">also contributes to economic efficiency. </w:t>
      </w:r>
    </w:p>
    <w:p w14:paraId="6A24A2ED" w14:textId="77777777" w:rsidR="006C555F" w:rsidRDefault="006C555F" w:rsidP="006C555F">
      <w:pPr>
        <w:pStyle w:val="Heading4"/>
      </w:pPr>
      <w:r w:rsidRPr="0095488C">
        <w:t xml:space="preserve">Pricing principle </w:t>
      </w:r>
      <w:r>
        <w:t>7</w:t>
      </w:r>
      <w:r w:rsidRPr="0095488C">
        <w:t xml:space="preserve"> – </w:t>
      </w:r>
      <w:r>
        <w:t>Regulatory governance – transparency</w:t>
      </w:r>
    </w:p>
    <w:p w14:paraId="2CF25FF4" w14:textId="77777777" w:rsidR="0061548A" w:rsidRDefault="0061548A" w:rsidP="0061548A">
      <w:r w:rsidRPr="005E7986">
        <w:rPr>
          <w:i/>
        </w:rPr>
        <w:t>Tariffs should be set using a transparent methodology and subject to public consultation and scrutiny.</w:t>
      </w:r>
      <w:r>
        <w:t xml:space="preserve"> </w:t>
      </w:r>
    </w:p>
    <w:p w14:paraId="6E770F9C" w14:textId="77777777" w:rsidR="008C50A3" w:rsidRDefault="006C555F" w:rsidP="008C50A3">
      <w:r>
        <w:t xml:space="preserve">This principle relates to process and is an important aspect </w:t>
      </w:r>
      <w:r w:rsidR="005C2159">
        <w:t xml:space="preserve">of </w:t>
      </w:r>
      <w:r>
        <w:t>achieving good governance with respect to regulatory actions.</w:t>
      </w:r>
      <w:r w:rsidR="00E6005B">
        <w:t xml:space="preserve"> </w:t>
      </w:r>
      <w:r>
        <w:t>The community as a whole needs to have confidence i</w:t>
      </w:r>
      <w:r w:rsidRPr="007914EE">
        <w:t>n the regulatory arrangements</w:t>
      </w:r>
      <w:r w:rsidR="007914EE">
        <w:t>,</w:t>
      </w:r>
      <w:r w:rsidRPr="007914EE">
        <w:t xml:space="preserve"> a</w:t>
      </w:r>
      <w:r>
        <w:t xml:space="preserve">nd this requires that there is generally a good understanding across the community of how </w:t>
      </w:r>
      <w:r w:rsidR="00D73B13">
        <w:t>regulated prices for water and sewerage services are decided</w:t>
      </w:r>
      <w:r w:rsidR="00816FE5">
        <w:t>.</w:t>
      </w:r>
    </w:p>
    <w:tbl>
      <w:tblPr>
        <w:tblStyle w:val="TableGrid"/>
        <w:tblW w:w="0" w:type="auto"/>
        <w:tblInd w:w="108" w:type="dxa"/>
        <w:tblLook w:val="04A0" w:firstRow="1" w:lastRow="0" w:firstColumn="1" w:lastColumn="0" w:noHBand="0" w:noVBand="1"/>
      </w:tblPr>
      <w:tblGrid>
        <w:gridCol w:w="7593"/>
      </w:tblGrid>
      <w:tr w:rsidR="008C50A3" w14:paraId="2DD76548" w14:textId="77777777" w:rsidTr="00C97DD4">
        <w:tc>
          <w:tcPr>
            <w:tcW w:w="7927" w:type="dxa"/>
          </w:tcPr>
          <w:p w14:paraId="689EC423" w14:textId="338DFBD6" w:rsidR="008C50A3" w:rsidRDefault="0007632E" w:rsidP="0007632E">
            <w:pPr>
              <w:pStyle w:val="Questiontext"/>
            </w:pPr>
            <w:r w:rsidRPr="002B5D98">
              <w:rPr>
                <w:b/>
              </w:rPr>
              <w:t>Issue 1</w:t>
            </w:r>
            <w:r w:rsidR="008C50A3">
              <w:t>: The Commission welcomes any comments on the pricing principles that will form the basis for addressing and balancing economic, social and environmental objectives.</w:t>
            </w:r>
          </w:p>
        </w:tc>
      </w:tr>
    </w:tbl>
    <w:p w14:paraId="3B554A95" w14:textId="77777777" w:rsidR="00216F07" w:rsidRDefault="00216F07" w:rsidP="00791B49"/>
    <w:p w14:paraId="521AFE49" w14:textId="77777777" w:rsidR="00791B49" w:rsidRPr="00B3506E" w:rsidRDefault="00791B49" w:rsidP="00791B49">
      <w:pPr>
        <w:sectPr w:rsidR="00791B49" w:rsidRPr="00B3506E" w:rsidSect="00662C7A">
          <w:headerReference w:type="even" r:id="rId33"/>
          <w:headerReference w:type="default" r:id="rId34"/>
          <w:endnotePr>
            <w:numFmt w:val="decimal"/>
          </w:endnotePr>
          <w:type w:val="continuous"/>
          <w:pgSz w:w="11907" w:h="16840" w:code="9"/>
          <w:pgMar w:top="2268" w:right="2098" w:bottom="1701" w:left="2098" w:header="578" w:footer="578" w:gutter="0"/>
          <w:cols w:space="720"/>
          <w:docGrid w:linePitch="299"/>
        </w:sectPr>
      </w:pPr>
    </w:p>
    <w:p w14:paraId="709A0D49" w14:textId="77777777" w:rsidR="00456053" w:rsidRDefault="005B6373" w:rsidP="008A3B4B">
      <w:pPr>
        <w:pStyle w:val="Heading1"/>
        <w:sectPr w:rsidR="00456053" w:rsidSect="005E17C9">
          <w:headerReference w:type="even" r:id="rId35"/>
          <w:headerReference w:type="default" r:id="rId36"/>
          <w:endnotePr>
            <w:numFmt w:val="decimal"/>
          </w:endnotePr>
          <w:type w:val="oddPage"/>
          <w:pgSz w:w="11907" w:h="16840" w:code="9"/>
          <w:pgMar w:top="2268" w:right="2098" w:bottom="1701" w:left="2098" w:header="578" w:footer="578" w:gutter="0"/>
          <w:cols w:space="720"/>
          <w:titlePg/>
          <w:docGrid w:linePitch="299"/>
        </w:sectPr>
      </w:pPr>
      <w:bookmarkStart w:id="71" w:name="_Ref476908501"/>
      <w:bookmarkStart w:id="72" w:name="_Ref476908540"/>
      <w:bookmarkStart w:id="73" w:name="_Ref476908961"/>
      <w:bookmarkStart w:id="74" w:name="_Toc478557251"/>
      <w:bookmarkStart w:id="75" w:name="_Ref448923205"/>
      <w:r>
        <w:lastRenderedPageBreak/>
        <w:t>Current regulatory model and form of control</w:t>
      </w:r>
      <w:bookmarkEnd w:id="71"/>
      <w:bookmarkEnd w:id="72"/>
      <w:bookmarkEnd w:id="73"/>
      <w:bookmarkEnd w:id="74"/>
    </w:p>
    <w:p w14:paraId="60FC9065" w14:textId="77777777" w:rsidR="00F70DF9" w:rsidRDefault="00F70DF9" w:rsidP="00F70DF9">
      <w:pPr>
        <w:pStyle w:val="Heading2a"/>
      </w:pPr>
      <w:bookmarkStart w:id="76" w:name="_Toc478557252"/>
      <w:r>
        <w:t>3.1</w:t>
      </w:r>
      <w:r>
        <w:tab/>
        <w:t>Introduction</w:t>
      </w:r>
      <w:bookmarkEnd w:id="76"/>
    </w:p>
    <w:p w14:paraId="543C5BAA" w14:textId="77777777" w:rsidR="00F70DF9" w:rsidRDefault="00647069" w:rsidP="00F70DF9">
      <w:r>
        <w:t xml:space="preserve">As discussed in </w:t>
      </w:r>
      <w:r w:rsidR="004C4FB8">
        <w:t>Chapter 1</w:t>
      </w:r>
      <w:r>
        <w:t>, i</w:t>
      </w:r>
      <w:r w:rsidR="00B81118">
        <w:t xml:space="preserve">n April 2015 the </w:t>
      </w:r>
      <w:r>
        <w:t xml:space="preserve">Industry Panel </w:t>
      </w:r>
      <w:r w:rsidR="00E31C52">
        <w:t>released its</w:t>
      </w:r>
      <w:r>
        <w:t xml:space="preserve"> final report </w:t>
      </w:r>
      <w:r w:rsidR="003D323B">
        <w:t xml:space="preserve">on </w:t>
      </w:r>
      <w:r>
        <w:t>its re</w:t>
      </w:r>
      <w:r w:rsidR="00B81118">
        <w:t xml:space="preserve">view of the </w:t>
      </w:r>
      <w:r w:rsidR="004C4FB8">
        <w:t xml:space="preserve">Commission’s </w:t>
      </w:r>
      <w:r w:rsidR="00B81118">
        <w:t xml:space="preserve">2013 </w:t>
      </w:r>
      <w:r w:rsidR="004C4FB8">
        <w:t>p</w:t>
      </w:r>
      <w:r w:rsidR="00B81118">
        <w:t xml:space="preserve">rice </w:t>
      </w:r>
      <w:r w:rsidR="004C4FB8">
        <w:t>d</w:t>
      </w:r>
      <w:r w:rsidR="00B81118">
        <w:t xml:space="preserve">irection </w:t>
      </w:r>
      <w:r>
        <w:t xml:space="preserve">for water and sewerage </w:t>
      </w:r>
      <w:r w:rsidR="003D323B">
        <w:t>services</w:t>
      </w:r>
      <w:r w:rsidR="00B81118">
        <w:t>.</w:t>
      </w:r>
      <w:r w:rsidR="00E6005B">
        <w:t xml:space="preserve"> </w:t>
      </w:r>
      <w:r w:rsidR="00B81118">
        <w:t>Th</w:t>
      </w:r>
      <w:r w:rsidR="00E31C52">
        <w:t>e Industry Panel</w:t>
      </w:r>
      <w:r w:rsidR="00B81118">
        <w:t xml:space="preserve"> report substituted the Commission’s price direction </w:t>
      </w:r>
      <w:r w:rsidR="00E31C52">
        <w:t>with</w:t>
      </w:r>
      <w:r w:rsidR="00B81118">
        <w:t xml:space="preserve"> a price path for water and sewerage services until </w:t>
      </w:r>
      <w:r w:rsidR="00456053">
        <w:t xml:space="preserve">30 June </w:t>
      </w:r>
      <w:r w:rsidR="00B81118">
        <w:t>2018.</w:t>
      </w:r>
      <w:r w:rsidR="00E6005B">
        <w:t xml:space="preserve"> </w:t>
      </w:r>
      <w:r w:rsidR="008F523A">
        <w:t xml:space="preserve">The Industry Panel also modified the form of control from individual price caps with maximum prices for water and sewerage preferred by the Commission, </w:t>
      </w:r>
      <w:r w:rsidR="008F523A" w:rsidRPr="003D323B">
        <w:t xml:space="preserve">to a hybrid </w:t>
      </w:r>
      <w:r w:rsidR="00456CC8" w:rsidRPr="003D323B">
        <w:t>price and revenue cap</w:t>
      </w:r>
      <w:r w:rsidR="002E24F1" w:rsidRPr="003D323B">
        <w:t xml:space="preserve"> </w:t>
      </w:r>
      <w:r w:rsidR="00456CC8" w:rsidRPr="003D323B">
        <w:t>form of control</w:t>
      </w:r>
      <w:r w:rsidR="008F523A" w:rsidRPr="003D323B">
        <w:t xml:space="preserve"> that included </w:t>
      </w:r>
      <w:r w:rsidR="00456CC8" w:rsidRPr="00E05AF0">
        <w:t>elem</w:t>
      </w:r>
      <w:r w:rsidR="00456CC8">
        <w:t xml:space="preserve">ents of </w:t>
      </w:r>
      <w:r w:rsidR="008F523A">
        <w:t>both a revenue cap and individual price caps for water and sewerage charges.</w:t>
      </w:r>
      <w:r w:rsidR="00E6005B">
        <w:t xml:space="preserve"> </w:t>
      </w:r>
      <w:r>
        <w:t>Further, t</w:t>
      </w:r>
      <w:r w:rsidR="008F523A">
        <w:t xml:space="preserve">he Industry Panel made some changes to the risk allocation measures </w:t>
      </w:r>
      <w:r w:rsidR="0058132D">
        <w:t xml:space="preserve">to deal with demand risks </w:t>
      </w:r>
      <w:r w:rsidR="00E31C52">
        <w:t>in the regulatory framework</w:t>
      </w:r>
      <w:r w:rsidR="00456053">
        <w:t>.</w:t>
      </w:r>
      <w:r w:rsidR="00E6005B">
        <w:t xml:space="preserve"> </w:t>
      </w:r>
      <w:r w:rsidR="00E31C52">
        <w:t>This differed from the Commission</w:t>
      </w:r>
      <w:r w:rsidR="00011B03">
        <w:t>’s</w:t>
      </w:r>
      <w:r w:rsidR="00E31C52">
        <w:t xml:space="preserve"> approach</w:t>
      </w:r>
      <w:r w:rsidR="00011B03">
        <w:t xml:space="preserve"> outlined in its 2013 price direction</w:t>
      </w:r>
      <w:r w:rsidR="008F523A">
        <w:t>.</w:t>
      </w:r>
    </w:p>
    <w:p w14:paraId="2A9574F5" w14:textId="77777777" w:rsidR="002A2025" w:rsidRDefault="008F523A" w:rsidP="00F70DF9">
      <w:r>
        <w:t>In the</w:t>
      </w:r>
      <w:r w:rsidR="00647069">
        <w:t xml:space="preserve"> terms of reference for</w:t>
      </w:r>
      <w:r w:rsidR="008A62A6">
        <w:t xml:space="preserve"> </w:t>
      </w:r>
      <w:r w:rsidR="003D323B">
        <w:t xml:space="preserve">a price direction for </w:t>
      </w:r>
      <w:r w:rsidR="008A62A6">
        <w:t>regulated water and sewerage services</w:t>
      </w:r>
      <w:r w:rsidR="00011B03">
        <w:t xml:space="preserve"> for th</w:t>
      </w:r>
      <w:r w:rsidR="00011B03" w:rsidRPr="007914EE">
        <w:t>e 2018</w:t>
      </w:r>
      <w:r w:rsidR="00E87601" w:rsidRPr="007914EE">
        <w:t>–</w:t>
      </w:r>
      <w:r w:rsidR="00011B03" w:rsidRPr="007914EE">
        <w:t>2023 r</w:t>
      </w:r>
      <w:r w:rsidR="00011B03">
        <w:t>egulatory period</w:t>
      </w:r>
      <w:r>
        <w:t xml:space="preserve">, </w:t>
      </w:r>
      <w:r w:rsidR="008A62A6">
        <w:t>the Commission is directed to consider</w:t>
      </w:r>
      <w:r w:rsidR="002A2025">
        <w:t xml:space="preserve"> continuing to use the</w:t>
      </w:r>
      <w:r w:rsidR="002A2025" w:rsidRPr="002A2025">
        <w:t xml:space="preserve"> </w:t>
      </w:r>
      <w:r w:rsidR="002A2025">
        <w:t>current regulatory mode</w:t>
      </w:r>
      <w:r w:rsidR="00011B03">
        <w:t>l</w:t>
      </w:r>
      <w:r w:rsidR="002A2025">
        <w:t>, a</w:t>
      </w:r>
      <w:r w:rsidR="002A2025" w:rsidRPr="007914EE">
        <w:t>nd where identified, i</w:t>
      </w:r>
      <w:r w:rsidR="002A2025">
        <w:t>mplement improvements to particular aspects of the methodology.</w:t>
      </w:r>
      <w:r w:rsidR="00E6005B">
        <w:t xml:space="preserve"> </w:t>
      </w:r>
      <w:r w:rsidR="002A2025">
        <w:t>The terms of reference also cover other aspects of the form of regulation</w:t>
      </w:r>
      <w:r w:rsidR="005C2159">
        <w:t>,</w:t>
      </w:r>
      <w:r w:rsidR="002A2025">
        <w:t xml:space="preserve"> including incentive </w:t>
      </w:r>
      <w:r w:rsidR="00011B03">
        <w:t>mechanism</w:t>
      </w:r>
      <w:r w:rsidR="00011B03" w:rsidRPr="005C2159">
        <w:t>s</w:t>
      </w:r>
      <w:r w:rsidR="005C2159">
        <w:t>,</w:t>
      </w:r>
      <w:r w:rsidR="002A2025" w:rsidRPr="007914EE">
        <w:t xml:space="preserve"> price path smoo</w:t>
      </w:r>
      <w:r w:rsidR="002A2025">
        <w:t>thing a</w:t>
      </w:r>
      <w:r w:rsidR="002A2025" w:rsidRPr="003D323B">
        <w:t xml:space="preserve">nd </w:t>
      </w:r>
      <w:r w:rsidR="003D323B">
        <w:t>recovery of</w:t>
      </w:r>
      <w:r w:rsidR="002A2025" w:rsidRPr="003D323B">
        <w:t xml:space="preserve"> efficient costs</w:t>
      </w:r>
      <w:r w:rsidR="002A2025">
        <w:t>.</w:t>
      </w:r>
      <w:r w:rsidR="00E6005B">
        <w:t xml:space="preserve"> </w:t>
      </w:r>
      <w:r w:rsidR="002A2025">
        <w:t>Chapter 5 contains a detailed discussion of the</w:t>
      </w:r>
      <w:r w:rsidR="00011B03" w:rsidRPr="003D323B">
        <w:t>se</w:t>
      </w:r>
      <w:r w:rsidR="003D323B">
        <w:t xml:space="preserve"> and other</w:t>
      </w:r>
      <w:r w:rsidR="002A2025" w:rsidRPr="003D323B">
        <w:t xml:space="preserve"> issues rais</w:t>
      </w:r>
      <w:r w:rsidR="002A2025">
        <w:t>ed in the terms of reference.</w:t>
      </w:r>
    </w:p>
    <w:p w14:paraId="42B49992" w14:textId="77777777" w:rsidR="002A2025" w:rsidRDefault="002A2025" w:rsidP="002A2025">
      <w:pPr>
        <w:pStyle w:val="Heading2a"/>
      </w:pPr>
      <w:bookmarkStart w:id="77" w:name="_Toc478557253"/>
      <w:r>
        <w:t>3.2</w:t>
      </w:r>
      <w:r>
        <w:tab/>
      </w:r>
      <w:r w:rsidR="00AC2F60">
        <w:t>Form of control</w:t>
      </w:r>
      <w:bookmarkEnd w:id="77"/>
    </w:p>
    <w:p w14:paraId="25744338" w14:textId="77777777" w:rsidR="005447B8" w:rsidRDefault="005447B8" w:rsidP="005447B8">
      <w:pPr>
        <w:pStyle w:val="BodyText"/>
        <w:spacing w:before="55" w:line="260" w:lineRule="exact"/>
        <w:ind w:right="146"/>
        <w:rPr>
          <w:color w:val="231F20"/>
        </w:rPr>
      </w:pPr>
      <w:r>
        <w:rPr>
          <w:color w:val="231F20"/>
        </w:rPr>
        <w:t xml:space="preserve">Section </w:t>
      </w:r>
      <w:proofErr w:type="gramStart"/>
      <w:r>
        <w:rPr>
          <w:color w:val="231F20"/>
        </w:rPr>
        <w:t>20A(</w:t>
      </w:r>
      <w:proofErr w:type="gramEnd"/>
      <w:r>
        <w:rPr>
          <w:color w:val="231F20"/>
        </w:rPr>
        <w:t>1) of the ICRC Act states:</w:t>
      </w:r>
    </w:p>
    <w:p w14:paraId="78437243" w14:textId="77777777" w:rsidR="005447B8" w:rsidRDefault="005C2159" w:rsidP="005C2159">
      <w:pPr>
        <w:pStyle w:val="Quote"/>
        <w:spacing w:after="100"/>
        <w:ind w:left="714" w:right="357" w:hanging="357"/>
        <w:rPr>
          <w:rFonts w:cs="Avenir Next"/>
        </w:rPr>
      </w:pPr>
      <w:r>
        <w:t>(1)</w:t>
      </w:r>
      <w:r>
        <w:tab/>
      </w:r>
      <w:r w:rsidR="005447B8">
        <w:t>A price direction must include a direction about the pricing of regulated services in the form of</w:t>
      </w:r>
      <w:r w:rsidR="005447B8" w:rsidRPr="001D7151">
        <w:t xml:space="preserve"> either or both of the following</w:t>
      </w:r>
      <w:r w:rsidR="005447B8">
        <w:rPr>
          <w:spacing w:val="-12"/>
        </w:rPr>
        <w:t>:</w:t>
      </w:r>
    </w:p>
    <w:p w14:paraId="4E837A03" w14:textId="77777777" w:rsidR="005447B8" w:rsidRPr="00E556E6" w:rsidRDefault="005C2159" w:rsidP="005C2159">
      <w:pPr>
        <w:pStyle w:val="Quote"/>
        <w:spacing w:after="100"/>
        <w:ind w:left="1077" w:right="357" w:hanging="357"/>
      </w:pPr>
      <w:r>
        <w:t>(a)</w:t>
      </w:r>
      <w:r>
        <w:tab/>
      </w:r>
      <w:proofErr w:type="gramStart"/>
      <w:r w:rsidR="005447B8" w:rsidRPr="00E556E6">
        <w:t>a</w:t>
      </w:r>
      <w:proofErr w:type="gramEnd"/>
      <w:r w:rsidR="005447B8" w:rsidRPr="00E556E6">
        <w:t xml:space="preserve"> price, a maximum price or both a minimum and maximum price fo</w:t>
      </w:r>
      <w:r w:rsidR="005447B8">
        <w:t>r each regulated service;</w:t>
      </w:r>
    </w:p>
    <w:p w14:paraId="24ECA0BB" w14:textId="77777777" w:rsidR="005447B8" w:rsidRPr="00E556E6" w:rsidRDefault="005C2159" w:rsidP="005C2159">
      <w:pPr>
        <w:pStyle w:val="Quote"/>
        <w:ind w:left="1077" w:right="357" w:hanging="357"/>
      </w:pPr>
      <w:r>
        <w:t>(b)</w:t>
      </w:r>
      <w:r>
        <w:tab/>
      </w:r>
      <w:proofErr w:type="gramStart"/>
      <w:r w:rsidR="005447B8" w:rsidRPr="00E556E6">
        <w:t>a</w:t>
      </w:r>
      <w:proofErr w:type="gramEnd"/>
      <w:r w:rsidR="005447B8" w:rsidRPr="00E556E6">
        <w:t xml:space="preserve"> maximum total amount (</w:t>
      </w:r>
      <w:r w:rsidR="005447B8" w:rsidRPr="005C2159">
        <w:rPr>
          <w:b/>
          <w:i/>
        </w:rPr>
        <w:t>revenue cap</w:t>
      </w:r>
      <w:r w:rsidR="005447B8" w:rsidRPr="00E556E6">
        <w:t>) that may be earned by a person providing regulated services from the provision of those services.</w:t>
      </w:r>
    </w:p>
    <w:p w14:paraId="24DEDF08" w14:textId="77777777" w:rsidR="005447B8" w:rsidRDefault="005447B8" w:rsidP="005447B8">
      <w:pPr>
        <w:pStyle w:val="BodyText"/>
        <w:spacing w:before="93"/>
        <w:ind w:right="146"/>
      </w:pPr>
      <w:r>
        <w:rPr>
          <w:color w:val="231F20"/>
        </w:rPr>
        <w:t>The alternative forms of control provided for by this section of the A</w:t>
      </w:r>
      <w:r w:rsidRPr="007914EE">
        <w:rPr>
          <w:color w:val="231F20"/>
        </w:rPr>
        <w:t>ct</w:t>
      </w:r>
      <w:r w:rsidRPr="007914EE">
        <w:rPr>
          <w:color w:val="231F20"/>
          <w:spacing w:val="-10"/>
        </w:rPr>
        <w:t xml:space="preserve"> </w:t>
      </w:r>
      <w:r w:rsidRPr="007914EE">
        <w:rPr>
          <w:color w:val="231F20"/>
        </w:rPr>
        <w:t>include:</w:t>
      </w:r>
    </w:p>
    <w:p w14:paraId="151EF91F" w14:textId="77777777" w:rsidR="005447B8" w:rsidRPr="00E556E6" w:rsidRDefault="005447B8" w:rsidP="005447B8">
      <w:pPr>
        <w:pStyle w:val="Bullet"/>
      </w:pPr>
      <w:r w:rsidRPr="00E556E6">
        <w:t>A pure revenu</w:t>
      </w:r>
      <w:r w:rsidRPr="003D323B">
        <w:t>e cap: this form of control inv</w:t>
      </w:r>
      <w:r w:rsidRPr="00E556E6">
        <w:t>olves placing a cap on the revenue that a regulated service provider can earn in each year.</w:t>
      </w:r>
      <w:r w:rsidR="00E6005B">
        <w:t xml:space="preserve"> </w:t>
      </w:r>
      <w:r w:rsidRPr="00E556E6">
        <w:t>To account for deviations between actual revenue and the revenue cap arising as a result of variations between actual and forecast demand, an ‘</w:t>
      </w:r>
      <w:proofErr w:type="spellStart"/>
      <w:r w:rsidRPr="00E556E6">
        <w:t>unders</w:t>
      </w:r>
      <w:proofErr w:type="spellEnd"/>
      <w:r w:rsidRPr="00E556E6">
        <w:t xml:space="preserve"> and overs’ account will typically be established.</w:t>
      </w:r>
      <w:r w:rsidR="00E6005B">
        <w:t xml:space="preserve"> </w:t>
      </w:r>
      <w:r w:rsidRPr="00E556E6">
        <w:t>Prices can then be adjusted in the subsequent regulatory period to reflect the extent of any under- or over-recovery.</w:t>
      </w:r>
    </w:p>
    <w:p w14:paraId="6047CB1D" w14:textId="77777777" w:rsidR="005447B8" w:rsidRPr="00E556E6" w:rsidRDefault="005447B8" w:rsidP="005447B8">
      <w:pPr>
        <w:pStyle w:val="Bullet"/>
      </w:pPr>
      <w:r w:rsidRPr="00E556E6">
        <w:lastRenderedPageBreak/>
        <w:t>An average revenue cap: this form of control involves placing a cap on the revenue a regulated service provider can earn per unit of output (e</w:t>
      </w:r>
      <w:r>
        <w:t>.</w:t>
      </w:r>
      <w:r w:rsidRPr="00E556E6">
        <w:t>g</w:t>
      </w:r>
      <w:r>
        <w:t>.</w:t>
      </w:r>
      <w:r w:rsidRPr="00E556E6">
        <w:t xml:space="preserve"> revenue per customer).</w:t>
      </w:r>
    </w:p>
    <w:p w14:paraId="3D4801DC" w14:textId="77777777" w:rsidR="005447B8" w:rsidRPr="00E556E6" w:rsidRDefault="005447B8" w:rsidP="005447B8">
      <w:pPr>
        <w:pStyle w:val="Bullet"/>
      </w:pPr>
      <w:r w:rsidRPr="00E556E6">
        <w:t>A price cap on individual services: this form of control involves placing a cap on the price of each regulated service.</w:t>
      </w:r>
    </w:p>
    <w:p w14:paraId="0E7C2519" w14:textId="77777777" w:rsidR="005447B8" w:rsidRPr="0007446D" w:rsidRDefault="005447B8" w:rsidP="0007446D">
      <w:pPr>
        <w:pStyle w:val="BulletLast"/>
      </w:pPr>
      <w:r w:rsidRPr="00E556E6">
        <w:t>A hybrid price and revenue cap: this form of control contains elements of both a price and revenue cap.</w:t>
      </w:r>
      <w:r w:rsidR="00E6005B">
        <w:t xml:space="preserve"> </w:t>
      </w:r>
      <w:r w:rsidRPr="00E556E6">
        <w:t>The precise elements that will be combined can vary, but one example that a number of Australian regulators have used is a price cap that can be adjusted for any under- or over-recovery of revenue above a certain threshold (</w:t>
      </w:r>
      <w:proofErr w:type="spellStart"/>
      <w:r w:rsidRPr="00E556E6">
        <w:t>deadband</w:t>
      </w:r>
      <w:proofErr w:type="spellEnd"/>
      <w:r w:rsidRPr="00E556E6">
        <w:t>).</w:t>
      </w:r>
      <w:r w:rsidR="00E6005B">
        <w:t xml:space="preserve"> </w:t>
      </w:r>
      <w:r w:rsidRPr="00E556E6">
        <w:t>Under this hybrid cap, the regulated service provider bears demand risk up to the threshold, while customers bear the risk beyond this threshol</w:t>
      </w:r>
      <w:r w:rsidRPr="0007446D">
        <w:t>d.</w:t>
      </w:r>
      <w:r w:rsidR="0007446D" w:rsidRPr="0007446D">
        <w:rPr>
          <w:rStyle w:val="FootnoteReference"/>
          <w:color w:val="231F20"/>
        </w:rPr>
        <w:footnoteReference w:id="8"/>
      </w:r>
    </w:p>
    <w:p w14:paraId="4BA7F132" w14:textId="77777777" w:rsidR="00660901" w:rsidRDefault="00660901" w:rsidP="00660901">
      <w:pPr>
        <w:rPr>
          <w:color w:val="231F20"/>
        </w:rPr>
      </w:pPr>
      <w:r w:rsidRPr="003D323B">
        <w:rPr>
          <w:color w:val="231F20"/>
        </w:rPr>
        <w:t>The choice</w:t>
      </w:r>
      <w:r>
        <w:rPr>
          <w:color w:val="231F20"/>
        </w:rPr>
        <w:t xml:space="preserve"> between the alternative forms of price control affects how demand risks are allocated</w:t>
      </w:r>
      <w:r>
        <w:rPr>
          <w:color w:val="231F20"/>
          <w:spacing w:val="-19"/>
        </w:rPr>
        <w:t xml:space="preserve"> </w:t>
      </w:r>
      <w:r>
        <w:rPr>
          <w:color w:val="231F20"/>
        </w:rPr>
        <w:t>between customers and the regulated business, how prices are allowed to vary within the regulatory period, the stability of</w:t>
      </w:r>
      <w:r>
        <w:rPr>
          <w:color w:val="231F20"/>
          <w:spacing w:val="-20"/>
        </w:rPr>
        <w:t xml:space="preserve"> </w:t>
      </w:r>
      <w:r>
        <w:rPr>
          <w:color w:val="231F20"/>
        </w:rPr>
        <w:t xml:space="preserve">the regulated </w:t>
      </w:r>
      <w:r w:rsidR="001D7151">
        <w:rPr>
          <w:color w:val="231F20"/>
        </w:rPr>
        <w:t>business’s</w:t>
      </w:r>
      <w:r>
        <w:rPr>
          <w:color w:val="231F20"/>
        </w:rPr>
        <w:t xml:space="preserve"> revenue, and </w:t>
      </w:r>
      <w:r w:rsidR="00CE0E24">
        <w:rPr>
          <w:color w:val="231F20"/>
        </w:rPr>
        <w:t xml:space="preserve">the regulated business’s </w:t>
      </w:r>
      <w:r>
        <w:rPr>
          <w:color w:val="231F20"/>
        </w:rPr>
        <w:t>incentive to encourage efficient utilisation of the</w:t>
      </w:r>
      <w:r>
        <w:rPr>
          <w:color w:val="231F20"/>
          <w:spacing w:val="-22"/>
        </w:rPr>
        <w:t xml:space="preserve"> </w:t>
      </w:r>
      <w:r>
        <w:rPr>
          <w:color w:val="231F20"/>
        </w:rPr>
        <w:t>asset.</w:t>
      </w:r>
      <w:r w:rsidR="00E6005B">
        <w:rPr>
          <w:color w:val="231F20"/>
        </w:rPr>
        <w:t xml:space="preserve"> </w:t>
      </w:r>
    </w:p>
    <w:p w14:paraId="04DCDF16" w14:textId="77777777" w:rsidR="00660901" w:rsidRDefault="00660901" w:rsidP="00660901">
      <w:pPr>
        <w:rPr>
          <w:color w:val="231F20"/>
        </w:rPr>
      </w:pPr>
      <w:r>
        <w:rPr>
          <w:color w:val="231F20"/>
        </w:rPr>
        <w:t>It is helpful to contrast some key features of a pure revenue cap that effectively guarantees a specified maximum revenue and a price cap that is set as a maximum but indexed for certain cost pass</w:t>
      </w:r>
      <w:r w:rsidR="00CE0E24">
        <w:rPr>
          <w:color w:val="231F20"/>
        </w:rPr>
        <w:t>-</w:t>
      </w:r>
      <w:r>
        <w:rPr>
          <w:color w:val="231F20"/>
        </w:rPr>
        <w:t>through items but not for the impact of variations in demand.</w:t>
      </w:r>
      <w:r w:rsidR="00E6005B">
        <w:rPr>
          <w:color w:val="231F20"/>
        </w:rPr>
        <w:t xml:space="preserve"> </w:t>
      </w:r>
      <w:r>
        <w:rPr>
          <w:color w:val="231F20"/>
        </w:rPr>
        <w:t>A pure revenue cap transfers all volume (demand) risk from the regulated business to its customers.</w:t>
      </w:r>
      <w:r w:rsidR="00E6005B">
        <w:rPr>
          <w:color w:val="231F20"/>
        </w:rPr>
        <w:t xml:space="preserve"> </w:t>
      </w:r>
      <w:r>
        <w:rPr>
          <w:color w:val="231F20"/>
        </w:rPr>
        <w:t>In contrast</w:t>
      </w:r>
      <w:r w:rsidR="00CE0E24">
        <w:rPr>
          <w:color w:val="231F20"/>
        </w:rPr>
        <w:t>,</w:t>
      </w:r>
      <w:r>
        <w:rPr>
          <w:color w:val="231F20"/>
        </w:rPr>
        <w:t xml:space="preserve"> a strict price cap means that the regulated business </w:t>
      </w:r>
      <w:r w:rsidR="00CE0E24">
        <w:rPr>
          <w:color w:val="231F20"/>
        </w:rPr>
        <w:t>bears</w:t>
      </w:r>
      <w:r>
        <w:rPr>
          <w:color w:val="231F20"/>
        </w:rPr>
        <w:t xml:space="preserve"> all </w:t>
      </w:r>
      <w:r w:rsidR="00CE0E24">
        <w:rPr>
          <w:color w:val="231F20"/>
        </w:rPr>
        <w:t xml:space="preserve">the </w:t>
      </w:r>
      <w:r>
        <w:rPr>
          <w:color w:val="231F20"/>
        </w:rPr>
        <w:t>demand risk within the regulatory period.</w:t>
      </w:r>
      <w:r w:rsidR="00E6005B">
        <w:rPr>
          <w:color w:val="231F20"/>
        </w:rPr>
        <w:t xml:space="preserve"> </w:t>
      </w:r>
      <w:r>
        <w:rPr>
          <w:color w:val="231F20"/>
        </w:rPr>
        <w:t>Both mechanis</w:t>
      </w:r>
      <w:r w:rsidRPr="00E05AF0">
        <w:rPr>
          <w:color w:val="231F20"/>
        </w:rPr>
        <w:t xml:space="preserve">ms </w:t>
      </w:r>
      <w:r w:rsidR="00E05AF0">
        <w:rPr>
          <w:color w:val="231F20"/>
        </w:rPr>
        <w:t>enable</w:t>
      </w:r>
      <w:r w:rsidRPr="00E05AF0">
        <w:rPr>
          <w:color w:val="231F20"/>
        </w:rPr>
        <w:t xml:space="preserve"> adjustm</w:t>
      </w:r>
      <w:r>
        <w:rPr>
          <w:color w:val="231F20"/>
        </w:rPr>
        <w:t xml:space="preserve">ents </w:t>
      </w:r>
      <w:r w:rsidR="00E05AF0">
        <w:rPr>
          <w:color w:val="231F20"/>
        </w:rPr>
        <w:t xml:space="preserve">to be made </w:t>
      </w:r>
      <w:r>
        <w:rPr>
          <w:color w:val="231F20"/>
        </w:rPr>
        <w:t xml:space="preserve">across regulatory periods. </w:t>
      </w:r>
    </w:p>
    <w:p w14:paraId="28671341" w14:textId="77777777" w:rsidR="00660901" w:rsidRDefault="00660901" w:rsidP="00660901">
      <w:pPr>
        <w:rPr>
          <w:color w:val="231F20"/>
        </w:rPr>
      </w:pPr>
      <w:r>
        <w:rPr>
          <w:color w:val="231F20"/>
        </w:rPr>
        <w:t>Both mechanisms still retain incentives to reduce costs that depend on the extent to which cost savings can be retained by the regulated entity</w:t>
      </w:r>
      <w:r w:rsidR="000335EC">
        <w:rPr>
          <w:color w:val="231F20"/>
        </w:rPr>
        <w:t>;</w:t>
      </w:r>
      <w:r>
        <w:rPr>
          <w:color w:val="231F20"/>
        </w:rPr>
        <w:t xml:space="preserve"> however, under a revenue cap the removal of demand risk may affect the incentives of the entity to reduce costs when there is a material reduction in demand.</w:t>
      </w:r>
      <w:r w:rsidR="00E6005B">
        <w:rPr>
          <w:color w:val="231F20"/>
        </w:rPr>
        <w:t xml:space="preserve"> </w:t>
      </w:r>
    </w:p>
    <w:p w14:paraId="155A6A4D" w14:textId="77777777" w:rsidR="009060C6" w:rsidRDefault="00660901" w:rsidP="00660901">
      <w:pPr>
        <w:rPr>
          <w:color w:val="231F20"/>
        </w:rPr>
      </w:pPr>
      <w:r>
        <w:rPr>
          <w:color w:val="231F20"/>
        </w:rPr>
        <w:t>Under a revenue cap, profits can be maintained because prices can be readily adjusted and may increase if variable costs can be reduced.</w:t>
      </w:r>
      <w:r w:rsidR="00E6005B">
        <w:rPr>
          <w:color w:val="231F20"/>
        </w:rPr>
        <w:t xml:space="preserve"> </w:t>
      </w:r>
      <w:r>
        <w:rPr>
          <w:color w:val="231F20"/>
        </w:rPr>
        <w:t>In contrast, a price cap provides incentives to supply more services but entails greater financial risk.</w:t>
      </w:r>
      <w:r w:rsidR="00E6005B">
        <w:rPr>
          <w:color w:val="231F20"/>
        </w:rPr>
        <w:t xml:space="preserve"> </w:t>
      </w:r>
      <w:r>
        <w:rPr>
          <w:color w:val="231F20"/>
        </w:rPr>
        <w:t xml:space="preserve">Another issue in the choice between a revenue cap and a price cap </w:t>
      </w:r>
      <w:r w:rsidRPr="00E05AF0">
        <w:rPr>
          <w:color w:val="231F20"/>
        </w:rPr>
        <w:t xml:space="preserve">is the extent to which there is </w:t>
      </w:r>
      <w:r w:rsidR="000335EC" w:rsidRPr="00E05AF0">
        <w:rPr>
          <w:color w:val="231F20"/>
        </w:rPr>
        <w:t>a</w:t>
      </w:r>
      <w:r w:rsidR="000335EC">
        <w:rPr>
          <w:color w:val="231F20"/>
        </w:rPr>
        <w:t xml:space="preserve"> </w:t>
      </w:r>
      <w:r>
        <w:rPr>
          <w:color w:val="231F20"/>
        </w:rPr>
        <w:t>material change in demand risk and how that should affect the allowed rate of return.</w:t>
      </w:r>
      <w:r w:rsidR="00E6005B">
        <w:rPr>
          <w:color w:val="231F20"/>
        </w:rPr>
        <w:t xml:space="preserve"> </w:t>
      </w:r>
    </w:p>
    <w:p w14:paraId="48ACBC9A" w14:textId="77777777" w:rsidR="00660901" w:rsidRPr="00260418" w:rsidRDefault="00660901" w:rsidP="00660901">
      <w:pPr>
        <w:rPr>
          <w:color w:val="231F20"/>
        </w:rPr>
      </w:pPr>
      <w:r w:rsidRPr="00260418">
        <w:rPr>
          <w:color w:val="231F20"/>
        </w:rPr>
        <w:t>A hybrid mechanism can be helpful in avoiding the extreme</w:t>
      </w:r>
      <w:r>
        <w:rPr>
          <w:color w:val="231F20"/>
        </w:rPr>
        <w:t xml:space="preserve"> effects </w:t>
      </w:r>
      <w:r w:rsidRPr="00260418">
        <w:rPr>
          <w:color w:val="231F20"/>
        </w:rPr>
        <w:t xml:space="preserve">of a pure revenue cap </w:t>
      </w:r>
      <w:r>
        <w:rPr>
          <w:color w:val="231F20"/>
        </w:rPr>
        <w:t xml:space="preserve">or </w:t>
      </w:r>
      <w:r w:rsidRPr="00260418">
        <w:rPr>
          <w:color w:val="231F20"/>
        </w:rPr>
        <w:t>strict price cap.</w:t>
      </w:r>
      <w:r w:rsidR="00E6005B">
        <w:rPr>
          <w:color w:val="231F20"/>
        </w:rPr>
        <w:t xml:space="preserve"> </w:t>
      </w:r>
    </w:p>
    <w:p w14:paraId="25CC355E" w14:textId="77777777" w:rsidR="00660901" w:rsidRDefault="00660901" w:rsidP="00660901">
      <w:r w:rsidRPr="000335EC">
        <w:t xml:space="preserve">As noted, the current form of price control for Icon Water is a hybrid revenue and price cap where individual price caps apply for water and sewerage services and there is a </w:t>
      </w:r>
      <w:r w:rsidRPr="000335EC">
        <w:lastRenderedPageBreak/>
        <w:t xml:space="preserve">demand volatility adjustment to account for deviations between actual and forecast water sales revenue in excess of a </w:t>
      </w:r>
      <w:proofErr w:type="spellStart"/>
      <w:r w:rsidRPr="000335EC">
        <w:t>deadband</w:t>
      </w:r>
      <w:proofErr w:type="spellEnd"/>
      <w:r w:rsidRPr="000335EC">
        <w:t>.</w:t>
      </w:r>
      <w:r>
        <w:t xml:space="preserve"> </w:t>
      </w:r>
    </w:p>
    <w:p w14:paraId="26280D53" w14:textId="77777777" w:rsidR="002A2025" w:rsidRDefault="002A2025" w:rsidP="00F70DF9">
      <w:r>
        <w:t>In reviewing the form of control</w:t>
      </w:r>
      <w:r w:rsidR="000335EC">
        <w:t>,</w:t>
      </w:r>
      <w:r>
        <w:t xml:space="preserve"> the Industry Panel had regard to a number of factors such as providing customers with a degree of price stability and predictability, minimising regulatory costs, ensuring that Icon Water remains financially viable and promoting economic efficiency.</w:t>
      </w:r>
    </w:p>
    <w:p w14:paraId="6993E924" w14:textId="77777777" w:rsidR="00171B06" w:rsidRDefault="002E24F1" w:rsidP="00171B06">
      <w:r>
        <w:t xml:space="preserve">The </w:t>
      </w:r>
      <w:r w:rsidR="00171B06">
        <w:t>Industry Panel</w:t>
      </w:r>
      <w:r w:rsidR="00EF5A96">
        <w:t xml:space="preserve"> decided to implement </w:t>
      </w:r>
      <w:r w:rsidR="00171B06">
        <w:t xml:space="preserve">a hybrid price and revenue cap </w:t>
      </w:r>
      <w:r w:rsidR="00EF5A96">
        <w:t xml:space="preserve">form of control </w:t>
      </w:r>
      <w:r w:rsidR="00171B06">
        <w:t xml:space="preserve">that consists </w:t>
      </w:r>
      <w:r w:rsidR="00171B06" w:rsidRPr="000335EC">
        <w:t>of individual price caps for water and sewerage charges</w:t>
      </w:r>
      <w:r w:rsidR="00EF5A96" w:rsidRPr="000335EC">
        <w:t>.</w:t>
      </w:r>
      <w:r w:rsidR="00E6005B">
        <w:t xml:space="preserve"> </w:t>
      </w:r>
      <w:r w:rsidR="00EF5A96">
        <w:t xml:space="preserve">The </w:t>
      </w:r>
      <w:r w:rsidR="00CC09A5">
        <w:t>p</w:t>
      </w:r>
      <w:r w:rsidR="00EF5A96">
        <w:t xml:space="preserve">anel </w:t>
      </w:r>
      <w:r w:rsidR="00D13C6B">
        <w:t xml:space="preserve">also </w:t>
      </w:r>
      <w:r w:rsidR="00EF5A96">
        <w:t xml:space="preserve">specified </w:t>
      </w:r>
      <w:r w:rsidR="00171B06">
        <w:t xml:space="preserve">a demand volatility adjustment mechanism to account for deviations between actual and forecast water sales revenue above or below a </w:t>
      </w:r>
      <w:r w:rsidR="00EF5A96">
        <w:t>threshold</w:t>
      </w:r>
      <w:r w:rsidR="004B4D0B">
        <w:t xml:space="preserve"> (</w:t>
      </w:r>
      <w:proofErr w:type="spellStart"/>
      <w:r w:rsidR="004B4D0B">
        <w:t>deadband</w:t>
      </w:r>
      <w:proofErr w:type="spellEnd"/>
      <w:r w:rsidR="004B4D0B">
        <w:t>)</w:t>
      </w:r>
      <w:r w:rsidR="00EF5A96">
        <w:t xml:space="preserve"> </w:t>
      </w:r>
      <w:r w:rsidR="00171B06">
        <w:t xml:space="preserve">over the regulatory period between 1 July 2013 </w:t>
      </w:r>
      <w:r w:rsidR="004B4D0B">
        <w:t xml:space="preserve">and </w:t>
      </w:r>
      <w:r w:rsidR="00171B06">
        <w:t>30 June 2018.</w:t>
      </w:r>
      <w:r w:rsidR="00E6005B">
        <w:t xml:space="preserve"> </w:t>
      </w:r>
      <w:r w:rsidR="004B4D0B">
        <w:t xml:space="preserve">The </w:t>
      </w:r>
      <w:proofErr w:type="spellStart"/>
      <w:r w:rsidR="004B4D0B">
        <w:t>deadband</w:t>
      </w:r>
      <w:proofErr w:type="spellEnd"/>
      <w:r w:rsidR="004B4D0B">
        <w:t xml:space="preserve"> </w:t>
      </w:r>
      <w:r w:rsidR="00CC09A5">
        <w:t xml:space="preserve">was </w:t>
      </w:r>
      <w:r w:rsidR="004B4D0B">
        <w:t xml:space="preserve">defined as </w:t>
      </w:r>
      <w:r w:rsidR="00A94C6B">
        <w:t>six</w:t>
      </w:r>
      <w:r w:rsidR="004B4D0B">
        <w:t xml:space="preserve"> per cent of the allowed revenue in net present value terms.</w:t>
      </w:r>
      <w:r w:rsidR="00E6005B">
        <w:t xml:space="preserve"> </w:t>
      </w:r>
      <w:r w:rsidR="00D13C6B">
        <w:t>Under this approach, Icon Water bear</w:t>
      </w:r>
      <w:r w:rsidR="00D13C6B" w:rsidRPr="00E05AF0">
        <w:t xml:space="preserve">s </w:t>
      </w:r>
      <w:r w:rsidR="00E05AF0">
        <w:t xml:space="preserve">the </w:t>
      </w:r>
      <w:r w:rsidR="00D13C6B" w:rsidRPr="00E05AF0">
        <w:t>demand risk up to th</w:t>
      </w:r>
      <w:r w:rsidR="00D13C6B">
        <w:t xml:space="preserve">e level of </w:t>
      </w:r>
      <w:r w:rsidR="000335EC">
        <w:t xml:space="preserve">the </w:t>
      </w:r>
      <w:proofErr w:type="spellStart"/>
      <w:r w:rsidR="00D13C6B">
        <w:t>deadband</w:t>
      </w:r>
      <w:proofErr w:type="spellEnd"/>
      <w:r w:rsidR="00D13C6B">
        <w:t xml:space="preserve"> and consumers bear the risk beyond the </w:t>
      </w:r>
      <w:proofErr w:type="spellStart"/>
      <w:r w:rsidR="00D13C6B">
        <w:t>deadband</w:t>
      </w:r>
      <w:proofErr w:type="spellEnd"/>
      <w:r w:rsidR="00D13C6B">
        <w:t>.</w:t>
      </w:r>
    </w:p>
    <w:p w14:paraId="6A63E88F" w14:textId="77777777" w:rsidR="005F5247" w:rsidRDefault="005B62A7" w:rsidP="00F70DF9">
      <w:r>
        <w:t>In adopting a hybrid of a revenue and price cap model, the Industry Panel was guided by the approach taken by other regulators and its judgement that this form of regulation would best</w:t>
      </w:r>
      <w:r w:rsidR="00011B03">
        <w:t xml:space="preserve"> satisfy its desire for price stability, financial viability of the regulated business and encouraging economic efficiency.</w:t>
      </w:r>
      <w:r w:rsidR="00E6005B">
        <w:t xml:space="preserve"> </w:t>
      </w:r>
      <w:r w:rsidR="00011B03">
        <w:t xml:space="preserve">It took the view that the other regulatory approaches did not provide </w:t>
      </w:r>
      <w:r w:rsidR="005F5247">
        <w:t>an appropriate allocation of the risks between customers and the regulated business, particular</w:t>
      </w:r>
      <w:r w:rsidR="005F5247" w:rsidRPr="00E05AF0">
        <w:t xml:space="preserve">ly </w:t>
      </w:r>
      <w:r w:rsidR="00E05AF0" w:rsidRPr="00E05AF0">
        <w:t>since</w:t>
      </w:r>
      <w:r w:rsidR="005F5247" w:rsidRPr="00E05AF0">
        <w:t xml:space="preserve"> the dem</w:t>
      </w:r>
      <w:r w:rsidR="005F5247">
        <w:t xml:space="preserve">and for water services </w:t>
      </w:r>
      <w:r w:rsidR="00CC09A5">
        <w:t>is</w:t>
      </w:r>
      <w:r w:rsidR="00CC09A5" w:rsidRPr="00CC09A5">
        <w:t xml:space="preserve"> </w:t>
      </w:r>
      <w:r w:rsidR="005F5247" w:rsidRPr="00CC09A5">
        <w:t>difficul</w:t>
      </w:r>
      <w:r w:rsidR="005F5247">
        <w:t>t to predict with any certainty.</w:t>
      </w:r>
    </w:p>
    <w:p w14:paraId="15DDB807" w14:textId="77777777" w:rsidR="008A62A6" w:rsidRDefault="005F5247" w:rsidP="005F5247">
      <w:r>
        <w:t xml:space="preserve">Given </w:t>
      </w:r>
      <w:r w:rsidR="00216F07">
        <w:t>this, the</w:t>
      </w:r>
      <w:r>
        <w:t xml:space="preserve"> Commission</w:t>
      </w:r>
      <w:r w:rsidR="0017111C">
        <w:t>’s</w:t>
      </w:r>
      <w:r>
        <w:t xml:space="preserve"> view is that a hybrid revenue and price cap remains the appropriate regulatory approach, although the Commissio</w:t>
      </w:r>
      <w:r w:rsidRPr="00E05AF0">
        <w:t xml:space="preserve">n </w:t>
      </w:r>
      <w:r w:rsidR="00E05AF0">
        <w:t>is</w:t>
      </w:r>
      <w:r w:rsidR="00E05AF0" w:rsidRPr="00E05AF0">
        <w:t xml:space="preserve"> </w:t>
      </w:r>
      <w:r w:rsidRPr="00E05AF0">
        <w:t>open to makin</w:t>
      </w:r>
      <w:r>
        <w:t xml:space="preserve">g modifications to the </w:t>
      </w:r>
      <w:r w:rsidR="0017111C">
        <w:t xml:space="preserve">current </w:t>
      </w:r>
      <w:r>
        <w:t xml:space="preserve">regulatory model </w:t>
      </w:r>
      <w:r w:rsidR="0017111C">
        <w:t xml:space="preserve">and form of control </w:t>
      </w:r>
      <w:r>
        <w:t>where appropriate.</w:t>
      </w:r>
    </w:p>
    <w:p w14:paraId="75E9A49B" w14:textId="77777777" w:rsidR="008C50A3" w:rsidRDefault="004B4F55" w:rsidP="005F5247">
      <w:r>
        <w:t>In determining the cap</w:t>
      </w:r>
      <w:r w:rsidR="00E05AF0">
        <w:t>,</w:t>
      </w:r>
      <w:r>
        <w:t xml:space="preserve"> the Commission has to make assessments about efficient expenditure of capital </w:t>
      </w:r>
      <w:r w:rsidRPr="00E05AF0">
        <w:t xml:space="preserve">and </w:t>
      </w:r>
      <w:r w:rsidR="00E05AF0">
        <w:t xml:space="preserve">about </w:t>
      </w:r>
      <w:r w:rsidRPr="00CC09A5">
        <w:t>rolling pr</w:t>
      </w:r>
      <w:r>
        <w:t>udent expenditure in</w:t>
      </w:r>
      <w:r w:rsidR="00E05AF0">
        <w:t>to</w:t>
      </w:r>
      <w:r>
        <w:t xml:space="preserve"> the regulatory asset base, </w:t>
      </w:r>
      <w:r w:rsidRPr="00CC09A5">
        <w:t>the cost of capital,</w:t>
      </w:r>
      <w:r>
        <w:t xml:space="preserve"> depreciation and operational expenditure.</w:t>
      </w:r>
      <w:r w:rsidR="00E6005B">
        <w:t xml:space="preserve"> </w:t>
      </w:r>
      <w:r>
        <w:t>It then applies the expected demand forecast to costs</w:t>
      </w:r>
      <w:r w:rsidR="00B51431">
        <w:t xml:space="preserve"> to</w:t>
      </w:r>
      <w:r>
        <w:t xml:space="preserve"> determine </w:t>
      </w:r>
      <w:r w:rsidR="00B51431">
        <w:t xml:space="preserve">the </w:t>
      </w:r>
      <w:r>
        <w:t>price caps.</w:t>
      </w:r>
      <w:r w:rsidR="00E6005B">
        <w:t xml:space="preserve"> </w:t>
      </w:r>
      <w:r>
        <w:t xml:space="preserve">These issues are further examined in </w:t>
      </w:r>
      <w:r w:rsidR="000335EC">
        <w:t>C</w:t>
      </w:r>
      <w:r>
        <w:t>hapter 4</w:t>
      </w:r>
      <w:r w:rsidR="00CC09A5">
        <w:t>.</w:t>
      </w:r>
    </w:p>
    <w:tbl>
      <w:tblPr>
        <w:tblStyle w:val="TableGrid"/>
        <w:tblW w:w="0" w:type="auto"/>
        <w:tblInd w:w="108" w:type="dxa"/>
        <w:tblLook w:val="04A0" w:firstRow="1" w:lastRow="0" w:firstColumn="1" w:lastColumn="0" w:noHBand="0" w:noVBand="1"/>
      </w:tblPr>
      <w:tblGrid>
        <w:gridCol w:w="7593"/>
      </w:tblGrid>
      <w:tr w:rsidR="008C50A3" w14:paraId="54BA7D81" w14:textId="77777777" w:rsidTr="008C50A3">
        <w:tc>
          <w:tcPr>
            <w:tcW w:w="7927" w:type="dxa"/>
          </w:tcPr>
          <w:p w14:paraId="1F5CB3C4" w14:textId="64628D09" w:rsidR="008C50A3" w:rsidRDefault="0007632E" w:rsidP="008C50A3">
            <w:pPr>
              <w:pStyle w:val="Questiontext"/>
            </w:pPr>
            <w:r w:rsidRPr="002B5D98">
              <w:rPr>
                <w:b/>
              </w:rPr>
              <w:t xml:space="preserve">Issue </w:t>
            </w:r>
            <w:r w:rsidR="008C50A3" w:rsidRPr="002B5D98">
              <w:rPr>
                <w:b/>
              </w:rPr>
              <w:t>2</w:t>
            </w:r>
            <w:r w:rsidR="008C50A3">
              <w:t xml:space="preserve">: The Commission welcomes any comments on the regulatory model and form of control and its proposal </w:t>
            </w:r>
            <w:r w:rsidR="008C50A3" w:rsidRPr="00CC09A5">
              <w:t xml:space="preserve">to </w:t>
            </w:r>
            <w:r w:rsidR="0032401B">
              <w:t>continue with</w:t>
            </w:r>
            <w:r w:rsidR="008C50A3" w:rsidRPr="00CC09A5">
              <w:t xml:space="preserve"> the hybrid revenue and price cap approach for the 2018–2023 regulatory p</w:t>
            </w:r>
            <w:r w:rsidR="008C50A3">
              <w:t xml:space="preserve">eriod. </w:t>
            </w:r>
          </w:p>
          <w:p w14:paraId="42691795" w14:textId="1C75DB72" w:rsidR="008C50A3" w:rsidRDefault="0007632E" w:rsidP="0007632E">
            <w:pPr>
              <w:pStyle w:val="Questiontext"/>
            </w:pPr>
            <w:r w:rsidRPr="002B5D98">
              <w:rPr>
                <w:b/>
              </w:rPr>
              <w:t>Issue 3</w:t>
            </w:r>
            <w:r>
              <w:t>:</w:t>
            </w:r>
            <w:r w:rsidR="008C50A3">
              <w:t xml:space="preserve"> What are the advantages and disadvantages of adopting </w:t>
            </w:r>
            <w:r w:rsidR="008C50A3" w:rsidRPr="008C50A3">
              <w:t>a pure revenue cap or a pure price cap as the form of</w:t>
            </w:r>
            <w:r w:rsidR="008C50A3">
              <w:t xml:space="preserve"> control?</w:t>
            </w:r>
          </w:p>
        </w:tc>
      </w:tr>
    </w:tbl>
    <w:p w14:paraId="116D978E" w14:textId="77777777" w:rsidR="00BC55E9" w:rsidRDefault="00BC55E9" w:rsidP="00F70DF9"/>
    <w:p w14:paraId="345BE652" w14:textId="77777777" w:rsidR="008C50A3" w:rsidRDefault="008C50A3" w:rsidP="008C50A3"/>
    <w:p w14:paraId="449FB96C" w14:textId="77777777" w:rsidR="00F70DF9" w:rsidRPr="00B3506E" w:rsidRDefault="00F70DF9" w:rsidP="00F70DF9">
      <w:pPr>
        <w:sectPr w:rsidR="00F70DF9" w:rsidRPr="00B3506E" w:rsidSect="00456053">
          <w:endnotePr>
            <w:numFmt w:val="decimal"/>
          </w:endnotePr>
          <w:type w:val="continuous"/>
          <w:pgSz w:w="11907" w:h="16840" w:code="9"/>
          <w:pgMar w:top="2268" w:right="2098" w:bottom="1701" w:left="2098" w:header="578" w:footer="578" w:gutter="0"/>
          <w:cols w:space="720"/>
          <w:docGrid w:linePitch="299"/>
        </w:sectPr>
      </w:pPr>
    </w:p>
    <w:p w14:paraId="3E9931B6" w14:textId="77777777" w:rsidR="00064C82" w:rsidRPr="008A3B4B" w:rsidRDefault="00F30EC2" w:rsidP="008A3B4B">
      <w:pPr>
        <w:pStyle w:val="Heading1"/>
        <w:sectPr w:rsidR="00064C82" w:rsidRPr="008A3B4B" w:rsidSect="00662C7A">
          <w:headerReference w:type="even" r:id="rId37"/>
          <w:headerReference w:type="default" r:id="rId38"/>
          <w:endnotePr>
            <w:numFmt w:val="decimal"/>
          </w:endnotePr>
          <w:type w:val="oddPage"/>
          <w:pgSz w:w="11907" w:h="16840" w:code="9"/>
          <w:pgMar w:top="2268" w:right="2098" w:bottom="1701" w:left="2098" w:header="578" w:footer="578" w:gutter="0"/>
          <w:cols w:space="720"/>
          <w:noEndnote/>
          <w:docGrid w:linePitch="299"/>
        </w:sectPr>
      </w:pPr>
      <w:bookmarkStart w:id="78" w:name="_Ref476908578"/>
      <w:bookmarkStart w:id="79" w:name="_Ref476909088"/>
      <w:bookmarkStart w:id="80" w:name="_Toc478557254"/>
      <w:r>
        <w:lastRenderedPageBreak/>
        <w:t>Carryover issues from the</w:t>
      </w:r>
      <w:r w:rsidR="00C9582E">
        <w:br/>
      </w:r>
      <w:r>
        <w:t>201</w:t>
      </w:r>
      <w:r w:rsidR="00271BD7">
        <w:t>4</w:t>
      </w:r>
      <w:r w:rsidR="004C4FB8">
        <w:t>–</w:t>
      </w:r>
      <w:r>
        <w:t>2018 price direction</w:t>
      </w:r>
      <w:bookmarkEnd w:id="75"/>
      <w:bookmarkEnd w:id="78"/>
      <w:bookmarkEnd w:id="79"/>
      <w:bookmarkEnd w:id="80"/>
    </w:p>
    <w:p w14:paraId="1614E5EA" w14:textId="77777777" w:rsidR="00F30EC2" w:rsidRDefault="00F30EC2" w:rsidP="006C7D4B">
      <w:pPr>
        <w:pStyle w:val="Heading2"/>
        <w:rPr>
          <w:webHidden/>
        </w:rPr>
      </w:pPr>
      <w:bookmarkStart w:id="81" w:name="_Toc478557255"/>
      <w:r>
        <w:rPr>
          <w:webHidden/>
        </w:rPr>
        <w:t>Introduction</w:t>
      </w:r>
      <w:bookmarkEnd w:id="81"/>
      <w:r>
        <w:rPr>
          <w:webHidden/>
        </w:rPr>
        <w:t xml:space="preserve"> </w:t>
      </w:r>
    </w:p>
    <w:p w14:paraId="3AC510D5" w14:textId="77777777" w:rsidR="00F30EC2" w:rsidRDefault="00F30EC2" w:rsidP="007B5EBA">
      <w:pPr>
        <w:pStyle w:val="Bodybulletintro"/>
      </w:pPr>
      <w:r w:rsidRPr="00331E28">
        <w:t xml:space="preserve">The Industry Panel </w:t>
      </w:r>
      <w:r w:rsidR="00CC026C">
        <w:t xml:space="preserve">report </w:t>
      </w:r>
      <w:r w:rsidRPr="00331E28">
        <w:t>noted that the main risk in the regulatory period to 30</w:t>
      </w:r>
      <w:r w:rsidR="004C4FB8">
        <w:t> </w:t>
      </w:r>
      <w:r w:rsidRPr="00331E28">
        <w:t xml:space="preserve">June 2018 </w:t>
      </w:r>
      <w:r w:rsidR="004D4603">
        <w:t>was</w:t>
      </w:r>
      <w:r w:rsidR="004D4603" w:rsidRPr="00331E28">
        <w:t xml:space="preserve"> </w:t>
      </w:r>
      <w:r w:rsidRPr="00331E28">
        <w:t>that prices would be set either too low or too high due to uncertainties about actual expenditure and demand.</w:t>
      </w:r>
      <w:r w:rsidRPr="00331E28">
        <w:rPr>
          <w:vertAlign w:val="superscript"/>
        </w:rPr>
        <w:footnoteReference w:id="9"/>
      </w:r>
      <w:r w:rsidR="00E6005B">
        <w:t xml:space="preserve"> </w:t>
      </w:r>
      <w:r w:rsidRPr="00331E28">
        <w:t xml:space="preserve">To address </w:t>
      </w:r>
      <w:r w:rsidR="004D4603" w:rsidRPr="00331E28">
        <w:t>th</w:t>
      </w:r>
      <w:r w:rsidR="004D4603">
        <w:t>is</w:t>
      </w:r>
      <w:r w:rsidR="004D4603" w:rsidRPr="00331E28">
        <w:t xml:space="preserve"> </w:t>
      </w:r>
      <w:r w:rsidRPr="00331E28">
        <w:t>risk</w:t>
      </w:r>
      <w:r w:rsidR="00705680">
        <w:t>,</w:t>
      </w:r>
      <w:r w:rsidRPr="00331E28">
        <w:t xml:space="preserve"> the </w:t>
      </w:r>
      <w:r w:rsidR="004C4FB8">
        <w:t>p</w:t>
      </w:r>
      <w:r w:rsidRPr="00331E28">
        <w:t xml:space="preserve">anel adopted </w:t>
      </w:r>
      <w:r w:rsidR="007B5EBA">
        <w:t>the following</w:t>
      </w:r>
      <w:r w:rsidRPr="00331E28">
        <w:t xml:space="preserve"> regulatory control and risk allocation too</w:t>
      </w:r>
      <w:r w:rsidRPr="007B5EBA">
        <w:t>ls:</w:t>
      </w:r>
    </w:p>
    <w:p w14:paraId="35239884" w14:textId="77777777" w:rsidR="00F30EC2" w:rsidRPr="00405539" w:rsidRDefault="00F30EC2" w:rsidP="00F30EC2">
      <w:pPr>
        <w:pStyle w:val="Bullet"/>
      </w:pPr>
      <w:r w:rsidRPr="00405539">
        <w:t>a hybrid price and revenue cap form of control with individual price caps for water and sewerag</w:t>
      </w:r>
      <w:r w:rsidRPr="00705680">
        <w:t>e</w:t>
      </w:r>
      <w:r w:rsidR="0094698A">
        <w:t xml:space="preserve"> service</w:t>
      </w:r>
      <w:r w:rsidRPr="00705680">
        <w:t xml:space="preserve"> charges and a</w:t>
      </w:r>
      <w:r w:rsidRPr="00405539">
        <w:t xml:space="preserve"> demand volatility adjustment mechanism that </w:t>
      </w:r>
      <w:r w:rsidR="007B5EBA">
        <w:t>would</w:t>
      </w:r>
      <w:r w:rsidR="007B5EBA" w:rsidRPr="00405539">
        <w:t xml:space="preserve"> </w:t>
      </w:r>
      <w:r w:rsidRPr="00405539">
        <w:t xml:space="preserve">be triggered if deviations between actual and forecast water sales revenue </w:t>
      </w:r>
      <w:r w:rsidR="007B5EBA">
        <w:t xml:space="preserve">were to </w:t>
      </w:r>
      <w:r w:rsidRPr="00405539">
        <w:t xml:space="preserve">fall outside a </w:t>
      </w:r>
      <w:r w:rsidR="00C9582E">
        <w:t>six per cent</w:t>
      </w:r>
      <w:r w:rsidRPr="00405539">
        <w:t xml:space="preserve"> </w:t>
      </w:r>
      <w:proofErr w:type="spellStart"/>
      <w:r w:rsidRPr="00405539">
        <w:t>deadband</w:t>
      </w:r>
      <w:proofErr w:type="spellEnd"/>
      <w:r>
        <w:t>;</w:t>
      </w:r>
    </w:p>
    <w:p w14:paraId="319ED154" w14:textId="77777777" w:rsidR="00F30EC2" w:rsidRPr="00405539" w:rsidRDefault="00F30EC2" w:rsidP="00F30EC2">
      <w:pPr>
        <w:pStyle w:val="Bullet"/>
      </w:pPr>
      <w:r w:rsidRPr="00405539">
        <w:t xml:space="preserve">a </w:t>
      </w:r>
      <w:r w:rsidR="004D4603">
        <w:t>c</w:t>
      </w:r>
      <w:r w:rsidR="00DF5B54">
        <w:t xml:space="preserve">onsumer </w:t>
      </w:r>
      <w:r w:rsidR="004D4603">
        <w:t>p</w:t>
      </w:r>
      <w:r w:rsidR="00DF5B54">
        <w:t xml:space="preserve">rice </w:t>
      </w:r>
      <w:r w:rsidR="004D4603">
        <w:t>i</w:t>
      </w:r>
      <w:r w:rsidR="00DF5B54">
        <w:t>ndex (</w:t>
      </w:r>
      <w:r w:rsidRPr="00405539">
        <w:t>CPI</w:t>
      </w:r>
      <w:r w:rsidR="00DF5B54">
        <w:t>)</w:t>
      </w:r>
      <w:r w:rsidRPr="00405539">
        <w:t xml:space="preserve"> escalation mechanism, </w:t>
      </w:r>
      <w:r>
        <w:t>to</w:t>
      </w:r>
      <w:r w:rsidRPr="00405539">
        <w:t xml:space="preserve"> provide Icon Water with some protection against changes in inflation over the period</w:t>
      </w:r>
      <w:r>
        <w:t>;</w:t>
      </w:r>
    </w:p>
    <w:p w14:paraId="34D14108" w14:textId="77777777" w:rsidR="0004306D" w:rsidRDefault="00F30EC2" w:rsidP="00F30EC2">
      <w:pPr>
        <w:pStyle w:val="Bullet"/>
      </w:pPr>
      <w:r w:rsidRPr="00405539">
        <w:t xml:space="preserve">an annual cost pass-through mechanism, </w:t>
      </w:r>
      <w:r>
        <w:t>to</w:t>
      </w:r>
      <w:r w:rsidRPr="00405539">
        <w:t xml:space="preserve"> provide Icon Water and customers with some protection against material changes (positive and negative) in </w:t>
      </w:r>
      <w:r w:rsidR="008700A7">
        <w:t>non-</w:t>
      </w:r>
      <w:r w:rsidR="008700A7" w:rsidRPr="00405539">
        <w:t xml:space="preserve">controllable </w:t>
      </w:r>
      <w:r w:rsidRPr="00405539">
        <w:t>costs over the period</w:t>
      </w:r>
      <w:r>
        <w:t>;</w:t>
      </w:r>
      <w:r w:rsidRPr="00405539">
        <w:t xml:space="preserve"> </w:t>
      </w:r>
    </w:p>
    <w:p w14:paraId="5AB8AE9D" w14:textId="77777777" w:rsidR="0004306D" w:rsidRPr="00405539" w:rsidRDefault="0004306D" w:rsidP="0004306D">
      <w:pPr>
        <w:pStyle w:val="Bullet"/>
      </w:pPr>
      <w:r w:rsidRPr="007B5EBA">
        <w:t>an ex post capital</w:t>
      </w:r>
      <w:r w:rsidRPr="00405539">
        <w:t xml:space="preserve"> expenditure review, </w:t>
      </w:r>
      <w:r>
        <w:t xml:space="preserve">to </w:t>
      </w:r>
      <w:r w:rsidRPr="00405539">
        <w:t xml:space="preserve">allow the </w:t>
      </w:r>
      <w:r>
        <w:t>Commission</w:t>
      </w:r>
      <w:r w:rsidRPr="00405539">
        <w:t xml:space="preserve"> to assess the prudence and efficiency of the capital expenditure actually incurred by Icon Water over the current regulatory period before rolling it into the regulat</w:t>
      </w:r>
      <w:r w:rsidR="006B1686">
        <w:t>ory</w:t>
      </w:r>
      <w:r w:rsidRPr="00405539">
        <w:t xml:space="preserve"> asset base in the next determination</w:t>
      </w:r>
      <w:r>
        <w:t>; and</w:t>
      </w:r>
    </w:p>
    <w:p w14:paraId="7A0FADA6" w14:textId="77777777" w:rsidR="00F30EC2" w:rsidRPr="00405539" w:rsidRDefault="00F30EC2" w:rsidP="004D4603">
      <w:pPr>
        <w:pStyle w:val="BulletLast"/>
      </w:pPr>
      <w:proofErr w:type="gramStart"/>
      <w:r w:rsidRPr="00405539">
        <w:t>a</w:t>
      </w:r>
      <w:proofErr w:type="gramEnd"/>
      <w:r w:rsidRPr="00405539">
        <w:t xml:space="preserve"> price variation trigger event mechanism, to deal with any major unforeseen event that may occur in the period (subject to meeting a materiality threshold).</w:t>
      </w:r>
    </w:p>
    <w:p w14:paraId="4685B9BB" w14:textId="77777777" w:rsidR="00837E61" w:rsidRDefault="00837E61" w:rsidP="00F30EC2">
      <w:r>
        <w:t xml:space="preserve">It is likely that actual water sales revenue </w:t>
      </w:r>
      <w:r w:rsidR="007B5EBA">
        <w:t xml:space="preserve">for the current regulatory period </w:t>
      </w:r>
      <w:r>
        <w:t xml:space="preserve">will be well below </w:t>
      </w:r>
      <w:r w:rsidR="007B5EBA">
        <w:t xml:space="preserve">the </w:t>
      </w:r>
      <w:r>
        <w:t>forecast</w:t>
      </w:r>
      <w:r w:rsidR="004D4603">
        <w:t>, which</w:t>
      </w:r>
      <w:r>
        <w:t xml:space="preserve"> </w:t>
      </w:r>
      <w:r w:rsidR="00331E28">
        <w:t xml:space="preserve">may </w:t>
      </w:r>
      <w:r>
        <w:t>mean that the demand volatility adjustment mechanism will be tr</w:t>
      </w:r>
      <w:r w:rsidR="004A2A91">
        <w:t>iggered</w:t>
      </w:r>
      <w:r>
        <w:t>.</w:t>
      </w:r>
      <w:r w:rsidR="00E6005B">
        <w:t xml:space="preserve"> </w:t>
      </w:r>
      <w:r>
        <w:t>The under</w:t>
      </w:r>
      <w:r w:rsidR="004D4603">
        <w:t>-</w:t>
      </w:r>
      <w:r>
        <w:t xml:space="preserve">recovery of approved revenue and application of the demand volatility adjustment mechanism </w:t>
      </w:r>
      <w:r w:rsidR="00CC026C">
        <w:t>are</w:t>
      </w:r>
      <w:r w:rsidR="004A2A91">
        <w:t xml:space="preserve"> discussed in </w:t>
      </w:r>
      <w:r w:rsidR="004C4FB8">
        <w:t>s</w:t>
      </w:r>
      <w:r w:rsidR="004A2A91">
        <w:t xml:space="preserve">ection </w:t>
      </w:r>
      <w:r w:rsidR="005A2C62">
        <w:t>4</w:t>
      </w:r>
      <w:r w:rsidR="004A2A91">
        <w:t>.2.</w:t>
      </w:r>
      <w:r w:rsidR="00E6005B">
        <w:t xml:space="preserve"> </w:t>
      </w:r>
    </w:p>
    <w:p w14:paraId="133321AA" w14:textId="05D31B6C" w:rsidR="00F30EC2" w:rsidRDefault="00F30EC2" w:rsidP="00F30EC2">
      <w:r w:rsidRPr="00733051">
        <w:t xml:space="preserve">The </w:t>
      </w:r>
      <w:r w:rsidR="0004306D">
        <w:t xml:space="preserve">expected </w:t>
      </w:r>
      <w:r w:rsidRPr="00733051">
        <w:t xml:space="preserve">substantial </w:t>
      </w:r>
      <w:r>
        <w:t xml:space="preserve">forecasting </w:t>
      </w:r>
      <w:r w:rsidRPr="00733051">
        <w:t xml:space="preserve">error </w:t>
      </w:r>
      <w:r>
        <w:t xml:space="preserve">for water </w:t>
      </w:r>
      <w:r w:rsidRPr="00733051">
        <w:t xml:space="preserve">sales </w:t>
      </w:r>
      <w:r w:rsidRPr="00705680">
        <w:t xml:space="preserve">volumes raises the issues of both the methodology for forecasting water sales and other </w:t>
      </w:r>
      <w:r w:rsidR="0004306D" w:rsidRPr="00705680">
        <w:t>mechanisms to</w:t>
      </w:r>
      <w:r w:rsidR="0004306D">
        <w:t xml:space="preserve"> ensure efficient</w:t>
      </w:r>
      <w:r w:rsidRPr="00733051">
        <w:t xml:space="preserve"> recovery of allowable expenditure.</w:t>
      </w:r>
      <w:r w:rsidR="00E6005B">
        <w:t xml:space="preserve"> </w:t>
      </w:r>
      <w:r w:rsidRPr="00733051">
        <w:t xml:space="preserve">These </w:t>
      </w:r>
      <w:r>
        <w:t xml:space="preserve">other </w:t>
      </w:r>
      <w:r w:rsidRPr="00733051">
        <w:t>mechanisms</w:t>
      </w:r>
      <w:r w:rsidR="00A25960">
        <w:t xml:space="preserve"> address</w:t>
      </w:r>
      <w:r w:rsidRPr="00733051">
        <w:t xml:space="preserve"> </w:t>
      </w:r>
      <w:r w:rsidRPr="00705680">
        <w:t>the extent to which the tariff structure enables efficient recovery of costs</w:t>
      </w:r>
      <w:r w:rsidR="00705680">
        <w:t>,</w:t>
      </w:r>
      <w:r w:rsidRPr="00705680">
        <w:t xml:space="preserve"> and regulatory mechanisms similar to the hybrid price and revenue cap implem</w:t>
      </w:r>
      <w:r w:rsidRPr="00733051">
        <w:t>ented as part of the Industry Panel’s substitute price direction</w:t>
      </w:r>
      <w:r>
        <w:t>, as well as other forms of price control</w:t>
      </w:r>
      <w:r w:rsidRPr="00733051">
        <w:t>.</w:t>
      </w:r>
      <w:r w:rsidR="00E6005B">
        <w:t xml:space="preserve"> </w:t>
      </w:r>
      <w:r w:rsidR="007B5EBA">
        <w:t>T</w:t>
      </w:r>
      <w:r w:rsidR="009060C6">
        <w:t>he</w:t>
      </w:r>
      <w:r w:rsidR="004A2A91">
        <w:t xml:space="preserve"> form of price </w:t>
      </w:r>
      <w:r w:rsidR="00A36057">
        <w:t xml:space="preserve">control </w:t>
      </w:r>
      <w:r w:rsidR="009060C6">
        <w:t xml:space="preserve">was </w:t>
      </w:r>
      <w:r w:rsidR="007B5EBA">
        <w:t xml:space="preserve">discussed </w:t>
      </w:r>
      <w:r w:rsidR="009060C6">
        <w:t xml:space="preserve">in </w:t>
      </w:r>
      <w:r w:rsidR="004C4FB8">
        <w:t>s</w:t>
      </w:r>
      <w:r w:rsidR="009060C6">
        <w:t>ection 3.2.</w:t>
      </w:r>
      <w:r w:rsidR="00E6005B">
        <w:t xml:space="preserve"> </w:t>
      </w:r>
      <w:r w:rsidR="007B5EBA">
        <w:t>E</w:t>
      </w:r>
      <w:r w:rsidR="00A36057">
        <w:t xml:space="preserve">xpenditure </w:t>
      </w:r>
      <w:r w:rsidR="00A94C6B">
        <w:t>risk is</w:t>
      </w:r>
      <w:r w:rsidR="009060C6">
        <w:t xml:space="preserve"> </w:t>
      </w:r>
      <w:r w:rsidR="007B5EBA">
        <w:t xml:space="preserve">discussed </w:t>
      </w:r>
      <w:r w:rsidR="009060C6">
        <w:t xml:space="preserve">in </w:t>
      </w:r>
      <w:r w:rsidR="004C4FB8">
        <w:t>s</w:t>
      </w:r>
      <w:r w:rsidR="004A2A91">
        <w:t xml:space="preserve">ection </w:t>
      </w:r>
      <w:r w:rsidR="005A2C62">
        <w:t>5</w:t>
      </w:r>
      <w:r w:rsidR="005C30B1">
        <w:t>.</w:t>
      </w:r>
      <w:r w:rsidR="00651EFA">
        <w:t>2</w:t>
      </w:r>
      <w:r w:rsidR="005C30B1">
        <w:t xml:space="preserve"> </w:t>
      </w:r>
      <w:r w:rsidR="004A2A91">
        <w:t xml:space="preserve">and the tariff structure is discussed in </w:t>
      </w:r>
      <w:r w:rsidR="004C4FB8">
        <w:t>s</w:t>
      </w:r>
      <w:r w:rsidR="004A2A91">
        <w:t xml:space="preserve">ection </w:t>
      </w:r>
      <w:r w:rsidR="005A2C62">
        <w:t>5</w:t>
      </w:r>
      <w:r w:rsidR="005C30B1">
        <w:t>.4</w:t>
      </w:r>
      <w:r w:rsidR="004A2A91">
        <w:t>.</w:t>
      </w:r>
    </w:p>
    <w:p w14:paraId="2B9F2B5C" w14:textId="77777777" w:rsidR="00837E61" w:rsidRDefault="00837E61" w:rsidP="00837E61">
      <w:r>
        <w:lastRenderedPageBreak/>
        <w:t>The CPI escalation and annual cost pass-through mechanisms have been applied during the current regulatory period and the price variation trigger mechanism has not been needed.</w:t>
      </w:r>
      <w:r w:rsidR="00E6005B">
        <w:t xml:space="preserve"> </w:t>
      </w:r>
    </w:p>
    <w:p w14:paraId="144F2F88" w14:textId="77777777" w:rsidR="00837E61" w:rsidRDefault="00837E61" w:rsidP="00837E61">
      <w:r>
        <w:t xml:space="preserve">There may be a need to undertake an ex post capital expenditure review, even </w:t>
      </w:r>
      <w:r w:rsidR="005A271C">
        <w:t xml:space="preserve">if </w:t>
      </w:r>
      <w:r w:rsidRPr="00705680">
        <w:t>actual total</w:t>
      </w:r>
      <w:r w:rsidRPr="00CB632F">
        <w:t xml:space="preserve"> e</w:t>
      </w:r>
      <w:r>
        <w:t>xpenditure does not exceed forecast capital expenditure</w:t>
      </w:r>
      <w:r w:rsidR="005A271C">
        <w:t>,</w:t>
      </w:r>
      <w:r>
        <w:t xml:space="preserve"> in order to assess the prudence and efficiency of major capital expenditure projects.</w:t>
      </w:r>
      <w:r w:rsidR="00E6005B">
        <w:t xml:space="preserve"> </w:t>
      </w:r>
      <w:r>
        <w:t>The</w:t>
      </w:r>
      <w:r w:rsidR="004A2A91">
        <w:t xml:space="preserve"> </w:t>
      </w:r>
      <w:r w:rsidR="005A2C62">
        <w:t xml:space="preserve">scope for an ex post </w:t>
      </w:r>
      <w:r w:rsidR="004A2A91">
        <w:t xml:space="preserve">capital expenditure </w:t>
      </w:r>
      <w:r w:rsidR="005A2C62">
        <w:t xml:space="preserve">review </w:t>
      </w:r>
      <w:r w:rsidR="00A94C6B">
        <w:t>is discussed</w:t>
      </w:r>
      <w:r w:rsidR="004A2A91">
        <w:t xml:space="preserve"> in </w:t>
      </w:r>
      <w:r w:rsidR="005A271C">
        <w:t>s</w:t>
      </w:r>
      <w:r w:rsidR="004A2A91">
        <w:t xml:space="preserve">ection </w:t>
      </w:r>
      <w:r w:rsidR="005A2C62">
        <w:t>4</w:t>
      </w:r>
      <w:r w:rsidR="004A2A91">
        <w:t>.3</w:t>
      </w:r>
      <w:r w:rsidR="00A36057">
        <w:t>.</w:t>
      </w:r>
    </w:p>
    <w:p w14:paraId="3CDF3658" w14:textId="77777777" w:rsidR="00F30EC2" w:rsidRDefault="00F30EC2" w:rsidP="006C7D4B">
      <w:pPr>
        <w:pStyle w:val="Heading2"/>
        <w:rPr>
          <w:webHidden/>
        </w:rPr>
      </w:pPr>
      <w:bookmarkStart w:id="82" w:name="_Toc478557256"/>
      <w:r>
        <w:rPr>
          <w:webHidden/>
        </w:rPr>
        <w:t>Under-recovery of approved revenue</w:t>
      </w:r>
      <w:bookmarkEnd w:id="82"/>
    </w:p>
    <w:p w14:paraId="5A34A1D0" w14:textId="77777777" w:rsidR="00F30EC2" w:rsidRDefault="00F30EC2" w:rsidP="00F30EC2">
      <w:pPr>
        <w:rPr>
          <w:webHidden/>
        </w:rPr>
      </w:pPr>
      <w:r>
        <w:rPr>
          <w:webHidden/>
        </w:rPr>
        <w:t>Around 90 per cent of Icon Water’s revenue comprises revenue from volumetric</w:t>
      </w:r>
      <w:r w:rsidR="00705680">
        <w:rPr>
          <w:webHidden/>
        </w:rPr>
        <w:t>-</w:t>
      </w:r>
      <w:r w:rsidR="00245E18">
        <w:rPr>
          <w:webHidden/>
        </w:rPr>
        <w:t>based usage</w:t>
      </w:r>
      <w:r>
        <w:rPr>
          <w:webHidden/>
        </w:rPr>
        <w:t xml:space="preserve"> charges that depend on actual water demand.</w:t>
      </w:r>
      <w:r w:rsidR="00E6005B">
        <w:rPr>
          <w:webHidden/>
        </w:rPr>
        <w:t xml:space="preserve"> </w:t>
      </w:r>
      <w:r>
        <w:rPr>
          <w:webHidden/>
        </w:rPr>
        <w:t xml:space="preserve">Regulated prices are </w:t>
      </w:r>
      <w:r w:rsidR="006359A6">
        <w:rPr>
          <w:webHidden/>
        </w:rPr>
        <w:t>based</w:t>
      </w:r>
      <w:r>
        <w:rPr>
          <w:webHidden/>
        </w:rPr>
        <w:t xml:space="preserve"> on the quantum of allowable costs and forecast demand.</w:t>
      </w:r>
      <w:r w:rsidR="00E6005B">
        <w:rPr>
          <w:webHidden/>
        </w:rPr>
        <w:t xml:space="preserve"> </w:t>
      </w:r>
      <w:r>
        <w:rPr>
          <w:webHidden/>
        </w:rPr>
        <w:t>If actual demand varies relative to forecast demand</w:t>
      </w:r>
      <w:r w:rsidR="005A271C">
        <w:rPr>
          <w:webHidden/>
        </w:rPr>
        <w:t>,</w:t>
      </w:r>
      <w:r>
        <w:rPr>
          <w:webHidden/>
        </w:rPr>
        <w:t xml:space="preserve"> then actual revenue will vary relative to forecast revenue.</w:t>
      </w:r>
      <w:r w:rsidR="00E6005B">
        <w:rPr>
          <w:webHidden/>
        </w:rPr>
        <w:t xml:space="preserve"> </w:t>
      </w:r>
    </w:p>
    <w:p w14:paraId="30308C38" w14:textId="6A0E67F1" w:rsidR="00331E28" w:rsidRDefault="005A271C" w:rsidP="00331E28">
      <w:pPr>
        <w:rPr>
          <w:webHidden/>
        </w:rPr>
      </w:pPr>
      <w:r>
        <w:rPr>
          <w:webHidden/>
        </w:rPr>
        <w:t>T</w:t>
      </w:r>
      <w:r w:rsidR="00F30EC2">
        <w:rPr>
          <w:webHidden/>
        </w:rPr>
        <w:t>o address the risk of potential variability in revenue, the Industry Panel</w:t>
      </w:r>
      <w:r>
        <w:rPr>
          <w:webHidden/>
        </w:rPr>
        <w:t>’s</w:t>
      </w:r>
      <w:r w:rsidR="00F30EC2">
        <w:rPr>
          <w:webHidden/>
        </w:rPr>
        <w:t xml:space="preserve"> substitute price direction specified a ‘demand volatility’ adjustment that would be triggered if revenue was less than or exceeded a thre</w:t>
      </w:r>
      <w:r w:rsidR="00331E28">
        <w:rPr>
          <w:webHidden/>
        </w:rPr>
        <w:t>shold (</w:t>
      </w:r>
      <w:proofErr w:type="spellStart"/>
      <w:r w:rsidR="00331E28">
        <w:rPr>
          <w:webHidden/>
        </w:rPr>
        <w:t>deadband</w:t>
      </w:r>
      <w:proofErr w:type="spellEnd"/>
      <w:r w:rsidR="00331E28">
        <w:rPr>
          <w:webHidden/>
        </w:rPr>
        <w:t>).</w:t>
      </w:r>
      <w:r w:rsidR="00E6005B">
        <w:rPr>
          <w:webHidden/>
        </w:rPr>
        <w:t xml:space="preserve"> </w:t>
      </w:r>
      <w:r w:rsidR="00331E28">
        <w:rPr>
          <w:webHidden/>
        </w:rPr>
        <w:t xml:space="preserve">The </w:t>
      </w:r>
      <w:r>
        <w:rPr>
          <w:webHidden/>
        </w:rPr>
        <w:t>p</w:t>
      </w:r>
      <w:r w:rsidR="00331E28">
        <w:rPr>
          <w:webHidden/>
        </w:rPr>
        <w:t xml:space="preserve">anel decided to implement this form of control because it considered that Icon Water should bear demand risk up to the level of the </w:t>
      </w:r>
      <w:proofErr w:type="spellStart"/>
      <w:r w:rsidR="00331E28">
        <w:rPr>
          <w:webHidden/>
        </w:rPr>
        <w:t>deadband</w:t>
      </w:r>
      <w:proofErr w:type="spellEnd"/>
      <w:r w:rsidR="00331E28">
        <w:rPr>
          <w:webHidden/>
        </w:rPr>
        <w:t xml:space="preserve"> and customers should bear the risk beyond </w:t>
      </w:r>
      <w:r>
        <w:rPr>
          <w:webHidden/>
        </w:rPr>
        <w:t>that</w:t>
      </w:r>
      <w:r w:rsidR="00331E28">
        <w:rPr>
          <w:webHidden/>
        </w:rPr>
        <w:t>.</w:t>
      </w:r>
      <w:r w:rsidR="00331E28" w:rsidRPr="00331E28">
        <w:rPr>
          <w:webHidden/>
          <w:vertAlign w:val="superscript"/>
        </w:rPr>
        <w:footnoteReference w:id="10"/>
      </w:r>
    </w:p>
    <w:p w14:paraId="51800A26" w14:textId="0ECFA44D" w:rsidR="00F30EC2" w:rsidRDefault="00F30EC2" w:rsidP="00F30EC2">
      <w:pPr>
        <w:rPr>
          <w:webHidden/>
        </w:rPr>
      </w:pPr>
      <w:r>
        <w:rPr>
          <w:webHidden/>
        </w:rPr>
        <w:t xml:space="preserve">The bounds of the </w:t>
      </w:r>
      <w:proofErr w:type="spellStart"/>
      <w:r>
        <w:rPr>
          <w:webHidden/>
        </w:rPr>
        <w:t>deadband</w:t>
      </w:r>
      <w:proofErr w:type="spellEnd"/>
      <w:r>
        <w:rPr>
          <w:webHidden/>
        </w:rPr>
        <w:t xml:space="preserve"> were defined by the Industry Panel’s estimate of the 95</w:t>
      </w:r>
      <w:r w:rsidR="005A271C">
        <w:rPr>
          <w:webHidden/>
        </w:rPr>
        <w:t xml:space="preserve"> per cent </w:t>
      </w:r>
      <w:r>
        <w:rPr>
          <w:webHidden/>
        </w:rPr>
        <w:t>and</w:t>
      </w:r>
      <w:r w:rsidR="0094698A">
        <w:rPr>
          <w:webHidden/>
        </w:rPr>
        <w:t xml:space="preserve"> five</w:t>
      </w:r>
      <w:r>
        <w:rPr>
          <w:webHidden/>
        </w:rPr>
        <w:t xml:space="preserve"> per cent probabilities of exceedance for</w:t>
      </w:r>
      <w:r w:rsidR="00A36057">
        <w:rPr>
          <w:webHidden/>
        </w:rPr>
        <w:t xml:space="preserve"> the water sales forecast range, and adjusted conservatively to ensure finance ratios were met.</w:t>
      </w:r>
      <w:r w:rsidR="00E6005B">
        <w:rPr>
          <w:webHidden/>
        </w:rPr>
        <w:t xml:space="preserve"> </w:t>
      </w:r>
      <w:r w:rsidR="00A36057">
        <w:rPr>
          <w:webHidden/>
        </w:rPr>
        <w:t>T</w:t>
      </w:r>
      <w:r>
        <w:rPr>
          <w:webHidden/>
        </w:rPr>
        <w:t xml:space="preserve">he </w:t>
      </w:r>
      <w:proofErr w:type="spellStart"/>
      <w:r>
        <w:rPr>
          <w:webHidden/>
        </w:rPr>
        <w:t>deadband</w:t>
      </w:r>
      <w:proofErr w:type="spellEnd"/>
      <w:r>
        <w:rPr>
          <w:webHidden/>
        </w:rPr>
        <w:t xml:space="preserve"> </w:t>
      </w:r>
      <w:r w:rsidR="00CB632F">
        <w:rPr>
          <w:webHidden/>
        </w:rPr>
        <w:t xml:space="preserve">was </w:t>
      </w:r>
      <w:r>
        <w:rPr>
          <w:webHidden/>
        </w:rPr>
        <w:t xml:space="preserve">defined as </w:t>
      </w:r>
      <w:r w:rsidR="00C9582E">
        <w:rPr>
          <w:webHidden/>
        </w:rPr>
        <w:t>six</w:t>
      </w:r>
      <w:r>
        <w:rPr>
          <w:webHidden/>
        </w:rPr>
        <w:t xml:space="preserve"> per cent of the allowed revenue</w:t>
      </w:r>
      <w:r w:rsidR="00C1523F">
        <w:rPr>
          <w:webHidden/>
        </w:rPr>
        <w:t>,</w:t>
      </w:r>
      <w:r>
        <w:rPr>
          <w:webHidden/>
        </w:rPr>
        <w:t xml:space="preserve"> </w:t>
      </w:r>
      <w:r w:rsidR="00C1523F">
        <w:rPr>
          <w:webHidden/>
        </w:rPr>
        <w:t>in net present value terms</w:t>
      </w:r>
      <w:r w:rsidR="00CC026C">
        <w:rPr>
          <w:webHidden/>
        </w:rPr>
        <w:t>.</w:t>
      </w:r>
      <w:r w:rsidRPr="00CC026C">
        <w:rPr>
          <w:webHidden/>
          <w:vertAlign w:val="superscript"/>
        </w:rPr>
        <w:footnoteReference w:id="11"/>
      </w:r>
      <w:r w:rsidRPr="00CC026C">
        <w:rPr>
          <w:webHidden/>
          <w:vertAlign w:val="superscript"/>
        </w:rPr>
        <w:t xml:space="preserve"> </w:t>
      </w:r>
    </w:p>
    <w:p w14:paraId="38122A6C" w14:textId="77777777" w:rsidR="00F30EC2" w:rsidRDefault="00F30EC2" w:rsidP="00F30EC2">
      <w:pPr>
        <w:rPr>
          <w:webHidden/>
        </w:rPr>
      </w:pPr>
      <w:r>
        <w:rPr>
          <w:webHidden/>
        </w:rPr>
        <w:t>Note that the revenue risk can be positive or negative in the sense that there can be under</w:t>
      </w:r>
      <w:r w:rsidR="005A271C">
        <w:rPr>
          <w:webHidden/>
        </w:rPr>
        <w:t>-</w:t>
      </w:r>
      <w:r>
        <w:rPr>
          <w:webHidden/>
        </w:rPr>
        <w:t>recovery or over</w:t>
      </w:r>
      <w:r w:rsidR="005A271C">
        <w:rPr>
          <w:webHidden/>
        </w:rPr>
        <w:t>-</w:t>
      </w:r>
      <w:r>
        <w:rPr>
          <w:webHidden/>
        </w:rPr>
        <w:t>recovery of revenue</w:t>
      </w:r>
      <w:r w:rsidR="005A271C">
        <w:rPr>
          <w:webHidden/>
        </w:rPr>
        <w:t>,</w:t>
      </w:r>
      <w:r>
        <w:rPr>
          <w:webHidden/>
        </w:rPr>
        <w:t xml:space="preserve"> respectively</w:t>
      </w:r>
      <w:r w:rsidR="005A271C">
        <w:rPr>
          <w:webHidden/>
        </w:rPr>
        <w:t>,</w:t>
      </w:r>
      <w:r>
        <w:rPr>
          <w:webHidden/>
        </w:rPr>
        <w:t xml:space="preserve"> depending on actual demand </w:t>
      </w:r>
      <w:r w:rsidRPr="00CB632F">
        <w:rPr>
          <w:webHidden/>
        </w:rPr>
        <w:t>relative to</w:t>
      </w:r>
      <w:r>
        <w:rPr>
          <w:webHidden/>
        </w:rPr>
        <w:t xml:space="preserve"> forecast demand. </w:t>
      </w:r>
    </w:p>
    <w:p w14:paraId="2BF24A2D" w14:textId="77777777" w:rsidR="00F30EC2" w:rsidRDefault="00F30EC2" w:rsidP="00F30EC2">
      <w:r>
        <w:t>The substitute price direction define</w:t>
      </w:r>
      <w:r w:rsidR="00CB632F">
        <w:t>d</w:t>
      </w:r>
      <w:r>
        <w:t xml:space="preserve"> the application of the demand volatility adjustment as follows</w:t>
      </w:r>
      <w:r w:rsidR="00CC026C">
        <w:t>:</w:t>
      </w:r>
    </w:p>
    <w:p w14:paraId="09146B21" w14:textId="77777777" w:rsidR="00F43602" w:rsidRDefault="00F62621" w:rsidP="00566C75">
      <w:pPr>
        <w:spacing w:after="100" w:line="240" w:lineRule="atLeast"/>
        <w:ind w:left="720"/>
        <w:rPr>
          <w:sz w:val="20"/>
          <w:szCs w:val="20"/>
        </w:rPr>
      </w:pPr>
      <w:r w:rsidRPr="00F62621">
        <w:rPr>
          <w:sz w:val="20"/>
          <w:szCs w:val="20"/>
        </w:rPr>
        <w:t>(e) The Commission will make provision for a demand volatility adjustment in the next price determination if the net present value of the water sales revenue earned over the period 1 July 2013 to 30 June 2018 differs by more than 6% of the revenue set out in Table 11.1 below.</w:t>
      </w:r>
    </w:p>
    <w:p w14:paraId="6F5E8F1A" w14:textId="77777777" w:rsidR="00F43602" w:rsidRDefault="00F62621">
      <w:pPr>
        <w:keepNext/>
        <w:spacing w:after="100" w:line="240" w:lineRule="atLeast"/>
        <w:ind w:left="720"/>
        <w:rPr>
          <w:sz w:val="20"/>
          <w:szCs w:val="20"/>
        </w:rPr>
      </w:pPr>
      <w:r w:rsidRPr="00F62621">
        <w:rPr>
          <w:sz w:val="20"/>
          <w:szCs w:val="20"/>
        </w:rPr>
        <w:t>The demand volatility adjustment will be determined as the difference between:</w:t>
      </w:r>
    </w:p>
    <w:p w14:paraId="19A4C88A" w14:textId="77777777" w:rsidR="00F43602" w:rsidRDefault="00F62621">
      <w:pPr>
        <w:spacing w:after="100" w:line="240" w:lineRule="atLeast"/>
        <w:ind w:left="720"/>
        <w:rPr>
          <w:sz w:val="20"/>
          <w:szCs w:val="20"/>
        </w:rPr>
      </w:pPr>
      <w:r w:rsidRPr="00F62621">
        <w:rPr>
          <w:sz w:val="20"/>
          <w:szCs w:val="20"/>
        </w:rPr>
        <w:t>(</w:t>
      </w:r>
      <w:proofErr w:type="spellStart"/>
      <w:r w:rsidRPr="00F62621">
        <w:rPr>
          <w:sz w:val="20"/>
          <w:szCs w:val="20"/>
        </w:rPr>
        <w:t>i</w:t>
      </w:r>
      <w:proofErr w:type="spellEnd"/>
      <w:r w:rsidRPr="00F62621">
        <w:rPr>
          <w:sz w:val="20"/>
          <w:szCs w:val="20"/>
        </w:rPr>
        <w:t>)</w:t>
      </w:r>
      <w:r w:rsidR="004D4603">
        <w:rPr>
          <w:sz w:val="20"/>
          <w:szCs w:val="20"/>
        </w:rPr>
        <w:t xml:space="preserve"> </w:t>
      </w:r>
      <w:r w:rsidRPr="00F62621">
        <w:rPr>
          <w:sz w:val="20"/>
          <w:szCs w:val="20"/>
        </w:rPr>
        <w:t>the net present value of the revenue earned through tier 1 and tier 2 water charges over the period 1 July 2013 to 30 June 2018; and</w:t>
      </w:r>
    </w:p>
    <w:p w14:paraId="61AE25C8" w14:textId="77777777" w:rsidR="00F43602" w:rsidRDefault="00F62621">
      <w:pPr>
        <w:spacing w:after="100" w:line="240" w:lineRule="atLeast"/>
        <w:ind w:left="720"/>
        <w:rPr>
          <w:sz w:val="20"/>
          <w:szCs w:val="20"/>
        </w:rPr>
      </w:pPr>
      <w:r w:rsidRPr="00F62621">
        <w:rPr>
          <w:sz w:val="20"/>
          <w:szCs w:val="20"/>
        </w:rPr>
        <w:lastRenderedPageBreak/>
        <w:t>(ii)</w:t>
      </w:r>
      <w:r w:rsidR="004D4603">
        <w:rPr>
          <w:sz w:val="20"/>
          <w:szCs w:val="20"/>
        </w:rPr>
        <w:t xml:space="preserve"> </w:t>
      </w:r>
      <w:r w:rsidRPr="00F62621">
        <w:rPr>
          <w:sz w:val="20"/>
          <w:szCs w:val="20"/>
        </w:rPr>
        <w:t>the net present value of the volumetric water sales revenue (i.e., the revenue to be recovered from tier 1 and tier 2 charges) allowed in the Final Report (see Table 11.1 below), adjusted where necessary for any pass-through amounts approved by the Commission in the period, plus or minus 6% depending on whether there has been an over collection or an under collection of revenue.</w:t>
      </w:r>
    </w:p>
    <w:p w14:paraId="70EC46B7" w14:textId="77777777" w:rsidR="00F43602" w:rsidRDefault="00F62621">
      <w:pPr>
        <w:spacing w:after="100" w:line="240" w:lineRule="atLeast"/>
        <w:ind w:left="720"/>
        <w:rPr>
          <w:sz w:val="20"/>
          <w:szCs w:val="20"/>
        </w:rPr>
      </w:pPr>
      <w:r w:rsidRPr="00F62621">
        <w:rPr>
          <w:sz w:val="20"/>
          <w:szCs w:val="20"/>
        </w:rPr>
        <w:t>The net present value in 11(e</w:t>
      </w:r>
      <w:proofErr w:type="gramStart"/>
      <w:r w:rsidRPr="00F62621">
        <w:rPr>
          <w:sz w:val="20"/>
          <w:szCs w:val="20"/>
        </w:rPr>
        <w:t>)(</w:t>
      </w:r>
      <w:proofErr w:type="spellStart"/>
      <w:proofErr w:type="gramEnd"/>
      <w:r w:rsidRPr="00F62621">
        <w:rPr>
          <w:sz w:val="20"/>
          <w:szCs w:val="20"/>
        </w:rPr>
        <w:t>i</w:t>
      </w:r>
      <w:proofErr w:type="spellEnd"/>
      <w:r w:rsidRPr="00F62621">
        <w:rPr>
          <w:sz w:val="20"/>
          <w:szCs w:val="20"/>
        </w:rPr>
        <w:t>) and (ii) is to be measured as at 1 July 2013.</w:t>
      </w:r>
    </w:p>
    <w:p w14:paraId="3361CB40" w14:textId="77777777" w:rsidR="00F43602" w:rsidRDefault="00F62621">
      <w:pPr>
        <w:spacing w:after="100" w:line="240" w:lineRule="atLeast"/>
        <w:ind w:left="720"/>
        <w:rPr>
          <w:sz w:val="20"/>
          <w:szCs w:val="20"/>
        </w:rPr>
      </w:pPr>
      <w:r w:rsidRPr="00F62621">
        <w:rPr>
          <w:sz w:val="20"/>
          <w:szCs w:val="20"/>
        </w:rPr>
        <w:t>Forecast revenue will be used for those quarters of the financial year 2017–18 for which actual revenue data is unavailable.</w:t>
      </w:r>
    </w:p>
    <w:p w14:paraId="49BF17F6" w14:textId="77777777" w:rsidR="00F43602" w:rsidRDefault="00F62621">
      <w:pPr>
        <w:spacing w:line="240" w:lineRule="atLeast"/>
        <w:ind w:left="720"/>
        <w:rPr>
          <w:sz w:val="20"/>
          <w:szCs w:val="20"/>
        </w:rPr>
      </w:pPr>
      <w:r w:rsidRPr="00F62621">
        <w:rPr>
          <w:sz w:val="20"/>
          <w:szCs w:val="20"/>
        </w:rPr>
        <w:t>The rate of return to be used in the calculation of the net present value and to roll forward the demand volatility adjustment to the next regulatory period is 7.2% (nominal vanilla Weighted Average Cost of Capital (WACC)).</w:t>
      </w:r>
      <w:r w:rsidR="005A271C">
        <w:rPr>
          <w:rStyle w:val="FootnoteReference"/>
        </w:rPr>
        <w:footnoteReference w:id="12"/>
      </w:r>
    </w:p>
    <w:p w14:paraId="43071DAC" w14:textId="77777777" w:rsidR="00F30EC2" w:rsidRDefault="00F30EC2" w:rsidP="00F30EC2">
      <w:pPr>
        <w:rPr>
          <w:vertAlign w:val="superscript"/>
        </w:rPr>
      </w:pPr>
      <w:r>
        <w:t>The Industry Panel report noted that</w:t>
      </w:r>
      <w:r w:rsidR="00245E18">
        <w:t>,</w:t>
      </w:r>
      <w:r>
        <w:t xml:space="preserve"> </w:t>
      </w:r>
      <w:r w:rsidR="00245E18">
        <w:t xml:space="preserve">if there was a demand volatility adjustment, </w:t>
      </w:r>
      <w:r>
        <w:t xml:space="preserve">the net present value of </w:t>
      </w:r>
      <w:r w:rsidR="00245E18">
        <w:t xml:space="preserve">relevant </w:t>
      </w:r>
      <w:r>
        <w:t>under</w:t>
      </w:r>
      <w:r w:rsidR="00421275">
        <w:t>-</w:t>
      </w:r>
      <w:r>
        <w:t xml:space="preserve"> or over</w:t>
      </w:r>
      <w:r w:rsidR="00421275">
        <w:t>-</w:t>
      </w:r>
      <w:r>
        <w:t>recovery of revenue</w:t>
      </w:r>
      <w:r w:rsidR="006D403B">
        <w:t xml:space="preserve"> </w:t>
      </w:r>
      <w:r>
        <w:t>would be included in the calculation of charges in the regulatory period from 1 July 2018.</w:t>
      </w:r>
      <w:r w:rsidRPr="00331E28">
        <w:rPr>
          <w:vertAlign w:val="superscript"/>
        </w:rPr>
        <w:footnoteReference w:id="13"/>
      </w:r>
      <w:r w:rsidRPr="00331E28">
        <w:rPr>
          <w:vertAlign w:val="superscript"/>
        </w:rPr>
        <w:t xml:space="preserve"> </w:t>
      </w:r>
    </w:p>
    <w:p w14:paraId="030A1925" w14:textId="77777777" w:rsidR="00F30EC2" w:rsidRDefault="006D403B" w:rsidP="00F30EC2">
      <w:r w:rsidRPr="006D403B">
        <w:t>Data to determine whether the demand volatility adjustment is likely to be triggered are not publicly available at this stage.</w:t>
      </w:r>
      <w:r w:rsidR="00E6005B">
        <w:t xml:space="preserve"> </w:t>
      </w:r>
      <w:r w:rsidR="00271BD7">
        <w:t>But</w:t>
      </w:r>
      <w:r>
        <w:t>, even if it is not triggered, if</w:t>
      </w:r>
      <w:r w:rsidR="00271BD7">
        <w:t xml:space="preserve"> </w:t>
      </w:r>
      <w:r w:rsidR="00F30EC2">
        <w:t>demand for the next regulatory period remains at levels similar to what has eventuated in recent years, it may be difficult to avoid a material increase in prices over the next regulatory period.</w:t>
      </w:r>
      <w:r w:rsidR="00E6005B">
        <w:t xml:space="preserve"> </w:t>
      </w:r>
      <w:r>
        <w:t>However, t</w:t>
      </w:r>
      <w:r w:rsidR="00F30EC2">
        <w:t>o avoid a price shock</w:t>
      </w:r>
      <w:r w:rsidR="00CB632F">
        <w:t>,</w:t>
      </w:r>
      <w:r w:rsidR="00F30EC2">
        <w:t xml:space="preserve"> price increases can be smoothed across several years.</w:t>
      </w:r>
      <w:r w:rsidR="00E6005B">
        <w:t xml:space="preserve"> </w:t>
      </w:r>
    </w:p>
    <w:p w14:paraId="357342C2" w14:textId="77777777" w:rsidR="00F30EC2" w:rsidRDefault="00812126" w:rsidP="00F30EC2">
      <w:r>
        <w:t>A</w:t>
      </w:r>
      <w:r w:rsidR="00F30EC2">
        <w:t>nother option to avoid a price shock is to capitalise any revenue shortfall by adding it to the regulatory asset b</w:t>
      </w:r>
      <w:r w:rsidR="00F30EC2" w:rsidRPr="00CB632F">
        <w:t>ase</w:t>
      </w:r>
      <w:r w:rsidR="00690894" w:rsidRPr="00CB632F">
        <w:t>,</w:t>
      </w:r>
      <w:r w:rsidR="00F30EC2" w:rsidRPr="00CB632F">
        <w:t xml:space="preserve"> with form</w:t>
      </w:r>
      <w:r w:rsidR="00F30EC2">
        <w:t>al recognition that the regulatory asset base is low risk and recovery of capital and an appropriate rate of return are effectively assured.</w:t>
      </w:r>
      <w:r w:rsidR="00E6005B">
        <w:t xml:space="preserve"> </w:t>
      </w:r>
      <w:r w:rsidR="00F30EC2">
        <w:t>This may create some intergenerational equity issues if costs are transferred fr</w:t>
      </w:r>
      <w:r w:rsidR="00CC026C">
        <w:t>om present to future consumers</w:t>
      </w:r>
      <w:r w:rsidR="00690894">
        <w:t>;</w:t>
      </w:r>
      <w:r w:rsidR="00CC026C">
        <w:t xml:space="preserve"> however, the risks would be limited by the extent to which there is demand growth and higher capacity to pay in the future.</w:t>
      </w:r>
    </w:p>
    <w:p w14:paraId="21D4EDAA" w14:textId="5F38A529" w:rsidR="00F30EC2" w:rsidRDefault="00F30EC2" w:rsidP="00F30EC2">
      <w:r>
        <w:t>Another issue is whether a revenue catch</w:t>
      </w:r>
      <w:r w:rsidR="00690894">
        <w:t>-</w:t>
      </w:r>
      <w:r>
        <w:t>up mechanism should continue to apply and if so wha</w:t>
      </w:r>
      <w:r w:rsidRPr="00CB632F">
        <w:t>t is the</w:t>
      </w:r>
      <w:r w:rsidR="00F6239B" w:rsidRPr="00CB632F">
        <w:t xml:space="preserve"> bes</w:t>
      </w:r>
      <w:r w:rsidR="00F6239B">
        <w:t>t form for such a mechanism.</w:t>
      </w:r>
    </w:p>
    <w:tbl>
      <w:tblPr>
        <w:tblStyle w:val="TableGrid"/>
        <w:tblW w:w="0" w:type="auto"/>
        <w:tblInd w:w="108" w:type="dxa"/>
        <w:tblLook w:val="04A0" w:firstRow="1" w:lastRow="0" w:firstColumn="1" w:lastColumn="0" w:noHBand="0" w:noVBand="1"/>
      </w:tblPr>
      <w:tblGrid>
        <w:gridCol w:w="7593"/>
      </w:tblGrid>
      <w:tr w:rsidR="008C50A3" w14:paraId="708599B3" w14:textId="77777777" w:rsidTr="005A271C">
        <w:tc>
          <w:tcPr>
            <w:tcW w:w="7819" w:type="dxa"/>
          </w:tcPr>
          <w:p w14:paraId="00AE4D6E" w14:textId="1D92431D" w:rsidR="008C50A3" w:rsidRPr="00B2525E" w:rsidRDefault="0007632E" w:rsidP="008C50A3">
            <w:pPr>
              <w:pStyle w:val="Questiontext"/>
            </w:pPr>
            <w:r w:rsidRPr="002B5D98">
              <w:rPr>
                <w:b/>
              </w:rPr>
              <w:t>Issue 4</w:t>
            </w:r>
            <w:r>
              <w:t>:</w:t>
            </w:r>
            <w:r w:rsidR="008C50A3">
              <w:t xml:space="preserve"> </w:t>
            </w:r>
            <w:r w:rsidR="008C50A3" w:rsidRPr="00B2525E">
              <w:t>If the demand volatility adjustment is triggered</w:t>
            </w:r>
            <w:r w:rsidR="008C50A3">
              <w:t>,</w:t>
            </w:r>
            <w:r w:rsidR="008C50A3" w:rsidRPr="00B2525E">
              <w:t xml:space="preserve"> how should it be dealt with in prices in the regulatory period from 1 July 2018 to 30 June 2023?</w:t>
            </w:r>
          </w:p>
          <w:p w14:paraId="39DD310E" w14:textId="6667B300" w:rsidR="008C50A3" w:rsidRPr="00B2525E" w:rsidRDefault="0007632E" w:rsidP="008C50A3">
            <w:pPr>
              <w:pStyle w:val="Questiontext"/>
            </w:pPr>
            <w:r w:rsidRPr="002B5D98">
              <w:rPr>
                <w:b/>
              </w:rPr>
              <w:t>Issue 5</w:t>
            </w:r>
            <w:r>
              <w:t>:</w:t>
            </w:r>
            <w:r w:rsidR="008C50A3">
              <w:t xml:space="preserve"> </w:t>
            </w:r>
            <w:r w:rsidR="008C50A3" w:rsidRPr="00B2525E">
              <w:t>Is there scope to avoid price shocks by including a component of under recovered revenue in the regulatory asset base for future recovery?</w:t>
            </w:r>
          </w:p>
          <w:p w14:paraId="75AFB37C" w14:textId="70C2E02F" w:rsidR="008C50A3" w:rsidRDefault="0007632E" w:rsidP="0007632E">
            <w:pPr>
              <w:pStyle w:val="Questiontext"/>
            </w:pPr>
            <w:r w:rsidRPr="002B5D98">
              <w:rPr>
                <w:b/>
              </w:rPr>
              <w:t>Issue 6</w:t>
            </w:r>
            <w:r>
              <w:t>:</w:t>
            </w:r>
            <w:r w:rsidR="008C50A3">
              <w:t xml:space="preserve"> </w:t>
            </w:r>
            <w:r w:rsidR="008C50A3" w:rsidRPr="00B2525E">
              <w:t>Should revenue adjustment mechanisms continue to apply to address under or over recovery of revenue</w:t>
            </w:r>
            <w:r w:rsidR="008C50A3">
              <w:t>?</w:t>
            </w:r>
          </w:p>
        </w:tc>
      </w:tr>
    </w:tbl>
    <w:p w14:paraId="50665965" w14:textId="77777777" w:rsidR="00F30EC2" w:rsidRDefault="00F30EC2" w:rsidP="006C7D4B">
      <w:pPr>
        <w:pStyle w:val="Heading2"/>
        <w:rPr>
          <w:webHidden/>
        </w:rPr>
      </w:pPr>
      <w:bookmarkStart w:id="83" w:name="_Toc474915140"/>
      <w:bookmarkStart w:id="84" w:name="_Toc474915398"/>
      <w:bookmarkStart w:id="85" w:name="_Toc474915141"/>
      <w:bookmarkStart w:id="86" w:name="_Toc474915399"/>
      <w:bookmarkStart w:id="87" w:name="_Toc474915142"/>
      <w:bookmarkStart w:id="88" w:name="_Toc474915400"/>
      <w:bookmarkStart w:id="89" w:name="_Toc478557257"/>
      <w:bookmarkEnd w:id="83"/>
      <w:bookmarkEnd w:id="84"/>
      <w:bookmarkEnd w:id="85"/>
      <w:bookmarkEnd w:id="86"/>
      <w:bookmarkEnd w:id="87"/>
      <w:bookmarkEnd w:id="88"/>
      <w:r>
        <w:rPr>
          <w:webHidden/>
        </w:rPr>
        <w:lastRenderedPageBreak/>
        <w:t>Capital expenditure o</w:t>
      </w:r>
      <w:r w:rsidR="004A2A91">
        <w:rPr>
          <w:webHidden/>
        </w:rPr>
        <w:t>utcome</w:t>
      </w:r>
      <w:bookmarkEnd w:id="89"/>
    </w:p>
    <w:p w14:paraId="01804ACB" w14:textId="77777777" w:rsidR="00F30EC2" w:rsidRPr="00331E28" w:rsidRDefault="00F30EC2" w:rsidP="00331E28">
      <w:r w:rsidRPr="00331E28">
        <w:t>The substitute price direction provided scope for an ex post capital expenditure review, to allow the Commission to assess the prudence and efficiency of the capital expenditure actually incurred by Icon Water over the current regulatory period before rolling it into the regulat</w:t>
      </w:r>
      <w:r w:rsidR="001A4825">
        <w:t>ory</w:t>
      </w:r>
      <w:r w:rsidRPr="00331E28">
        <w:t xml:space="preserve"> asset base.</w:t>
      </w:r>
    </w:p>
    <w:p w14:paraId="31C1EBB8" w14:textId="77777777" w:rsidR="00F30EC2" w:rsidRPr="00331E28" w:rsidRDefault="00F30EC2" w:rsidP="00331E28">
      <w:r w:rsidRPr="00331E28">
        <w:t xml:space="preserve">The Commission will consider this issue in the context of determining the amount of capital expenditure to be included in the opening value of the </w:t>
      </w:r>
      <w:r w:rsidR="001D5B0B" w:rsidRPr="00331E28">
        <w:t>regulat</w:t>
      </w:r>
      <w:r w:rsidR="001D5B0B">
        <w:t>ory</w:t>
      </w:r>
      <w:r w:rsidR="001D5B0B" w:rsidRPr="00331E28">
        <w:t xml:space="preserve"> asset base</w:t>
      </w:r>
      <w:r w:rsidRPr="00331E28">
        <w:t xml:space="preserve"> for 1 July 2018.</w:t>
      </w:r>
      <w:r w:rsidR="00E6005B">
        <w:t xml:space="preserve"> </w:t>
      </w:r>
      <w:r w:rsidRPr="00331E28">
        <w:t>In deciding the level of capital expenditure to include, the Commission will apply a prudence review followed by an efficiency review.</w:t>
      </w:r>
      <w:r w:rsidR="00CF2C1A" w:rsidRPr="00CF2C1A" w:rsidDel="001D5B0B">
        <w:t xml:space="preserve"> </w:t>
      </w:r>
      <w:r w:rsidR="00CF2C1A" w:rsidRPr="00331E28" w:rsidDel="001D5B0B">
        <w:t>In assessing prudence and efficiency, the Commission will take account of the policies of the ACT Government.</w:t>
      </w:r>
    </w:p>
    <w:p w14:paraId="777CBE7E" w14:textId="77777777" w:rsidR="00F30EC2" w:rsidRDefault="00F30EC2" w:rsidP="00331E28">
      <w:r w:rsidRPr="00331E28">
        <w:t>A prudence review assesses whether the capital expenditure was necessary.</w:t>
      </w:r>
      <w:r w:rsidR="00E6005B">
        <w:t xml:space="preserve"> </w:t>
      </w:r>
      <w:r w:rsidRPr="00331E28">
        <w:t>If expenditure is deemed to have been necessary, an efficiency review then determines the efficient cost of the activity in question.</w:t>
      </w:r>
      <w:r w:rsidR="00E6005B">
        <w:t xml:space="preserve"> </w:t>
      </w:r>
      <w:r w:rsidRPr="00331E28">
        <w:t>The Commission engages engineering consultants to undertake prudence and efficiency reviews and advise the Commission on the appropriate costs.</w:t>
      </w:r>
      <w:r w:rsidR="00E6005B">
        <w:t xml:space="preserve"> </w:t>
      </w:r>
      <w:r w:rsidRPr="00331E28">
        <w:t xml:space="preserve">Once determined, the efficient costs are used in the roll-forward of the </w:t>
      </w:r>
      <w:r w:rsidR="001D5B0B" w:rsidRPr="00331E28">
        <w:t>regulat</w:t>
      </w:r>
      <w:r w:rsidR="001D5B0B">
        <w:t>ory</w:t>
      </w:r>
      <w:r w:rsidR="001D5B0B" w:rsidRPr="00331E28">
        <w:t xml:space="preserve"> asset base</w:t>
      </w:r>
      <w:r w:rsidRPr="00331E28">
        <w:t xml:space="preserve"> in order to calculate the o</w:t>
      </w:r>
      <w:r w:rsidRPr="00CF2C1A">
        <w:t xml:space="preserve">pening value of the asset base as of </w:t>
      </w:r>
      <w:r w:rsidR="00B51431" w:rsidRPr="00CF2C1A">
        <w:t>1 Ju</w:t>
      </w:r>
      <w:r w:rsidR="00B51431" w:rsidRPr="00331E28">
        <w:t>ly 2018</w:t>
      </w:r>
      <w:r w:rsidR="00651EFA" w:rsidRPr="00331E28">
        <w:t>.</w:t>
      </w:r>
    </w:p>
    <w:p w14:paraId="07A4EC83" w14:textId="77777777" w:rsidR="008C50A3" w:rsidRDefault="00AC2CBA" w:rsidP="008C50A3">
      <w:r>
        <w:t>Another issue that arises relates to a situation where actual capital expenditure is materially less than the forecast allowed expenditure.</w:t>
      </w:r>
      <w:r w:rsidR="00E6005B">
        <w:t xml:space="preserve"> </w:t>
      </w:r>
      <w:r>
        <w:t xml:space="preserve">If there was </w:t>
      </w:r>
      <w:r w:rsidR="001D5B0B">
        <w:t xml:space="preserve">a </w:t>
      </w:r>
      <w:r>
        <w:t>material underspend of allowed capital</w:t>
      </w:r>
      <w:r w:rsidR="009E1237">
        <w:t>,</w:t>
      </w:r>
      <w:r>
        <w:t xml:space="preserve"> Icon Water would in effect receive a financing benefit that would include both a return on capital component and a return of capital (depreciation) component related to the amount of </w:t>
      </w:r>
      <w:r w:rsidR="001D5B0B">
        <w:t xml:space="preserve">the </w:t>
      </w:r>
      <w:r>
        <w:t>underspend.</w:t>
      </w:r>
      <w:r w:rsidR="00E6005B">
        <w:t xml:space="preserve"> </w:t>
      </w:r>
      <w:r w:rsidR="00741B15">
        <w:t>The issue is whether the value of this financing benefit should be determined and deducted from allowed revenue or the regulatory asset base in the next regulatory period</w:t>
      </w:r>
      <w:r w:rsidR="00B238E1">
        <w:t>.</w:t>
      </w:r>
    </w:p>
    <w:tbl>
      <w:tblPr>
        <w:tblStyle w:val="TableGrid"/>
        <w:tblW w:w="0" w:type="auto"/>
        <w:tblInd w:w="108" w:type="dxa"/>
        <w:tblLook w:val="04A0" w:firstRow="1" w:lastRow="0" w:firstColumn="1" w:lastColumn="0" w:noHBand="0" w:noVBand="1"/>
      </w:tblPr>
      <w:tblGrid>
        <w:gridCol w:w="7593"/>
      </w:tblGrid>
      <w:tr w:rsidR="008C50A3" w14:paraId="7B5B3CB1" w14:textId="77777777" w:rsidTr="00C97DD4">
        <w:tc>
          <w:tcPr>
            <w:tcW w:w="7927" w:type="dxa"/>
          </w:tcPr>
          <w:p w14:paraId="5D121BB4" w14:textId="5ECEAB84" w:rsidR="00663504" w:rsidRPr="00B2525E" w:rsidRDefault="0007632E" w:rsidP="00663504">
            <w:pPr>
              <w:pStyle w:val="Questiontext"/>
            </w:pPr>
            <w:r w:rsidRPr="002B5D98">
              <w:rPr>
                <w:b/>
              </w:rPr>
              <w:t>Issue 7</w:t>
            </w:r>
            <w:r>
              <w:t>:</w:t>
            </w:r>
            <w:r w:rsidR="00663504">
              <w:t xml:space="preserve"> </w:t>
            </w:r>
            <w:r w:rsidR="00663504" w:rsidRPr="00B2525E">
              <w:t xml:space="preserve">The Commission welcomes any comments on the process for reviewing the prudence and efficiency of capital expenditure over the current regulatory period before the capital expenditure is allowed </w:t>
            </w:r>
            <w:r w:rsidR="00663504">
              <w:t>and</w:t>
            </w:r>
            <w:r w:rsidR="00663504" w:rsidRPr="00B2525E">
              <w:t xml:space="preserve"> included in the regulatory asset base.</w:t>
            </w:r>
          </w:p>
          <w:p w14:paraId="1ABDB87C" w14:textId="2576C89E" w:rsidR="008C50A3" w:rsidRDefault="0007632E" w:rsidP="0007632E">
            <w:pPr>
              <w:pStyle w:val="Questiontext"/>
            </w:pPr>
            <w:r w:rsidRPr="002B5D98">
              <w:rPr>
                <w:b/>
              </w:rPr>
              <w:t>Issue 8</w:t>
            </w:r>
            <w:r>
              <w:t>:</w:t>
            </w:r>
            <w:r w:rsidR="00663504">
              <w:t xml:space="preserve"> </w:t>
            </w:r>
            <w:r w:rsidR="00663504" w:rsidRPr="00B2525E">
              <w:t>The Commission welcomes any comments on whether and how the financing benefit of any capital underspendin</w:t>
            </w:r>
            <w:r w:rsidR="00663504" w:rsidRPr="00CF2C1A">
              <w:t>g (should it hav</w:t>
            </w:r>
            <w:r w:rsidR="00663504" w:rsidRPr="00B2525E">
              <w:t>e occurred) should be determined and used to adjust</w:t>
            </w:r>
            <w:r w:rsidR="008C4652">
              <w:t xml:space="preserve"> prices for</w:t>
            </w:r>
            <w:r w:rsidR="00663504" w:rsidRPr="00B2525E">
              <w:t xml:space="preserve"> regulated water and sewerage</w:t>
            </w:r>
            <w:r w:rsidR="00663504">
              <w:t xml:space="preserve"> </w:t>
            </w:r>
            <w:r w:rsidR="00663504" w:rsidRPr="00B2525E">
              <w:t>services</w:t>
            </w:r>
            <w:r w:rsidR="00663504">
              <w:t>.</w:t>
            </w:r>
          </w:p>
        </w:tc>
      </w:tr>
    </w:tbl>
    <w:p w14:paraId="763455B9" w14:textId="77777777" w:rsidR="00F30EC2" w:rsidRDefault="00F30EC2" w:rsidP="002019FD">
      <w:pPr>
        <w:pStyle w:val="Heading2"/>
        <w:rPr>
          <w:webHidden/>
        </w:rPr>
      </w:pPr>
      <w:bookmarkStart w:id="90" w:name="_Toc474915144"/>
      <w:bookmarkStart w:id="91" w:name="_Toc474915402"/>
      <w:bookmarkStart w:id="92" w:name="_Toc474915145"/>
      <w:bookmarkStart w:id="93" w:name="_Toc474915403"/>
      <w:bookmarkStart w:id="94" w:name="_Toc474915146"/>
      <w:bookmarkStart w:id="95" w:name="_Toc474915404"/>
      <w:bookmarkStart w:id="96" w:name="_Toc475109987"/>
      <w:bookmarkStart w:id="97" w:name="_Toc475604637"/>
      <w:bookmarkStart w:id="98" w:name="_Toc478557258"/>
      <w:bookmarkEnd w:id="90"/>
      <w:bookmarkEnd w:id="91"/>
      <w:bookmarkEnd w:id="92"/>
      <w:bookmarkEnd w:id="93"/>
      <w:bookmarkEnd w:id="94"/>
      <w:bookmarkEnd w:id="95"/>
      <w:bookmarkEnd w:id="96"/>
      <w:bookmarkEnd w:id="97"/>
      <w:r>
        <w:rPr>
          <w:webHidden/>
        </w:rPr>
        <w:t>Forecasting sales volumes</w:t>
      </w:r>
      <w:bookmarkEnd w:id="98"/>
    </w:p>
    <w:p w14:paraId="50C98B20" w14:textId="7623D5D7" w:rsidR="00F30EC2" w:rsidRDefault="009E1237" w:rsidP="00F1017C">
      <w:pPr>
        <w:rPr>
          <w:lang w:val="en-US"/>
        </w:rPr>
      </w:pPr>
      <w:r>
        <w:rPr>
          <w:lang w:val="en-US"/>
        </w:rPr>
        <w:t>I</w:t>
      </w:r>
      <w:r w:rsidR="00F30EC2">
        <w:rPr>
          <w:lang w:val="en-US"/>
        </w:rPr>
        <w:t>n the current regulatory period</w:t>
      </w:r>
      <w:r w:rsidR="00B31491">
        <w:rPr>
          <w:lang w:val="en-US"/>
        </w:rPr>
        <w:t>,</w:t>
      </w:r>
      <w:r w:rsidR="00F30EC2">
        <w:rPr>
          <w:lang w:val="en-US"/>
        </w:rPr>
        <w:t xml:space="preserve"> Icon Water has been heavily reliant on </w:t>
      </w:r>
      <w:r w:rsidR="00741B15">
        <w:rPr>
          <w:lang w:val="en-US"/>
        </w:rPr>
        <w:t>usage</w:t>
      </w:r>
      <w:r w:rsidR="00F30EC2">
        <w:rPr>
          <w:lang w:val="en-US"/>
        </w:rPr>
        <w:t xml:space="preserve"> charges to raise revenue to cover its efficient costs</w:t>
      </w:r>
      <w:r w:rsidR="00741B15">
        <w:rPr>
          <w:lang w:val="en-US"/>
        </w:rPr>
        <w:t>.</w:t>
      </w:r>
      <w:r w:rsidR="00E6005B">
        <w:rPr>
          <w:lang w:val="en-US"/>
        </w:rPr>
        <w:t xml:space="preserve"> </w:t>
      </w:r>
      <w:r w:rsidR="003B635D">
        <w:rPr>
          <w:lang w:val="en-US"/>
        </w:rPr>
        <w:t>However,</w:t>
      </w:r>
      <w:r w:rsidR="00741B15">
        <w:rPr>
          <w:lang w:val="en-US"/>
        </w:rPr>
        <w:t xml:space="preserve"> </w:t>
      </w:r>
      <w:r w:rsidR="00F427AF">
        <w:rPr>
          <w:lang w:val="en-US"/>
        </w:rPr>
        <w:t xml:space="preserve">actual </w:t>
      </w:r>
      <w:r w:rsidR="00F30EC2">
        <w:rPr>
          <w:lang w:val="en-US"/>
        </w:rPr>
        <w:t xml:space="preserve">demand </w:t>
      </w:r>
      <w:r w:rsidR="00741B15">
        <w:rPr>
          <w:lang w:val="en-US"/>
        </w:rPr>
        <w:t>may be</w:t>
      </w:r>
      <w:r w:rsidR="00F30EC2">
        <w:rPr>
          <w:lang w:val="en-US"/>
        </w:rPr>
        <w:t xml:space="preserve"> materially </w:t>
      </w:r>
      <w:r w:rsidR="00F30EC2">
        <w:rPr>
          <w:lang w:val="en-US"/>
        </w:rPr>
        <w:lastRenderedPageBreak/>
        <w:t xml:space="preserve">below </w:t>
      </w:r>
      <w:r w:rsidR="00F1017C">
        <w:rPr>
          <w:lang w:val="en-US"/>
        </w:rPr>
        <w:t xml:space="preserve">the </w:t>
      </w:r>
      <w:r w:rsidR="00F30EC2">
        <w:rPr>
          <w:lang w:val="en-US"/>
        </w:rPr>
        <w:t>levels forecast in the Industry Panel</w:t>
      </w:r>
      <w:r w:rsidR="00F1017C">
        <w:rPr>
          <w:lang w:val="en-US"/>
        </w:rPr>
        <w:t>’s</w:t>
      </w:r>
      <w:r w:rsidR="00F30EC2">
        <w:rPr>
          <w:lang w:val="en-US"/>
        </w:rPr>
        <w:t xml:space="preserve"> substitute price direction.</w:t>
      </w:r>
      <w:r w:rsidR="00E6005B">
        <w:rPr>
          <w:lang w:val="en-US"/>
        </w:rPr>
        <w:t xml:space="preserve"> </w:t>
      </w:r>
      <w:r w:rsidR="00B272DF">
        <w:rPr>
          <w:lang w:val="en-US"/>
        </w:rPr>
        <w:t xml:space="preserve">This </w:t>
      </w:r>
      <w:r w:rsidR="00F427AF">
        <w:rPr>
          <w:lang w:val="en-US"/>
        </w:rPr>
        <w:t>would have</w:t>
      </w:r>
      <w:r w:rsidR="00B272DF">
        <w:rPr>
          <w:lang w:val="en-US"/>
        </w:rPr>
        <w:t xml:space="preserve"> implications for price levels over the next regulatory period.</w:t>
      </w:r>
    </w:p>
    <w:p w14:paraId="5EEB1A46" w14:textId="77777777" w:rsidR="00F30EC2" w:rsidRDefault="00F30EC2" w:rsidP="00F1017C">
      <w:pPr>
        <w:rPr>
          <w:lang w:val="en-US"/>
        </w:rPr>
      </w:pPr>
      <w:r>
        <w:rPr>
          <w:lang w:val="en-US"/>
        </w:rPr>
        <w:t>The Commission must set prices in advance and in doing so must forecast water consumption volumes.</w:t>
      </w:r>
      <w:r w:rsidR="00E6005B">
        <w:rPr>
          <w:lang w:val="en-US"/>
        </w:rPr>
        <w:t xml:space="preserve"> </w:t>
      </w:r>
      <w:r>
        <w:rPr>
          <w:lang w:val="en-US"/>
        </w:rPr>
        <w:t>If actual consumption exceeds that forecast, the water business will earn greater than expected revenue and profit.</w:t>
      </w:r>
      <w:r w:rsidR="00E6005B">
        <w:rPr>
          <w:lang w:val="en-US"/>
        </w:rPr>
        <w:t xml:space="preserve"> </w:t>
      </w:r>
      <w:r>
        <w:rPr>
          <w:lang w:val="en-US"/>
        </w:rPr>
        <w:t>Conversely, if actual consumption falls short of that forecast, the water business will earn lower than expected revenue and profit.</w:t>
      </w:r>
      <w:r w:rsidR="00E6005B">
        <w:rPr>
          <w:lang w:val="en-US"/>
        </w:rPr>
        <w:t xml:space="preserve"> </w:t>
      </w:r>
      <w:r>
        <w:rPr>
          <w:lang w:val="en-US"/>
        </w:rPr>
        <w:t>Forecasting is an inherently uncertain exercise, and the risk of forecasts diverging from actual outcomes increases with the forecast horizon.</w:t>
      </w:r>
    </w:p>
    <w:p w14:paraId="7C5BCC7D" w14:textId="77777777" w:rsidR="00F30EC2" w:rsidRDefault="00F30EC2" w:rsidP="00F1017C">
      <w:pPr>
        <w:rPr>
          <w:lang w:val="en-US"/>
        </w:rPr>
      </w:pPr>
      <w:r>
        <w:rPr>
          <w:lang w:val="en-US"/>
        </w:rPr>
        <w:t>The most contentious forecasts relate to water sales.</w:t>
      </w:r>
      <w:r w:rsidR="00E6005B">
        <w:rPr>
          <w:lang w:val="en-US"/>
        </w:rPr>
        <w:t xml:space="preserve"> </w:t>
      </w:r>
      <w:r>
        <w:rPr>
          <w:lang w:val="en-US"/>
        </w:rPr>
        <w:t xml:space="preserve">Forecasts of customer numbers (including water and sewerage service customers) can be </w:t>
      </w:r>
      <w:r w:rsidR="00FB52E7">
        <w:rPr>
          <w:lang w:val="en-US"/>
        </w:rPr>
        <w:t xml:space="preserve">determined </w:t>
      </w:r>
      <w:r>
        <w:rPr>
          <w:lang w:val="en-US"/>
        </w:rPr>
        <w:t>more accurately</w:t>
      </w:r>
      <w:r w:rsidR="00CC026C">
        <w:rPr>
          <w:lang w:val="en-US"/>
        </w:rPr>
        <w:t xml:space="preserve"> and so</w:t>
      </w:r>
      <w:r>
        <w:rPr>
          <w:lang w:val="en-US"/>
        </w:rPr>
        <w:t xml:space="preserve"> have less s</w:t>
      </w:r>
      <w:r w:rsidR="00CC026C">
        <w:rPr>
          <w:lang w:val="en-US"/>
        </w:rPr>
        <w:t>ignificant revenue implications</w:t>
      </w:r>
      <w:r>
        <w:rPr>
          <w:lang w:val="en-US"/>
        </w:rPr>
        <w:t>.</w:t>
      </w:r>
    </w:p>
    <w:p w14:paraId="68C0C82D" w14:textId="77777777" w:rsidR="00F30EC2" w:rsidRDefault="00F82691" w:rsidP="00F1017C">
      <w:pPr>
        <w:rPr>
          <w:lang w:val="en-US"/>
        </w:rPr>
      </w:pPr>
      <w:r>
        <w:rPr>
          <w:lang w:val="en-US"/>
        </w:rPr>
        <w:t>T</w:t>
      </w:r>
      <w:r w:rsidR="00F30EC2">
        <w:rPr>
          <w:lang w:val="en-US"/>
        </w:rPr>
        <w:t>he Commission in its original price direction for the current regulatory period used a different forecasting model to that adopted by the Industry Panel.</w:t>
      </w:r>
      <w:r w:rsidR="00FB346F">
        <w:rPr>
          <w:rStyle w:val="FootnoteReference"/>
          <w:color w:val="000000"/>
          <w:szCs w:val="22"/>
          <w:lang w:val="en-US"/>
        </w:rPr>
        <w:footnoteReference w:id="14"/>
      </w:r>
      <w:r w:rsidR="00E6005B">
        <w:rPr>
          <w:lang w:val="en-US"/>
        </w:rPr>
        <w:t xml:space="preserve"> </w:t>
      </w:r>
      <w:r w:rsidR="0076296B">
        <w:rPr>
          <w:lang w:val="en-US"/>
        </w:rPr>
        <w:t>The Industry Panel</w:t>
      </w:r>
      <w:r w:rsidR="00F1017C">
        <w:rPr>
          <w:lang w:val="en-US"/>
        </w:rPr>
        <w:t>’s</w:t>
      </w:r>
      <w:r w:rsidR="0076296B">
        <w:rPr>
          <w:lang w:val="en-US"/>
        </w:rPr>
        <w:t xml:space="preserve"> model has tended to forecast a higher level of demand than </w:t>
      </w:r>
      <w:r w:rsidR="003B635D">
        <w:rPr>
          <w:lang w:val="en-US"/>
        </w:rPr>
        <w:t>the Commission’s</w:t>
      </w:r>
      <w:r w:rsidR="0076296B">
        <w:rPr>
          <w:lang w:val="en-US"/>
        </w:rPr>
        <w:t xml:space="preserve"> model.</w:t>
      </w:r>
    </w:p>
    <w:p w14:paraId="46CC4E6C" w14:textId="77777777" w:rsidR="00F30EC2" w:rsidRDefault="00F30EC2" w:rsidP="00F1017C">
      <w:pPr>
        <w:rPr>
          <w:lang w:val="en-US"/>
        </w:rPr>
      </w:pPr>
      <w:r>
        <w:rPr>
          <w:lang w:val="en-US"/>
        </w:rPr>
        <w:t xml:space="preserve">It is also relevant to </w:t>
      </w:r>
      <w:proofErr w:type="spellStart"/>
      <w:r w:rsidR="005D6A55">
        <w:rPr>
          <w:lang w:val="en-US"/>
        </w:rPr>
        <w:t>recogni</w:t>
      </w:r>
      <w:r w:rsidR="000248C9">
        <w:rPr>
          <w:lang w:val="en-US"/>
        </w:rPr>
        <w:t>s</w:t>
      </w:r>
      <w:r w:rsidR="005D6A55">
        <w:rPr>
          <w:lang w:val="en-US"/>
        </w:rPr>
        <w:t>e</w:t>
      </w:r>
      <w:proofErr w:type="spellEnd"/>
      <w:r>
        <w:rPr>
          <w:lang w:val="en-US"/>
        </w:rPr>
        <w:t xml:space="preserve"> that in response to water conservation</w:t>
      </w:r>
      <w:r w:rsidR="008C4652">
        <w:rPr>
          <w:lang w:val="en-US"/>
        </w:rPr>
        <w:t xml:space="preserve"> measures</w:t>
      </w:r>
      <w:r>
        <w:rPr>
          <w:lang w:val="en-US"/>
        </w:rPr>
        <w:t xml:space="preserve"> and restrictions and the high second</w:t>
      </w:r>
      <w:r w:rsidR="00F1017C">
        <w:rPr>
          <w:lang w:val="en-US"/>
        </w:rPr>
        <w:t>-</w:t>
      </w:r>
      <w:r>
        <w:rPr>
          <w:lang w:val="en-US"/>
        </w:rPr>
        <w:t xml:space="preserve">tier </w:t>
      </w:r>
      <w:r w:rsidR="00741B15">
        <w:rPr>
          <w:lang w:val="en-US"/>
        </w:rPr>
        <w:t>usage</w:t>
      </w:r>
      <w:r w:rsidR="00FB52E7">
        <w:rPr>
          <w:lang w:val="en-US"/>
        </w:rPr>
        <w:t xml:space="preserve"> </w:t>
      </w:r>
      <w:r>
        <w:rPr>
          <w:lang w:val="en-US"/>
        </w:rPr>
        <w:t>charge, demand has reduced a</w:t>
      </w:r>
      <w:r w:rsidRPr="00F82691">
        <w:rPr>
          <w:lang w:val="en-US"/>
        </w:rPr>
        <w:t xml:space="preserve">nd </w:t>
      </w:r>
      <w:r w:rsidR="00202507" w:rsidRPr="00F82691">
        <w:rPr>
          <w:lang w:val="en-US"/>
        </w:rPr>
        <w:t xml:space="preserve">been </w:t>
      </w:r>
      <w:r w:rsidRPr="00F82691">
        <w:rPr>
          <w:lang w:val="en-US"/>
        </w:rPr>
        <w:t>m</w:t>
      </w:r>
      <w:r>
        <w:rPr>
          <w:lang w:val="en-US"/>
        </w:rPr>
        <w:t>aintained at lower levels than in the past for several years now.</w:t>
      </w:r>
      <w:r w:rsidR="00E6005B">
        <w:rPr>
          <w:lang w:val="en-US"/>
        </w:rPr>
        <w:t xml:space="preserve"> </w:t>
      </w:r>
      <w:r>
        <w:rPr>
          <w:lang w:val="en-US"/>
        </w:rPr>
        <w:t>It may well be the case that</w:t>
      </w:r>
      <w:r w:rsidR="00271BD7">
        <w:rPr>
          <w:lang w:val="en-US"/>
        </w:rPr>
        <w:t>,</w:t>
      </w:r>
      <w:r>
        <w:rPr>
          <w:lang w:val="en-US"/>
        </w:rPr>
        <w:t xml:space="preserve"> if this pattern continues</w:t>
      </w:r>
      <w:r w:rsidR="00271BD7">
        <w:rPr>
          <w:lang w:val="en-US"/>
        </w:rPr>
        <w:t>,</w:t>
      </w:r>
      <w:r>
        <w:rPr>
          <w:lang w:val="en-US"/>
        </w:rPr>
        <w:t xml:space="preserve"> demand will be easier to forecast but at a lower level</w:t>
      </w:r>
      <w:r w:rsidR="00F82691">
        <w:rPr>
          <w:lang w:val="en-US"/>
        </w:rPr>
        <w:t xml:space="preserve"> – </w:t>
      </w:r>
      <w:r>
        <w:rPr>
          <w:lang w:val="en-US"/>
        </w:rPr>
        <w:t xml:space="preserve">with the implication that average prices might need to increase materially in order to ensure </w:t>
      </w:r>
      <w:r w:rsidR="00F82691">
        <w:rPr>
          <w:lang w:val="en-US"/>
        </w:rPr>
        <w:t xml:space="preserve">that </w:t>
      </w:r>
      <w:r>
        <w:rPr>
          <w:lang w:val="en-US"/>
        </w:rPr>
        <w:t xml:space="preserve">revenue is sufficient to recover efficient costs. </w:t>
      </w:r>
    </w:p>
    <w:p w14:paraId="26E96A8A" w14:textId="77777777" w:rsidR="00F30EC2" w:rsidRDefault="00F30EC2" w:rsidP="00F1017C">
      <w:pPr>
        <w:rPr>
          <w:lang w:val="en-US"/>
        </w:rPr>
      </w:pPr>
      <w:r>
        <w:rPr>
          <w:lang w:val="en-US"/>
        </w:rPr>
        <w:t xml:space="preserve">If the tariff </w:t>
      </w:r>
      <w:r w:rsidR="0016783F">
        <w:rPr>
          <w:lang w:val="en-US"/>
        </w:rPr>
        <w:t>were</w:t>
      </w:r>
      <w:r w:rsidR="00C239F0">
        <w:rPr>
          <w:lang w:val="en-US"/>
        </w:rPr>
        <w:t xml:space="preserve"> </w:t>
      </w:r>
      <w:r>
        <w:rPr>
          <w:lang w:val="en-US"/>
        </w:rPr>
        <w:t xml:space="preserve">restructured to better align the fixed and </w:t>
      </w:r>
      <w:r w:rsidR="009E1237">
        <w:rPr>
          <w:lang w:val="en-US"/>
        </w:rPr>
        <w:t>usage</w:t>
      </w:r>
      <w:r>
        <w:rPr>
          <w:lang w:val="en-US"/>
        </w:rPr>
        <w:t xml:space="preserve"> components with the fixed and variable cost structure of Icon Water</w:t>
      </w:r>
      <w:r w:rsidR="009E1237">
        <w:rPr>
          <w:lang w:val="en-US"/>
        </w:rPr>
        <w:t>,</w:t>
      </w:r>
      <w:r>
        <w:rPr>
          <w:lang w:val="en-US"/>
        </w:rPr>
        <w:t xml:space="preserve"> forecasting of demand would play a less critical role in revenue recovery.</w:t>
      </w:r>
      <w:r w:rsidR="00E6005B">
        <w:rPr>
          <w:lang w:val="en-US"/>
        </w:rPr>
        <w:t xml:space="preserve"> </w:t>
      </w:r>
      <w:r>
        <w:rPr>
          <w:lang w:val="en-US"/>
        </w:rPr>
        <w:t xml:space="preserve">In the absence of material rebalancing of the tariff </w:t>
      </w:r>
      <w:r w:rsidR="009E1237">
        <w:rPr>
          <w:lang w:val="en-US"/>
        </w:rPr>
        <w:t xml:space="preserve">components, </w:t>
      </w:r>
      <w:r>
        <w:rPr>
          <w:lang w:val="en-US"/>
        </w:rPr>
        <w:t xml:space="preserve">there is likely to be a need for revenue adjustment mechanisms to take account of the impacts of forecasting errors. </w:t>
      </w:r>
    </w:p>
    <w:p w14:paraId="63A8F9C9" w14:textId="77777777" w:rsidR="00F30EC2" w:rsidRDefault="00F30EC2" w:rsidP="00F1017C">
      <w:pPr>
        <w:rPr>
          <w:lang w:val="en-US"/>
        </w:rPr>
      </w:pPr>
      <w:r>
        <w:rPr>
          <w:lang w:val="en-US"/>
        </w:rPr>
        <w:t>The Commission expects Icon Water to take these factors into account when developing its forecasts of water sales for the forthcoming regulatory period.</w:t>
      </w:r>
    </w:p>
    <w:tbl>
      <w:tblPr>
        <w:tblStyle w:val="TableGrid"/>
        <w:tblW w:w="0" w:type="auto"/>
        <w:tblInd w:w="108" w:type="dxa"/>
        <w:tblLook w:val="04A0" w:firstRow="1" w:lastRow="0" w:firstColumn="1" w:lastColumn="0" w:noHBand="0" w:noVBand="1"/>
      </w:tblPr>
      <w:tblGrid>
        <w:gridCol w:w="7593"/>
      </w:tblGrid>
      <w:tr w:rsidR="008C50A3" w14:paraId="741C49AA" w14:textId="77777777" w:rsidTr="00F1017C">
        <w:tc>
          <w:tcPr>
            <w:tcW w:w="7819" w:type="dxa"/>
          </w:tcPr>
          <w:p w14:paraId="64838310" w14:textId="534F8032" w:rsidR="008C50A3" w:rsidRDefault="0007632E" w:rsidP="008C50A3">
            <w:pPr>
              <w:pStyle w:val="Questiontext"/>
            </w:pPr>
            <w:r w:rsidRPr="002B5D98">
              <w:rPr>
                <w:b/>
              </w:rPr>
              <w:t>Issue 9</w:t>
            </w:r>
            <w:r>
              <w:t>:</w:t>
            </w:r>
            <w:r w:rsidR="008C50A3">
              <w:t xml:space="preserve"> The Commission welcomes comments on how it can best forecast the demand for water.</w:t>
            </w:r>
          </w:p>
          <w:p w14:paraId="2447DDFF" w14:textId="382CCFCB" w:rsidR="008C50A3" w:rsidRDefault="0007632E" w:rsidP="0007632E">
            <w:pPr>
              <w:pStyle w:val="Questiontext"/>
            </w:pPr>
            <w:r w:rsidRPr="002B5D98">
              <w:rPr>
                <w:b/>
              </w:rPr>
              <w:t>Issue 10</w:t>
            </w:r>
            <w:r>
              <w:t>:</w:t>
            </w:r>
            <w:r w:rsidR="008C50A3">
              <w:t xml:space="preserve"> How much rebalancing of the tariff structure components should be undertaken (or other mechanisms implemented) so that forecasting of demand for water is less critical in </w:t>
            </w:r>
            <w:r w:rsidR="008C50A3" w:rsidRPr="00F82691">
              <w:t>ensuring</w:t>
            </w:r>
            <w:r w:rsidR="00F427AF">
              <w:t xml:space="preserve"> the</w:t>
            </w:r>
            <w:r w:rsidR="008C50A3" w:rsidRPr="00F82691">
              <w:t xml:space="preserve"> recovery of ef</w:t>
            </w:r>
            <w:r w:rsidR="008C50A3">
              <w:t>ficient costs?</w:t>
            </w:r>
          </w:p>
        </w:tc>
      </w:tr>
    </w:tbl>
    <w:p w14:paraId="7C42EA47" w14:textId="77777777" w:rsidR="009C287A" w:rsidRDefault="009C287A" w:rsidP="003B4981"/>
    <w:p w14:paraId="2E2298CF" w14:textId="77777777" w:rsidR="009C287A" w:rsidRDefault="009C287A" w:rsidP="00A27A1C">
      <w:pPr>
        <w:pStyle w:val="References"/>
        <w:sectPr w:rsidR="009C287A" w:rsidSect="00662C7A">
          <w:headerReference w:type="even" r:id="rId39"/>
          <w:headerReference w:type="default" r:id="rId40"/>
          <w:endnotePr>
            <w:numFmt w:val="decimal"/>
          </w:endnotePr>
          <w:type w:val="continuous"/>
          <w:pgSz w:w="11907" w:h="16840" w:code="9"/>
          <w:pgMar w:top="2268" w:right="2098" w:bottom="1701" w:left="2098" w:header="578" w:footer="578" w:gutter="0"/>
          <w:cols w:space="720"/>
          <w:docGrid w:linePitch="299"/>
        </w:sectPr>
      </w:pPr>
    </w:p>
    <w:p w14:paraId="004D1026" w14:textId="77777777" w:rsidR="00232490" w:rsidRDefault="00B016D6" w:rsidP="00E86BCC">
      <w:pPr>
        <w:pStyle w:val="Heading1"/>
        <w:sectPr w:rsidR="00232490" w:rsidSect="00004D80">
          <w:headerReference w:type="default" r:id="rId41"/>
          <w:endnotePr>
            <w:numFmt w:val="decimal"/>
          </w:endnotePr>
          <w:type w:val="oddPage"/>
          <w:pgSz w:w="11907" w:h="16840" w:code="9"/>
          <w:pgMar w:top="2268" w:right="2098" w:bottom="1701" w:left="2098" w:header="578" w:footer="578" w:gutter="0"/>
          <w:cols w:space="720"/>
          <w:noEndnote/>
          <w:docGrid w:linePitch="299"/>
        </w:sectPr>
      </w:pPr>
      <w:bookmarkStart w:id="99" w:name="_Ref472506984"/>
      <w:bookmarkStart w:id="100" w:name="_Ref472506991"/>
      <w:bookmarkStart w:id="101" w:name="_Ref472506999"/>
      <w:bookmarkStart w:id="102" w:name="_Ref472507013"/>
      <w:bookmarkStart w:id="103" w:name="_Ref433615233"/>
      <w:bookmarkStart w:id="104" w:name="_Ref448321586"/>
      <w:bookmarkStart w:id="105" w:name="_Toc478557259"/>
      <w:r>
        <w:lastRenderedPageBreak/>
        <w:t>I</w:t>
      </w:r>
      <w:r w:rsidR="003E2C77">
        <w:t>ssues</w:t>
      </w:r>
      <w:r w:rsidR="005B219B">
        <w:t xml:space="preserve"> raised in the terms of reference</w:t>
      </w:r>
      <w:bookmarkEnd w:id="99"/>
      <w:bookmarkEnd w:id="100"/>
      <w:bookmarkEnd w:id="101"/>
      <w:bookmarkEnd w:id="102"/>
      <w:bookmarkEnd w:id="103"/>
      <w:bookmarkEnd w:id="104"/>
      <w:bookmarkEnd w:id="105"/>
    </w:p>
    <w:p w14:paraId="27713834" w14:textId="77777777" w:rsidR="00B016D6" w:rsidRDefault="0085102E" w:rsidP="006C7D4B">
      <w:pPr>
        <w:pStyle w:val="Heading2"/>
        <w:rPr>
          <w:webHidden/>
        </w:rPr>
      </w:pPr>
      <w:bookmarkStart w:id="106" w:name="_Toc478557260"/>
      <w:r>
        <w:rPr>
          <w:webHidden/>
        </w:rPr>
        <w:t xml:space="preserve">Improvements in the </w:t>
      </w:r>
      <w:r w:rsidR="00B016D6">
        <w:rPr>
          <w:webHidden/>
        </w:rPr>
        <w:t>regulatory methodology</w:t>
      </w:r>
      <w:bookmarkEnd w:id="106"/>
    </w:p>
    <w:p w14:paraId="3D85F7C9" w14:textId="77777777" w:rsidR="00970019" w:rsidRDefault="007417BF" w:rsidP="00970019">
      <w:pPr>
        <w:pStyle w:val="Heading3a"/>
      </w:pPr>
      <w:r>
        <w:t>5</w:t>
      </w:r>
      <w:r w:rsidR="00AF7B19">
        <w:t>.1.1</w:t>
      </w:r>
      <w:r w:rsidR="00AF7B19">
        <w:tab/>
      </w:r>
      <w:r w:rsidR="009F69D4" w:rsidRPr="00F82691">
        <w:t>Links to other sections</w:t>
      </w:r>
      <w:r w:rsidR="00F82691">
        <w:t xml:space="preserve"> of this paper</w:t>
      </w:r>
      <w:r w:rsidR="009F69D4">
        <w:t xml:space="preserve"> </w:t>
      </w:r>
    </w:p>
    <w:p w14:paraId="577FBA87" w14:textId="77777777" w:rsidR="0000754E" w:rsidRDefault="00B6536F" w:rsidP="00E606AB">
      <w:r w:rsidRPr="0000754E">
        <w:t>A number of specific matters in the terms of reference relate to improvements in</w:t>
      </w:r>
      <w:r>
        <w:rPr>
          <w:b/>
        </w:rPr>
        <w:t xml:space="preserve"> </w:t>
      </w:r>
      <w:r w:rsidRPr="0000754E">
        <w:t>the regulatory methodology.</w:t>
      </w:r>
      <w:r w:rsidR="00E6005B">
        <w:t xml:space="preserve"> </w:t>
      </w:r>
      <w:r w:rsidRPr="0000754E">
        <w:t>These include clarifying the Commission’s approach to taking account of relevant regulatory objectives and public policies (</w:t>
      </w:r>
      <w:r w:rsidR="00202507">
        <w:t>s</w:t>
      </w:r>
      <w:r w:rsidRPr="0000754E">
        <w:t>ection 2); appropriate mechanisms to ensure the recovery of prudent and efficient costs</w:t>
      </w:r>
      <w:r w:rsidR="0000754E" w:rsidRPr="0000754E">
        <w:t xml:space="preserve"> (</w:t>
      </w:r>
      <w:r w:rsidR="00202507">
        <w:t>s</w:t>
      </w:r>
      <w:r w:rsidR="0000754E" w:rsidRPr="0000754E">
        <w:t xml:space="preserve">ection </w:t>
      </w:r>
      <w:r w:rsidR="005C30B1">
        <w:t>5.2</w:t>
      </w:r>
      <w:r w:rsidR="0000754E" w:rsidRPr="0000754E">
        <w:t>)</w:t>
      </w:r>
      <w:r w:rsidRPr="0000754E">
        <w:t xml:space="preserve">; </w:t>
      </w:r>
      <w:r w:rsidR="0000754E" w:rsidRPr="0000754E">
        <w:t>the potential for incentive schemes (</w:t>
      </w:r>
      <w:r w:rsidR="00202507">
        <w:t>s</w:t>
      </w:r>
      <w:r w:rsidR="0000754E" w:rsidRPr="0000754E">
        <w:t xml:space="preserve">ection </w:t>
      </w:r>
      <w:r w:rsidR="00634A81">
        <w:t>5</w:t>
      </w:r>
      <w:r w:rsidR="005C30B1">
        <w:t>.3</w:t>
      </w:r>
      <w:r w:rsidR="0000754E" w:rsidRPr="0000754E">
        <w:t xml:space="preserve">); </w:t>
      </w:r>
      <w:r w:rsidR="0000754E">
        <w:t>and the tariff structure (</w:t>
      </w:r>
      <w:r w:rsidR="00202507">
        <w:t>s</w:t>
      </w:r>
      <w:r w:rsidR="0000754E">
        <w:t xml:space="preserve">ection </w:t>
      </w:r>
      <w:r w:rsidR="005C30B1">
        <w:t>5.4</w:t>
      </w:r>
      <w:r w:rsidR="0000754E">
        <w:t>).</w:t>
      </w:r>
      <w:r w:rsidR="00E6005B">
        <w:t xml:space="preserve"> </w:t>
      </w:r>
      <w:r w:rsidR="0000754E">
        <w:t>The reliance on forecasts of water demand a</w:t>
      </w:r>
      <w:r w:rsidR="0000754E" w:rsidRPr="00F82691">
        <w:t>nd better foreca</w:t>
      </w:r>
      <w:r w:rsidR="0000754E">
        <w:t>sting of demand are also issues where improvements could be made (</w:t>
      </w:r>
      <w:r w:rsidR="00202507">
        <w:t>s</w:t>
      </w:r>
      <w:r w:rsidR="0000754E">
        <w:t xml:space="preserve">ection </w:t>
      </w:r>
      <w:r w:rsidR="00634A81">
        <w:t>4</w:t>
      </w:r>
      <w:r w:rsidR="0000754E">
        <w:t>.4).</w:t>
      </w:r>
      <w:r w:rsidR="00E6005B">
        <w:t xml:space="preserve"> </w:t>
      </w:r>
    </w:p>
    <w:p w14:paraId="5A23A515" w14:textId="77777777" w:rsidR="00B6536F" w:rsidRDefault="0000754E" w:rsidP="00E606AB">
      <w:r>
        <w:t>The terms of reference also provide the Commission with the scope to identify other improvements in the regulatory methodology used by the Industry Panel.</w:t>
      </w:r>
      <w:r w:rsidR="00E6005B">
        <w:t xml:space="preserve"> </w:t>
      </w:r>
      <w:r>
        <w:t xml:space="preserve">The mechanisms to ensure the efficient recovery of prudent and efficient costs, while minimising the potential for significant price fluctuations, include </w:t>
      </w:r>
      <w:r w:rsidRPr="00F82691">
        <w:t>consideration of th</w:t>
      </w:r>
      <w:r>
        <w:t>e hybrid price and revenue cap mechanism that currently applies as well as other forms of regulation.</w:t>
      </w:r>
      <w:r w:rsidR="00E6005B">
        <w:t xml:space="preserve"> </w:t>
      </w:r>
      <w:r w:rsidR="00202507">
        <w:t>T</w:t>
      </w:r>
      <w:r w:rsidR="00A509AB">
        <w:t xml:space="preserve">hese mechanisms are discussed in </w:t>
      </w:r>
      <w:r w:rsidR="00202507">
        <w:t>s</w:t>
      </w:r>
      <w:r w:rsidR="00A509AB">
        <w:t>ection</w:t>
      </w:r>
      <w:r w:rsidR="00CC026C">
        <w:t>s</w:t>
      </w:r>
      <w:r w:rsidR="00A509AB">
        <w:t xml:space="preserve"> </w:t>
      </w:r>
      <w:r w:rsidR="00FF4251">
        <w:t>3.2,</w:t>
      </w:r>
      <w:r w:rsidR="005C30B1">
        <w:t xml:space="preserve"> 5.2</w:t>
      </w:r>
      <w:r w:rsidR="00202507">
        <w:t>, 5.3 and</w:t>
      </w:r>
      <w:r w:rsidR="005C30B1">
        <w:t xml:space="preserve"> 5.4.</w:t>
      </w:r>
      <w:r w:rsidR="00E6005B">
        <w:t xml:space="preserve"> </w:t>
      </w:r>
    </w:p>
    <w:p w14:paraId="248100E1" w14:textId="3B0E1DEA" w:rsidR="00A509AB" w:rsidRDefault="00A509AB" w:rsidP="00E606AB">
      <w:r>
        <w:t>The Commission considers</w:t>
      </w:r>
      <w:r w:rsidR="00381AB5">
        <w:t xml:space="preserve"> that</w:t>
      </w:r>
      <w:r>
        <w:t xml:space="preserve"> it is relevant to </w:t>
      </w:r>
      <w:r w:rsidR="008C4652">
        <w:t xml:space="preserve">review </w:t>
      </w:r>
      <w:r>
        <w:t>the Industry Panel’s cost of capital methodology to determine if there is scope for improvement that is in the long</w:t>
      </w:r>
      <w:r w:rsidR="000853F5">
        <w:t>-</w:t>
      </w:r>
      <w:r>
        <w:t>term interests of consumers.</w:t>
      </w:r>
      <w:r w:rsidR="00E6005B">
        <w:t xml:space="preserve"> </w:t>
      </w:r>
      <w:r>
        <w:t xml:space="preserve">The cost of capital methodology that is currently </w:t>
      </w:r>
      <w:r w:rsidR="006F2122">
        <w:t>used is considered</w:t>
      </w:r>
      <w:r>
        <w:t xml:space="preserve"> in the following section (</w:t>
      </w:r>
      <w:r w:rsidR="00B51431">
        <w:t>5</w:t>
      </w:r>
      <w:r>
        <w:t xml:space="preserve">.1.2). </w:t>
      </w:r>
    </w:p>
    <w:p w14:paraId="040B80F2" w14:textId="77777777" w:rsidR="0086272D" w:rsidRDefault="007417BF">
      <w:pPr>
        <w:pStyle w:val="Heading3a"/>
      </w:pPr>
      <w:r>
        <w:t>5</w:t>
      </w:r>
      <w:r w:rsidR="00AF7B19">
        <w:t>.1.</w:t>
      </w:r>
      <w:r w:rsidR="00AC3955">
        <w:t>2</w:t>
      </w:r>
      <w:r w:rsidR="00AF7B19">
        <w:tab/>
      </w:r>
      <w:r w:rsidR="00C221F6">
        <w:t>Cost of capital</w:t>
      </w:r>
    </w:p>
    <w:p w14:paraId="485E8926" w14:textId="46C8AE3D" w:rsidR="00C221F6" w:rsidRPr="00E418FE" w:rsidRDefault="00F427AF" w:rsidP="00EE6B17">
      <w:pPr>
        <w:pStyle w:val="Heading4a"/>
      </w:pPr>
      <w:r>
        <w:t>Introduction</w:t>
      </w:r>
    </w:p>
    <w:p w14:paraId="6DC04A59" w14:textId="77777777" w:rsidR="000F7C87" w:rsidRDefault="000F7C87" w:rsidP="000F7C87">
      <w:r>
        <w:t>Th</w:t>
      </w:r>
      <w:r w:rsidRPr="00F82691">
        <w:t>is section outlines the current model used to set the cost of capital</w:t>
      </w:r>
      <w:r w:rsidR="00AC3955" w:rsidRPr="00F82691">
        <w:t xml:space="preserve"> (</w:t>
      </w:r>
      <w:r w:rsidR="00F82691">
        <w:t xml:space="preserve">the </w:t>
      </w:r>
      <w:r w:rsidR="00AC3955" w:rsidRPr="00F82691">
        <w:t>allowed expected maximum rate of return)</w:t>
      </w:r>
      <w:r w:rsidRPr="00F82691">
        <w:t xml:space="preserve"> f</w:t>
      </w:r>
      <w:r>
        <w:t>or Icon Water.</w:t>
      </w:r>
      <w:r w:rsidR="00E6005B">
        <w:t xml:space="preserve"> </w:t>
      </w:r>
      <w:r>
        <w:t>The approach is standard</w:t>
      </w:r>
      <w:r w:rsidR="000853F5">
        <w:t>,</w:t>
      </w:r>
      <w:r>
        <w:t xml:space="preserve"> but </w:t>
      </w:r>
      <w:r w:rsidR="000853F5">
        <w:t>it has</w:t>
      </w:r>
      <w:r>
        <w:t xml:space="preserve"> one parameter (the market risk premium) </w:t>
      </w:r>
      <w:r w:rsidR="000853F5">
        <w:t>that</w:t>
      </w:r>
      <w:r>
        <w:t xml:space="preserve"> leads to an estimate that is materially higher than is typically preferred by other regulators.</w:t>
      </w:r>
      <w:r w:rsidR="00E6005B">
        <w:t xml:space="preserve"> </w:t>
      </w:r>
      <w:r w:rsidR="005A6A28">
        <w:t>The metho</w:t>
      </w:r>
      <w:r w:rsidR="005A6A28" w:rsidRPr="00D2712E">
        <w:t>dology and key parameters are summ</w:t>
      </w:r>
      <w:r w:rsidR="005A6A28">
        <w:t xml:space="preserve">arised </w:t>
      </w:r>
      <w:r w:rsidR="00381AB5">
        <w:t xml:space="preserve">here </w:t>
      </w:r>
      <w:r w:rsidR="005A6A28">
        <w:t>for completeness.</w:t>
      </w:r>
      <w:r w:rsidR="00E6005B">
        <w:t xml:space="preserve"> </w:t>
      </w:r>
      <w:r>
        <w:t>Comments on the methodology as a whole and all the individual parameters are welcom</w:t>
      </w:r>
      <w:r w:rsidR="005A6A28">
        <w:t>e</w:t>
      </w:r>
      <w:r w:rsidR="000853F5">
        <w:t>,</w:t>
      </w:r>
      <w:r w:rsidR="005A6A28">
        <w:t xml:space="preserve"> but the </w:t>
      </w:r>
      <w:r w:rsidR="00381AB5">
        <w:t xml:space="preserve">discussion in this </w:t>
      </w:r>
      <w:r w:rsidR="000853F5">
        <w:t>i</w:t>
      </w:r>
      <w:r w:rsidR="005A6A28">
        <w:t xml:space="preserve">ssues </w:t>
      </w:r>
      <w:r w:rsidR="000853F5">
        <w:t>p</w:t>
      </w:r>
      <w:r w:rsidR="00381AB5">
        <w:t>aper focuses</w:t>
      </w:r>
      <w:r>
        <w:t xml:space="preserve"> on the market risk premium.</w:t>
      </w:r>
    </w:p>
    <w:p w14:paraId="04F1267B" w14:textId="77777777" w:rsidR="005A6C68" w:rsidRPr="00EE6B17" w:rsidRDefault="005A6C68" w:rsidP="00EE6B17">
      <w:pPr>
        <w:pStyle w:val="Heading4a"/>
      </w:pPr>
      <w:r w:rsidRPr="00EE6B17">
        <w:t>Efficient benchmark approach</w:t>
      </w:r>
    </w:p>
    <w:p w14:paraId="325DF0C3" w14:textId="79AD9AA8" w:rsidR="003E19BE" w:rsidRDefault="00E418FE" w:rsidP="00E606AB">
      <w:r>
        <w:t xml:space="preserve">The cost of capital refers to </w:t>
      </w:r>
      <w:r w:rsidR="004B1559">
        <w:t xml:space="preserve">the </w:t>
      </w:r>
      <w:r>
        <w:t xml:space="preserve">overall rate of return on assets that the regulated business is </w:t>
      </w:r>
      <w:r w:rsidR="00F427AF">
        <w:t>permitted</w:t>
      </w:r>
      <w:r>
        <w:t xml:space="preserve"> to earn when calculating allowed revenue.</w:t>
      </w:r>
      <w:r w:rsidR="00E6005B">
        <w:t xml:space="preserve"> </w:t>
      </w:r>
      <w:r>
        <w:t>I</w:t>
      </w:r>
      <w:r w:rsidR="007B0516">
        <w:t xml:space="preserve">n a regulatory </w:t>
      </w:r>
      <w:r w:rsidR="00586D69">
        <w:t>application,</w:t>
      </w:r>
      <w:r w:rsidR="007B0516">
        <w:t xml:space="preserve"> i</w:t>
      </w:r>
      <w:r>
        <w:t xml:space="preserve">t is typically expressed as a weighted average of the cost of debt and the cost of (return on) equity that </w:t>
      </w:r>
      <w:r w:rsidR="00634A81">
        <w:t>is</w:t>
      </w:r>
      <w:r>
        <w:t xml:space="preserve"> required to ensure that assets can be efficiently financed, where the weights reflect the relative importance of debt and equity</w:t>
      </w:r>
      <w:r w:rsidR="00381AB5">
        <w:t xml:space="preserve"> in </w:t>
      </w:r>
      <w:r w:rsidR="00381AB5">
        <w:lastRenderedPageBreak/>
        <w:t>financing the firm</w:t>
      </w:r>
      <w:r>
        <w:t>.</w:t>
      </w:r>
      <w:r w:rsidR="00E6005B">
        <w:t xml:space="preserve"> </w:t>
      </w:r>
      <w:r w:rsidR="003E19BE">
        <w:t>The definition of the weighted average cost of capital (WACC</w:t>
      </w:r>
      <w:r w:rsidR="005309FF">
        <w:t>)</w:t>
      </w:r>
      <w:r w:rsidR="003E19BE">
        <w:t xml:space="preserve"> that is currently used for Icon Water is in the form of the ‘nominal vanilla WACC’</w:t>
      </w:r>
      <w:r w:rsidR="00AC3955">
        <w:t>:</w:t>
      </w:r>
      <w:r w:rsidR="003E19BE">
        <w:rPr>
          <w:rStyle w:val="FootnoteReference"/>
        </w:rPr>
        <w:footnoteReference w:id="15"/>
      </w:r>
    </w:p>
    <w:p w14:paraId="58EA2588" w14:textId="77777777" w:rsidR="003E19BE" w:rsidRPr="00681483" w:rsidRDefault="002304BD" w:rsidP="003E19BE">
      <w:pPr>
        <w:pStyle w:val="Text"/>
        <w:spacing w:after="120" w:line="300" w:lineRule="atLeast"/>
        <w:rPr>
          <w:sz w:val="28"/>
          <w:szCs w:val="28"/>
          <w:lang w:val="en-AU"/>
        </w:rPr>
      </w:pPr>
      <w:r w:rsidRPr="000F7C87">
        <w:rPr>
          <w:sz w:val="22"/>
          <w:szCs w:val="22"/>
          <w:lang w:val="en-AU"/>
        </w:rPr>
        <w:t>(1)</w:t>
      </w:r>
      <w:r w:rsidR="00E6005B">
        <w:rPr>
          <w:sz w:val="22"/>
          <w:szCs w:val="22"/>
          <w:lang w:val="en-AU"/>
        </w:rPr>
        <w:t xml:space="preserve"> </w:t>
      </w:r>
      <w:r w:rsidR="00F62621" w:rsidRPr="00F62621">
        <w:rPr>
          <w:i/>
          <w:sz w:val="28"/>
          <w:szCs w:val="28"/>
          <w:lang w:val="en-AU"/>
        </w:rPr>
        <w:fldChar w:fldCharType="begin"/>
      </w:r>
      <w:r w:rsidR="00F62621" w:rsidRPr="00F62621">
        <w:rPr>
          <w:i/>
          <w:sz w:val="28"/>
          <w:szCs w:val="28"/>
          <w:lang w:val="en-AU"/>
        </w:rPr>
        <w:instrText xml:space="preserve"> QUOTE </w:instrText>
      </w:r>
      <m:oMath>
        <m:sSub>
          <m:sSubPr>
            <m:ctrlPr>
              <w:rPr>
                <w:rFonts w:ascii="Cambria Math" w:hAnsi="Cambria Math"/>
                <w:i/>
                <w:szCs w:val="22"/>
                <w:lang w:val="en-AU"/>
              </w:rPr>
            </m:ctrlPr>
          </m:sSubPr>
          <m:e>
            <m:r>
              <m:rPr>
                <m:sty m:val="p"/>
              </m:rPr>
              <w:rPr>
                <w:rFonts w:ascii="Cambria Math" w:hAnsi="Cambria Math"/>
                <w:szCs w:val="22"/>
                <w:lang w:val="en-AU"/>
              </w:rPr>
              <m:t>WACC</m:t>
            </m:r>
          </m:e>
          <m:sub>
            <m:r>
              <m:rPr>
                <m:sty m:val="p"/>
              </m:rPr>
              <w:rPr>
                <w:rFonts w:ascii="Cambria Math" w:hAnsi="Cambria Math"/>
                <w:szCs w:val="22"/>
                <w:lang w:val="en-AU"/>
              </w:rPr>
              <m:t>nominal vanilla</m:t>
            </m:r>
          </m:sub>
        </m:sSub>
        <m:r>
          <m:rPr>
            <m:sty m:val="p"/>
          </m:rPr>
          <w:rPr>
            <w:rFonts w:ascii="Cambria Math" w:hAnsi="Cambria Math"/>
            <w:szCs w:val="22"/>
            <w:lang w:val="en-AU"/>
          </w:rPr>
          <m:t>=E</m:t>
        </m:r>
        <m:d>
          <m:dPr>
            <m:ctrlPr>
              <w:rPr>
                <w:rFonts w:ascii="Cambria Math" w:hAnsi="Cambria Math"/>
                <w:i/>
                <w:szCs w:val="22"/>
                <w:lang w:val="en-AU"/>
              </w:rPr>
            </m:ctrlPr>
          </m:dPr>
          <m:e>
            <m:sSub>
              <m:sSubPr>
                <m:ctrlPr>
                  <w:rPr>
                    <w:rFonts w:ascii="Cambria Math" w:hAnsi="Cambria Math"/>
                    <w:i/>
                    <w:szCs w:val="22"/>
                    <w:lang w:val="en-AU"/>
                  </w:rPr>
                </m:ctrlPr>
              </m:sSubPr>
              <m:e>
                <m:r>
                  <m:rPr>
                    <m:sty m:val="p"/>
                  </m:rPr>
                  <w:rPr>
                    <w:rFonts w:ascii="Cambria Math" w:hAnsi="Cambria Math"/>
                    <w:szCs w:val="22"/>
                    <w:lang w:val="en-AU"/>
                  </w:rPr>
                  <m:t>R</m:t>
                </m:r>
              </m:e>
              <m:sub>
                <m:r>
                  <m:rPr>
                    <m:sty m:val="p"/>
                  </m:rPr>
                  <w:rPr>
                    <w:rFonts w:ascii="Cambria Math" w:hAnsi="Cambria Math"/>
                    <w:szCs w:val="22"/>
                    <w:lang w:val="en-AU"/>
                  </w:rPr>
                  <m:t>d</m:t>
                </m:r>
              </m:sub>
            </m:sSub>
          </m:e>
        </m:d>
        <m:r>
          <m:rPr>
            <m:sty m:val="p"/>
          </m:rPr>
          <w:rPr>
            <w:rFonts w:ascii="Cambria Math" w:hAnsi="Cambria Math"/>
            <w:szCs w:val="22"/>
            <w:lang w:val="en-AU"/>
          </w:rPr>
          <m:t xml:space="preserve"> </m:t>
        </m:r>
        <m:r>
          <m:rPr>
            <m:sty m:val="p"/>
          </m:rPr>
          <w:rPr>
            <w:rFonts w:ascii="Cambria Math" w:hAnsi="Cambria Math" w:hint="eastAsia"/>
            <w:szCs w:val="22"/>
            <w:lang w:val="en-AU"/>
          </w:rPr>
          <m:t>×</m:t>
        </m:r>
        <m:r>
          <m:rPr>
            <m:sty m:val="p"/>
          </m:rPr>
          <w:rPr>
            <w:rFonts w:ascii="Cambria Math" w:hAnsi="Cambria Math"/>
            <w:szCs w:val="22"/>
            <w:lang w:val="en-AU"/>
          </w:rPr>
          <m:t xml:space="preserve"> </m:t>
        </m:r>
        <m:f>
          <m:fPr>
            <m:ctrlPr>
              <w:rPr>
                <w:rFonts w:ascii="Cambria Math" w:hAnsi="Cambria Math"/>
                <w:i/>
                <w:szCs w:val="22"/>
                <w:lang w:val="en-AU"/>
              </w:rPr>
            </m:ctrlPr>
          </m:fPr>
          <m:num>
            <m:r>
              <m:rPr>
                <m:sty m:val="p"/>
              </m:rPr>
              <w:rPr>
                <w:rFonts w:ascii="Cambria Math" w:hAnsi="Cambria Math"/>
                <w:szCs w:val="22"/>
                <w:lang w:val="en-AU"/>
              </w:rPr>
              <m:t>D</m:t>
            </m:r>
          </m:num>
          <m:den>
            <m:r>
              <m:rPr>
                <m:sty m:val="p"/>
              </m:rPr>
              <w:rPr>
                <w:rFonts w:ascii="Cambria Math" w:hAnsi="Cambria Math"/>
                <w:szCs w:val="22"/>
                <w:lang w:val="en-AU"/>
              </w:rPr>
              <m:t>V</m:t>
            </m:r>
          </m:den>
        </m:f>
        <m:r>
          <m:rPr>
            <m:sty m:val="p"/>
          </m:rPr>
          <w:rPr>
            <w:rFonts w:ascii="Cambria Math" w:hAnsi="Cambria Math"/>
            <w:szCs w:val="22"/>
            <w:lang w:val="en-AU"/>
          </w:rPr>
          <m:t>+ E</m:t>
        </m:r>
        <m:d>
          <m:dPr>
            <m:ctrlPr>
              <w:rPr>
                <w:rFonts w:ascii="Cambria Math" w:hAnsi="Cambria Math"/>
                <w:i/>
                <w:szCs w:val="22"/>
                <w:lang w:val="en-AU"/>
              </w:rPr>
            </m:ctrlPr>
          </m:dPr>
          <m:e>
            <m:sSub>
              <m:sSubPr>
                <m:ctrlPr>
                  <w:rPr>
                    <w:rFonts w:ascii="Cambria Math" w:hAnsi="Cambria Math"/>
                    <w:i/>
                    <w:szCs w:val="22"/>
                    <w:lang w:val="en-AU"/>
                  </w:rPr>
                </m:ctrlPr>
              </m:sSubPr>
              <m:e>
                <m:r>
                  <m:rPr>
                    <m:sty m:val="p"/>
                  </m:rPr>
                  <w:rPr>
                    <w:rFonts w:ascii="Cambria Math" w:hAnsi="Cambria Math"/>
                    <w:szCs w:val="22"/>
                    <w:lang w:val="en-AU"/>
                  </w:rPr>
                  <m:t>R</m:t>
                </m:r>
              </m:e>
              <m:sub>
                <m:r>
                  <m:rPr>
                    <m:sty m:val="p"/>
                  </m:rPr>
                  <w:rPr>
                    <w:rFonts w:ascii="Cambria Math" w:hAnsi="Cambria Math"/>
                    <w:szCs w:val="22"/>
                    <w:lang w:val="en-AU"/>
                  </w:rPr>
                  <m:t>e</m:t>
                </m:r>
              </m:sub>
            </m:sSub>
          </m:e>
        </m:d>
        <m:r>
          <m:rPr>
            <m:sty m:val="p"/>
          </m:rPr>
          <w:rPr>
            <w:rFonts w:ascii="Cambria Math" w:hAnsi="Cambria Math" w:hint="eastAsia"/>
            <w:szCs w:val="22"/>
            <w:lang w:val="en-AU"/>
          </w:rPr>
          <m:t>×</m:t>
        </m:r>
        <m:f>
          <m:fPr>
            <m:ctrlPr>
              <w:rPr>
                <w:rFonts w:ascii="Cambria Math" w:hAnsi="Cambria Math"/>
                <w:i/>
                <w:szCs w:val="22"/>
                <w:lang w:val="en-AU"/>
              </w:rPr>
            </m:ctrlPr>
          </m:fPr>
          <m:num>
            <m:r>
              <m:rPr>
                <m:sty m:val="p"/>
              </m:rPr>
              <w:rPr>
                <w:rFonts w:ascii="Cambria Math" w:hAnsi="Cambria Math"/>
                <w:szCs w:val="22"/>
                <w:lang w:val="en-AU"/>
              </w:rPr>
              <m:t>E</m:t>
            </m:r>
          </m:num>
          <m:den>
            <m:r>
              <m:rPr>
                <m:sty m:val="p"/>
              </m:rPr>
              <w:rPr>
                <w:rFonts w:ascii="Cambria Math" w:hAnsi="Cambria Math"/>
                <w:szCs w:val="22"/>
                <w:lang w:val="en-AU"/>
              </w:rPr>
              <m:t>V</m:t>
            </m:r>
          </m:den>
        </m:f>
      </m:oMath>
      <w:r w:rsidR="00F62621" w:rsidRPr="00F62621">
        <w:rPr>
          <w:i/>
          <w:sz w:val="28"/>
          <w:szCs w:val="28"/>
          <w:lang w:val="en-AU"/>
        </w:rPr>
        <w:instrText xml:space="preserve"> </w:instrText>
      </w:r>
      <w:r w:rsidR="00F62621" w:rsidRPr="00F62621">
        <w:rPr>
          <w:i/>
          <w:sz w:val="28"/>
          <w:szCs w:val="28"/>
          <w:lang w:val="en-AU"/>
        </w:rPr>
        <w:fldChar w:fldCharType="separate"/>
      </w:r>
      <m:oMath>
        <m:sSub>
          <m:sSubPr>
            <m:ctrlPr>
              <w:rPr>
                <w:rFonts w:ascii="Cambria Math" w:hAnsi="Cambria Math"/>
                <w:i/>
                <w:sz w:val="22"/>
                <w:szCs w:val="22"/>
                <w:lang w:val="en-AU"/>
              </w:rPr>
            </m:ctrlPr>
          </m:sSubPr>
          <m:e>
            <m:r>
              <m:rPr>
                <m:sty m:val="p"/>
              </m:rPr>
              <w:rPr>
                <w:rFonts w:ascii="Cambria Math" w:hAnsi="Cambria Math"/>
                <w:sz w:val="22"/>
                <w:szCs w:val="22"/>
                <w:lang w:val="en-AU"/>
              </w:rPr>
              <m:t>WACC</m:t>
            </m:r>
          </m:e>
          <m:sub>
            <m:r>
              <m:rPr>
                <m:sty m:val="p"/>
              </m:rPr>
              <w:rPr>
                <w:rFonts w:ascii="Cambria Math" w:hAnsi="Cambria Math"/>
                <w:sz w:val="22"/>
                <w:szCs w:val="22"/>
                <w:lang w:val="en-AU"/>
              </w:rPr>
              <m:t>nominal vanilla</m:t>
            </m:r>
          </m:sub>
        </m:sSub>
        <m:r>
          <m:rPr>
            <m:sty m:val="p"/>
          </m:rPr>
          <w:rPr>
            <w:rFonts w:ascii="Cambria Math" w:hAnsi="Cambria Math"/>
            <w:sz w:val="22"/>
            <w:szCs w:val="22"/>
            <w:lang w:val="en-AU"/>
          </w:rPr>
          <m:t>=E</m:t>
        </m:r>
        <m:d>
          <m:dPr>
            <m:ctrlPr>
              <w:rPr>
                <w:rFonts w:ascii="Cambria Math" w:hAnsi="Cambria Math"/>
                <w:i/>
                <w:sz w:val="22"/>
                <w:szCs w:val="22"/>
                <w:lang w:val="en-AU"/>
              </w:rPr>
            </m:ctrlPr>
          </m:dPr>
          <m:e>
            <m:sSub>
              <m:sSubPr>
                <m:ctrlPr>
                  <w:rPr>
                    <w:rFonts w:ascii="Cambria Math" w:hAnsi="Cambria Math"/>
                    <w:i/>
                    <w:sz w:val="22"/>
                    <w:szCs w:val="22"/>
                    <w:lang w:val="en-AU"/>
                  </w:rPr>
                </m:ctrlPr>
              </m:sSubPr>
              <m:e>
                <m:r>
                  <m:rPr>
                    <m:sty m:val="p"/>
                  </m:rPr>
                  <w:rPr>
                    <w:rFonts w:ascii="Cambria Math" w:hAnsi="Cambria Math"/>
                    <w:sz w:val="22"/>
                    <w:szCs w:val="22"/>
                    <w:lang w:val="en-AU"/>
                  </w:rPr>
                  <m:t>R</m:t>
                </m:r>
              </m:e>
              <m:sub>
                <m:r>
                  <m:rPr>
                    <m:sty m:val="p"/>
                  </m:rPr>
                  <w:rPr>
                    <w:rFonts w:ascii="Cambria Math" w:hAnsi="Cambria Math"/>
                    <w:sz w:val="22"/>
                    <w:szCs w:val="22"/>
                    <w:lang w:val="en-AU"/>
                  </w:rPr>
                  <m:t>d</m:t>
                </m:r>
              </m:sub>
            </m:sSub>
          </m:e>
        </m:d>
        <m:r>
          <m:rPr>
            <m:sty m:val="p"/>
          </m:rPr>
          <w:rPr>
            <w:rFonts w:ascii="Cambria Math" w:hAnsi="Cambria Math"/>
            <w:sz w:val="22"/>
            <w:szCs w:val="22"/>
            <w:lang w:val="en-AU"/>
          </w:rPr>
          <m:t xml:space="preserve"> </m:t>
        </m:r>
        <m:r>
          <m:rPr>
            <m:sty m:val="p"/>
          </m:rPr>
          <w:rPr>
            <w:rFonts w:ascii="Cambria Math" w:hAnsi="Cambria Math" w:hint="eastAsia"/>
            <w:sz w:val="22"/>
            <w:szCs w:val="22"/>
            <w:lang w:val="en-AU"/>
          </w:rPr>
          <m:t>×</m:t>
        </m:r>
        <m:r>
          <m:rPr>
            <m:sty m:val="p"/>
          </m:rPr>
          <w:rPr>
            <w:rFonts w:ascii="Cambria Math" w:hAnsi="Cambria Math"/>
            <w:sz w:val="22"/>
            <w:szCs w:val="22"/>
            <w:lang w:val="en-AU"/>
          </w:rPr>
          <m:t xml:space="preserve"> </m:t>
        </m:r>
        <m:f>
          <m:fPr>
            <m:ctrlPr>
              <w:rPr>
                <w:rFonts w:ascii="Cambria Math" w:hAnsi="Cambria Math"/>
                <w:i/>
                <w:sz w:val="22"/>
                <w:szCs w:val="22"/>
                <w:lang w:val="en-AU"/>
              </w:rPr>
            </m:ctrlPr>
          </m:fPr>
          <m:num>
            <m:r>
              <m:rPr>
                <m:sty m:val="p"/>
              </m:rPr>
              <w:rPr>
                <w:rFonts w:ascii="Cambria Math" w:hAnsi="Cambria Math"/>
                <w:sz w:val="22"/>
                <w:szCs w:val="22"/>
                <w:lang w:val="en-AU"/>
              </w:rPr>
              <m:t>D</m:t>
            </m:r>
          </m:num>
          <m:den>
            <m:r>
              <m:rPr>
                <m:sty m:val="p"/>
              </m:rPr>
              <w:rPr>
                <w:rFonts w:ascii="Cambria Math" w:hAnsi="Cambria Math"/>
                <w:sz w:val="22"/>
                <w:szCs w:val="22"/>
                <w:lang w:val="en-AU"/>
              </w:rPr>
              <m:t>V</m:t>
            </m:r>
          </m:den>
        </m:f>
        <m:r>
          <m:rPr>
            <m:sty m:val="p"/>
          </m:rPr>
          <w:rPr>
            <w:rFonts w:ascii="Cambria Math" w:hAnsi="Cambria Math"/>
            <w:sz w:val="22"/>
            <w:szCs w:val="22"/>
            <w:lang w:val="en-AU"/>
          </w:rPr>
          <m:t>+ E</m:t>
        </m:r>
        <m:d>
          <m:dPr>
            <m:ctrlPr>
              <w:rPr>
                <w:rFonts w:ascii="Cambria Math" w:hAnsi="Cambria Math"/>
                <w:i/>
                <w:sz w:val="22"/>
                <w:szCs w:val="22"/>
                <w:lang w:val="en-AU"/>
              </w:rPr>
            </m:ctrlPr>
          </m:dPr>
          <m:e>
            <m:sSub>
              <m:sSubPr>
                <m:ctrlPr>
                  <w:rPr>
                    <w:rFonts w:ascii="Cambria Math" w:hAnsi="Cambria Math"/>
                    <w:i/>
                    <w:sz w:val="22"/>
                    <w:szCs w:val="22"/>
                    <w:lang w:val="en-AU"/>
                  </w:rPr>
                </m:ctrlPr>
              </m:sSubPr>
              <m:e>
                <m:r>
                  <m:rPr>
                    <m:sty m:val="p"/>
                  </m:rPr>
                  <w:rPr>
                    <w:rFonts w:ascii="Cambria Math" w:hAnsi="Cambria Math"/>
                    <w:sz w:val="22"/>
                    <w:szCs w:val="22"/>
                    <w:lang w:val="en-AU"/>
                  </w:rPr>
                  <m:t>R</m:t>
                </m:r>
              </m:e>
              <m:sub>
                <m:r>
                  <m:rPr>
                    <m:sty m:val="p"/>
                  </m:rPr>
                  <w:rPr>
                    <w:rFonts w:ascii="Cambria Math" w:hAnsi="Cambria Math"/>
                    <w:sz w:val="22"/>
                    <w:szCs w:val="22"/>
                    <w:lang w:val="en-AU"/>
                  </w:rPr>
                  <m:t>e</m:t>
                </m:r>
              </m:sub>
            </m:sSub>
          </m:e>
        </m:d>
        <m:r>
          <m:rPr>
            <m:sty m:val="p"/>
          </m:rPr>
          <w:rPr>
            <w:rFonts w:ascii="Cambria Math" w:hAnsi="Cambria Math" w:hint="eastAsia"/>
            <w:sz w:val="22"/>
            <w:szCs w:val="22"/>
            <w:lang w:val="en-AU"/>
          </w:rPr>
          <m:t>×</m:t>
        </m:r>
        <m:f>
          <m:fPr>
            <m:ctrlPr>
              <w:rPr>
                <w:rFonts w:ascii="Cambria Math" w:hAnsi="Cambria Math"/>
                <w:i/>
                <w:sz w:val="22"/>
                <w:szCs w:val="22"/>
                <w:lang w:val="en-AU"/>
              </w:rPr>
            </m:ctrlPr>
          </m:fPr>
          <m:num>
            <m:r>
              <m:rPr>
                <m:sty m:val="p"/>
              </m:rPr>
              <w:rPr>
                <w:rFonts w:ascii="Cambria Math" w:hAnsi="Cambria Math"/>
                <w:sz w:val="22"/>
                <w:szCs w:val="22"/>
                <w:lang w:val="en-AU"/>
              </w:rPr>
              <m:t>E</m:t>
            </m:r>
          </m:num>
          <m:den>
            <m:r>
              <m:rPr>
                <m:sty m:val="p"/>
              </m:rPr>
              <w:rPr>
                <w:rFonts w:ascii="Cambria Math" w:hAnsi="Cambria Math"/>
                <w:sz w:val="22"/>
                <w:szCs w:val="22"/>
                <w:lang w:val="en-AU"/>
              </w:rPr>
              <m:t>V</m:t>
            </m:r>
          </m:den>
        </m:f>
      </m:oMath>
      <w:r w:rsidR="00F62621" w:rsidRPr="00F62621">
        <w:rPr>
          <w:i/>
          <w:sz w:val="28"/>
          <w:szCs w:val="28"/>
          <w:lang w:val="en-AU"/>
        </w:rPr>
        <w:fldChar w:fldCharType="end"/>
      </w:r>
    </w:p>
    <w:p w14:paraId="29AEB131" w14:textId="77777777" w:rsidR="003E19BE" w:rsidRPr="002304BD" w:rsidRDefault="003E19BE" w:rsidP="003E19BE">
      <w:pPr>
        <w:pStyle w:val="Text"/>
        <w:spacing w:after="120" w:line="300" w:lineRule="atLeast"/>
        <w:ind w:left="720"/>
        <w:rPr>
          <w:sz w:val="22"/>
          <w:szCs w:val="22"/>
          <w:lang w:val="en-AU"/>
        </w:rPr>
      </w:pPr>
      <w:proofErr w:type="gramStart"/>
      <w:r w:rsidRPr="002304BD">
        <w:rPr>
          <w:sz w:val="22"/>
          <w:szCs w:val="22"/>
          <w:lang w:val="en-AU"/>
        </w:rPr>
        <w:t>where</w:t>
      </w:r>
      <w:proofErr w:type="gramEnd"/>
    </w:p>
    <w:p w14:paraId="2DD07606" w14:textId="77777777" w:rsidR="002304BD" w:rsidRPr="005309FF" w:rsidRDefault="002304BD" w:rsidP="002304BD">
      <w:pPr>
        <w:pStyle w:val="Text"/>
        <w:spacing w:after="120" w:line="300" w:lineRule="atLeast"/>
        <w:ind w:left="720"/>
        <w:rPr>
          <w:sz w:val="22"/>
          <w:szCs w:val="22"/>
          <w:lang w:val="en-AU"/>
        </w:rPr>
      </w:pPr>
      <w:proofErr w:type="gramStart"/>
      <w:r w:rsidRPr="00D2712E">
        <w:rPr>
          <w:i/>
          <w:sz w:val="22"/>
          <w:szCs w:val="22"/>
          <w:lang w:val="en-AU"/>
        </w:rPr>
        <w:t>E(</w:t>
      </w:r>
      <w:proofErr w:type="gramEnd"/>
      <w:r w:rsidRPr="00D2712E">
        <w:rPr>
          <w:i/>
          <w:sz w:val="22"/>
          <w:szCs w:val="22"/>
          <w:lang w:val="en-AU"/>
        </w:rPr>
        <w:t>R</w:t>
      </w:r>
      <w:r w:rsidRPr="00D2712E">
        <w:rPr>
          <w:i/>
          <w:sz w:val="22"/>
          <w:szCs w:val="22"/>
          <w:vertAlign w:val="subscript"/>
          <w:lang w:val="en-AU"/>
        </w:rPr>
        <w:t>d</w:t>
      </w:r>
      <w:r w:rsidRPr="00D2712E">
        <w:rPr>
          <w:i/>
          <w:sz w:val="22"/>
          <w:szCs w:val="22"/>
          <w:lang w:val="en-AU"/>
        </w:rPr>
        <w:t>)</w:t>
      </w:r>
      <w:r w:rsidRPr="005309FF">
        <w:rPr>
          <w:sz w:val="22"/>
          <w:szCs w:val="22"/>
          <w:lang w:val="en-AU"/>
        </w:rPr>
        <w:t xml:space="preserve"> is the </w:t>
      </w:r>
      <w:r w:rsidR="00EB49B2" w:rsidRPr="005309FF">
        <w:rPr>
          <w:sz w:val="22"/>
          <w:szCs w:val="22"/>
          <w:lang w:val="en-AU"/>
        </w:rPr>
        <w:t xml:space="preserve">expected nominal </w:t>
      </w:r>
      <w:r w:rsidR="00207DFD" w:rsidRPr="005309FF">
        <w:rPr>
          <w:sz w:val="22"/>
          <w:szCs w:val="22"/>
          <w:lang w:val="en-AU"/>
        </w:rPr>
        <w:t xml:space="preserve">pre-tax </w:t>
      </w:r>
      <w:r w:rsidRPr="005309FF">
        <w:rPr>
          <w:sz w:val="22"/>
          <w:szCs w:val="22"/>
          <w:lang w:val="en-AU"/>
        </w:rPr>
        <w:t>rate of return on debt;</w:t>
      </w:r>
    </w:p>
    <w:p w14:paraId="314C9A20" w14:textId="77777777" w:rsidR="003E19BE" w:rsidRPr="005309FF" w:rsidRDefault="003E19BE" w:rsidP="003E19BE">
      <w:pPr>
        <w:pStyle w:val="Text"/>
        <w:spacing w:after="120" w:line="300" w:lineRule="atLeast"/>
        <w:ind w:left="720"/>
        <w:rPr>
          <w:sz w:val="22"/>
          <w:szCs w:val="22"/>
          <w:lang w:val="en-AU"/>
        </w:rPr>
      </w:pPr>
      <w:proofErr w:type="gramStart"/>
      <w:r w:rsidRPr="00D2712E">
        <w:rPr>
          <w:i/>
          <w:sz w:val="22"/>
          <w:szCs w:val="22"/>
          <w:lang w:val="en-AU"/>
        </w:rPr>
        <w:t>E(</w:t>
      </w:r>
      <w:proofErr w:type="gramEnd"/>
      <w:r w:rsidRPr="00D2712E">
        <w:rPr>
          <w:i/>
          <w:sz w:val="22"/>
          <w:szCs w:val="22"/>
          <w:lang w:val="en-AU"/>
        </w:rPr>
        <w:t>R</w:t>
      </w:r>
      <w:r w:rsidRPr="00D2712E">
        <w:rPr>
          <w:i/>
          <w:sz w:val="22"/>
          <w:szCs w:val="22"/>
          <w:vertAlign w:val="subscript"/>
          <w:lang w:val="en-AU"/>
        </w:rPr>
        <w:t>e</w:t>
      </w:r>
      <w:r w:rsidRPr="00D2712E">
        <w:rPr>
          <w:i/>
          <w:sz w:val="22"/>
          <w:szCs w:val="22"/>
          <w:lang w:val="en-AU"/>
        </w:rPr>
        <w:t>)</w:t>
      </w:r>
      <w:r w:rsidR="000F7C87" w:rsidRPr="005309FF">
        <w:rPr>
          <w:sz w:val="22"/>
          <w:szCs w:val="22"/>
          <w:lang w:val="en-AU"/>
        </w:rPr>
        <w:t xml:space="preserve"> is the</w:t>
      </w:r>
      <w:r w:rsidR="00207DFD" w:rsidRPr="005309FF">
        <w:rPr>
          <w:sz w:val="22"/>
          <w:szCs w:val="22"/>
          <w:lang w:val="en-AU"/>
        </w:rPr>
        <w:t xml:space="preserve"> expected </w:t>
      </w:r>
      <w:r w:rsidR="000F7C87" w:rsidRPr="005309FF">
        <w:rPr>
          <w:sz w:val="22"/>
          <w:szCs w:val="22"/>
          <w:lang w:val="en-AU"/>
        </w:rPr>
        <w:t>nominal post-</w:t>
      </w:r>
      <w:r w:rsidR="00207DFD" w:rsidRPr="005309FF">
        <w:rPr>
          <w:sz w:val="22"/>
          <w:szCs w:val="22"/>
          <w:lang w:val="en-AU"/>
        </w:rPr>
        <w:t xml:space="preserve">(company) tax </w:t>
      </w:r>
      <w:r w:rsidRPr="005309FF">
        <w:rPr>
          <w:sz w:val="22"/>
          <w:szCs w:val="22"/>
          <w:lang w:val="en-AU"/>
        </w:rPr>
        <w:t>rate of return on equity;</w:t>
      </w:r>
    </w:p>
    <w:p w14:paraId="62C17E36" w14:textId="77777777" w:rsidR="002304BD" w:rsidRPr="005309FF" w:rsidRDefault="00306CBB" w:rsidP="002304BD">
      <w:pPr>
        <w:pStyle w:val="Text"/>
        <w:spacing w:after="120" w:line="300" w:lineRule="atLeast"/>
        <w:ind w:left="720"/>
        <w:rPr>
          <w:sz w:val="22"/>
          <w:szCs w:val="22"/>
          <w:lang w:val="en-AU"/>
        </w:rPr>
      </w:pPr>
      <m:oMath>
        <m:f>
          <m:fPr>
            <m:ctrlPr>
              <w:rPr>
                <w:rFonts w:ascii="Cambria Math" w:hAnsi="Cambria Math"/>
                <w:i/>
                <w:szCs w:val="22"/>
                <w:lang w:val="en-AU"/>
              </w:rPr>
            </m:ctrlPr>
          </m:fPr>
          <m:num>
            <m:r>
              <w:rPr>
                <w:rFonts w:ascii="Cambria Math" w:hAnsi="Cambria Math"/>
                <w:szCs w:val="22"/>
                <w:lang w:val="en-AU"/>
              </w:rPr>
              <m:t>D</m:t>
            </m:r>
          </m:num>
          <m:den>
            <m:r>
              <w:rPr>
                <w:rFonts w:ascii="Cambria Math" w:hAnsi="Cambria Math"/>
                <w:szCs w:val="22"/>
                <w:lang w:val="en-AU"/>
              </w:rPr>
              <m:t>V</m:t>
            </m:r>
          </m:den>
        </m:f>
      </m:oMath>
      <w:r w:rsidR="002304BD" w:rsidRPr="005309FF">
        <w:rPr>
          <w:sz w:val="22"/>
          <w:szCs w:val="22"/>
          <w:lang w:val="en-AU"/>
        </w:rPr>
        <w:t xml:space="preserve"> </w:t>
      </w:r>
      <w:proofErr w:type="gramStart"/>
      <w:r w:rsidR="002304BD" w:rsidRPr="005309FF">
        <w:rPr>
          <w:sz w:val="22"/>
          <w:szCs w:val="22"/>
          <w:lang w:val="en-AU"/>
        </w:rPr>
        <w:t>is</w:t>
      </w:r>
      <w:proofErr w:type="gramEnd"/>
      <w:r w:rsidR="002304BD" w:rsidRPr="005309FF">
        <w:rPr>
          <w:sz w:val="22"/>
          <w:szCs w:val="22"/>
          <w:lang w:val="en-AU"/>
        </w:rPr>
        <w:t xml:space="preserve"> the proportion of debt in total financing;</w:t>
      </w:r>
      <w:r w:rsidR="005309FF" w:rsidRPr="005309FF">
        <w:rPr>
          <w:sz w:val="22"/>
          <w:szCs w:val="22"/>
          <w:lang w:val="en-AU"/>
        </w:rPr>
        <w:t xml:space="preserve"> and</w:t>
      </w:r>
    </w:p>
    <w:p w14:paraId="3413CD7C" w14:textId="77777777" w:rsidR="003E19BE" w:rsidRPr="002304BD" w:rsidRDefault="00306CBB" w:rsidP="002304BD">
      <w:pPr>
        <w:pStyle w:val="Text"/>
        <w:spacing w:after="120" w:line="300" w:lineRule="atLeast"/>
        <w:ind w:left="720"/>
        <w:rPr>
          <w:sz w:val="22"/>
          <w:szCs w:val="22"/>
          <w:lang w:val="en-AU"/>
        </w:rPr>
      </w:pPr>
      <m:oMath>
        <m:f>
          <m:fPr>
            <m:ctrlPr>
              <w:rPr>
                <w:rFonts w:ascii="Cambria Math" w:hAnsi="Cambria Math"/>
                <w:i/>
                <w:szCs w:val="22"/>
                <w:lang w:val="en-AU"/>
              </w:rPr>
            </m:ctrlPr>
          </m:fPr>
          <m:num>
            <m:r>
              <w:rPr>
                <w:rFonts w:ascii="Cambria Math" w:hAnsi="Cambria Math"/>
                <w:szCs w:val="22"/>
                <w:lang w:val="en-AU"/>
              </w:rPr>
              <m:t>E</m:t>
            </m:r>
          </m:num>
          <m:den>
            <m:r>
              <w:rPr>
                <w:rFonts w:ascii="Cambria Math" w:hAnsi="Cambria Math"/>
                <w:szCs w:val="22"/>
                <w:lang w:val="en-AU"/>
              </w:rPr>
              <m:t>V</m:t>
            </m:r>
          </m:den>
        </m:f>
      </m:oMath>
      <w:r w:rsidR="00F62621" w:rsidRPr="00F62621">
        <w:rPr>
          <w:i/>
          <w:sz w:val="22"/>
          <w:szCs w:val="22"/>
          <w:lang w:val="en-AU"/>
        </w:rPr>
        <w:t xml:space="preserve"> </w:t>
      </w:r>
      <w:proofErr w:type="gramStart"/>
      <w:r w:rsidR="003E19BE" w:rsidRPr="005309FF">
        <w:rPr>
          <w:sz w:val="22"/>
          <w:szCs w:val="22"/>
          <w:lang w:val="en-AU"/>
        </w:rPr>
        <w:t>is</w:t>
      </w:r>
      <w:proofErr w:type="gramEnd"/>
      <w:r w:rsidR="003E19BE" w:rsidRPr="005309FF">
        <w:rPr>
          <w:sz w:val="22"/>
          <w:szCs w:val="22"/>
          <w:lang w:val="en-AU"/>
        </w:rPr>
        <w:t xml:space="preserve"> t</w:t>
      </w:r>
      <w:r w:rsidR="003E19BE" w:rsidRPr="002304BD">
        <w:rPr>
          <w:sz w:val="22"/>
          <w:szCs w:val="22"/>
          <w:lang w:val="en-AU"/>
        </w:rPr>
        <w:t>he proporti</w:t>
      </w:r>
      <w:r w:rsidR="002304BD" w:rsidRPr="002304BD">
        <w:rPr>
          <w:sz w:val="22"/>
          <w:szCs w:val="22"/>
          <w:lang w:val="en-AU"/>
        </w:rPr>
        <w:t>on of equity in total financing</w:t>
      </w:r>
      <w:r w:rsidR="003E19BE" w:rsidRPr="002304BD">
        <w:rPr>
          <w:sz w:val="22"/>
          <w:szCs w:val="22"/>
          <w:lang w:val="en-AU"/>
        </w:rPr>
        <w:t xml:space="preserve">. </w:t>
      </w:r>
    </w:p>
    <w:p w14:paraId="76BEEF27" w14:textId="77777777" w:rsidR="002C3F39" w:rsidRDefault="007B0516" w:rsidP="00E606AB">
      <w:r>
        <w:t>M</w:t>
      </w:r>
      <w:r w:rsidR="00E418FE">
        <w:t xml:space="preserve">ost regulators in Australia specify a </w:t>
      </w:r>
      <w:r w:rsidR="000F7C87">
        <w:t>WACC</w:t>
      </w:r>
      <w:r w:rsidR="00E418FE">
        <w:t xml:space="preserve"> that is considered to reflect </w:t>
      </w:r>
      <w:r w:rsidR="005309FF">
        <w:t xml:space="preserve">the </w:t>
      </w:r>
      <w:r w:rsidR="00E418FE">
        <w:t>efficient financing costs of a benchmark entity th</w:t>
      </w:r>
      <w:r w:rsidR="00E418FE" w:rsidRPr="00D2712E">
        <w:t>at is the s</w:t>
      </w:r>
      <w:r w:rsidR="00E418FE">
        <w:t>ame irrespective of whether the assets are privately or publicly owned.</w:t>
      </w:r>
      <w:r w:rsidR="00E6005B">
        <w:t xml:space="preserve"> </w:t>
      </w:r>
      <w:r w:rsidR="000F7C87">
        <w:t xml:space="preserve">This entails specifying relationships and parameters for the equity and debt returns and the shares of </w:t>
      </w:r>
      <w:r w:rsidR="00271BD7">
        <w:t xml:space="preserve">equity and </w:t>
      </w:r>
      <w:r w:rsidR="000F7C87">
        <w:t>debt financing based on a benchmark private entity with similar risk characteristics to the regulated business.</w:t>
      </w:r>
    </w:p>
    <w:p w14:paraId="15E99498" w14:textId="77777777" w:rsidR="005A6A28" w:rsidRDefault="000F7C87" w:rsidP="000F7C87">
      <w:r>
        <w:t>The cost of debt</w:t>
      </w:r>
      <w:r w:rsidR="00381AB5">
        <w:t>,</w:t>
      </w:r>
      <w:r w:rsidR="00381AB5" w:rsidRPr="00381AB5">
        <w:rPr>
          <w:i/>
          <w:szCs w:val="22"/>
          <w:lang w:val="en-AU"/>
        </w:rPr>
        <w:t xml:space="preserve"> </w:t>
      </w:r>
      <w:proofErr w:type="gramStart"/>
      <w:r w:rsidR="00381AB5" w:rsidRPr="002304BD">
        <w:rPr>
          <w:i/>
          <w:szCs w:val="22"/>
          <w:lang w:val="en-AU"/>
        </w:rPr>
        <w:t>E(</w:t>
      </w:r>
      <w:proofErr w:type="gramEnd"/>
      <w:r w:rsidR="00381AB5" w:rsidRPr="002304BD">
        <w:rPr>
          <w:i/>
          <w:szCs w:val="22"/>
          <w:lang w:val="en-AU"/>
        </w:rPr>
        <w:t>R</w:t>
      </w:r>
      <w:r w:rsidR="00381AB5" w:rsidRPr="002304BD">
        <w:rPr>
          <w:i/>
          <w:szCs w:val="22"/>
          <w:vertAlign w:val="subscript"/>
          <w:lang w:val="en-AU"/>
        </w:rPr>
        <w:t>d</w:t>
      </w:r>
      <w:r w:rsidR="00381AB5" w:rsidRPr="002304BD">
        <w:rPr>
          <w:i/>
          <w:szCs w:val="22"/>
          <w:lang w:val="en-AU"/>
        </w:rPr>
        <w:t>)</w:t>
      </w:r>
      <w:r w:rsidR="00381AB5">
        <w:t>,</w:t>
      </w:r>
      <w:r>
        <w:t xml:space="preserve"> is established by determining the</w:t>
      </w:r>
      <w:r w:rsidR="007B0516">
        <w:t xml:space="preserve"> appropriate cost of debt for a</w:t>
      </w:r>
      <w:r>
        <w:t xml:space="preserve"> private entity considered to have a relevant benchmark credit rating.</w:t>
      </w:r>
      <w:r w:rsidR="004E0BB0">
        <w:t xml:space="preserve"> </w:t>
      </w:r>
    </w:p>
    <w:p w14:paraId="3CF65493" w14:textId="77777777" w:rsidR="007B0516" w:rsidRDefault="007B0516" w:rsidP="007B0516">
      <w:r>
        <w:t>The rate of return on equity</w:t>
      </w:r>
      <w:r w:rsidR="00381AB5">
        <w:t>,</w:t>
      </w:r>
      <w:r w:rsidR="00381AB5" w:rsidRPr="00381AB5">
        <w:rPr>
          <w:i/>
          <w:szCs w:val="22"/>
          <w:lang w:val="en-AU"/>
        </w:rPr>
        <w:t xml:space="preserve"> </w:t>
      </w:r>
      <w:proofErr w:type="gramStart"/>
      <w:r w:rsidR="00381AB5" w:rsidRPr="002304BD">
        <w:rPr>
          <w:i/>
          <w:szCs w:val="22"/>
          <w:lang w:val="en-AU"/>
        </w:rPr>
        <w:t>E(</w:t>
      </w:r>
      <w:proofErr w:type="gramEnd"/>
      <w:r w:rsidR="00381AB5" w:rsidRPr="002304BD">
        <w:rPr>
          <w:i/>
          <w:szCs w:val="22"/>
          <w:lang w:val="en-AU"/>
        </w:rPr>
        <w:t>R</w:t>
      </w:r>
      <w:r w:rsidR="00381AB5" w:rsidRPr="002304BD">
        <w:rPr>
          <w:i/>
          <w:szCs w:val="22"/>
          <w:vertAlign w:val="subscript"/>
          <w:lang w:val="en-AU"/>
        </w:rPr>
        <w:t>e</w:t>
      </w:r>
      <w:r w:rsidR="00381AB5" w:rsidRPr="002304BD">
        <w:rPr>
          <w:i/>
          <w:szCs w:val="22"/>
          <w:lang w:val="en-AU"/>
        </w:rPr>
        <w:t>)</w:t>
      </w:r>
      <w:r w:rsidR="00381AB5">
        <w:t>,</w:t>
      </w:r>
      <w:r>
        <w:t xml:space="preserve"> is established by applying the widely used capital asset pricing model (CAPM).</w:t>
      </w:r>
      <w:r w:rsidR="00E6005B">
        <w:t xml:space="preserve"> </w:t>
      </w:r>
      <w:r>
        <w:t xml:space="preserve">The CAPM requires only three parameters: a </w:t>
      </w:r>
      <w:r w:rsidR="00586D69">
        <w:t>risk</w:t>
      </w:r>
      <w:r w:rsidR="005309FF">
        <w:t>-</w:t>
      </w:r>
      <w:r w:rsidR="00586D69">
        <w:t>free</w:t>
      </w:r>
      <w:r>
        <w:t xml:space="preserve"> rate; a market risk premium that reflects the risk </w:t>
      </w:r>
      <w:r w:rsidR="00AC3955">
        <w:t xml:space="preserve">relating to </w:t>
      </w:r>
      <w:r>
        <w:t>the market for investments as a whole relative to the risk</w:t>
      </w:r>
      <w:r w:rsidR="005309FF">
        <w:t>-</w:t>
      </w:r>
      <w:r>
        <w:t xml:space="preserve">free rate; and a </w:t>
      </w:r>
      <w:r w:rsidR="005309FF">
        <w:t>b</w:t>
      </w:r>
      <w:r>
        <w:t>eta parameter that reflects the sensi</w:t>
      </w:r>
      <w:r w:rsidR="00EB49B2">
        <w:t>tivity of the benchmark entity’s</w:t>
      </w:r>
      <w:r>
        <w:t xml:space="preserve"> returns relative to the return for the market as a whole.</w:t>
      </w:r>
      <w:r w:rsidR="00E6005B">
        <w:t xml:space="preserve"> </w:t>
      </w:r>
    </w:p>
    <w:p w14:paraId="51175E92" w14:textId="77777777" w:rsidR="00CA72B5" w:rsidRPr="00CA72B5" w:rsidRDefault="00CD7EFC" w:rsidP="00CA72B5">
      <w:pPr>
        <w:pStyle w:val="Text"/>
        <w:spacing w:after="120" w:line="300" w:lineRule="atLeast"/>
        <w:rPr>
          <w:sz w:val="22"/>
        </w:rPr>
      </w:pPr>
      <w:r w:rsidRPr="00CA72B5">
        <w:rPr>
          <w:sz w:val="22"/>
        </w:rPr>
        <w:t>Thus,</w:t>
      </w:r>
      <w:r w:rsidR="007B0516" w:rsidRPr="00CA72B5">
        <w:rPr>
          <w:sz w:val="22"/>
        </w:rPr>
        <w:t xml:space="preserve"> the CAPM is defined as:</w:t>
      </w:r>
    </w:p>
    <w:p w14:paraId="0893F8B6" w14:textId="77777777" w:rsidR="00CA72B5" w:rsidRDefault="00CA72B5" w:rsidP="00CA72B5">
      <w:pPr>
        <w:pStyle w:val="Text"/>
        <w:spacing w:after="120" w:line="300" w:lineRule="atLeast"/>
      </w:pPr>
      <w:r w:rsidRPr="00CA72B5">
        <w:rPr>
          <w:sz w:val="22"/>
        </w:rPr>
        <w:t>(2)</w:t>
      </w:r>
      <w:r w:rsidR="00E6005B">
        <w:t xml:space="preserve"> </w:t>
      </w:r>
      <m:oMath>
        <m:r>
          <w:rPr>
            <w:rFonts w:ascii="Cambria Math" w:hAnsi="Cambria Math"/>
            <w:sz w:val="22"/>
            <w:szCs w:val="22"/>
            <w:lang w:val="en-AU"/>
          </w:rPr>
          <m:t>E(</m:t>
        </m:r>
        <m:sSub>
          <m:sSubPr>
            <m:ctrlPr>
              <w:rPr>
                <w:rFonts w:ascii="Cambria Math" w:hAnsi="Cambria Math"/>
                <w:i/>
                <w:sz w:val="22"/>
                <w:szCs w:val="22"/>
                <w:lang w:val="en-AU"/>
              </w:rPr>
            </m:ctrlPr>
          </m:sSubPr>
          <m:e>
            <m:r>
              <w:rPr>
                <w:rFonts w:ascii="Cambria Math" w:hAnsi="Cambria Math"/>
                <w:sz w:val="22"/>
                <w:szCs w:val="22"/>
                <w:lang w:val="en-AU"/>
              </w:rPr>
              <m:t>R</m:t>
            </m:r>
          </m:e>
          <m:sub>
            <m:r>
              <w:rPr>
                <w:rFonts w:ascii="Cambria Math" w:hAnsi="Cambria Math"/>
                <w:sz w:val="22"/>
                <w:szCs w:val="22"/>
                <w:lang w:val="en-AU"/>
              </w:rPr>
              <m:t>e</m:t>
            </m:r>
          </m:sub>
        </m:sSub>
        <m:r>
          <w:rPr>
            <w:rFonts w:ascii="Cambria Math" w:hAnsi="Cambria Math"/>
            <w:sz w:val="22"/>
            <w:szCs w:val="22"/>
            <w:lang w:val="en-AU"/>
          </w:rPr>
          <m:t xml:space="preserve">)= </m:t>
        </m:r>
        <m:sSub>
          <m:sSubPr>
            <m:ctrlPr>
              <w:rPr>
                <w:rFonts w:ascii="Cambria Math" w:hAnsi="Cambria Math"/>
                <w:i/>
                <w:sz w:val="22"/>
                <w:szCs w:val="22"/>
                <w:lang w:val="en-AU"/>
              </w:rPr>
            </m:ctrlPr>
          </m:sSubPr>
          <m:e>
            <m:r>
              <w:rPr>
                <w:rFonts w:ascii="Cambria Math" w:hAnsi="Cambria Math"/>
                <w:sz w:val="22"/>
                <w:szCs w:val="22"/>
                <w:lang w:val="en-AU"/>
              </w:rPr>
              <m:t>E(R</m:t>
            </m:r>
          </m:e>
          <m:sub>
            <m:r>
              <w:rPr>
                <w:rFonts w:ascii="Cambria Math" w:hAnsi="Cambria Math"/>
                <w:sz w:val="22"/>
                <w:szCs w:val="22"/>
                <w:lang w:val="en-AU"/>
              </w:rPr>
              <m:t>f</m:t>
            </m:r>
          </m:sub>
        </m:sSub>
        <m:r>
          <w:rPr>
            <w:rFonts w:ascii="Cambria Math" w:hAnsi="Cambria Math"/>
            <w:sz w:val="22"/>
            <w:szCs w:val="22"/>
            <w:lang w:val="en-AU"/>
          </w:rPr>
          <m:t xml:space="preserve">)+ </m:t>
        </m:r>
        <m:sSub>
          <m:sSubPr>
            <m:ctrlPr>
              <w:rPr>
                <w:rFonts w:ascii="Cambria Math" w:hAnsi="Cambria Math"/>
                <w:i/>
                <w:sz w:val="22"/>
                <w:szCs w:val="22"/>
                <w:lang w:val="en-AU"/>
              </w:rPr>
            </m:ctrlPr>
          </m:sSubPr>
          <m:e>
            <m:r>
              <w:rPr>
                <w:rFonts w:ascii="Cambria Math" w:hAnsi="Cambria Math"/>
                <w:sz w:val="22"/>
                <w:szCs w:val="22"/>
                <w:lang w:val="en-AU"/>
              </w:rPr>
              <m:t>β</m:t>
            </m:r>
          </m:e>
          <m:sub>
            <m:r>
              <w:rPr>
                <w:rFonts w:ascii="Cambria Math" w:hAnsi="Cambria Math"/>
                <w:sz w:val="22"/>
                <w:szCs w:val="22"/>
                <w:lang w:val="en-AU"/>
              </w:rPr>
              <m:t>e</m:t>
            </m:r>
          </m:sub>
        </m:sSub>
        <m:r>
          <w:rPr>
            <w:rFonts w:ascii="Cambria Math" w:hAnsi="Cambria Math"/>
            <w:sz w:val="22"/>
            <w:szCs w:val="22"/>
            <w:lang w:val="en-AU"/>
          </w:rPr>
          <m:t>[</m:t>
        </m:r>
        <m:d>
          <m:dPr>
            <m:ctrlPr>
              <w:rPr>
                <w:rFonts w:ascii="Cambria Math" w:hAnsi="Cambria Math"/>
                <w:i/>
                <w:sz w:val="22"/>
                <w:szCs w:val="22"/>
                <w:lang w:val="en-AU"/>
              </w:rPr>
            </m:ctrlPr>
          </m:dPr>
          <m:e>
            <m:sSub>
              <m:sSubPr>
                <m:ctrlPr>
                  <w:rPr>
                    <w:rFonts w:ascii="Cambria Math" w:hAnsi="Cambria Math"/>
                    <w:i/>
                    <w:sz w:val="22"/>
                    <w:szCs w:val="22"/>
                    <w:lang w:val="en-AU"/>
                  </w:rPr>
                </m:ctrlPr>
              </m:sSubPr>
              <m:e>
                <m:r>
                  <w:rPr>
                    <w:rFonts w:ascii="Cambria Math" w:hAnsi="Cambria Math"/>
                    <w:sz w:val="22"/>
                    <w:szCs w:val="22"/>
                    <w:lang w:val="en-AU"/>
                  </w:rPr>
                  <m:t>E(R</m:t>
                </m:r>
              </m:e>
              <m:sub>
                <m:r>
                  <w:rPr>
                    <w:rFonts w:ascii="Cambria Math" w:hAnsi="Cambria Math"/>
                    <w:sz w:val="22"/>
                    <w:szCs w:val="22"/>
                    <w:lang w:val="en-AU"/>
                  </w:rPr>
                  <m:t>m</m:t>
                </m:r>
              </m:sub>
            </m:sSub>
            <m:r>
              <w:rPr>
                <w:rFonts w:ascii="Cambria Math" w:hAnsi="Cambria Math"/>
                <w:sz w:val="22"/>
                <w:szCs w:val="22"/>
                <w:lang w:val="en-AU"/>
              </w:rPr>
              <m:t xml:space="preserve">)- </m:t>
            </m:r>
            <m:sSub>
              <m:sSubPr>
                <m:ctrlPr>
                  <w:rPr>
                    <w:rFonts w:ascii="Cambria Math" w:hAnsi="Cambria Math"/>
                    <w:i/>
                    <w:sz w:val="22"/>
                    <w:szCs w:val="22"/>
                    <w:lang w:val="en-AU"/>
                  </w:rPr>
                </m:ctrlPr>
              </m:sSubPr>
              <m:e>
                <m:r>
                  <w:rPr>
                    <w:rFonts w:ascii="Cambria Math" w:hAnsi="Cambria Math"/>
                    <w:sz w:val="22"/>
                    <w:szCs w:val="22"/>
                    <w:lang w:val="en-AU"/>
                  </w:rPr>
                  <m:t>E(R</m:t>
                </m:r>
              </m:e>
              <m:sub>
                <m:r>
                  <w:rPr>
                    <w:rFonts w:ascii="Cambria Math" w:hAnsi="Cambria Math"/>
                    <w:sz w:val="22"/>
                    <w:szCs w:val="22"/>
                    <w:lang w:val="en-AU"/>
                  </w:rPr>
                  <m:t>f</m:t>
                </m:r>
              </m:sub>
            </m:sSub>
          </m:e>
        </m:d>
        <m:r>
          <w:rPr>
            <w:rFonts w:ascii="Cambria Math" w:hAnsi="Cambria Math"/>
            <w:sz w:val="22"/>
            <w:szCs w:val="22"/>
            <w:lang w:val="en-AU"/>
          </w:rPr>
          <m:t>]</m:t>
        </m:r>
      </m:oMath>
    </w:p>
    <w:p w14:paraId="2FB90049" w14:textId="77777777" w:rsidR="007B0516" w:rsidRPr="000F684A" w:rsidRDefault="007B0516" w:rsidP="00CA72B5">
      <w:pPr>
        <w:pStyle w:val="Text"/>
        <w:spacing w:after="120" w:line="300" w:lineRule="atLeast"/>
        <w:rPr>
          <w:sz w:val="22"/>
          <w:szCs w:val="22"/>
          <w:lang w:val="en-AU"/>
        </w:rPr>
      </w:pPr>
      <w:proofErr w:type="gramStart"/>
      <w:r w:rsidRPr="000F684A">
        <w:rPr>
          <w:sz w:val="22"/>
          <w:szCs w:val="22"/>
          <w:lang w:val="en-AU"/>
        </w:rPr>
        <w:t>where</w:t>
      </w:r>
      <w:proofErr w:type="gramEnd"/>
      <w:r w:rsidRPr="000F684A">
        <w:rPr>
          <w:sz w:val="22"/>
          <w:szCs w:val="22"/>
          <w:lang w:val="en-AU"/>
        </w:rPr>
        <w:t xml:space="preserve"> </w:t>
      </w:r>
    </w:p>
    <w:p w14:paraId="674CC3C3" w14:textId="77777777" w:rsidR="007B0516" w:rsidRPr="000F684A" w:rsidRDefault="00F62621" w:rsidP="007B0516">
      <w:pPr>
        <w:pStyle w:val="Text"/>
        <w:spacing w:after="120" w:line="300" w:lineRule="atLeast"/>
        <w:ind w:left="720"/>
        <w:rPr>
          <w:sz w:val="22"/>
          <w:szCs w:val="22"/>
          <w:lang w:val="en-AU"/>
        </w:rPr>
      </w:pPr>
      <w:proofErr w:type="gramStart"/>
      <w:r w:rsidRPr="00F62621">
        <w:rPr>
          <w:i/>
          <w:sz w:val="22"/>
          <w:szCs w:val="22"/>
          <w:lang w:val="en-AU"/>
        </w:rPr>
        <w:t>E(</w:t>
      </w:r>
      <w:proofErr w:type="spellStart"/>
      <w:proofErr w:type="gramEnd"/>
      <w:r w:rsidRPr="00F62621">
        <w:rPr>
          <w:i/>
          <w:sz w:val="22"/>
          <w:szCs w:val="22"/>
          <w:lang w:val="en-AU"/>
        </w:rPr>
        <w:t>R</w:t>
      </w:r>
      <w:r w:rsidRPr="00F62621">
        <w:rPr>
          <w:i/>
          <w:sz w:val="22"/>
          <w:szCs w:val="22"/>
          <w:vertAlign w:val="subscript"/>
          <w:lang w:val="en-AU"/>
        </w:rPr>
        <w:t>f</w:t>
      </w:r>
      <w:proofErr w:type="spellEnd"/>
      <w:r w:rsidRPr="00F62621">
        <w:rPr>
          <w:i/>
          <w:sz w:val="22"/>
          <w:szCs w:val="22"/>
          <w:lang w:val="en-AU"/>
        </w:rPr>
        <w:t xml:space="preserve"> )</w:t>
      </w:r>
      <w:r w:rsidR="007B0516">
        <w:rPr>
          <w:sz w:val="22"/>
          <w:szCs w:val="22"/>
          <w:lang w:val="en-AU"/>
        </w:rPr>
        <w:t xml:space="preserve"> </w:t>
      </w:r>
      <w:r w:rsidR="007B0516" w:rsidRPr="000F684A">
        <w:rPr>
          <w:sz w:val="22"/>
          <w:szCs w:val="22"/>
          <w:lang w:val="en-AU"/>
        </w:rPr>
        <w:t xml:space="preserve">is the </w:t>
      </w:r>
      <w:r w:rsidR="007B0516">
        <w:rPr>
          <w:sz w:val="22"/>
          <w:szCs w:val="22"/>
          <w:lang w:val="en-AU"/>
        </w:rPr>
        <w:t xml:space="preserve">expected </w:t>
      </w:r>
      <w:r w:rsidR="007B0516" w:rsidRPr="000F684A">
        <w:rPr>
          <w:sz w:val="22"/>
          <w:szCs w:val="22"/>
          <w:lang w:val="en-AU"/>
        </w:rPr>
        <w:t>risk</w:t>
      </w:r>
      <w:r w:rsidR="005309FF">
        <w:rPr>
          <w:sz w:val="22"/>
          <w:szCs w:val="22"/>
          <w:lang w:val="en-AU"/>
        </w:rPr>
        <w:t>-</w:t>
      </w:r>
      <w:r w:rsidR="007B0516" w:rsidRPr="000F684A">
        <w:rPr>
          <w:sz w:val="22"/>
          <w:szCs w:val="22"/>
          <w:lang w:val="en-AU"/>
        </w:rPr>
        <w:t>free rate;</w:t>
      </w:r>
    </w:p>
    <w:p w14:paraId="06FF087A" w14:textId="77777777" w:rsidR="007B0516" w:rsidRPr="000F684A" w:rsidRDefault="00F62621" w:rsidP="007B0516">
      <w:pPr>
        <w:pStyle w:val="Text"/>
        <w:spacing w:after="120" w:line="300" w:lineRule="atLeast"/>
        <w:ind w:left="720"/>
        <w:rPr>
          <w:sz w:val="22"/>
          <w:szCs w:val="22"/>
          <w:lang w:val="en-AU"/>
        </w:rPr>
      </w:pPr>
      <w:r w:rsidRPr="00F62621">
        <w:rPr>
          <w:i/>
          <w:sz w:val="22"/>
          <w:szCs w:val="22"/>
          <w:lang w:val="en-AU"/>
        </w:rPr>
        <w:sym w:font="Symbol" w:char="F062"/>
      </w:r>
      <w:proofErr w:type="gramStart"/>
      <w:r w:rsidRPr="00F62621">
        <w:rPr>
          <w:i/>
          <w:sz w:val="22"/>
          <w:szCs w:val="22"/>
          <w:vertAlign w:val="subscript"/>
          <w:lang w:val="en-AU"/>
        </w:rPr>
        <w:t>e</w:t>
      </w:r>
      <w:proofErr w:type="gramEnd"/>
      <w:r w:rsidR="007B0516" w:rsidRPr="000F684A">
        <w:rPr>
          <w:sz w:val="22"/>
          <w:szCs w:val="22"/>
          <w:lang w:val="en-AU"/>
        </w:rPr>
        <w:t xml:space="preserve"> is the equity beta</w:t>
      </w:r>
      <w:r w:rsidR="00381AB5">
        <w:rPr>
          <w:sz w:val="22"/>
          <w:szCs w:val="22"/>
          <w:lang w:val="en-AU"/>
        </w:rPr>
        <w:t>,</w:t>
      </w:r>
      <w:r w:rsidR="007B0516" w:rsidRPr="000F684A">
        <w:rPr>
          <w:sz w:val="22"/>
          <w:szCs w:val="22"/>
          <w:lang w:val="en-AU"/>
        </w:rPr>
        <w:t xml:space="preserve"> which is a measure of the amount of relevant risk of the investment (as measured by the </w:t>
      </w:r>
      <w:r w:rsidR="007B0516">
        <w:rPr>
          <w:sz w:val="22"/>
          <w:szCs w:val="22"/>
          <w:lang w:val="en-AU"/>
        </w:rPr>
        <w:t>sensitivity o</w:t>
      </w:r>
      <w:r w:rsidR="007B0516" w:rsidRPr="000F684A">
        <w:rPr>
          <w:sz w:val="22"/>
          <w:szCs w:val="22"/>
          <w:lang w:val="en-AU"/>
        </w:rPr>
        <w:t xml:space="preserve">f the return on </w:t>
      </w:r>
      <w:r w:rsidR="007B0516">
        <w:rPr>
          <w:sz w:val="22"/>
          <w:szCs w:val="22"/>
          <w:lang w:val="en-AU"/>
        </w:rPr>
        <w:t xml:space="preserve">the specific asset to the </w:t>
      </w:r>
      <w:r w:rsidR="007B0516" w:rsidRPr="000F684A">
        <w:rPr>
          <w:sz w:val="22"/>
          <w:szCs w:val="22"/>
          <w:lang w:val="en-AU"/>
        </w:rPr>
        <w:t xml:space="preserve">return on the market as a whole); and </w:t>
      </w:r>
    </w:p>
    <w:p w14:paraId="00F4F4BC" w14:textId="77777777" w:rsidR="007B0516" w:rsidRDefault="00F62621" w:rsidP="007B0516">
      <w:pPr>
        <w:pStyle w:val="Text"/>
        <w:spacing w:after="120" w:line="300" w:lineRule="atLeast"/>
        <w:ind w:left="720"/>
        <w:rPr>
          <w:sz w:val="22"/>
          <w:szCs w:val="22"/>
          <w:lang w:val="en-AU"/>
        </w:rPr>
      </w:pPr>
      <w:r w:rsidRPr="00F62621">
        <w:rPr>
          <w:i/>
          <w:sz w:val="22"/>
          <w:szCs w:val="22"/>
          <w:lang w:val="en-AU"/>
        </w:rPr>
        <w:t>E(R</w:t>
      </w:r>
      <w:r w:rsidRPr="00F62621">
        <w:rPr>
          <w:i/>
          <w:sz w:val="22"/>
          <w:szCs w:val="22"/>
          <w:vertAlign w:val="subscript"/>
          <w:lang w:val="en-AU"/>
        </w:rPr>
        <w:t>m</w:t>
      </w:r>
      <m:oMath>
        <m:r>
          <w:rPr>
            <w:rFonts w:ascii="Cambria Math" w:hAnsi="Cambria Math"/>
            <w:szCs w:val="22"/>
            <w:vertAlign w:val="subscript"/>
            <w:lang w:val="en-AU"/>
          </w:rPr>
          <m:t>)</m:t>
        </m:r>
      </m:oMath>
      <w:r w:rsidRPr="00F62621">
        <w:rPr>
          <w:i/>
          <w:sz w:val="22"/>
          <w:szCs w:val="22"/>
          <w:vertAlign w:val="subscript"/>
          <w:lang w:val="en-AU"/>
        </w:rPr>
        <w:t xml:space="preserve"> </w:t>
      </w:r>
      <w:r w:rsidRPr="00F62621">
        <w:rPr>
          <w:i/>
          <w:sz w:val="22"/>
          <w:szCs w:val="22"/>
          <w:lang w:val="en-AU"/>
        </w:rPr>
        <w:t>– E(</w:t>
      </w:r>
      <w:proofErr w:type="spellStart"/>
      <w:r w:rsidRPr="00F62621">
        <w:rPr>
          <w:i/>
          <w:sz w:val="22"/>
          <w:szCs w:val="22"/>
          <w:lang w:val="en-AU"/>
        </w:rPr>
        <w:t>R</w:t>
      </w:r>
      <w:r w:rsidRPr="00F62621">
        <w:rPr>
          <w:i/>
          <w:sz w:val="22"/>
          <w:szCs w:val="22"/>
          <w:vertAlign w:val="subscript"/>
          <w:lang w:val="en-AU"/>
        </w:rPr>
        <w:t>f</w:t>
      </w:r>
      <w:proofErr w:type="spellEnd"/>
      <w:r w:rsidRPr="00F62621">
        <w:rPr>
          <w:i/>
          <w:sz w:val="22"/>
          <w:szCs w:val="22"/>
          <w:vertAlign w:val="subscript"/>
          <w:lang w:val="en-AU"/>
        </w:rPr>
        <w:t xml:space="preserve"> </w:t>
      </w:r>
      <w:r w:rsidRPr="00F62621">
        <w:rPr>
          <w:i/>
          <w:sz w:val="22"/>
          <w:szCs w:val="22"/>
          <w:lang w:val="en-AU"/>
        </w:rPr>
        <w:t>)</w:t>
      </w:r>
      <w:r w:rsidR="007B0516">
        <w:rPr>
          <w:sz w:val="22"/>
          <w:szCs w:val="22"/>
          <w:lang w:val="en-AU"/>
        </w:rPr>
        <w:t xml:space="preserve"> </w:t>
      </w:r>
      <w:r w:rsidR="007B0516" w:rsidRPr="000F684A">
        <w:rPr>
          <w:sz w:val="22"/>
          <w:szCs w:val="22"/>
          <w:lang w:val="en-AU"/>
        </w:rPr>
        <w:t xml:space="preserve">is the </w:t>
      </w:r>
      <w:r w:rsidR="007B0516">
        <w:rPr>
          <w:sz w:val="22"/>
          <w:szCs w:val="22"/>
          <w:lang w:val="en-AU"/>
        </w:rPr>
        <w:t xml:space="preserve">expected </w:t>
      </w:r>
      <w:r w:rsidR="007B0516" w:rsidRPr="000F684A">
        <w:rPr>
          <w:sz w:val="22"/>
          <w:szCs w:val="22"/>
          <w:lang w:val="en-AU"/>
        </w:rPr>
        <w:t>market risk premium above the</w:t>
      </w:r>
      <w:r w:rsidR="00AC3955">
        <w:rPr>
          <w:sz w:val="22"/>
          <w:szCs w:val="22"/>
          <w:lang w:val="en-AU"/>
        </w:rPr>
        <w:t xml:space="preserve"> expected</w:t>
      </w:r>
      <w:r w:rsidR="007B0516" w:rsidRPr="000F684A">
        <w:rPr>
          <w:sz w:val="22"/>
          <w:szCs w:val="22"/>
          <w:lang w:val="en-AU"/>
        </w:rPr>
        <w:t xml:space="preserve"> risk</w:t>
      </w:r>
      <w:r w:rsidR="005309FF">
        <w:rPr>
          <w:sz w:val="22"/>
          <w:szCs w:val="22"/>
          <w:lang w:val="en-AU"/>
        </w:rPr>
        <w:t>-</w:t>
      </w:r>
      <w:r w:rsidR="007B0516" w:rsidRPr="000F684A">
        <w:rPr>
          <w:sz w:val="22"/>
          <w:szCs w:val="22"/>
          <w:lang w:val="en-AU"/>
        </w:rPr>
        <w:t>free rate and can be interpreted as the price of relevant risk</w:t>
      </w:r>
      <w:r w:rsidR="005309FF">
        <w:rPr>
          <w:sz w:val="22"/>
          <w:szCs w:val="22"/>
          <w:lang w:val="en-AU"/>
        </w:rPr>
        <w:t>.</w:t>
      </w:r>
    </w:p>
    <w:p w14:paraId="505D7D8E" w14:textId="77777777" w:rsidR="007B0516" w:rsidRDefault="007B0516" w:rsidP="007B0516">
      <w:r>
        <w:t xml:space="preserve">It is important to recognise that the CAPM relies on </w:t>
      </w:r>
      <w:r w:rsidR="005309FF">
        <w:t xml:space="preserve">two </w:t>
      </w:r>
      <w:r>
        <w:t>basic assumption</w:t>
      </w:r>
      <w:r w:rsidR="005309FF">
        <w:t>s</w:t>
      </w:r>
      <w:r>
        <w:t xml:space="preserve">: </w:t>
      </w:r>
      <w:r w:rsidR="005309FF">
        <w:t xml:space="preserve">that </w:t>
      </w:r>
      <w:r>
        <w:t>business</w:t>
      </w:r>
      <w:r w:rsidR="005309FF">
        <w:t>-</w:t>
      </w:r>
      <w:r>
        <w:t xml:space="preserve">specific risk can be fully diversified by investors so that the only risk for the </w:t>
      </w:r>
      <w:r>
        <w:lastRenderedPageBreak/>
        <w:t xml:space="preserve">benchmark entity depends on the risk for </w:t>
      </w:r>
      <w:r w:rsidR="005309FF">
        <w:t xml:space="preserve">the </w:t>
      </w:r>
      <w:r>
        <w:t xml:space="preserve">market as a whole (measured by the market risk premium) and </w:t>
      </w:r>
      <w:r w:rsidR="00BB7A62">
        <w:t xml:space="preserve">that </w:t>
      </w:r>
      <w:r>
        <w:t>the benchmark business’</w:t>
      </w:r>
      <w:r w:rsidR="00BB7A62">
        <w:t>s</w:t>
      </w:r>
      <w:r>
        <w:t xml:space="preserve"> return is related to returns for the market as a whole (measured by the equity beta).</w:t>
      </w:r>
      <w:r w:rsidR="00E6005B">
        <w:t xml:space="preserve"> </w:t>
      </w:r>
      <w:r>
        <w:t>This means that many business</w:t>
      </w:r>
      <w:r w:rsidR="00BB7A62">
        <w:t>-</w:t>
      </w:r>
      <w:r>
        <w:t>specific risks that are not related to risks in the economy as a whole are not recognised (priced) in the CAPM.</w:t>
      </w:r>
      <w:r w:rsidR="00E6005B">
        <w:t xml:space="preserve"> </w:t>
      </w:r>
    </w:p>
    <w:p w14:paraId="2DA67F57" w14:textId="77777777" w:rsidR="007B0516" w:rsidRDefault="007B0516" w:rsidP="007B0516">
      <w:r>
        <w:t>This model in effect assumes that the distribution of risks for the benchmark entity is symmetr</w:t>
      </w:r>
      <w:r w:rsidRPr="000174FE">
        <w:t>ic</w:t>
      </w:r>
      <w:r w:rsidR="000174FE">
        <w:t>,</w:t>
      </w:r>
      <w:r w:rsidRPr="000174FE">
        <w:t xml:space="preserve"> so that upsid</w:t>
      </w:r>
      <w:r>
        <w:t>e risk is balanced by downsid</w:t>
      </w:r>
      <w:r w:rsidR="00EB49B2">
        <w:t>e risk.</w:t>
      </w:r>
      <w:r w:rsidR="00E6005B">
        <w:t xml:space="preserve"> </w:t>
      </w:r>
      <w:r w:rsidR="00EB49B2">
        <w:t xml:space="preserve">In applying the CAPM, </w:t>
      </w:r>
      <w:r>
        <w:t xml:space="preserve">regulators need to recognise that regulation caps </w:t>
      </w:r>
      <w:r w:rsidR="00BB7A62">
        <w:t xml:space="preserve">the </w:t>
      </w:r>
      <w:r>
        <w:t>upside potential (by regulating prices)</w:t>
      </w:r>
      <w:r w:rsidR="00BB7A62">
        <w:t>,</w:t>
      </w:r>
      <w:r>
        <w:t xml:space="preserve"> but that </w:t>
      </w:r>
      <w:r w:rsidR="00A25FA1">
        <w:t xml:space="preserve">regulation </w:t>
      </w:r>
      <w:r>
        <w:t>may also put a floor on many downside risks, depending on the nature of th</w:t>
      </w:r>
      <w:r w:rsidR="00BB7A62">
        <w:t>o</w:t>
      </w:r>
      <w:r>
        <w:t xml:space="preserve">se risks and how they are treated, so that expected symmetry in returns </w:t>
      </w:r>
      <w:r w:rsidR="00AC3955">
        <w:t xml:space="preserve">may </w:t>
      </w:r>
      <w:r>
        <w:t>still</w:t>
      </w:r>
      <w:r w:rsidR="00AC3955">
        <w:t xml:space="preserve"> be</w:t>
      </w:r>
      <w:r>
        <w:t xml:space="preserve"> retained.</w:t>
      </w:r>
      <w:r w:rsidR="00E6005B">
        <w:t xml:space="preserve"> </w:t>
      </w:r>
      <w:r w:rsidR="00F93C4A">
        <w:t>For example</w:t>
      </w:r>
      <w:r w:rsidR="00605463">
        <w:t>,</w:t>
      </w:r>
      <w:r w:rsidR="00F93C4A">
        <w:t xml:space="preserve"> there may be minimal relevant downside risk if there is considerable scope to pass through cost increases and good assurance that the value of the regulatory asset base will not be written down by the regulator. </w:t>
      </w:r>
    </w:p>
    <w:p w14:paraId="676FE7DF" w14:textId="77777777" w:rsidR="007B0516" w:rsidRDefault="007B0516" w:rsidP="007B0516">
      <w:r>
        <w:t xml:space="preserve">It </w:t>
      </w:r>
      <w:r w:rsidR="00AC3955">
        <w:t xml:space="preserve">should also be recognised that to the extent that regulation </w:t>
      </w:r>
      <w:r>
        <w:t>reduces the variability of returns relat</w:t>
      </w:r>
      <w:r w:rsidR="00AC3955">
        <w:t>ive to an unregulated benchmark</w:t>
      </w:r>
      <w:r w:rsidR="00EB49B2">
        <w:t>,</w:t>
      </w:r>
      <w:r>
        <w:t xml:space="preserve"> the variability of returns should be reflected in the beta parameter.</w:t>
      </w:r>
      <w:r w:rsidR="00E6005B">
        <w:t xml:space="preserve"> </w:t>
      </w:r>
    </w:p>
    <w:p w14:paraId="4B1F49DA" w14:textId="77777777" w:rsidR="007B0516" w:rsidRPr="007B0516" w:rsidRDefault="007B0516" w:rsidP="00EE6B17">
      <w:pPr>
        <w:pStyle w:val="Heading4a"/>
      </w:pPr>
      <w:r w:rsidRPr="007B0516">
        <w:t xml:space="preserve">Application </w:t>
      </w:r>
      <w:r w:rsidR="006D403B">
        <w:t xml:space="preserve">of the components of the </w:t>
      </w:r>
      <w:r w:rsidR="00271BD7">
        <w:t xml:space="preserve">cost of capital </w:t>
      </w:r>
      <w:r w:rsidR="006D403B">
        <w:t xml:space="preserve">framework </w:t>
      </w:r>
      <w:r w:rsidRPr="007B0516">
        <w:t>to Icon Water</w:t>
      </w:r>
    </w:p>
    <w:p w14:paraId="0A6102FF" w14:textId="77777777" w:rsidR="000F7C87" w:rsidRDefault="004E0BB0" w:rsidP="000F7C87">
      <w:r>
        <w:t>The current cost of debt</w:t>
      </w:r>
      <w:r w:rsidR="00623726">
        <w:t xml:space="preserve"> allowed for Icon Water</w:t>
      </w:r>
      <w:r>
        <w:t xml:space="preserve"> is based on the risk of debt default reflected in a BBB credit rating for Australian corporate bonds with an additional small provision for debt</w:t>
      </w:r>
      <w:r w:rsidR="00BB7A62">
        <w:t>-</w:t>
      </w:r>
      <w:r>
        <w:t>raising costs.</w:t>
      </w:r>
      <w:r w:rsidR="00E6005B">
        <w:t xml:space="preserve"> </w:t>
      </w:r>
      <w:r w:rsidR="00AC3955">
        <w:t xml:space="preserve">The Industry Panel </w:t>
      </w:r>
      <w:r w:rsidR="00BB7A62">
        <w:t>r</w:t>
      </w:r>
      <w:r w:rsidR="00AC3955">
        <w:t>eport preferred a</w:t>
      </w:r>
      <w:r>
        <w:t xml:space="preserve"> debt margin of 3.13</w:t>
      </w:r>
      <w:r w:rsidR="00BB7A62">
        <w:t xml:space="preserve"> per cent </w:t>
      </w:r>
      <w:r>
        <w:t>and debt</w:t>
      </w:r>
      <w:r w:rsidR="00BB7A62">
        <w:t>-</w:t>
      </w:r>
      <w:r>
        <w:t>raising cost of 0.125</w:t>
      </w:r>
      <w:r w:rsidR="00BB7A62">
        <w:t xml:space="preserve"> per cent, </w:t>
      </w:r>
      <w:r w:rsidR="0016783F">
        <w:t>which</w:t>
      </w:r>
      <w:r w:rsidR="00AC3955">
        <w:t xml:space="preserve"> were</w:t>
      </w:r>
      <w:r>
        <w:t xml:space="preserve"> added to a risk</w:t>
      </w:r>
      <w:r w:rsidR="00BB7A62">
        <w:t>-</w:t>
      </w:r>
      <w:r>
        <w:t>free rate of 3.22</w:t>
      </w:r>
      <w:r w:rsidR="00BB7A62">
        <w:t> per cent</w:t>
      </w:r>
      <w:r w:rsidR="00AC3955">
        <w:t xml:space="preserve">, </w:t>
      </w:r>
      <w:r>
        <w:t>to result in an overall cost of debt of 6.48</w:t>
      </w:r>
      <w:r w:rsidR="00BB7A62">
        <w:t> per cent</w:t>
      </w:r>
      <w:r w:rsidR="00AC3955" w:rsidRPr="00AC3955">
        <w:t xml:space="preserve"> </w:t>
      </w:r>
      <w:r w:rsidR="00AC3955">
        <w:t>as at 31 May 2013</w:t>
      </w:r>
      <w:r>
        <w:t>.</w:t>
      </w:r>
      <w:r w:rsidR="00623726">
        <w:rPr>
          <w:rStyle w:val="FootnoteReference"/>
        </w:rPr>
        <w:footnoteReference w:id="16"/>
      </w:r>
      <w:r w:rsidR="00E6005B">
        <w:t xml:space="preserve"> </w:t>
      </w:r>
      <w:r>
        <w:t>If this methodology continued to apply</w:t>
      </w:r>
      <w:r w:rsidR="000174FE">
        <w:t xml:space="preserve"> in the next regulatory period</w:t>
      </w:r>
      <w:r w:rsidR="00BB7A62">
        <w:t>,</w:t>
      </w:r>
      <w:r>
        <w:t xml:space="preserve"> these components</w:t>
      </w:r>
      <w:r w:rsidR="00BB7A62">
        <w:t xml:space="preserve"> would need to be reviewed and updated</w:t>
      </w:r>
      <w:r>
        <w:t xml:space="preserve"> to reflect changed circumstances</w:t>
      </w:r>
      <w:r w:rsidR="007B0516">
        <w:t>.</w:t>
      </w:r>
      <w:r w:rsidR="00E6005B">
        <w:t xml:space="preserve"> </w:t>
      </w:r>
      <w:r w:rsidR="007B0516">
        <w:t>For example</w:t>
      </w:r>
      <w:r w:rsidR="001E2D3D">
        <w:t>,</w:t>
      </w:r>
      <w:r>
        <w:t xml:space="preserve"> the risk</w:t>
      </w:r>
      <w:r w:rsidR="00BB7A62">
        <w:t>-</w:t>
      </w:r>
      <w:r>
        <w:t>free ra</w:t>
      </w:r>
      <w:r w:rsidR="00623726">
        <w:t>t</w:t>
      </w:r>
      <w:r>
        <w:t>e</w:t>
      </w:r>
      <w:r w:rsidR="00EB49B2">
        <w:t>,</w:t>
      </w:r>
      <w:r w:rsidR="00623726">
        <w:t xml:space="preserve"> which</w:t>
      </w:r>
      <w:r>
        <w:t xml:space="preserve"> </w:t>
      </w:r>
      <w:r w:rsidR="00623726">
        <w:t>averaged 2.33</w:t>
      </w:r>
      <w:r w:rsidR="00BB7A62">
        <w:t> per cent</w:t>
      </w:r>
      <w:r w:rsidR="00623726">
        <w:t xml:space="preserve"> for 2016</w:t>
      </w:r>
      <w:r w:rsidR="00EB49B2">
        <w:t>,</w:t>
      </w:r>
      <w:r w:rsidR="001E2D3D">
        <w:t xml:space="preserve"> would need to be updated</w:t>
      </w:r>
      <w:r w:rsidR="00623726">
        <w:t xml:space="preserve">. </w:t>
      </w:r>
    </w:p>
    <w:p w14:paraId="46BC9919" w14:textId="77777777" w:rsidR="005A6A28" w:rsidRPr="00E418FE" w:rsidRDefault="005A6A28" w:rsidP="000F7C87">
      <w:r>
        <w:t>A gearing ratio</w:t>
      </w:r>
      <w:r w:rsidR="00BB7A62">
        <w:t>,</w:t>
      </w:r>
      <w:r>
        <w:t xml:space="preserve"> </w:t>
      </w:r>
      <w:r w:rsidR="00F62621" w:rsidRPr="00F62621">
        <w:rPr>
          <w:i/>
        </w:rPr>
        <w:t>D/E</w:t>
      </w:r>
      <w:r w:rsidR="00BB7A62">
        <w:t>,</w:t>
      </w:r>
      <w:r>
        <w:t xml:space="preserve"> of 60</w:t>
      </w:r>
      <w:r w:rsidR="00BB7A62">
        <w:t> per cent</w:t>
      </w:r>
      <w:r>
        <w:t xml:space="preserve"> was preferred for the current regulatory period, </w:t>
      </w:r>
      <w:r w:rsidR="00EB49B2">
        <w:t xml:space="preserve">largely </w:t>
      </w:r>
      <w:r>
        <w:t>reflecting regulatory precedent.</w:t>
      </w:r>
      <w:r>
        <w:rPr>
          <w:rStyle w:val="FootnoteReference"/>
        </w:rPr>
        <w:footnoteReference w:id="17"/>
      </w:r>
    </w:p>
    <w:p w14:paraId="4C4A3138" w14:textId="77777777" w:rsidR="00E418FE" w:rsidRDefault="004E0BB0" w:rsidP="00E606AB">
      <w:r>
        <w:t>The current equity beta parameter of 0.7 is based on regulatory precedent</w:t>
      </w:r>
      <w:r w:rsidR="006D403B">
        <w:t>.</w:t>
      </w:r>
      <w:r>
        <w:rPr>
          <w:rStyle w:val="FootnoteReference"/>
        </w:rPr>
        <w:footnoteReference w:id="18"/>
      </w:r>
      <w:r w:rsidR="00586D69">
        <w:t xml:space="preserve"> An issue is whether this still remains appropriate.</w:t>
      </w:r>
    </w:p>
    <w:p w14:paraId="554F02B7" w14:textId="1226B14A" w:rsidR="004E0BB0" w:rsidRDefault="00586D69" w:rsidP="00E606AB">
      <w:r>
        <w:t>An important parameter in determining the cost of equity</w:t>
      </w:r>
      <w:r w:rsidR="0016783F">
        <w:t xml:space="preserve"> is</w:t>
      </w:r>
      <w:r w:rsidR="002D16A9">
        <w:t xml:space="preserve"> the market risk premium.</w:t>
      </w:r>
      <w:r w:rsidR="00E6005B">
        <w:t xml:space="preserve"> </w:t>
      </w:r>
      <w:r w:rsidR="005A6C68">
        <w:t>This parameter is a general market parameter that does not vary with different investments</w:t>
      </w:r>
      <w:r w:rsidR="003F4C82">
        <w:t xml:space="preserve"> or specific firms</w:t>
      </w:r>
      <w:r w:rsidR="005A6C68">
        <w:t>.</w:t>
      </w:r>
      <w:r w:rsidR="00E6005B">
        <w:t xml:space="preserve"> </w:t>
      </w:r>
      <w:r w:rsidR="005A6C68">
        <w:t xml:space="preserve">The market risk </w:t>
      </w:r>
      <w:r w:rsidR="00592FD1">
        <w:t xml:space="preserve">premium </w:t>
      </w:r>
      <w:r w:rsidR="005A6C68">
        <w:t xml:space="preserve">parameter </w:t>
      </w:r>
      <w:r w:rsidR="00C97DD4">
        <w:t xml:space="preserve">of 7.23 per cent </w:t>
      </w:r>
      <w:r w:rsidR="005A6C68">
        <w:t xml:space="preserve">that was preferred in the Industry Panel </w:t>
      </w:r>
      <w:r w:rsidR="00C97DD4">
        <w:t>r</w:t>
      </w:r>
      <w:r w:rsidR="005A6C68">
        <w:t xml:space="preserve">eport </w:t>
      </w:r>
      <w:r w:rsidR="007B0516">
        <w:t xml:space="preserve">is higher than </w:t>
      </w:r>
      <w:r w:rsidR="00C97DD4">
        <w:t xml:space="preserve">that </w:t>
      </w:r>
      <w:r w:rsidR="007B0516">
        <w:t xml:space="preserve">adopted by </w:t>
      </w:r>
      <w:r w:rsidR="00F70372">
        <w:t xml:space="preserve">several </w:t>
      </w:r>
      <w:r w:rsidR="007B0516">
        <w:t xml:space="preserve">other </w:t>
      </w:r>
      <w:r w:rsidR="007B0516">
        <w:lastRenderedPageBreak/>
        <w:t>regulators in recent decisions and reviews</w:t>
      </w:r>
      <w:r w:rsidR="001E2D3D">
        <w:t xml:space="preserve">, although similar to that adopted in a recent </w:t>
      </w:r>
      <w:r w:rsidR="003B635D">
        <w:t>Independent Pricing and Regulatory Tribunal (</w:t>
      </w:r>
      <w:r w:rsidR="001E2D3D">
        <w:t>IPART</w:t>
      </w:r>
      <w:r w:rsidR="003B635D">
        <w:t>)</w:t>
      </w:r>
      <w:r w:rsidR="001E2D3D">
        <w:t xml:space="preserve"> decision for Sydney Water</w:t>
      </w:r>
      <w:r w:rsidR="001C4070">
        <w:t>.</w:t>
      </w:r>
      <w:r w:rsidR="001E2D3D">
        <w:rPr>
          <w:rStyle w:val="FootnoteReference"/>
        </w:rPr>
        <w:footnoteReference w:id="19"/>
      </w:r>
      <w:r w:rsidR="007B0516">
        <w:t xml:space="preserve"> </w:t>
      </w:r>
    </w:p>
    <w:p w14:paraId="53280A5C" w14:textId="77777777" w:rsidR="001E2D3D" w:rsidRDefault="003748FA" w:rsidP="00E606AB">
      <w:r>
        <w:t xml:space="preserve">The Industry Panel </w:t>
      </w:r>
      <w:r w:rsidR="00C97DD4">
        <w:t>r</w:t>
      </w:r>
      <w:r>
        <w:t>eport estimated the market risk premium as a 40</w:t>
      </w:r>
      <w:r w:rsidR="00C97DD4">
        <w:t>-</w:t>
      </w:r>
      <w:r>
        <w:t>day average of Bloomberg’s daily implied market risk premiums</w:t>
      </w:r>
      <w:r w:rsidR="001C4070">
        <w:t>.</w:t>
      </w:r>
      <w:r>
        <w:rPr>
          <w:rStyle w:val="FootnoteReference"/>
        </w:rPr>
        <w:footnoteReference w:id="20"/>
      </w:r>
      <w:r w:rsidR="00E6005B">
        <w:t xml:space="preserve"> </w:t>
      </w:r>
      <w:r w:rsidR="000533B0">
        <w:t>This approach assumes that the current equity market is correctly priced and is calculated by solving for the required rate of return that equates the present value of expected dividends with the current price of the market portfolio</w:t>
      </w:r>
      <w:r w:rsidR="00271BD7">
        <w:t>.</w:t>
      </w:r>
      <w:r w:rsidR="000533B0">
        <w:rPr>
          <w:rStyle w:val="FootnoteReference"/>
        </w:rPr>
        <w:footnoteReference w:id="21"/>
      </w:r>
      <w:r w:rsidR="00E6005B">
        <w:t xml:space="preserve"> </w:t>
      </w:r>
    </w:p>
    <w:p w14:paraId="42224A22" w14:textId="77777777" w:rsidR="007B0516" w:rsidRDefault="001C4070" w:rsidP="00E606AB">
      <w:r>
        <w:t xml:space="preserve">The approach adopted in the Industry Panel </w:t>
      </w:r>
      <w:r w:rsidR="00F22BCB">
        <w:t>r</w:t>
      </w:r>
      <w:r>
        <w:t xml:space="preserve">eport is one of </w:t>
      </w:r>
      <w:r w:rsidR="00A25FA1">
        <w:t>several</w:t>
      </w:r>
      <w:r>
        <w:t xml:space="preserve"> methodologies currently used by IPART to help form a preferred estimate of the market risk premium.</w:t>
      </w:r>
      <w:r>
        <w:rPr>
          <w:rStyle w:val="FootnoteReference"/>
        </w:rPr>
        <w:footnoteReference w:id="22"/>
      </w:r>
      <w:r w:rsidR="00E6005B">
        <w:t xml:space="preserve"> </w:t>
      </w:r>
      <w:r w:rsidR="000533B0">
        <w:t xml:space="preserve">IPART completed a major review </w:t>
      </w:r>
      <w:r w:rsidR="00B50566">
        <w:t>of its WACC methodology</w:t>
      </w:r>
      <w:r w:rsidR="00EB49B2">
        <w:t xml:space="preserve"> in 2013,</w:t>
      </w:r>
      <w:r w:rsidR="00B50566">
        <w:t xml:space="preserve"> where it set out its preferred approach to estimating the market risk premium.</w:t>
      </w:r>
      <w:r w:rsidR="00B50566">
        <w:rPr>
          <w:rStyle w:val="FootnoteReference"/>
        </w:rPr>
        <w:footnoteReference w:id="23"/>
      </w:r>
      <w:r w:rsidR="00E6005B">
        <w:t xml:space="preserve"> </w:t>
      </w:r>
      <w:r w:rsidR="008B327B">
        <w:t>IPART uses both long</w:t>
      </w:r>
      <w:r w:rsidR="00C97DD4">
        <w:t>-</w:t>
      </w:r>
      <w:r w:rsidR="008B327B">
        <w:t>term averages and current market data</w:t>
      </w:r>
      <w:r w:rsidR="00BA4A78">
        <w:t xml:space="preserve"> </w:t>
      </w:r>
      <w:r w:rsidR="00B50566">
        <w:t>(with six</w:t>
      </w:r>
      <w:r w:rsidR="00BA4A78">
        <w:t xml:space="preserve"> methodologies</w:t>
      </w:r>
      <w:r w:rsidR="00B50566">
        <w:t xml:space="preserve"> for current market data</w:t>
      </w:r>
      <w:r>
        <w:t>, including the Bloomberg approach</w:t>
      </w:r>
      <w:r w:rsidR="00B50566">
        <w:t>)</w:t>
      </w:r>
      <w:r w:rsidR="008B327B">
        <w:t xml:space="preserve"> </w:t>
      </w:r>
      <w:r w:rsidR="00BA4A78">
        <w:t>to establish a range for the market risk premium, with the mid-point of the range being the default estimate.</w:t>
      </w:r>
      <w:r w:rsidR="00231950">
        <w:rPr>
          <w:rStyle w:val="FootnoteReference"/>
        </w:rPr>
        <w:footnoteReference w:id="24"/>
      </w:r>
      <w:r w:rsidR="00E6005B">
        <w:t xml:space="preserve"> </w:t>
      </w:r>
      <w:r w:rsidR="00BA4A78">
        <w:t>The default estimate may be adjusted along with other parameters</w:t>
      </w:r>
      <w:r w:rsidR="00B50566">
        <w:t xml:space="preserve"> in the WACC,</w:t>
      </w:r>
      <w:r w:rsidR="00BA4A78">
        <w:t xml:space="preserve"> if an unc</w:t>
      </w:r>
      <w:r w:rsidR="00EB49B2">
        <w:t>ertainty index measure exceeds</w:t>
      </w:r>
      <w:r w:rsidR="00BA4A78">
        <w:t xml:space="preserve"> </w:t>
      </w:r>
      <w:r w:rsidR="0016783F">
        <w:t>one</w:t>
      </w:r>
      <w:r w:rsidR="00BA4A78">
        <w:t xml:space="preserve"> standard deviation</w:t>
      </w:r>
      <w:r w:rsidR="00231950">
        <w:t xml:space="preserve"> </w:t>
      </w:r>
      <w:r>
        <w:t>of</w:t>
      </w:r>
      <w:r w:rsidR="00231950">
        <w:t xml:space="preserve"> the long</w:t>
      </w:r>
      <w:r w:rsidR="00C97DD4">
        <w:t>-</w:t>
      </w:r>
      <w:r w:rsidR="00231950">
        <w:t>term average.</w:t>
      </w:r>
      <w:r w:rsidR="00E6005B">
        <w:t xml:space="preserve"> </w:t>
      </w:r>
      <w:r w:rsidR="00231950">
        <w:t>I</w:t>
      </w:r>
      <w:r w:rsidR="00F70372">
        <w:t>PART’s</w:t>
      </w:r>
      <w:r w:rsidR="00231950">
        <w:t xml:space="preserve"> most recent decision for </w:t>
      </w:r>
      <w:r w:rsidR="00F70372">
        <w:t>setting the price for water services for Sydney Water estimated the market risk premium as the average of the mid-points for a long</w:t>
      </w:r>
      <w:r w:rsidR="00C97DD4">
        <w:t>-</w:t>
      </w:r>
      <w:r w:rsidR="00F70372">
        <w:t xml:space="preserve">term average of </w:t>
      </w:r>
      <w:r w:rsidR="008C4652">
        <w:t xml:space="preserve">six </w:t>
      </w:r>
      <w:r w:rsidR="00BB7A62">
        <w:t> per cent</w:t>
      </w:r>
      <w:r w:rsidR="00F70372">
        <w:t xml:space="preserve"> and </w:t>
      </w:r>
      <w:r w:rsidR="00937C40">
        <w:t>an implied short</w:t>
      </w:r>
      <w:r w:rsidR="00C97DD4">
        <w:t>-</w:t>
      </w:r>
      <w:r w:rsidR="00937C40">
        <w:t xml:space="preserve">term value of </w:t>
      </w:r>
      <w:r w:rsidR="00F70372">
        <w:t>8.7</w:t>
      </w:r>
      <w:r w:rsidR="00BB7A62">
        <w:t> per cent</w:t>
      </w:r>
      <w:r w:rsidR="00F70372">
        <w:t xml:space="preserve"> to obtain </w:t>
      </w:r>
      <w:r w:rsidR="00D63741">
        <w:t>a</w:t>
      </w:r>
      <w:r w:rsidR="00F70372">
        <w:t xml:space="preserve"> preferred </w:t>
      </w:r>
      <w:r>
        <w:t xml:space="preserve">average </w:t>
      </w:r>
      <w:r w:rsidR="00F70372">
        <w:t>estimate</w:t>
      </w:r>
      <w:r>
        <w:t>, across the various approached,</w:t>
      </w:r>
      <w:r w:rsidR="00F70372">
        <w:t xml:space="preserve"> of 7.35</w:t>
      </w:r>
      <w:r w:rsidR="00BB7A62">
        <w:t> per cent</w:t>
      </w:r>
      <w:r w:rsidR="00F70372">
        <w:t>.</w:t>
      </w:r>
      <w:r w:rsidR="00F70372">
        <w:rPr>
          <w:rStyle w:val="FootnoteReference"/>
        </w:rPr>
        <w:footnoteReference w:id="25"/>
      </w:r>
    </w:p>
    <w:p w14:paraId="3882C49B" w14:textId="77777777" w:rsidR="00525126" w:rsidRPr="00B26AD7" w:rsidRDefault="00937C40" w:rsidP="00B26AD7">
      <w:r w:rsidRPr="00B26AD7">
        <w:t>Other regulators have</w:t>
      </w:r>
      <w:r w:rsidR="00EB49B2">
        <w:t xml:space="preserve"> also</w:t>
      </w:r>
      <w:r w:rsidRPr="00B26AD7">
        <w:t xml:space="preserve"> tended to use a range of methodologies to arrive at a preferred estimate of the market risk premium.</w:t>
      </w:r>
      <w:r w:rsidR="00E6005B">
        <w:t xml:space="preserve"> </w:t>
      </w:r>
      <w:r w:rsidRPr="00B26AD7">
        <w:t xml:space="preserve">Both the </w:t>
      </w:r>
      <w:r w:rsidR="003B635D">
        <w:t>Australian Energy Regulator (</w:t>
      </w:r>
      <w:r w:rsidRPr="00B26AD7">
        <w:t>AER</w:t>
      </w:r>
      <w:r w:rsidR="003B635D">
        <w:t>)</w:t>
      </w:r>
      <w:r w:rsidRPr="00B26AD7">
        <w:t xml:space="preserve"> and the </w:t>
      </w:r>
      <w:r w:rsidR="003B635D">
        <w:t>Queensland Competition Authority (</w:t>
      </w:r>
      <w:r w:rsidRPr="00B26AD7">
        <w:t>QCA</w:t>
      </w:r>
      <w:r w:rsidR="003B635D">
        <w:t>)</w:t>
      </w:r>
      <w:r w:rsidRPr="00EB49B2">
        <w:rPr>
          <w:vertAlign w:val="superscript"/>
        </w:rPr>
        <w:t xml:space="preserve"> </w:t>
      </w:r>
      <w:r w:rsidRPr="00B26AD7">
        <w:t>have completed major reviews of their WACC methodologies in recent years and used a range of information to establish a preferred market risk premium.</w:t>
      </w:r>
      <w:r w:rsidR="00C97DD4" w:rsidRPr="00EB49B2">
        <w:rPr>
          <w:vertAlign w:val="superscript"/>
        </w:rPr>
        <w:footnoteReference w:id="26"/>
      </w:r>
      <w:r w:rsidR="00E6005B">
        <w:t xml:space="preserve"> </w:t>
      </w:r>
      <w:r w:rsidR="00D45844" w:rsidRPr="00B26AD7">
        <w:t>This perspective recognises that there is no consensus on how the market risk premium should be estimat</w:t>
      </w:r>
      <w:r w:rsidR="00EB49B2">
        <w:t xml:space="preserve">ed for regulatory applications </w:t>
      </w:r>
      <w:r w:rsidR="00D45844" w:rsidRPr="00B26AD7">
        <w:t>and that the various estimation methods have advantages and disadvantages.</w:t>
      </w:r>
      <w:r w:rsidR="00E6005B">
        <w:t xml:space="preserve"> </w:t>
      </w:r>
    </w:p>
    <w:p w14:paraId="0BBD4860" w14:textId="77777777" w:rsidR="008E49E9" w:rsidRPr="00B26AD7" w:rsidRDefault="008E49E9" w:rsidP="00B26AD7">
      <w:r w:rsidRPr="00B26AD7">
        <w:t xml:space="preserve">The AER’s current approach to estimating the market risk premium </w:t>
      </w:r>
      <w:r w:rsidR="00B26AD7" w:rsidRPr="00B26AD7">
        <w:t>uses a r</w:t>
      </w:r>
      <w:r w:rsidRPr="00B26AD7">
        <w:t>ange of theoretical and empirical evidence</w:t>
      </w:r>
      <w:r w:rsidR="00B26AD7" w:rsidRPr="00B26AD7">
        <w:t xml:space="preserve">, </w:t>
      </w:r>
      <w:r w:rsidRPr="00B26AD7">
        <w:t xml:space="preserve">including historical excess returns, </w:t>
      </w:r>
      <w:r w:rsidR="00B26AD7" w:rsidRPr="00B26AD7">
        <w:t xml:space="preserve">the dividend growth model, </w:t>
      </w:r>
      <w:r w:rsidRPr="00B26AD7">
        <w:t xml:space="preserve">survey evidence, financial market volatility measures and credit </w:t>
      </w:r>
      <w:r w:rsidRPr="00B26AD7">
        <w:lastRenderedPageBreak/>
        <w:t>spreads</w:t>
      </w:r>
      <w:r w:rsidR="00C97DD4">
        <w:t>,</w:t>
      </w:r>
      <w:r w:rsidRPr="00B26AD7">
        <w:t xml:space="preserve"> regulatory precedents</w:t>
      </w:r>
      <w:r w:rsidR="00B26AD7" w:rsidRPr="00B26AD7">
        <w:t xml:space="preserve"> and regulatory judgement.</w:t>
      </w:r>
      <w:r w:rsidR="001C4070">
        <w:rPr>
          <w:rStyle w:val="FootnoteReference"/>
        </w:rPr>
        <w:footnoteReference w:id="27"/>
      </w:r>
      <w:r w:rsidR="00E6005B">
        <w:t xml:space="preserve"> </w:t>
      </w:r>
      <w:r w:rsidR="00B26AD7" w:rsidRPr="00B26AD7">
        <w:t>The AER’s preferred estimate of the market risk premium has been 6.5</w:t>
      </w:r>
      <w:r w:rsidR="00BB7A62">
        <w:t> per cent</w:t>
      </w:r>
      <w:r w:rsidR="00B26AD7" w:rsidRPr="00B26AD7">
        <w:t xml:space="preserve"> for several years now. </w:t>
      </w:r>
    </w:p>
    <w:p w14:paraId="778E4B16" w14:textId="77777777" w:rsidR="00937C40" w:rsidRPr="00B26AD7" w:rsidRDefault="00D45844" w:rsidP="00B26AD7">
      <w:r w:rsidRPr="00B26AD7">
        <w:t>The QCA use</w:t>
      </w:r>
      <w:r w:rsidR="00C97DD4">
        <w:t>d</w:t>
      </w:r>
      <w:r w:rsidRPr="00B26AD7">
        <w:t xml:space="preserve"> </w:t>
      </w:r>
      <w:r w:rsidR="00B26AD7" w:rsidRPr="00B26AD7">
        <w:t>a similar approach to the AER</w:t>
      </w:r>
      <w:r w:rsidR="007E796F">
        <w:t>’s</w:t>
      </w:r>
      <w:r w:rsidR="008F1F6B">
        <w:t xml:space="preserve"> –</w:t>
      </w:r>
      <w:r w:rsidR="00B26AD7" w:rsidRPr="00B26AD7">
        <w:t xml:space="preserve"> comprising </w:t>
      </w:r>
      <w:r w:rsidR="00525126" w:rsidRPr="00B26AD7">
        <w:t>two types of historical aver</w:t>
      </w:r>
      <w:r w:rsidR="00B26AD7" w:rsidRPr="00B26AD7">
        <w:t xml:space="preserve">aging methods, </w:t>
      </w:r>
      <w:r w:rsidR="00525126" w:rsidRPr="00B26AD7">
        <w:t>a dividend growth model</w:t>
      </w:r>
      <w:r w:rsidR="00B26AD7" w:rsidRPr="00B26AD7">
        <w:t xml:space="preserve">, survey evidence, </w:t>
      </w:r>
      <w:r w:rsidR="00525126" w:rsidRPr="00B26AD7">
        <w:t>information about volatility of returns and debt premiums</w:t>
      </w:r>
      <w:r w:rsidR="00C97DD4">
        <w:t>,</w:t>
      </w:r>
      <w:r w:rsidR="00525126" w:rsidRPr="00B26AD7">
        <w:t xml:space="preserve"> and regulatory judgement </w:t>
      </w:r>
      <w:r w:rsidR="008F1F6B">
        <w:t xml:space="preserve">– </w:t>
      </w:r>
      <w:r w:rsidR="00525126" w:rsidRPr="00B26AD7">
        <w:t xml:space="preserve">to </w:t>
      </w:r>
      <w:r w:rsidR="00B26AD7" w:rsidRPr="00B26AD7">
        <w:t xml:space="preserve">also </w:t>
      </w:r>
      <w:r w:rsidR="00525126" w:rsidRPr="00B26AD7">
        <w:t>arrive at a preferred market risk premium of 6.5</w:t>
      </w:r>
      <w:r w:rsidR="00BB7A62">
        <w:t> per cent</w:t>
      </w:r>
      <w:r w:rsidR="00C97DD4">
        <w:t>.</w:t>
      </w:r>
      <w:r w:rsidR="00525126" w:rsidRPr="00EB49B2">
        <w:rPr>
          <w:vertAlign w:val="superscript"/>
        </w:rPr>
        <w:footnoteReference w:id="28"/>
      </w:r>
      <w:r w:rsidR="00525126" w:rsidRPr="00B26AD7">
        <w:t xml:space="preserve"> </w:t>
      </w:r>
    </w:p>
    <w:p w14:paraId="28E37E62" w14:textId="77777777" w:rsidR="00937C40" w:rsidRPr="00B26AD7" w:rsidRDefault="00937C40" w:rsidP="00B26AD7">
      <w:r w:rsidRPr="00B26AD7">
        <w:t>The Commission has a concern about the reliance on the Bloomberg methodology as the sole method for estimating a preferred market risk pre</w:t>
      </w:r>
      <w:r w:rsidRPr="008F1F6B">
        <w:t>mium</w:t>
      </w:r>
      <w:r w:rsidR="00EB49B2" w:rsidRPr="008F1F6B">
        <w:t xml:space="preserve">, as </w:t>
      </w:r>
      <w:r w:rsidR="001C4070" w:rsidRPr="008F1F6B">
        <w:t>a</w:t>
      </w:r>
      <w:r w:rsidR="001C4070">
        <w:t xml:space="preserve">dopted in the Industry Panel </w:t>
      </w:r>
      <w:r w:rsidR="00C97DD4">
        <w:t>r</w:t>
      </w:r>
      <w:r w:rsidR="001C4070">
        <w:t>eport for</w:t>
      </w:r>
      <w:r w:rsidR="00EB49B2">
        <w:t xml:space="preserve"> Icon Water</w:t>
      </w:r>
      <w:r w:rsidR="001C4070">
        <w:t xml:space="preserve"> for the current regulatory period</w:t>
      </w:r>
      <w:r w:rsidRPr="00B26AD7">
        <w:t>.</w:t>
      </w:r>
      <w:r w:rsidR="00E6005B">
        <w:t xml:space="preserve"> </w:t>
      </w:r>
      <w:r w:rsidRPr="00B26AD7">
        <w:t>This is particularly the case given that the Bloomberg methodology appears to be relatively sensitive to short</w:t>
      </w:r>
      <w:r w:rsidR="00C97DD4">
        <w:t>-</w:t>
      </w:r>
      <w:r w:rsidRPr="00B26AD7">
        <w:t>term fluctuations in share prices and the objective is to obtain the best estimate of the market risk premium that is likely to be relevant for a five</w:t>
      </w:r>
      <w:r w:rsidR="00C97DD4">
        <w:t>-</w:t>
      </w:r>
      <w:r w:rsidRPr="00B26AD7">
        <w:t>year regulatory period.</w:t>
      </w:r>
      <w:r w:rsidR="00E6005B">
        <w:t xml:space="preserve"> </w:t>
      </w:r>
    </w:p>
    <w:p w14:paraId="3A7444F4" w14:textId="77777777" w:rsidR="00937C40" w:rsidRPr="00B26AD7" w:rsidRDefault="00937C40" w:rsidP="00B26AD7">
      <w:r w:rsidRPr="00B26AD7">
        <w:t>In this respect, SFG Consulting advised IPART on methodologies to estimate the market risk premium and noted</w:t>
      </w:r>
      <w:r w:rsidR="001C4070">
        <w:t>:</w:t>
      </w:r>
    </w:p>
    <w:p w14:paraId="198605D5" w14:textId="77777777" w:rsidR="00FF0A46" w:rsidRPr="00B26AD7" w:rsidRDefault="00FF0A46" w:rsidP="008F1F6B">
      <w:pPr>
        <w:pStyle w:val="Quote"/>
        <w:spacing w:after="100"/>
      </w:pPr>
      <w:r w:rsidRPr="00B26AD7">
        <w:t xml:space="preserve">Over the time period for which data is available, it is clear that the Bloomberg estimates of the market cost of equity are both higher than our estimates, and more variable over time. We cannot say with certainty which series exhibited the </w:t>
      </w:r>
      <w:r w:rsidR="00442316">
        <w:t>‘</w:t>
      </w:r>
      <w:r w:rsidRPr="00B26AD7">
        <w:t>correct</w:t>
      </w:r>
      <w:r w:rsidR="00442316">
        <w:t>’</w:t>
      </w:r>
      <w:r w:rsidRPr="00B26AD7">
        <w:t xml:space="preserve"> level of variation over time because both series are estimates of the cost of capital. The Bloomberg series could be more volatile over time because the true cost of equity varied considerably over this time period; or the Bloomberg series could be more volatile because of noise.</w:t>
      </w:r>
    </w:p>
    <w:p w14:paraId="459A70E7" w14:textId="77777777" w:rsidR="00010322" w:rsidRDefault="00FF0A46" w:rsidP="00F22BCB">
      <w:pPr>
        <w:pStyle w:val="Quote"/>
      </w:pPr>
      <w:r w:rsidRPr="00B26AD7">
        <w:t>The Bloomberg series is more sensitive to short-term price fluctuations because analysts do not instantaneously adjust their earnings forecasts every time the share price moves. When there is a large change in the share price, this reflects news about expected cash flows, or news about the risk of those cash flows, or both. If analysts instantaneously adjusted their earnings forecasts every time the share price moved, the news about expected cash flows would be reflected in the share price and the analyst’s earnings forecast. But if the share price changes and analysts do not immediately adjust their earnings forecasts, the movement in the implied cost of capital will be overstated.</w:t>
      </w:r>
      <w:r w:rsidR="00C97DD4" w:rsidRPr="00EB49B2">
        <w:rPr>
          <w:vertAlign w:val="superscript"/>
        </w:rPr>
        <w:footnoteReference w:id="29"/>
      </w:r>
    </w:p>
    <w:tbl>
      <w:tblPr>
        <w:tblStyle w:val="TableGrid"/>
        <w:tblW w:w="0" w:type="auto"/>
        <w:tblInd w:w="108" w:type="dxa"/>
        <w:tblLook w:val="04A0" w:firstRow="1" w:lastRow="0" w:firstColumn="1" w:lastColumn="0" w:noHBand="0" w:noVBand="1"/>
      </w:tblPr>
      <w:tblGrid>
        <w:gridCol w:w="7593"/>
      </w:tblGrid>
      <w:tr w:rsidR="00663504" w14:paraId="4EB646AA" w14:textId="77777777" w:rsidTr="00F1017C">
        <w:tc>
          <w:tcPr>
            <w:tcW w:w="7819" w:type="dxa"/>
          </w:tcPr>
          <w:p w14:paraId="50EA346B" w14:textId="204862B5" w:rsidR="00663504" w:rsidRDefault="0007632E" w:rsidP="00442316">
            <w:pPr>
              <w:pStyle w:val="Questiontext"/>
              <w:keepNext/>
            </w:pPr>
            <w:r w:rsidRPr="002B5D98">
              <w:rPr>
                <w:b/>
              </w:rPr>
              <w:lastRenderedPageBreak/>
              <w:t>Issue 11</w:t>
            </w:r>
            <w:r>
              <w:t>:</w:t>
            </w:r>
            <w:r w:rsidR="00663504">
              <w:t xml:space="preserve"> Is there a better alternative to the current efficient benchmark approach </w:t>
            </w:r>
            <w:r w:rsidR="00442316">
              <w:t xml:space="preserve">for </w:t>
            </w:r>
            <w:r w:rsidR="00663504">
              <w:t>estimating an allowed rate of return for Icon Water?</w:t>
            </w:r>
          </w:p>
          <w:p w14:paraId="43E9D94B" w14:textId="211BE1AF" w:rsidR="00663504" w:rsidRDefault="0007632E" w:rsidP="00442316">
            <w:pPr>
              <w:pStyle w:val="Questiontext"/>
              <w:keepNext/>
            </w:pPr>
            <w:r w:rsidRPr="002B5D98">
              <w:rPr>
                <w:b/>
              </w:rPr>
              <w:t>Issue 12</w:t>
            </w:r>
            <w:r>
              <w:t>:</w:t>
            </w:r>
            <w:r w:rsidR="00663504">
              <w:t xml:space="preserve"> Are there comments about </w:t>
            </w:r>
            <w:r w:rsidR="00291A74">
              <w:t xml:space="preserve">individual WACC </w:t>
            </w:r>
            <w:r w:rsidR="00663504">
              <w:t>parameters</w:t>
            </w:r>
            <w:r w:rsidR="00291A74">
              <w:t xml:space="preserve"> in the current model?</w:t>
            </w:r>
            <w:r w:rsidR="00663504">
              <w:t xml:space="preserve"> </w:t>
            </w:r>
          </w:p>
          <w:p w14:paraId="7D41E5B6" w14:textId="6A301879" w:rsidR="00663504" w:rsidRDefault="0007632E" w:rsidP="00442316">
            <w:pPr>
              <w:pStyle w:val="Questiontext"/>
              <w:keepNext/>
            </w:pPr>
            <w:r w:rsidRPr="002B5D98">
              <w:rPr>
                <w:b/>
              </w:rPr>
              <w:t>Issue 13</w:t>
            </w:r>
            <w:r>
              <w:t>:</w:t>
            </w:r>
            <w:r w:rsidR="00663504">
              <w:t xml:space="preserve"> Does the current value of the equity beta parameter continue to be appropriate?</w:t>
            </w:r>
          </w:p>
          <w:p w14:paraId="641684A8" w14:textId="7755BA6D" w:rsidR="00663504" w:rsidRDefault="0007632E" w:rsidP="00663504">
            <w:pPr>
              <w:pStyle w:val="Questiontext"/>
            </w:pPr>
            <w:r w:rsidRPr="002B5D98">
              <w:rPr>
                <w:b/>
              </w:rPr>
              <w:t>Issue 14</w:t>
            </w:r>
            <w:r>
              <w:t>:</w:t>
            </w:r>
            <w:r w:rsidR="00663504">
              <w:t xml:space="preserve"> Is it appropriate to rely solely on the current single Bloomberg implied measure of the market risk premium to estimate the market risk premium?</w:t>
            </w:r>
          </w:p>
          <w:p w14:paraId="4EEBFF84" w14:textId="6DD2F68D" w:rsidR="00663504" w:rsidRDefault="0007632E" w:rsidP="0007632E">
            <w:pPr>
              <w:pStyle w:val="Questiontext"/>
            </w:pPr>
            <w:r w:rsidRPr="002B5D98">
              <w:rPr>
                <w:b/>
              </w:rPr>
              <w:t>Issue 15</w:t>
            </w:r>
            <w:r>
              <w:t>:</w:t>
            </w:r>
            <w:r w:rsidR="00663504">
              <w:t xml:space="preserve"> If not</w:t>
            </w:r>
            <w:r w:rsidR="00442316">
              <w:t>,</w:t>
            </w:r>
            <w:r w:rsidR="00663504">
              <w:t xml:space="preserve"> what methods should be used to measure the market risk premium?</w:t>
            </w:r>
          </w:p>
        </w:tc>
      </w:tr>
    </w:tbl>
    <w:p w14:paraId="41C1CE2F" w14:textId="77777777" w:rsidR="00EF7B7F" w:rsidRDefault="00EF7B7F" w:rsidP="00EF7B7F">
      <w:pPr>
        <w:pStyle w:val="Heading2"/>
      </w:pPr>
      <w:bookmarkStart w:id="107" w:name="_Toc474915150"/>
      <w:bookmarkStart w:id="108" w:name="_Toc474915408"/>
      <w:bookmarkStart w:id="109" w:name="_Toc475109991"/>
      <w:bookmarkStart w:id="110" w:name="_Toc475604641"/>
      <w:bookmarkStart w:id="111" w:name="_Toc474915151"/>
      <w:bookmarkStart w:id="112" w:name="_Toc474915409"/>
      <w:bookmarkStart w:id="113" w:name="_Toc474915152"/>
      <w:bookmarkStart w:id="114" w:name="_Toc474915410"/>
      <w:bookmarkStart w:id="115" w:name="_Toc474915153"/>
      <w:bookmarkStart w:id="116" w:name="_Toc474915411"/>
      <w:bookmarkStart w:id="117" w:name="_Toc474915154"/>
      <w:bookmarkStart w:id="118" w:name="_Toc474915412"/>
      <w:bookmarkStart w:id="119" w:name="_Toc474915155"/>
      <w:bookmarkStart w:id="120" w:name="_Toc474915413"/>
      <w:bookmarkStart w:id="121" w:name="_Toc47855726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t>Recovery of prudent and efficient costs</w:t>
      </w:r>
      <w:bookmarkEnd w:id="121"/>
    </w:p>
    <w:p w14:paraId="430FC687" w14:textId="2625ED8D" w:rsidR="00970019" w:rsidRDefault="007417BF" w:rsidP="00970019">
      <w:pPr>
        <w:pStyle w:val="Heading3a"/>
      </w:pPr>
      <w:r w:rsidRPr="008C7054">
        <w:t>5</w:t>
      </w:r>
      <w:r w:rsidR="00AF7B19" w:rsidRPr="008C7054">
        <w:t>.2.1</w:t>
      </w:r>
      <w:r w:rsidR="00AF7B19" w:rsidRPr="008C7054">
        <w:tab/>
      </w:r>
      <w:r w:rsidR="00F427AF">
        <w:t>Introduction</w:t>
      </w:r>
    </w:p>
    <w:p w14:paraId="4F4000A2" w14:textId="77777777" w:rsidR="00890996" w:rsidRDefault="00890996" w:rsidP="00E606AB">
      <w:r>
        <w:t xml:space="preserve">The recovery of prudent and efficient costs </w:t>
      </w:r>
      <w:r w:rsidR="00795D25">
        <w:t>is an important requirement for effective economic regu</w:t>
      </w:r>
      <w:r w:rsidR="00065B3F">
        <w:t>lation of a natural monopoly.</w:t>
      </w:r>
      <w:r w:rsidR="00E6005B">
        <w:t xml:space="preserve"> </w:t>
      </w:r>
      <w:r w:rsidR="00795D25">
        <w:t xml:space="preserve">Here, the term ‘prudent’ </w:t>
      </w:r>
      <w:r w:rsidR="00C221F6">
        <w:t xml:space="preserve">means the expenditure was </w:t>
      </w:r>
      <w:r w:rsidR="009244B3">
        <w:t xml:space="preserve">(reasonably) </w:t>
      </w:r>
      <w:r w:rsidR="00C221F6">
        <w:t>necessary in the circumstances</w:t>
      </w:r>
      <w:r w:rsidR="00442316">
        <w:t>,</w:t>
      </w:r>
      <w:r w:rsidR="00C221F6">
        <w:t xml:space="preserve"> whil</w:t>
      </w:r>
      <w:r w:rsidR="009244B3">
        <w:t>e the term ‘efficient’ means</w:t>
      </w:r>
      <w:r w:rsidR="00C221F6">
        <w:t xml:space="preserve"> the cost </w:t>
      </w:r>
      <w:r w:rsidR="00442316">
        <w:t xml:space="preserve">was </w:t>
      </w:r>
      <w:r w:rsidR="00C221F6">
        <w:t>the lowest feasible given the functions performed or nature of the investment.</w:t>
      </w:r>
    </w:p>
    <w:p w14:paraId="65652DA7" w14:textId="77777777" w:rsidR="00F66D36" w:rsidRDefault="00AB5DC7" w:rsidP="00F66D36">
      <w:r w:rsidRPr="008C7054">
        <w:t>T</w:t>
      </w:r>
      <w:r w:rsidR="009244B3" w:rsidRPr="008C7054">
        <w:t>here is a need to under</w:t>
      </w:r>
      <w:r w:rsidR="009244B3">
        <w:t>take efficiency reviews and develop incentive mechanisms to help ensure that costs are efficient.</w:t>
      </w:r>
      <w:r w:rsidR="00E6005B">
        <w:t xml:space="preserve"> </w:t>
      </w:r>
      <w:r w:rsidR="001C4070">
        <w:t xml:space="preserve">Section </w:t>
      </w:r>
      <w:r w:rsidR="00A25FA1">
        <w:t>4</w:t>
      </w:r>
      <w:r w:rsidR="001C4070">
        <w:t>.3 discussed the scope for ex post efficiency reviews of capital expenditure.</w:t>
      </w:r>
      <w:r w:rsidR="00E6005B">
        <w:t xml:space="preserve"> </w:t>
      </w:r>
      <w:r w:rsidR="002822FA">
        <w:t>S</w:t>
      </w:r>
      <w:r w:rsidR="00F33B27">
        <w:t xml:space="preserve">ection </w:t>
      </w:r>
      <w:r w:rsidR="00A25FA1">
        <w:t>5</w:t>
      </w:r>
      <w:r w:rsidR="00F33B27">
        <w:t>.</w:t>
      </w:r>
      <w:r w:rsidR="00FF4251">
        <w:t>3</w:t>
      </w:r>
      <w:r w:rsidR="00F33B27">
        <w:t xml:space="preserve"> </w:t>
      </w:r>
      <w:r w:rsidR="009244B3">
        <w:t>considers mechanisms for</w:t>
      </w:r>
      <w:r w:rsidR="00285BDB">
        <w:t xml:space="preserve"> providing incentives for </w:t>
      </w:r>
      <w:r w:rsidR="009244B3">
        <w:t>efficiency improvements as well as</w:t>
      </w:r>
      <w:r w:rsidR="00285BDB">
        <w:t xml:space="preserve"> for sharing of efficiencies and</w:t>
      </w:r>
      <w:r w:rsidR="009244B3">
        <w:t xml:space="preserve"> cost overruns</w:t>
      </w:r>
      <w:r w:rsidR="00285BDB">
        <w:t xml:space="preserve"> between Icon Water and its customers</w:t>
      </w:r>
      <w:r w:rsidR="009244B3">
        <w:t>.</w:t>
      </w:r>
      <w:r w:rsidR="00E6005B">
        <w:t xml:space="preserve"> </w:t>
      </w:r>
      <w:r w:rsidR="00285BDB">
        <w:t xml:space="preserve">These are aspects of identifying and providing incentives for </w:t>
      </w:r>
      <w:r w:rsidR="00F66D36">
        <w:t>efficient costs.</w:t>
      </w:r>
      <w:r w:rsidR="00E6005B">
        <w:t xml:space="preserve"> </w:t>
      </w:r>
    </w:p>
    <w:p w14:paraId="75954199" w14:textId="6E3EDFCC" w:rsidR="00AB5DC7" w:rsidRDefault="00F66D36" w:rsidP="00F66D36">
      <w:r>
        <w:t xml:space="preserve">This section considers </w:t>
      </w:r>
      <w:r w:rsidR="009244B3">
        <w:t>how costs should be recovered, including the nature, extent and operation of cost</w:t>
      </w:r>
      <w:r w:rsidR="00442316">
        <w:t xml:space="preserve"> </w:t>
      </w:r>
      <w:r w:rsidR="009244B3">
        <w:t>pass</w:t>
      </w:r>
      <w:r w:rsidR="00442316">
        <w:t>-</w:t>
      </w:r>
      <w:r w:rsidR="009244B3">
        <w:t>through arrangements that best meet the regulatory objectives.</w:t>
      </w:r>
      <w:r w:rsidR="00E6005B">
        <w:t xml:space="preserve"> </w:t>
      </w:r>
      <w:r w:rsidR="00442316" w:rsidRPr="00442316">
        <w:t xml:space="preserve"> </w:t>
      </w:r>
      <w:r w:rsidR="00442316">
        <w:t>Preparing estimates of allowed revenue requires consideration of</w:t>
      </w:r>
      <w:r>
        <w:t xml:space="preserve"> how best to recover unexpected </w:t>
      </w:r>
      <w:r w:rsidR="008700A7">
        <w:t xml:space="preserve">non-controllable </w:t>
      </w:r>
      <w:r>
        <w:t>costs as well as how to adjust price</w:t>
      </w:r>
      <w:r w:rsidR="00442316">
        <w:t>s</w:t>
      </w:r>
      <w:r>
        <w:t xml:space="preserve"> when demand outcomes differ from what is assumed.</w:t>
      </w:r>
      <w:r w:rsidR="00E6005B">
        <w:t xml:space="preserve"> </w:t>
      </w:r>
    </w:p>
    <w:p w14:paraId="7A0273EE" w14:textId="77777777" w:rsidR="00C221F6" w:rsidRDefault="00F66D36" w:rsidP="00F66D36">
      <w:r>
        <w:t>The tariff structure is another tool for helping to ensure the recovery of prudent and efficient costs</w:t>
      </w:r>
      <w:r w:rsidR="002A700F">
        <w:t>. Tariffs are</w:t>
      </w:r>
      <w:r>
        <w:t xml:space="preserve"> considered separately in </w:t>
      </w:r>
      <w:r w:rsidR="002A700F">
        <w:t>s</w:t>
      </w:r>
      <w:r>
        <w:t xml:space="preserve">ection </w:t>
      </w:r>
      <w:r w:rsidR="00A25FA1">
        <w:t>5.</w:t>
      </w:r>
      <w:r w:rsidR="00FF4251">
        <w:t>4</w:t>
      </w:r>
      <w:r>
        <w:t xml:space="preserve">, drawing on the findings of the </w:t>
      </w:r>
      <w:r w:rsidR="002A700F">
        <w:t xml:space="preserve">Commission’s </w:t>
      </w:r>
      <w:r>
        <w:t>recent review of the tariff structure</w:t>
      </w:r>
      <w:r w:rsidR="0070283A">
        <w:t>.</w:t>
      </w:r>
      <w:r w:rsidR="00AB5DC7">
        <w:rPr>
          <w:rStyle w:val="FootnoteReference"/>
        </w:rPr>
        <w:footnoteReference w:id="30"/>
      </w:r>
    </w:p>
    <w:p w14:paraId="4B265A49" w14:textId="77777777" w:rsidR="0086272D" w:rsidRDefault="007417BF">
      <w:pPr>
        <w:pStyle w:val="Heading3a"/>
      </w:pPr>
      <w:r>
        <w:lastRenderedPageBreak/>
        <w:t>5</w:t>
      </w:r>
      <w:r w:rsidR="00AF7B19">
        <w:t>.2.2</w:t>
      </w:r>
      <w:r w:rsidR="00AF7B19">
        <w:tab/>
      </w:r>
      <w:r w:rsidR="00566775">
        <w:t>Expenditure risks</w:t>
      </w:r>
    </w:p>
    <w:p w14:paraId="196280DB" w14:textId="77777777" w:rsidR="00B61DB4" w:rsidRPr="002041B5" w:rsidRDefault="00AA6745" w:rsidP="00B61DB4">
      <w:r>
        <w:t>This section considers mechanisms to address unexpected changes in non-controllable expenditure.</w:t>
      </w:r>
      <w:r w:rsidR="00E6005B">
        <w:t xml:space="preserve"> </w:t>
      </w:r>
      <w:r w:rsidR="00B61DB4">
        <w:t xml:space="preserve">Various </w:t>
      </w:r>
      <w:r w:rsidR="00B61DB4" w:rsidRPr="002041B5">
        <w:t>cost pass</w:t>
      </w:r>
      <w:r w:rsidR="002A700F">
        <w:t>-</w:t>
      </w:r>
      <w:r w:rsidR="00B61DB4" w:rsidRPr="002041B5">
        <w:t>through mechanisms have been developed to allow defined unexpected costs that arise during the regulatory period to be passed through to customers either within the regulatory period or across future regulatory periods.</w:t>
      </w:r>
    </w:p>
    <w:p w14:paraId="72F61F55" w14:textId="77777777" w:rsidR="00DB4C68" w:rsidRPr="002A700F" w:rsidRDefault="009150C2" w:rsidP="00EE6B17">
      <w:pPr>
        <w:pStyle w:val="Heading4a"/>
        <w:rPr>
          <w:lang w:val="en-US"/>
        </w:rPr>
      </w:pPr>
      <w:r w:rsidRPr="002A700F">
        <w:rPr>
          <w:lang w:val="en-US"/>
        </w:rPr>
        <w:t xml:space="preserve">Controllable and </w:t>
      </w:r>
      <w:r w:rsidR="00A25FA1" w:rsidRPr="002A700F">
        <w:rPr>
          <w:lang w:val="en-US"/>
        </w:rPr>
        <w:t>n</w:t>
      </w:r>
      <w:r w:rsidR="00DB4C68" w:rsidRPr="002A700F">
        <w:rPr>
          <w:lang w:val="en-US"/>
        </w:rPr>
        <w:t>on-controllable expenditure risks</w:t>
      </w:r>
      <w:r w:rsidR="00CE5DDF" w:rsidRPr="002A700F">
        <w:rPr>
          <w:lang w:val="en-US"/>
        </w:rPr>
        <w:t xml:space="preserve"> and cost</w:t>
      </w:r>
      <w:r w:rsidR="002A700F" w:rsidRPr="002A700F">
        <w:rPr>
          <w:lang w:val="en-US"/>
        </w:rPr>
        <w:t>-</w:t>
      </w:r>
      <w:r w:rsidR="00CE5DDF" w:rsidRPr="002A700F">
        <w:rPr>
          <w:lang w:val="en-US"/>
        </w:rPr>
        <w:t>sharing</w:t>
      </w:r>
    </w:p>
    <w:p w14:paraId="671CEE8C" w14:textId="77777777" w:rsidR="00B61DB4" w:rsidRPr="002041B5" w:rsidRDefault="00E42FC4" w:rsidP="00B61DB4">
      <w:r>
        <w:t>For</w:t>
      </w:r>
      <w:r w:rsidR="00B61DB4" w:rsidRPr="002041B5">
        <w:t xml:space="preserve"> cost-pass through mechanisms </w:t>
      </w:r>
      <w:r>
        <w:t xml:space="preserve">that </w:t>
      </w:r>
      <w:r w:rsidR="00B61DB4" w:rsidRPr="002041B5">
        <w:t xml:space="preserve">relate to </w:t>
      </w:r>
      <w:r w:rsidR="002A700F">
        <w:t xml:space="preserve">non-controllable costs (i.e. </w:t>
      </w:r>
      <w:r w:rsidR="00B61DB4" w:rsidRPr="002041B5">
        <w:t>costs that the regulated entity has no or very limited control over</w:t>
      </w:r>
      <w:r w:rsidR="002A700F">
        <w:t>)</w:t>
      </w:r>
      <w:r>
        <w:t xml:space="preserve">, </w:t>
      </w:r>
      <w:r w:rsidR="00B61DB4" w:rsidRPr="002041B5">
        <w:t xml:space="preserve">various criteria </w:t>
      </w:r>
      <w:r w:rsidR="0070283A">
        <w:t>can be</w:t>
      </w:r>
      <w:r w:rsidR="00B61DB4" w:rsidRPr="002041B5">
        <w:t xml:space="preserve"> defined in the regulatory arrangements specifying what can be passed through and how it is to be passed through.</w:t>
      </w:r>
      <w:r w:rsidR="00E6005B">
        <w:t xml:space="preserve"> </w:t>
      </w:r>
      <w:r w:rsidR="0070283A">
        <w:t>For controllable costs, t</w:t>
      </w:r>
      <w:r w:rsidR="00B61DB4" w:rsidRPr="002041B5">
        <w:t>he incentive and auditing arrangements</w:t>
      </w:r>
      <w:r w:rsidR="00F33B27" w:rsidRPr="002041B5">
        <w:t xml:space="preserve"> for operating and capital expenditures</w:t>
      </w:r>
      <w:r w:rsidR="00B61DB4" w:rsidRPr="002041B5">
        <w:t xml:space="preserve"> and</w:t>
      </w:r>
      <w:r w:rsidR="00F33B27" w:rsidRPr="002041B5">
        <w:t xml:space="preserve"> the</w:t>
      </w:r>
      <w:r w:rsidR="00B61DB4" w:rsidRPr="002041B5">
        <w:t xml:space="preserve"> cost allowance</w:t>
      </w:r>
      <w:r w:rsidR="0059141B">
        <w:t>s</w:t>
      </w:r>
      <w:r w:rsidR="00B61DB4" w:rsidRPr="002041B5">
        <w:t xml:space="preserve"> should be designed so that there is no need to consider </w:t>
      </w:r>
      <w:r w:rsidR="0070283A">
        <w:t>additional arrangements to compensate for the risks associated with these</w:t>
      </w:r>
      <w:r w:rsidR="00B61DB4" w:rsidRPr="002041B5">
        <w:t xml:space="preserve"> costs.</w:t>
      </w:r>
      <w:r w:rsidR="00E6005B">
        <w:t xml:space="preserve"> </w:t>
      </w:r>
      <w:r w:rsidR="00F33B27" w:rsidRPr="002041B5">
        <w:t>E</w:t>
      </w:r>
      <w:r w:rsidR="00CE5DDF" w:rsidRPr="002041B5">
        <w:t xml:space="preserve">fficiency incentive schemes for operating expenditure and capital expenditure should </w:t>
      </w:r>
      <w:r w:rsidR="00F33B27" w:rsidRPr="002041B5">
        <w:t xml:space="preserve">also </w:t>
      </w:r>
      <w:r w:rsidR="00CE5DDF" w:rsidRPr="002041B5">
        <w:t xml:space="preserve">be designed to be complementary to </w:t>
      </w:r>
      <w:r w:rsidR="0070283A">
        <w:t xml:space="preserve">any </w:t>
      </w:r>
      <w:r w:rsidR="00CE5DDF" w:rsidRPr="002041B5">
        <w:t>cost pass</w:t>
      </w:r>
      <w:r w:rsidR="002A700F">
        <w:t>-</w:t>
      </w:r>
      <w:r w:rsidR="00CE5DDF" w:rsidRPr="002041B5">
        <w:t>through mechanisms.</w:t>
      </w:r>
    </w:p>
    <w:p w14:paraId="5BF855A3" w14:textId="77777777" w:rsidR="00E612E7" w:rsidRPr="002041B5" w:rsidRDefault="00B61DB4" w:rsidP="00B61DB4">
      <w:r w:rsidRPr="002041B5">
        <w:t xml:space="preserve">A threshold issue </w:t>
      </w:r>
      <w:r w:rsidR="00EF07A9">
        <w:t>for</w:t>
      </w:r>
      <w:r w:rsidRPr="002041B5">
        <w:t xml:space="preserve"> non-controllable </w:t>
      </w:r>
      <w:r w:rsidR="00EF07A9">
        <w:t xml:space="preserve">costs </w:t>
      </w:r>
      <w:r w:rsidRPr="002041B5">
        <w:t>is the extent to which they should be explicitly fully recovered with separate cost pass</w:t>
      </w:r>
      <w:r w:rsidR="00EF07A9">
        <w:t>-</w:t>
      </w:r>
      <w:r w:rsidRPr="002041B5">
        <w:t>through provisions.</w:t>
      </w:r>
      <w:r w:rsidR="00E6005B">
        <w:t xml:space="preserve"> </w:t>
      </w:r>
      <w:r w:rsidR="0090629C" w:rsidRPr="002041B5">
        <w:t>In this respect</w:t>
      </w:r>
      <w:r w:rsidR="00EF07A9">
        <w:t>,</w:t>
      </w:r>
      <w:r w:rsidR="0090629C" w:rsidRPr="002041B5">
        <w:t xml:space="preserve"> it should be recogni</w:t>
      </w:r>
      <w:r w:rsidR="00BB7F70">
        <w:t>s</w:t>
      </w:r>
      <w:r w:rsidR="0090629C" w:rsidRPr="002041B5">
        <w:t>ed that the benchmar</w:t>
      </w:r>
      <w:r w:rsidR="0090629C" w:rsidRPr="00183FFE">
        <w:t>k cost of capital me</w:t>
      </w:r>
      <w:r w:rsidR="0090629C" w:rsidRPr="002041B5">
        <w:t>thodology that is used to set the allowed rate of return does not provide an allowance for risks that are specific to a business (as opposed to risk</w:t>
      </w:r>
      <w:r w:rsidR="00183FFE">
        <w:t>s</w:t>
      </w:r>
      <w:r w:rsidR="0090629C" w:rsidRPr="002041B5">
        <w:t xml:space="preserve"> related to general economic developments)</w:t>
      </w:r>
      <w:r w:rsidR="00F33B27" w:rsidRPr="002041B5">
        <w:t>.</w:t>
      </w:r>
      <w:r w:rsidR="00E6005B">
        <w:t xml:space="preserve"> </w:t>
      </w:r>
      <w:r w:rsidR="00F33B27" w:rsidRPr="002041B5">
        <w:t>This is</w:t>
      </w:r>
      <w:r w:rsidR="0090629C" w:rsidRPr="002041B5">
        <w:t xml:space="preserve"> because the underlying methodology assumes that business risks can be effectively diversified by investors so that there is no additional risk component required in the benchmark rate of return to induce efficient financing.</w:t>
      </w:r>
      <w:r w:rsidR="00E6005B">
        <w:t xml:space="preserve"> </w:t>
      </w:r>
      <w:r w:rsidR="00231D5C">
        <w:t>In other words</w:t>
      </w:r>
      <w:r w:rsidR="00EF07A9">
        <w:t>,</w:t>
      </w:r>
      <w:r w:rsidR="00231D5C">
        <w:t xml:space="preserve"> the application of the CAPM assumes that the only non-controllable risk is </w:t>
      </w:r>
      <w:r w:rsidR="00EF07A9">
        <w:t xml:space="preserve">the </w:t>
      </w:r>
      <w:r w:rsidR="00231D5C">
        <w:t>market risk</w:t>
      </w:r>
      <w:r w:rsidR="00EF07A9">
        <w:t xml:space="preserve"> </w:t>
      </w:r>
      <w:r w:rsidR="0059141B">
        <w:t xml:space="preserve">relevant to the firm or </w:t>
      </w:r>
      <w:r w:rsidR="00EF07A9">
        <w:t xml:space="preserve">the </w:t>
      </w:r>
      <w:r w:rsidR="0059141B">
        <w:t>investment,</w:t>
      </w:r>
      <w:r w:rsidR="00231D5C">
        <w:t xml:space="preserve"> as reflected in the product of the beta parameter and the market risk premium in the CAPM</w:t>
      </w:r>
      <w:r w:rsidR="00EF07A9">
        <w:t>. A</w:t>
      </w:r>
      <w:r w:rsidR="00231D5C">
        <w:t xml:space="preserve">ll </w:t>
      </w:r>
      <w:r w:rsidR="00573DA7">
        <w:t xml:space="preserve">other </w:t>
      </w:r>
      <w:r w:rsidR="00231D5C">
        <w:t>business</w:t>
      </w:r>
      <w:r w:rsidR="00EF07A9">
        <w:t>-</w:t>
      </w:r>
      <w:r w:rsidR="00231D5C">
        <w:t xml:space="preserve">specific non-controllable risks are not relevant because they can be effectively diversified away by investors. </w:t>
      </w:r>
    </w:p>
    <w:p w14:paraId="60FA33D1" w14:textId="77777777" w:rsidR="00B61DB4" w:rsidRPr="002041B5" w:rsidRDefault="0090629C" w:rsidP="00B61DB4">
      <w:r w:rsidRPr="002041B5">
        <w:t>However, regulators typically still allow some recovery of business</w:t>
      </w:r>
      <w:r w:rsidR="00EF07A9">
        <w:t>-</w:t>
      </w:r>
      <w:r w:rsidRPr="002041B5">
        <w:t>specific risk when the standard cost of capital methodology is used.</w:t>
      </w:r>
      <w:r w:rsidR="00E6005B">
        <w:t xml:space="preserve"> </w:t>
      </w:r>
      <w:r w:rsidRPr="002041B5">
        <w:t xml:space="preserve">This </w:t>
      </w:r>
      <w:r w:rsidR="00EF07A9">
        <w:t>is done in</w:t>
      </w:r>
      <w:r w:rsidRPr="002041B5">
        <w:t xml:space="preserve"> recognition that regulation effectively puts a cap on upside profit potential and it is valid to set a </w:t>
      </w:r>
      <w:r w:rsidR="00E42FC4">
        <w:t>symmetric floor to downside risk</w:t>
      </w:r>
      <w:r w:rsidR="00183FFE">
        <w:t>.</w:t>
      </w:r>
      <w:r w:rsidR="00E612E7" w:rsidRPr="00E42FC4">
        <w:rPr>
          <w:vertAlign w:val="superscript"/>
        </w:rPr>
        <w:footnoteReference w:id="31"/>
      </w:r>
      <w:r w:rsidR="00E6005B">
        <w:t xml:space="preserve"> </w:t>
      </w:r>
      <w:r w:rsidRPr="002041B5">
        <w:t>However, this in turn implies there is less scope for variability in realised returns</w:t>
      </w:r>
      <w:r w:rsidR="00EF07A9">
        <w:t>,</w:t>
      </w:r>
      <w:r w:rsidRPr="002041B5">
        <w:t xml:space="preserve"> which should in turn </w:t>
      </w:r>
      <w:r w:rsidR="00EF07A9">
        <w:t>affect</w:t>
      </w:r>
      <w:r w:rsidRPr="002041B5">
        <w:t xml:space="preserve"> the allowed cost of c</w:t>
      </w:r>
      <w:r w:rsidR="00E42FC4">
        <w:t>apital for regulatory purposes if the reduction in risk is material.</w:t>
      </w:r>
    </w:p>
    <w:p w14:paraId="79A2BE73" w14:textId="77777777" w:rsidR="00762C4C" w:rsidRPr="002041B5" w:rsidRDefault="0090629C" w:rsidP="00B61DB4">
      <w:r w:rsidRPr="002041B5">
        <w:t xml:space="preserve">Another point about compensation for the risk of unexpected non-controllable expenditure is that full compensation is likely to effectively eliminate the incentive </w:t>
      </w:r>
      <w:r w:rsidR="00EF07A9">
        <w:t>for</w:t>
      </w:r>
      <w:r w:rsidR="00EF07A9" w:rsidRPr="002041B5">
        <w:t xml:space="preserve"> </w:t>
      </w:r>
      <w:r w:rsidRPr="002041B5">
        <w:t xml:space="preserve">the regulated firm to </w:t>
      </w:r>
      <w:r w:rsidR="00EF07A9">
        <w:t>make</w:t>
      </w:r>
      <w:r w:rsidR="00EF07A9" w:rsidRPr="002041B5">
        <w:t xml:space="preserve"> </w:t>
      </w:r>
      <w:r w:rsidRPr="002041B5">
        <w:t>an effort to manage</w:t>
      </w:r>
      <w:r w:rsidR="00EF07A9">
        <w:t>,</w:t>
      </w:r>
      <w:r w:rsidRPr="002041B5">
        <w:t xml:space="preserve"> avoid or minimi</w:t>
      </w:r>
      <w:r w:rsidR="0059141B">
        <w:t>s</w:t>
      </w:r>
      <w:r w:rsidRPr="002041B5">
        <w:t>e the impact of such ris</w:t>
      </w:r>
      <w:r w:rsidRPr="00183FFE">
        <w:t>ks.</w:t>
      </w:r>
      <w:r w:rsidR="00E6005B" w:rsidRPr="00183FFE">
        <w:t xml:space="preserve"> </w:t>
      </w:r>
      <w:r w:rsidRPr="00183FFE">
        <w:t xml:space="preserve">There are </w:t>
      </w:r>
      <w:r w:rsidR="00D63462" w:rsidRPr="00183FFE">
        <w:t xml:space="preserve">also </w:t>
      </w:r>
      <w:r w:rsidRPr="00183FFE">
        <w:t>likely to be m</w:t>
      </w:r>
      <w:r w:rsidRPr="002041B5">
        <w:t xml:space="preserve">any </w:t>
      </w:r>
      <w:r w:rsidR="00183FFE">
        <w:t>instances</w:t>
      </w:r>
      <w:r w:rsidR="00183FFE" w:rsidRPr="002041B5">
        <w:t xml:space="preserve"> </w:t>
      </w:r>
      <w:r w:rsidRPr="00183FFE">
        <w:t>where it is</w:t>
      </w:r>
      <w:r w:rsidRPr="002041B5">
        <w:t xml:space="preserve"> difficult to confirm that the business has no influence over the risks.</w:t>
      </w:r>
      <w:r w:rsidR="00E6005B">
        <w:t xml:space="preserve"> </w:t>
      </w:r>
    </w:p>
    <w:p w14:paraId="737146B3" w14:textId="77777777" w:rsidR="00762C4C" w:rsidRPr="002041B5" w:rsidRDefault="0090629C" w:rsidP="00A03B1F">
      <w:r w:rsidRPr="002041B5">
        <w:lastRenderedPageBreak/>
        <w:t xml:space="preserve">In </w:t>
      </w:r>
      <w:r w:rsidR="009150C2" w:rsidRPr="002041B5">
        <w:t>addition,</w:t>
      </w:r>
      <w:r w:rsidRPr="002041B5">
        <w:t xml:space="preserve"> there are s</w:t>
      </w:r>
      <w:r w:rsidRPr="00183FFE">
        <w:t xml:space="preserve">ome </w:t>
      </w:r>
      <w:r w:rsidRPr="006326B7">
        <w:t>risks</w:t>
      </w:r>
      <w:r w:rsidR="00EF07A9" w:rsidRPr="006326B7">
        <w:t xml:space="preserve"> (</w:t>
      </w:r>
      <w:r w:rsidRPr="006326B7">
        <w:t>e.g. reg</w:t>
      </w:r>
      <w:r w:rsidRPr="00183FFE">
        <w:t xml:space="preserve">ulatory </w:t>
      </w:r>
      <w:r w:rsidR="00DB4C68" w:rsidRPr="006326B7">
        <w:t>ris</w:t>
      </w:r>
      <w:r w:rsidR="00DB4C68" w:rsidRPr="00183FFE">
        <w:t>ks</w:t>
      </w:r>
      <w:r w:rsidR="005C30B1" w:rsidRPr="006326B7">
        <w:t xml:space="preserve"> associated with the regulator chan</w:t>
      </w:r>
      <w:r w:rsidR="009444B8" w:rsidRPr="006326B7">
        <w:t>g</w:t>
      </w:r>
      <w:r w:rsidR="005C30B1" w:rsidRPr="006326B7">
        <w:t>ing its approach</w:t>
      </w:r>
      <w:r w:rsidR="005C30B1" w:rsidRPr="00183FFE">
        <w:t xml:space="preserve"> to non-controllable expenditure</w:t>
      </w:r>
      <w:r w:rsidR="00EF07A9" w:rsidRPr="006326B7">
        <w:t>)</w:t>
      </w:r>
      <w:r w:rsidR="005C30B1" w:rsidRPr="006326B7">
        <w:t xml:space="preserve"> whe</w:t>
      </w:r>
      <w:r w:rsidR="005C30B1" w:rsidRPr="00183FFE">
        <w:t>re</w:t>
      </w:r>
      <w:r w:rsidR="005C30B1" w:rsidRPr="006326B7">
        <w:t xml:space="preserve"> the</w:t>
      </w:r>
      <w:r w:rsidR="005C30B1">
        <w:t xml:space="preserve"> business’s control of the expenditure is limited but</w:t>
      </w:r>
      <w:r w:rsidR="00A03B1F">
        <w:t xml:space="preserve"> the business as a stakeholder should be an advocate for the most effective and efficient solutions.</w:t>
      </w:r>
      <w:r w:rsidR="00E6005B">
        <w:t xml:space="preserve"> </w:t>
      </w:r>
      <w:r w:rsidR="009444B8">
        <w:t xml:space="preserve">However, the business would have limited incentive to advocate </w:t>
      </w:r>
      <w:r w:rsidR="00EE6B17">
        <w:t xml:space="preserve">for </w:t>
      </w:r>
      <w:r w:rsidR="009444B8">
        <w:t>effective solutions</w:t>
      </w:r>
      <w:r w:rsidR="00BB7F70">
        <w:t xml:space="preserve"> if</w:t>
      </w:r>
      <w:r w:rsidR="00E42FC4">
        <w:t xml:space="preserve"> associated costs w</w:t>
      </w:r>
      <w:r w:rsidR="00DB4C68" w:rsidRPr="002041B5">
        <w:t>ere automatically fully passed through.</w:t>
      </w:r>
      <w:r w:rsidR="00E6005B">
        <w:t xml:space="preserve"> </w:t>
      </w:r>
    </w:p>
    <w:p w14:paraId="5BB223DB" w14:textId="77777777" w:rsidR="00762C4C" w:rsidRPr="002041B5" w:rsidRDefault="00762C4C" w:rsidP="00762C4C">
      <w:r w:rsidRPr="002041B5">
        <w:t>It should also be recogni</w:t>
      </w:r>
      <w:r w:rsidR="0064511C">
        <w:t>s</w:t>
      </w:r>
      <w:r w:rsidRPr="002041B5">
        <w:t>ed that there is upside risk as well as downside risk for the regulated entity</w:t>
      </w:r>
      <w:r w:rsidR="0059141B">
        <w:t>,</w:t>
      </w:r>
      <w:r w:rsidRPr="002041B5">
        <w:t xml:space="preserve"> and that there is a risk that </w:t>
      </w:r>
      <w:r w:rsidR="00EE6B17">
        <w:t xml:space="preserve">the entity may tend to characterise </w:t>
      </w:r>
      <w:r w:rsidRPr="002041B5">
        <w:t xml:space="preserve">cost increases as outside its control </w:t>
      </w:r>
      <w:r w:rsidR="00EE6B17">
        <w:t>and</w:t>
      </w:r>
      <w:r w:rsidR="00EE6B17" w:rsidRPr="002041B5">
        <w:t xml:space="preserve"> </w:t>
      </w:r>
      <w:r w:rsidRPr="002041B5">
        <w:t>cost decreases as within its control.</w:t>
      </w:r>
      <w:r w:rsidR="00E6005B">
        <w:t xml:space="preserve"> </w:t>
      </w:r>
      <w:r w:rsidR="0070283A">
        <w:t>The Commission considers that it is generally not likely that</w:t>
      </w:r>
      <w:r w:rsidR="00E42FC4">
        <w:t xml:space="preserve"> this would constitute </w:t>
      </w:r>
      <w:r w:rsidRPr="002041B5">
        <w:t>a net bene</w:t>
      </w:r>
      <w:r w:rsidR="00E42FC4">
        <w:t>fit to customers in the long term</w:t>
      </w:r>
      <w:r w:rsidRPr="002041B5">
        <w:t>.</w:t>
      </w:r>
    </w:p>
    <w:p w14:paraId="5C1678E0" w14:textId="77777777" w:rsidR="0090629C" w:rsidRPr="002041B5" w:rsidRDefault="00762C4C" w:rsidP="00B61DB4">
      <w:r w:rsidRPr="002041B5">
        <w:t>A final point is that t</w:t>
      </w:r>
      <w:r w:rsidR="00700559" w:rsidRPr="002041B5">
        <w:t xml:space="preserve">he provision for the regulated business to share some of the risk for non-controllable events has an analogy in the existence of deductibles in insurance policies. </w:t>
      </w:r>
    </w:p>
    <w:p w14:paraId="65280DED" w14:textId="77777777" w:rsidR="00E612E7" w:rsidRPr="002041B5" w:rsidRDefault="00E612E7" w:rsidP="00B61DB4">
      <w:r w:rsidRPr="002041B5">
        <w:t>These considerations provide a justification for limiting the nature and materiality of events that lead to automatic and full cost pass</w:t>
      </w:r>
      <w:r w:rsidR="00EE6B17">
        <w:t>-</w:t>
      </w:r>
      <w:r w:rsidRPr="002041B5">
        <w:t>through for unexpected c</w:t>
      </w:r>
      <w:r w:rsidR="00CE5DDF" w:rsidRPr="002041B5">
        <w:t>ost changes and the extent of cost pass</w:t>
      </w:r>
      <w:r w:rsidR="00EE6B17">
        <w:t>-</w:t>
      </w:r>
      <w:r w:rsidR="00CE5DDF" w:rsidRPr="002041B5">
        <w:t>through that is allowed.</w:t>
      </w:r>
      <w:r w:rsidR="00E6005B">
        <w:t xml:space="preserve"> </w:t>
      </w:r>
      <w:r w:rsidR="00E42FC4">
        <w:t>However, the extent to which there should be less than full automatic cost pass</w:t>
      </w:r>
      <w:r w:rsidR="00EE6B17">
        <w:t>-</w:t>
      </w:r>
      <w:r w:rsidR="00E42FC4">
        <w:t xml:space="preserve">through is a matter for consultation and the application of regulatory judgement. </w:t>
      </w:r>
    </w:p>
    <w:p w14:paraId="4CAB3429" w14:textId="77777777" w:rsidR="00B61DB4" w:rsidRPr="00EE6B17" w:rsidRDefault="00D03FE1" w:rsidP="00EE6B17">
      <w:pPr>
        <w:pStyle w:val="Heading4a"/>
        <w:rPr>
          <w:lang w:val="en-US"/>
        </w:rPr>
      </w:pPr>
      <w:r w:rsidRPr="00EE6B17">
        <w:rPr>
          <w:lang w:val="en-US"/>
        </w:rPr>
        <w:t>Basic c</w:t>
      </w:r>
      <w:r w:rsidR="009758FD" w:rsidRPr="00EE6B17">
        <w:rPr>
          <w:lang w:val="en-US"/>
        </w:rPr>
        <w:t>ost pass</w:t>
      </w:r>
      <w:r w:rsidR="00EE6B17">
        <w:rPr>
          <w:lang w:val="en-US"/>
        </w:rPr>
        <w:t>-</w:t>
      </w:r>
      <w:r w:rsidR="009758FD" w:rsidRPr="00EE6B17">
        <w:rPr>
          <w:lang w:val="en-US"/>
        </w:rPr>
        <w:t>through mechanisms</w:t>
      </w:r>
    </w:p>
    <w:p w14:paraId="5EFCD46C" w14:textId="4EDEDBF0" w:rsidR="005426D5" w:rsidRPr="002041B5" w:rsidRDefault="005426D5" w:rsidP="00B61DB4">
      <w:r w:rsidRPr="002041B5">
        <w:t>Cost pass</w:t>
      </w:r>
      <w:r w:rsidR="00EE6B17">
        <w:t>-</w:t>
      </w:r>
      <w:r w:rsidRPr="002041B5">
        <w:t xml:space="preserve">through mechanisms can include </w:t>
      </w:r>
      <w:r w:rsidR="00700559" w:rsidRPr="002041B5">
        <w:t xml:space="preserve">pre-approved, </w:t>
      </w:r>
      <w:r w:rsidRPr="002041B5">
        <w:t>automatic pass</w:t>
      </w:r>
      <w:r w:rsidR="00EE6B17">
        <w:t>-</w:t>
      </w:r>
      <w:r w:rsidRPr="002041B5">
        <w:t>thro</w:t>
      </w:r>
      <w:r w:rsidR="00762C4C" w:rsidRPr="002041B5">
        <w:t xml:space="preserve">ugh of defined specific costs; </w:t>
      </w:r>
      <w:r w:rsidRPr="002041B5">
        <w:t>a ‘Z’ factor a</w:t>
      </w:r>
      <w:r w:rsidR="00700559" w:rsidRPr="002041B5">
        <w:t xml:space="preserve">djustment to annual prices for specified items but </w:t>
      </w:r>
      <w:r w:rsidR="00EE6B17">
        <w:t xml:space="preserve">with </w:t>
      </w:r>
      <w:r w:rsidR="00EE6B17" w:rsidRPr="006326B7">
        <w:t xml:space="preserve">a requirement for </w:t>
      </w:r>
      <w:r w:rsidR="00700559" w:rsidRPr="006326B7">
        <w:t>regu</w:t>
      </w:r>
      <w:r w:rsidR="00700559" w:rsidRPr="002041B5">
        <w:t>latory approval; and provisions for reopening part or all of a regulatory determination.</w:t>
      </w:r>
      <w:r w:rsidR="00E6005B">
        <w:t xml:space="preserve"> </w:t>
      </w:r>
      <w:r w:rsidR="00762C4C" w:rsidRPr="002041B5">
        <w:t xml:space="preserve">All of these measures require criteria to guide their application. </w:t>
      </w:r>
    </w:p>
    <w:p w14:paraId="246E10AC" w14:textId="77777777" w:rsidR="00D63462" w:rsidRDefault="00D63462" w:rsidP="00EE6B17">
      <w:pPr>
        <w:pStyle w:val="Bodybulletintro"/>
      </w:pPr>
      <w:r w:rsidRPr="002041B5">
        <w:t>A regulator’s decision to employ any of these tools will depend on how significant it</w:t>
      </w:r>
      <w:r>
        <w:rPr>
          <w:color w:val="231F20"/>
        </w:rPr>
        <w:t xml:space="preserve"> considers the</w:t>
      </w:r>
      <w:r>
        <w:rPr>
          <w:color w:val="231F20"/>
          <w:spacing w:val="-14"/>
        </w:rPr>
        <w:t xml:space="preserve"> </w:t>
      </w:r>
      <w:r>
        <w:rPr>
          <w:color w:val="231F20"/>
        </w:rPr>
        <w:t>risks to be and the relative importance it places</w:t>
      </w:r>
      <w:r>
        <w:rPr>
          <w:color w:val="231F20"/>
          <w:spacing w:val="-9"/>
        </w:rPr>
        <w:t xml:space="preserve"> </w:t>
      </w:r>
      <w:r>
        <w:rPr>
          <w:color w:val="231F20"/>
        </w:rPr>
        <w:t>on:</w:t>
      </w:r>
    </w:p>
    <w:p w14:paraId="2D825D5E" w14:textId="77777777" w:rsidR="00D63462" w:rsidRPr="00D63462" w:rsidRDefault="00D63462" w:rsidP="00D63462">
      <w:pPr>
        <w:pStyle w:val="Bullet"/>
      </w:pPr>
      <w:r w:rsidRPr="00D63462">
        <w:t>providing the regulated business with an opportunity to recover efficient costs;</w:t>
      </w:r>
    </w:p>
    <w:p w14:paraId="7D44B28A" w14:textId="77777777" w:rsidR="00D63462" w:rsidRPr="00D63462" w:rsidRDefault="00D63462" w:rsidP="00D63462">
      <w:pPr>
        <w:pStyle w:val="Bullet"/>
      </w:pPr>
      <w:r w:rsidRPr="00D63462">
        <w:t>providing the regulated business with incentives to pursue efficiency gains and to minimise or manage risk;</w:t>
      </w:r>
    </w:p>
    <w:p w14:paraId="4F825EB4" w14:textId="77777777" w:rsidR="00D63462" w:rsidRPr="00D63462" w:rsidRDefault="008700A7" w:rsidP="00D63462">
      <w:pPr>
        <w:pStyle w:val="Bullet"/>
      </w:pPr>
      <w:r>
        <w:t xml:space="preserve">providing </w:t>
      </w:r>
      <w:r w:rsidR="00D63462" w:rsidRPr="00D63462">
        <w:t xml:space="preserve">price stability over the regulatory period; and </w:t>
      </w:r>
    </w:p>
    <w:p w14:paraId="577801EC" w14:textId="77777777" w:rsidR="00D63462" w:rsidRPr="00D63462" w:rsidRDefault="00D63462" w:rsidP="00EE6B17">
      <w:pPr>
        <w:pStyle w:val="BulletLast"/>
      </w:pPr>
      <w:proofErr w:type="gramStart"/>
      <w:r>
        <w:t>minimising</w:t>
      </w:r>
      <w:proofErr w:type="gramEnd"/>
      <w:r>
        <w:t xml:space="preserve"> regulatory costs.</w:t>
      </w:r>
    </w:p>
    <w:p w14:paraId="31EE8F1B" w14:textId="77777777" w:rsidR="00B61DB4" w:rsidRPr="005426D5" w:rsidRDefault="009758FD" w:rsidP="00EE6B17">
      <w:pPr>
        <w:pStyle w:val="Heading4a"/>
      </w:pPr>
      <w:r w:rsidRPr="005426D5">
        <w:lastRenderedPageBreak/>
        <w:t>Measures currently used to deal with Icon Water’s expenditure risks</w:t>
      </w:r>
    </w:p>
    <w:p w14:paraId="27F4C684" w14:textId="77777777" w:rsidR="00D63462" w:rsidRDefault="00D63462" w:rsidP="008700A7">
      <w:pPr>
        <w:pStyle w:val="Bodybulletintro"/>
      </w:pPr>
      <w:r>
        <w:t>The main measures that are currently used to deal with the risk that Icon Water’s actual expenditure will differ from forecast expenditure are</w:t>
      </w:r>
      <w:r w:rsidR="0070283A">
        <w:t>:</w:t>
      </w:r>
      <w:r>
        <w:rPr>
          <w:rStyle w:val="FootnoteReference"/>
          <w:color w:val="231F20"/>
        </w:rPr>
        <w:footnoteReference w:id="32"/>
      </w:r>
    </w:p>
    <w:p w14:paraId="74708945" w14:textId="77777777" w:rsidR="00F970B0" w:rsidRPr="00155C33" w:rsidRDefault="00F970B0" w:rsidP="00155C33">
      <w:pPr>
        <w:pStyle w:val="Bullet"/>
      </w:pPr>
      <w:r w:rsidRPr="00155C33">
        <w:t>a CPI escalation mechanism</w:t>
      </w:r>
      <w:r w:rsidR="00D63462" w:rsidRPr="00155C33">
        <w:t xml:space="preserve"> to provide protection against unexpected general inflation</w:t>
      </w:r>
      <w:r w:rsidR="000F51F2" w:rsidRPr="00155C33">
        <w:t>;</w:t>
      </w:r>
    </w:p>
    <w:p w14:paraId="1C4F1BAC" w14:textId="77777777" w:rsidR="000F51F2" w:rsidRPr="00155C33" w:rsidRDefault="00F970B0" w:rsidP="00155C33">
      <w:pPr>
        <w:pStyle w:val="Bullet"/>
      </w:pPr>
      <w:proofErr w:type="gramStart"/>
      <w:r w:rsidRPr="00155C33">
        <w:t>a</w:t>
      </w:r>
      <w:r w:rsidR="000F51F2" w:rsidRPr="00155C33">
        <w:t>n</w:t>
      </w:r>
      <w:proofErr w:type="gramEnd"/>
      <w:r w:rsidR="000F51F2" w:rsidRPr="00155C33">
        <w:t xml:space="preserve"> annual</w:t>
      </w:r>
      <w:r w:rsidRPr="00155C33">
        <w:t xml:space="preserve"> cost pass-through mechanism</w:t>
      </w:r>
      <w:r w:rsidR="000F51F2" w:rsidRPr="00155C33">
        <w:t xml:space="preserve"> to provide Icon Water and customers with some protection against material changes (positive and negative) in specified </w:t>
      </w:r>
      <w:r w:rsidR="008700A7">
        <w:t>non-</w:t>
      </w:r>
      <w:r w:rsidR="000F51F2" w:rsidRPr="00155C33">
        <w:t>contr</w:t>
      </w:r>
      <w:r w:rsidR="0070283A">
        <w:t xml:space="preserve">ollable costs over the </w:t>
      </w:r>
      <w:r w:rsidR="006326B7">
        <w:t xml:space="preserve">regulatory </w:t>
      </w:r>
      <w:r w:rsidR="0070283A">
        <w:t>period.</w:t>
      </w:r>
      <w:r w:rsidR="0070283A" w:rsidRPr="00DF1583">
        <w:rPr>
          <w:vertAlign w:val="superscript"/>
        </w:rPr>
        <w:footnoteReference w:id="33"/>
      </w:r>
      <w:r w:rsidR="00E6005B">
        <w:t xml:space="preserve"> </w:t>
      </w:r>
      <w:r w:rsidR="000F51F2" w:rsidRPr="00155C33">
        <w:t>The specified cost categories are the water abstraction charge; utilities network facilities tax; subvention payments received from the Commonwealth Government; changes in other taxes; changes in service standards or regulatory obligations;</w:t>
      </w:r>
      <w:r w:rsidR="002822FA">
        <w:t xml:space="preserve"> and</w:t>
      </w:r>
      <w:r w:rsidR="000F51F2" w:rsidRPr="00155C33">
        <w:t xml:space="preserve"> a Tantangara transfer payment event which </w:t>
      </w:r>
      <w:r w:rsidR="002344C5">
        <w:t>would</w:t>
      </w:r>
      <w:r w:rsidR="002344C5" w:rsidRPr="00155C33">
        <w:t xml:space="preserve"> </w:t>
      </w:r>
      <w:r w:rsidR="000F51F2" w:rsidRPr="00155C33">
        <w:t xml:space="preserve">be triggered if Icon Water </w:t>
      </w:r>
      <w:r w:rsidR="006326B7">
        <w:t>was</w:t>
      </w:r>
      <w:r w:rsidR="006326B7" w:rsidRPr="00155C33">
        <w:t xml:space="preserve"> </w:t>
      </w:r>
      <w:r w:rsidR="000F51F2" w:rsidRPr="00155C33">
        <w:t>required to exercise its option to transfer water from the regulated Murrumbidgee River to the ACT via the Snowy Mountains Scheme</w:t>
      </w:r>
      <w:r w:rsidR="008700A7">
        <w:t>;</w:t>
      </w:r>
    </w:p>
    <w:p w14:paraId="21E555DA" w14:textId="77777777" w:rsidR="00F970B0" w:rsidRPr="00155C33" w:rsidRDefault="00F970B0" w:rsidP="00155C33">
      <w:pPr>
        <w:pStyle w:val="Bullet"/>
      </w:pPr>
      <w:r w:rsidRPr="00155C33">
        <w:t>an ex post capital expenditure review mechanism,</w:t>
      </w:r>
      <w:r w:rsidR="00610102">
        <w:t xml:space="preserve"> </w:t>
      </w:r>
      <w:r w:rsidR="000F51F2" w:rsidRPr="00155C33">
        <w:t>which allow</w:t>
      </w:r>
      <w:r w:rsidR="002344C5">
        <w:t>s</w:t>
      </w:r>
      <w:r w:rsidR="000F51F2" w:rsidRPr="00155C33">
        <w:t xml:space="preserve"> the </w:t>
      </w:r>
      <w:r w:rsidR="00155C33" w:rsidRPr="00155C33">
        <w:t xml:space="preserve">Commission </w:t>
      </w:r>
      <w:r w:rsidR="000F51F2" w:rsidRPr="00155C33">
        <w:t xml:space="preserve">to assess the prudence and efficiency of the capital expenditure actually incurred by Icon Water over the current regulatory period before rolling it into the regulated asset base in the next </w:t>
      </w:r>
      <w:r w:rsidR="00155C33" w:rsidRPr="00155C33">
        <w:t xml:space="preserve">determination; </w:t>
      </w:r>
      <w:r w:rsidRPr="00155C33">
        <w:t>and</w:t>
      </w:r>
    </w:p>
    <w:p w14:paraId="761B40CB" w14:textId="77777777" w:rsidR="00155C33" w:rsidRDefault="00155C33" w:rsidP="00155C33">
      <w:pPr>
        <w:pStyle w:val="Bullet"/>
      </w:pPr>
      <w:r w:rsidRPr="00155C33">
        <w:t xml:space="preserve">a price variation trigger event mechanism </w:t>
      </w:r>
      <w:r>
        <w:t>that can be activated if one of the following unforeseen events occurs and satisfies the materiality threshold</w:t>
      </w:r>
      <w:r w:rsidR="002344C5">
        <w:t>:</w:t>
      </w:r>
      <w:r>
        <w:rPr>
          <w:rStyle w:val="FootnoteReference"/>
        </w:rPr>
        <w:footnoteReference w:id="34"/>
      </w:r>
    </w:p>
    <w:p w14:paraId="0E919938" w14:textId="77777777" w:rsidR="00155C33" w:rsidRDefault="00155C33" w:rsidP="003E19BE">
      <w:pPr>
        <w:pStyle w:val="Bullet"/>
        <w:numPr>
          <w:ilvl w:val="0"/>
          <w:numId w:val="22"/>
        </w:numPr>
        <w:rPr>
          <w:rFonts w:eastAsia="Avenir Next" w:hAnsi="Avenir Next" w:cs="Avenir Next"/>
        </w:rPr>
      </w:pPr>
      <w:r>
        <w:t>an act of</w:t>
      </w:r>
      <w:r>
        <w:rPr>
          <w:spacing w:val="3"/>
        </w:rPr>
        <w:t xml:space="preserve"> </w:t>
      </w:r>
      <w:r>
        <w:t>terrorism</w:t>
      </w:r>
    </w:p>
    <w:p w14:paraId="02AFBB5C" w14:textId="77777777" w:rsidR="00155C33" w:rsidRDefault="00155C33" w:rsidP="003E19BE">
      <w:pPr>
        <w:pStyle w:val="Bullet"/>
        <w:numPr>
          <w:ilvl w:val="0"/>
          <w:numId w:val="22"/>
        </w:numPr>
        <w:rPr>
          <w:rFonts w:eastAsia="Avenir Next" w:hAnsi="Avenir Next" w:cs="Avenir Next"/>
        </w:rPr>
      </w:pPr>
      <w:r>
        <w:t>a major natural</w:t>
      </w:r>
      <w:r>
        <w:rPr>
          <w:spacing w:val="-1"/>
        </w:rPr>
        <w:t xml:space="preserve"> </w:t>
      </w:r>
      <w:r>
        <w:t>disaster</w:t>
      </w:r>
    </w:p>
    <w:p w14:paraId="2AB36CE0" w14:textId="77777777" w:rsidR="00155C33" w:rsidRDefault="00155C33" w:rsidP="003E19BE">
      <w:pPr>
        <w:pStyle w:val="Bullet"/>
        <w:numPr>
          <w:ilvl w:val="0"/>
          <w:numId w:val="22"/>
        </w:numPr>
        <w:rPr>
          <w:rFonts w:eastAsia="Avenir Next" w:hAnsi="Avenir Next" w:cs="Avenir Next"/>
        </w:rPr>
      </w:pPr>
      <w:r>
        <w:t>major damage to</w:t>
      </w:r>
      <w:r>
        <w:rPr>
          <w:spacing w:val="-1"/>
        </w:rPr>
        <w:t xml:space="preserve"> </w:t>
      </w:r>
      <w:r>
        <w:t>infrastructure</w:t>
      </w:r>
    </w:p>
    <w:p w14:paraId="4064868C" w14:textId="77777777" w:rsidR="00155C33" w:rsidRDefault="00155C33" w:rsidP="003E19BE">
      <w:pPr>
        <w:pStyle w:val="Bullet"/>
        <w:numPr>
          <w:ilvl w:val="0"/>
          <w:numId w:val="22"/>
        </w:numPr>
      </w:pPr>
      <w:r>
        <w:t xml:space="preserve">a significant change in Icon </w:t>
      </w:r>
      <w:r>
        <w:rPr>
          <w:spacing w:val="-3"/>
        </w:rPr>
        <w:t xml:space="preserve">Water’s </w:t>
      </w:r>
      <w:r>
        <w:t>financial or corporate structure</w:t>
      </w:r>
    </w:p>
    <w:p w14:paraId="6B8A8A0A" w14:textId="77777777" w:rsidR="00155C33" w:rsidRDefault="00155C33" w:rsidP="008700A7">
      <w:pPr>
        <w:pStyle w:val="Bullet"/>
        <w:numPr>
          <w:ilvl w:val="0"/>
          <w:numId w:val="22"/>
        </w:numPr>
        <w:spacing w:after="220"/>
        <w:rPr>
          <w:rFonts w:eastAsia="Avenir Next" w:hAnsi="Avenir Next" w:cs="Avenir Next"/>
        </w:rPr>
      </w:pPr>
      <w:proofErr w:type="gramStart"/>
      <w:r>
        <w:t>an</w:t>
      </w:r>
      <w:proofErr w:type="gramEnd"/>
      <w:r>
        <w:t xml:space="preserve"> unforeseen or </w:t>
      </w:r>
      <w:r>
        <w:rPr>
          <w:i/>
        </w:rPr>
        <w:t>force majeure</w:t>
      </w:r>
      <w:r>
        <w:rPr>
          <w:i/>
          <w:spacing w:val="-2"/>
        </w:rPr>
        <w:t xml:space="preserve"> </w:t>
      </w:r>
      <w:r>
        <w:t>event.</w:t>
      </w:r>
    </w:p>
    <w:tbl>
      <w:tblPr>
        <w:tblStyle w:val="TableGrid"/>
        <w:tblW w:w="0" w:type="auto"/>
        <w:tblInd w:w="108" w:type="dxa"/>
        <w:tblLook w:val="04A0" w:firstRow="1" w:lastRow="0" w:firstColumn="1" w:lastColumn="0" w:noHBand="0" w:noVBand="1"/>
      </w:tblPr>
      <w:tblGrid>
        <w:gridCol w:w="7593"/>
      </w:tblGrid>
      <w:tr w:rsidR="00663504" w14:paraId="2B22558E" w14:textId="77777777" w:rsidTr="008700A7">
        <w:tc>
          <w:tcPr>
            <w:tcW w:w="7819" w:type="dxa"/>
          </w:tcPr>
          <w:p w14:paraId="3CDE9207" w14:textId="71560B6B" w:rsidR="00663504" w:rsidRDefault="0007632E" w:rsidP="00663504">
            <w:pPr>
              <w:pStyle w:val="Questiontext"/>
            </w:pPr>
            <w:r w:rsidRPr="002B5D98">
              <w:rPr>
                <w:b/>
              </w:rPr>
              <w:t>Issue 16</w:t>
            </w:r>
            <w:r>
              <w:t>:</w:t>
            </w:r>
            <w:r w:rsidR="00663504">
              <w:t xml:space="preserve"> Are there any concerns about the current approaches for the treatment of expenditure risks?</w:t>
            </w:r>
          </w:p>
          <w:p w14:paraId="4194DBB4" w14:textId="5131D400" w:rsidR="00663504" w:rsidRDefault="0007632E" w:rsidP="00663504">
            <w:pPr>
              <w:pStyle w:val="Questiontext"/>
            </w:pPr>
            <w:r w:rsidRPr="002B5D98">
              <w:rPr>
                <w:b/>
              </w:rPr>
              <w:t>Issue 17</w:t>
            </w:r>
            <w:r>
              <w:t>:</w:t>
            </w:r>
            <w:r w:rsidR="00663504">
              <w:t xml:space="preserve"> If so</w:t>
            </w:r>
            <w:r w:rsidR="002344C5">
              <w:t>,</w:t>
            </w:r>
            <w:r w:rsidR="00663504">
              <w:t xml:space="preserve"> what forms of different treatments are appropriate?</w:t>
            </w:r>
          </w:p>
          <w:p w14:paraId="06BD54F9" w14:textId="36D8DDF2" w:rsidR="00663504" w:rsidRDefault="0007632E" w:rsidP="00663504">
            <w:pPr>
              <w:pStyle w:val="Questiontext"/>
            </w:pPr>
            <w:r w:rsidRPr="002B5D98">
              <w:rPr>
                <w:b/>
              </w:rPr>
              <w:t>Issue 18</w:t>
            </w:r>
            <w:r>
              <w:t>:</w:t>
            </w:r>
            <w:r w:rsidR="00663504">
              <w:t xml:space="preserve"> In what circumstances should Icon Water be required to absorb non</w:t>
            </w:r>
            <w:r w:rsidR="002344C5">
              <w:t>-</w:t>
            </w:r>
            <w:r w:rsidR="00663504">
              <w:t xml:space="preserve">controllable costs as </w:t>
            </w:r>
            <w:r w:rsidR="002344C5">
              <w:t xml:space="preserve">opposed to </w:t>
            </w:r>
            <w:r w:rsidR="00663504">
              <w:t>those costs being fully or substantially passed on to customers?</w:t>
            </w:r>
          </w:p>
          <w:p w14:paraId="287179FF" w14:textId="0339FFFD" w:rsidR="00663504" w:rsidRDefault="0007632E" w:rsidP="00663504">
            <w:pPr>
              <w:pStyle w:val="Questiontext"/>
            </w:pPr>
            <w:r w:rsidRPr="002B5D98">
              <w:rPr>
                <w:b/>
              </w:rPr>
              <w:lastRenderedPageBreak/>
              <w:t>Issue 19</w:t>
            </w:r>
            <w:r>
              <w:t>:</w:t>
            </w:r>
            <w:r w:rsidR="00663504">
              <w:t xml:space="preserve"> What materiality thresholds should apply in relation to the pass</w:t>
            </w:r>
            <w:r w:rsidR="008700A7">
              <w:t>-</w:t>
            </w:r>
            <w:r w:rsidR="00663504">
              <w:t xml:space="preserve">through of unexpected </w:t>
            </w:r>
            <w:r w:rsidR="008700A7">
              <w:t>non-</w:t>
            </w:r>
            <w:r w:rsidR="00663504">
              <w:t>controllable costs?</w:t>
            </w:r>
          </w:p>
          <w:p w14:paraId="2462058D" w14:textId="037097B7" w:rsidR="00663504" w:rsidRDefault="0007632E" w:rsidP="00663504">
            <w:pPr>
              <w:pStyle w:val="Questiontext"/>
            </w:pPr>
            <w:r w:rsidRPr="002B5D98">
              <w:rPr>
                <w:b/>
              </w:rPr>
              <w:t>Issue 20</w:t>
            </w:r>
            <w:r>
              <w:t>:</w:t>
            </w:r>
            <w:r w:rsidR="00663504">
              <w:t xml:space="preserve"> To what extent would the transfer of all non-controllable risk to customers affect Icon Water’s incentives to develop effective mechanisms to minimise risk?</w:t>
            </w:r>
          </w:p>
          <w:p w14:paraId="5F7BCADC" w14:textId="6B4809B3" w:rsidR="00663504" w:rsidRDefault="00EB4C33" w:rsidP="00EB4C33">
            <w:pPr>
              <w:pStyle w:val="Questiontext"/>
            </w:pPr>
            <w:r w:rsidRPr="002B5D98">
              <w:rPr>
                <w:b/>
              </w:rPr>
              <w:t>Issue 20</w:t>
            </w:r>
            <w:r>
              <w:t>:</w:t>
            </w:r>
            <w:r w:rsidR="00663504">
              <w:t xml:space="preserve"> If Icon Water is permitted to pass through some or all non</w:t>
            </w:r>
            <w:r w:rsidR="008700A7">
              <w:t>-</w:t>
            </w:r>
            <w:r w:rsidR="00663504">
              <w:t>controllable costs, should the regulator set a lower rate of return?</w:t>
            </w:r>
          </w:p>
        </w:tc>
      </w:tr>
    </w:tbl>
    <w:p w14:paraId="5F38F72F" w14:textId="77777777" w:rsidR="00B016D6" w:rsidRDefault="0085102E" w:rsidP="006C7D4B">
      <w:pPr>
        <w:pStyle w:val="Heading2"/>
      </w:pPr>
      <w:bookmarkStart w:id="122" w:name="_Toc476571689"/>
      <w:bookmarkStart w:id="123" w:name="_Toc476571690"/>
      <w:bookmarkStart w:id="124" w:name="_Toc476571691"/>
      <w:bookmarkStart w:id="125" w:name="_Toc476571693"/>
      <w:bookmarkStart w:id="126" w:name="_Toc476571694"/>
      <w:bookmarkStart w:id="127" w:name="_Toc476571695"/>
      <w:bookmarkStart w:id="128" w:name="_Toc476571696"/>
      <w:bookmarkStart w:id="129" w:name="_Toc476571701"/>
      <w:bookmarkStart w:id="130" w:name="_Toc476571703"/>
      <w:bookmarkStart w:id="131" w:name="_Toc476571707"/>
      <w:bookmarkStart w:id="132" w:name="_Toc476571708"/>
      <w:bookmarkStart w:id="133" w:name="_Toc476571710"/>
      <w:bookmarkStart w:id="134" w:name="_Toc476571711"/>
      <w:bookmarkStart w:id="135" w:name="_Toc474915158"/>
      <w:bookmarkStart w:id="136" w:name="_Toc474915416"/>
      <w:bookmarkStart w:id="137" w:name="_Toc474915159"/>
      <w:bookmarkStart w:id="138" w:name="_Toc474915417"/>
      <w:bookmarkStart w:id="139" w:name="_Toc474915160"/>
      <w:bookmarkStart w:id="140" w:name="_Toc474915418"/>
      <w:bookmarkStart w:id="141" w:name="_Toc474399864"/>
      <w:bookmarkStart w:id="142" w:name="_Toc474915161"/>
      <w:bookmarkStart w:id="143" w:name="_Toc474915419"/>
      <w:bookmarkStart w:id="144" w:name="_Toc47855726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lastRenderedPageBreak/>
        <w:t>I</w:t>
      </w:r>
      <w:r w:rsidR="00B016D6">
        <w:t>ncentive schemes</w:t>
      </w:r>
      <w:bookmarkEnd w:id="144"/>
      <w:r w:rsidR="00B016D6">
        <w:t xml:space="preserve"> </w:t>
      </w:r>
    </w:p>
    <w:p w14:paraId="276FB4AC" w14:textId="2A29A751" w:rsidR="00970019" w:rsidRDefault="007417BF" w:rsidP="00970019">
      <w:pPr>
        <w:pStyle w:val="Heading3a"/>
      </w:pPr>
      <w:r w:rsidRPr="005C3D75">
        <w:t>5</w:t>
      </w:r>
      <w:r w:rsidR="00AF7B19" w:rsidRPr="00E23B4C">
        <w:t>.</w:t>
      </w:r>
      <w:r w:rsidR="0041356A" w:rsidRPr="00E23B4C">
        <w:t>3</w:t>
      </w:r>
      <w:r w:rsidR="00AF7B19" w:rsidRPr="00E23B4C">
        <w:t>.1</w:t>
      </w:r>
      <w:r w:rsidR="00AF7B19" w:rsidRPr="00E23B4C">
        <w:tab/>
      </w:r>
      <w:r w:rsidR="00F427AF">
        <w:t>Introduction</w:t>
      </w:r>
    </w:p>
    <w:p w14:paraId="0372E1DC" w14:textId="77777777" w:rsidR="000F7AB5" w:rsidRDefault="000F7AB5" w:rsidP="00E606AB">
      <w:r>
        <w:t>The terms of reference require the Commission to consider whether there is potential for implement</w:t>
      </w:r>
      <w:r w:rsidR="008C7054">
        <w:t>ing</w:t>
      </w:r>
      <w:r w:rsidR="001D61BB">
        <w:t xml:space="preserve"> incentive schemes for service</w:t>
      </w:r>
      <w:r>
        <w:t xml:space="preserve"> levels, operating expenditure or capital expenditure for Icon Water in the future.</w:t>
      </w:r>
      <w:r w:rsidR="00E6005B">
        <w:t xml:space="preserve"> </w:t>
      </w:r>
      <w:r>
        <w:t>Co</w:t>
      </w:r>
      <w:r w:rsidR="009231CA">
        <w:t>nsideration of such schemes, to help improve the regulatory framework,</w:t>
      </w:r>
      <w:r>
        <w:t xml:space="preserve"> was also suggested by the Industry Panel </w:t>
      </w:r>
      <w:r w:rsidR="002344C5">
        <w:t xml:space="preserve">in its </w:t>
      </w:r>
      <w:r>
        <w:t>report.</w:t>
      </w:r>
      <w:r>
        <w:rPr>
          <w:rStyle w:val="FootnoteReference"/>
        </w:rPr>
        <w:footnoteReference w:id="35"/>
      </w:r>
    </w:p>
    <w:p w14:paraId="694F7150" w14:textId="77777777" w:rsidR="00E636AF" w:rsidRDefault="00E636AF" w:rsidP="00E606AB">
      <w:r>
        <w:t>This section summari</w:t>
      </w:r>
      <w:r w:rsidR="00ED0729">
        <w:t>s</w:t>
      </w:r>
      <w:r>
        <w:t xml:space="preserve">es key issues that would need to be addressed if </w:t>
      </w:r>
      <w:r w:rsidR="007B23F4">
        <w:t xml:space="preserve">appropriate </w:t>
      </w:r>
      <w:r>
        <w:t xml:space="preserve">incentive schemes were to be developed </w:t>
      </w:r>
      <w:r w:rsidR="007B23F4">
        <w:t>and implemented for Icon Water.</w:t>
      </w:r>
    </w:p>
    <w:p w14:paraId="27BAF357" w14:textId="77777777" w:rsidR="0054188B" w:rsidRDefault="001C283F" w:rsidP="00E606AB">
      <w:r>
        <w:t>The effective regulation of a natural monopoly entity, like Icon Water, requires setting prices that reflect efficient costs but also ensuring that costs are prudent and efficient and that specified service standards are achieved.</w:t>
      </w:r>
      <w:r w:rsidR="00E6005B">
        <w:t xml:space="preserve"> </w:t>
      </w:r>
      <w:r>
        <w:t xml:space="preserve">Auditing and benchmarking of costs and services standards is one </w:t>
      </w:r>
      <w:r w:rsidR="00C26570">
        <w:t>approach</w:t>
      </w:r>
      <w:r>
        <w:t xml:space="preserve"> that can be used</w:t>
      </w:r>
      <w:r w:rsidR="002344C5">
        <w:t>,</w:t>
      </w:r>
      <w:r w:rsidR="0054188B">
        <w:t xml:space="preserve"> </w:t>
      </w:r>
      <w:r>
        <w:t>but there can be difficulties in obtaining and analysing relevant information and the process can also be intrusive and costly from an administrative perspective.</w:t>
      </w:r>
      <w:r w:rsidR="00E6005B">
        <w:t xml:space="preserve"> </w:t>
      </w:r>
    </w:p>
    <w:p w14:paraId="4A160BF3" w14:textId="77777777" w:rsidR="005C4E8E" w:rsidRPr="007B23F4" w:rsidRDefault="001C283F" w:rsidP="007B23F4">
      <w:r>
        <w:t>An alternative or supplementary approach is to develop and implement incentive schemes that may entail financial rewards and penalties linked to cost efficiency and service performance.</w:t>
      </w:r>
      <w:r w:rsidR="00E6005B">
        <w:t xml:space="preserve"> </w:t>
      </w:r>
      <w:r>
        <w:t>Regulators of water, energy and other infrastructure</w:t>
      </w:r>
      <w:r w:rsidR="002344C5">
        <w:t>-</w:t>
      </w:r>
      <w:r>
        <w:t>based businesses in other jurisdictions have implemented various schemes to help provide incentives consistent with achieving various aspects of economic efficiency, including service deliver</w:t>
      </w:r>
      <w:r w:rsidR="009E0155">
        <w:t>y</w:t>
      </w:r>
      <w:r>
        <w:t>.</w:t>
      </w:r>
      <w:r w:rsidR="00E6005B">
        <w:t xml:space="preserve"> </w:t>
      </w:r>
      <w:r w:rsidR="00C26570">
        <w:t xml:space="preserve">Two key examples </w:t>
      </w:r>
      <w:r w:rsidR="002344C5">
        <w:t>are</w:t>
      </w:r>
      <w:r w:rsidR="00C26570">
        <w:t xml:space="preserve"> the approaches adopted by IPART in New South Wales for urban metropolitan water businesses and by the</w:t>
      </w:r>
      <w:r w:rsidR="00C26570" w:rsidRPr="007B23F4">
        <w:t xml:space="preserve"> AER for electricity transmission and distribution network service providers (NSPs)</w:t>
      </w:r>
      <w:r w:rsidR="00C26570" w:rsidRPr="00E23B4C">
        <w:t>.</w:t>
      </w:r>
      <w:r w:rsidR="00E6005B" w:rsidRPr="00E23B4C">
        <w:t xml:space="preserve"> </w:t>
      </w:r>
      <w:r w:rsidR="00E23B4C">
        <w:t>This section first outlines</w:t>
      </w:r>
      <w:r w:rsidR="005C4E8E" w:rsidRPr="007B23F4">
        <w:t xml:space="preserve"> the key problems that the schemes are designed to focus on </w:t>
      </w:r>
      <w:r w:rsidR="00E23B4C">
        <w:t>and then discusses the IPART and AER examples</w:t>
      </w:r>
      <w:r w:rsidR="005C4E8E" w:rsidRPr="007B23F4">
        <w:t xml:space="preserve">. </w:t>
      </w:r>
    </w:p>
    <w:p w14:paraId="4AD53DB9" w14:textId="77777777" w:rsidR="007B23F4" w:rsidRPr="007B23F4" w:rsidRDefault="007B23F4" w:rsidP="007B23F4">
      <w:r w:rsidRPr="007B23F4">
        <w:t xml:space="preserve">It should </w:t>
      </w:r>
      <w:r>
        <w:t xml:space="preserve">also </w:t>
      </w:r>
      <w:r w:rsidRPr="007B23F4">
        <w:t xml:space="preserve">be </w:t>
      </w:r>
      <w:r>
        <w:t>highlighted</w:t>
      </w:r>
      <w:r w:rsidRPr="007B23F4">
        <w:t xml:space="preserve"> that service standard and cost</w:t>
      </w:r>
      <w:r w:rsidR="00FD0325">
        <w:t>-</w:t>
      </w:r>
      <w:r w:rsidRPr="007B23F4">
        <w:t xml:space="preserve">sharing incentive schemes and the auditing and benchmarking of costs are complementary mechanisms in </w:t>
      </w:r>
      <w:r w:rsidRPr="007B23F4">
        <w:lastRenderedPageBreak/>
        <w:t xml:space="preserve">providing incentives for regulated businesses to operate efficiently and provide information about efficient costs. </w:t>
      </w:r>
    </w:p>
    <w:p w14:paraId="71ADB0E1" w14:textId="77777777" w:rsidR="00970019" w:rsidRDefault="007417BF" w:rsidP="00970019">
      <w:pPr>
        <w:pStyle w:val="Heading3a"/>
      </w:pPr>
      <w:r>
        <w:t>5</w:t>
      </w:r>
      <w:r w:rsidR="00AF7B19">
        <w:t>.</w:t>
      </w:r>
      <w:r w:rsidR="0041356A">
        <w:t>3</w:t>
      </w:r>
      <w:r w:rsidR="00AF7B19">
        <w:t>.2</w:t>
      </w:r>
      <w:r w:rsidR="00AF7B19">
        <w:tab/>
      </w:r>
      <w:r w:rsidR="009E0155">
        <w:t>Regulating service standards</w:t>
      </w:r>
    </w:p>
    <w:p w14:paraId="2F679D4D" w14:textId="77777777" w:rsidR="0001089B" w:rsidRPr="008674FE" w:rsidRDefault="003D5DC1" w:rsidP="008674FE">
      <w:r w:rsidRPr="008674FE">
        <w:t xml:space="preserve">A focus on the regulation of </w:t>
      </w:r>
      <w:r w:rsidR="009E0155" w:rsidRPr="008674FE">
        <w:t xml:space="preserve">price </w:t>
      </w:r>
      <w:r w:rsidR="007B23F4">
        <w:t xml:space="preserve">can mean </w:t>
      </w:r>
      <w:r w:rsidR="009E0155" w:rsidRPr="008674FE">
        <w:t xml:space="preserve">that service standards </w:t>
      </w:r>
      <w:r w:rsidR="0001089B" w:rsidRPr="008674FE">
        <w:t>are</w:t>
      </w:r>
      <w:r w:rsidR="00B90864">
        <w:t xml:space="preserve"> overlooked</w:t>
      </w:r>
      <w:r w:rsidR="0001089B" w:rsidRPr="008674FE">
        <w:t>.</w:t>
      </w:r>
      <w:r w:rsidR="00E6005B">
        <w:t xml:space="preserve"> </w:t>
      </w:r>
      <w:r w:rsidR="0001089B" w:rsidRPr="008674FE">
        <w:t>In addition</w:t>
      </w:r>
      <w:r w:rsidR="009E64A8">
        <w:t>,</w:t>
      </w:r>
      <w:r w:rsidR="0001089B" w:rsidRPr="008674FE">
        <w:t xml:space="preserve"> the introduction of efficiency incentive schemes for operating and capital expenditure may result</w:t>
      </w:r>
      <w:r w:rsidR="00B90864">
        <w:t xml:space="preserve"> in lower expenditure and therefore</w:t>
      </w:r>
      <w:r w:rsidR="00FD0325">
        <w:t>,</w:t>
      </w:r>
      <w:r w:rsidR="0001089B" w:rsidRPr="008674FE">
        <w:t xml:space="preserve"> </w:t>
      </w:r>
      <w:r w:rsidR="00B90864">
        <w:t>in some circumstances,</w:t>
      </w:r>
      <w:r w:rsidR="00B90864" w:rsidRPr="008674FE">
        <w:t xml:space="preserve"> </w:t>
      </w:r>
      <w:r w:rsidR="0001089B" w:rsidRPr="008674FE">
        <w:t xml:space="preserve">lower service standards. </w:t>
      </w:r>
    </w:p>
    <w:p w14:paraId="350A6CAA" w14:textId="77777777" w:rsidR="0001089B" w:rsidRPr="008674FE" w:rsidRDefault="009E0155" w:rsidP="008674FE">
      <w:r w:rsidRPr="008674FE">
        <w:t>Many price cap regimes incorporate explicit incentives to counter any potential adverse impac</w:t>
      </w:r>
      <w:r w:rsidRPr="00E23B4C">
        <w:t>t of the price regula</w:t>
      </w:r>
      <w:r w:rsidRPr="008674FE">
        <w:t>tory regime on quality.</w:t>
      </w:r>
      <w:r w:rsidR="00E6005B">
        <w:t xml:space="preserve"> </w:t>
      </w:r>
      <w:r w:rsidR="003D5DC1" w:rsidRPr="008674FE">
        <w:t xml:space="preserve">In order to regulate </w:t>
      </w:r>
      <w:r w:rsidR="004F6312" w:rsidRPr="008674FE">
        <w:t>quality,</w:t>
      </w:r>
      <w:r w:rsidR="003D5DC1" w:rsidRPr="008674FE">
        <w:t xml:space="preserve"> the regulator </w:t>
      </w:r>
      <w:r w:rsidRPr="008674FE">
        <w:t>need</w:t>
      </w:r>
      <w:r w:rsidR="003D5DC1" w:rsidRPr="008674FE">
        <w:t>s</w:t>
      </w:r>
      <w:r w:rsidRPr="008674FE">
        <w:t xml:space="preserve"> to define </w:t>
      </w:r>
      <w:r w:rsidR="003D5DC1" w:rsidRPr="008674FE">
        <w:t xml:space="preserve">and monitor </w:t>
      </w:r>
      <w:r w:rsidRPr="008674FE">
        <w:t xml:space="preserve">the relevant quality performance </w:t>
      </w:r>
      <w:r w:rsidR="003D5DC1" w:rsidRPr="008674FE">
        <w:t>measures.</w:t>
      </w:r>
      <w:r w:rsidR="00E6005B">
        <w:t xml:space="preserve"> </w:t>
      </w:r>
      <w:r w:rsidR="003D5DC1" w:rsidRPr="008674FE">
        <w:t>Some quality measure</w:t>
      </w:r>
      <w:r w:rsidR="00FD0325">
        <w:t>s</w:t>
      </w:r>
      <w:r w:rsidR="003D5DC1" w:rsidRPr="008674FE">
        <w:t xml:space="preserve"> </w:t>
      </w:r>
      <w:r w:rsidR="0001089B" w:rsidRPr="008674FE">
        <w:t>may be technical in nature</w:t>
      </w:r>
      <w:r w:rsidR="00E23B4C">
        <w:t>,</w:t>
      </w:r>
      <w:r w:rsidR="0001089B" w:rsidRPr="008674FE">
        <w:t xml:space="preserve"> such as water quality, leakage and supply interruptions</w:t>
      </w:r>
      <w:r w:rsidR="00FD0325">
        <w:t>,</w:t>
      </w:r>
      <w:r w:rsidR="0001089B" w:rsidRPr="008674FE">
        <w:t xml:space="preserve"> while others may be based on customer surveys </w:t>
      </w:r>
      <w:r w:rsidR="00E23B4C">
        <w:t>on</w:t>
      </w:r>
      <w:r w:rsidR="00E23B4C" w:rsidRPr="008674FE">
        <w:t xml:space="preserve"> </w:t>
      </w:r>
      <w:r w:rsidR="0001089B" w:rsidRPr="008674FE">
        <w:t>service performance.</w:t>
      </w:r>
      <w:r w:rsidR="008674FE" w:rsidRPr="00AF7B19">
        <w:rPr>
          <w:vertAlign w:val="superscript"/>
        </w:rPr>
        <w:footnoteReference w:id="36"/>
      </w:r>
      <w:r w:rsidR="0001089B" w:rsidRPr="008674FE">
        <w:t xml:space="preserve"> </w:t>
      </w:r>
    </w:p>
    <w:p w14:paraId="6BF7797E" w14:textId="77777777" w:rsidR="00970019" w:rsidRDefault="007417BF" w:rsidP="00970019">
      <w:pPr>
        <w:pStyle w:val="Heading3a"/>
      </w:pPr>
      <w:r>
        <w:t>5</w:t>
      </w:r>
      <w:r w:rsidR="00AF7B19">
        <w:t>.</w:t>
      </w:r>
      <w:r w:rsidR="0041356A">
        <w:t>3</w:t>
      </w:r>
      <w:r w:rsidR="00AF7B19">
        <w:t>.3</w:t>
      </w:r>
      <w:r w:rsidR="00AF7B19">
        <w:tab/>
      </w:r>
      <w:r w:rsidR="0054188B">
        <w:t>Periodicity of incentives problem</w:t>
      </w:r>
    </w:p>
    <w:p w14:paraId="0FFCB869" w14:textId="6EF5E8EA" w:rsidR="0054188B" w:rsidRDefault="0054188B" w:rsidP="0054188B">
      <w:r>
        <w:t>Incentives to reduce costs depend on the extent to which the regulated firm is allowed to retain part of the cost saving</w:t>
      </w:r>
      <w:r w:rsidR="00E23B4C">
        <w:t>s</w:t>
      </w:r>
      <w:r>
        <w:t xml:space="preserve"> that it is able to achieve.</w:t>
      </w:r>
      <w:r w:rsidR="00E6005B">
        <w:t xml:space="preserve"> </w:t>
      </w:r>
      <w:r w:rsidR="001D61BB">
        <w:t xml:space="preserve">Icon Water is allowed to retain the difference between actual and forecast </w:t>
      </w:r>
      <w:r w:rsidR="00E23B4C">
        <w:t xml:space="preserve">operating </w:t>
      </w:r>
      <w:r w:rsidR="001D61BB">
        <w:t>expenditure and the return on capital and deprec</w:t>
      </w:r>
      <w:r w:rsidR="00FD0325">
        <w:t>i</w:t>
      </w:r>
      <w:r w:rsidR="001D61BB">
        <w:t>ation allowed for the difference between actual and forecast capital expenditure for the current regulatory period.</w:t>
      </w:r>
      <w:r w:rsidR="00E6005B">
        <w:t xml:space="preserve"> </w:t>
      </w:r>
      <w:r w:rsidR="001D61BB">
        <w:t>These arrangements create a distortion with respect to the timing of efficiency saving initiatives.</w:t>
      </w:r>
      <w:r w:rsidR="00E6005B">
        <w:t xml:space="preserve"> </w:t>
      </w:r>
      <w:r w:rsidR="001D61BB">
        <w:t>There is an incentive to reduce operating or capital expenditure below allowed expenditure in the early part of a regulatory period and defer potential savings near the end of a regulatory period to the next regulatory period.</w:t>
      </w:r>
      <w:r w:rsidR="00E6005B">
        <w:t xml:space="preserve"> </w:t>
      </w:r>
      <w:r w:rsidR="001D61BB">
        <w:t>This is known as the ‘periodicity of incentives problem</w:t>
      </w:r>
      <w:r w:rsidR="00E23B4C">
        <w:t>’</w:t>
      </w:r>
      <w:r w:rsidR="001D61BB">
        <w:t xml:space="preserve">. </w:t>
      </w:r>
    </w:p>
    <w:p w14:paraId="6D3B3B54" w14:textId="0515047F" w:rsidR="00F5633D" w:rsidRPr="000B7C10" w:rsidRDefault="00F5633D" w:rsidP="000B7C10">
      <w:r w:rsidRPr="000B7C10">
        <w:t xml:space="preserve">In light of these issues, regulators have implemented efficiency carryover mechanisms to provide continuous incentives for </w:t>
      </w:r>
      <w:r w:rsidR="00FD0325">
        <w:t xml:space="preserve">efficiency in </w:t>
      </w:r>
      <w:r w:rsidRPr="000B7C10">
        <w:t>cap</w:t>
      </w:r>
      <w:r w:rsidR="007B23F4">
        <w:t>ital and operat</w:t>
      </w:r>
      <w:r w:rsidR="00A03132">
        <w:t>ing</w:t>
      </w:r>
      <w:r w:rsidR="007B23F4">
        <w:t xml:space="preserve"> expenditure</w:t>
      </w:r>
      <w:r w:rsidRPr="000B7C10">
        <w:t>.</w:t>
      </w:r>
      <w:r w:rsidR="00E6005B">
        <w:t xml:space="preserve"> </w:t>
      </w:r>
      <w:r w:rsidRPr="000B7C10">
        <w:t>A carryover scheme allows the firm to retain a fixed percentage of any cost savings, irrespective of when the efficiency gain is initiated.</w:t>
      </w:r>
      <w:r w:rsidR="00E6005B">
        <w:t xml:space="preserve"> </w:t>
      </w:r>
      <w:r w:rsidRPr="000B7C10">
        <w:t>This is done by adding a carryover component as one of the building blocks when establishing the efficient cost base for the next period.</w:t>
      </w:r>
      <w:r w:rsidR="00E6005B">
        <w:t xml:space="preserve"> </w:t>
      </w:r>
      <w:r w:rsidRPr="000B7C10">
        <w:t xml:space="preserve">This carryover amount reflects the additional income that the firm would have retained had the cost allowance not been reset at the end of the regulatory period. </w:t>
      </w:r>
    </w:p>
    <w:p w14:paraId="146005A5" w14:textId="77777777" w:rsidR="00970019" w:rsidRDefault="007417BF" w:rsidP="00970019">
      <w:pPr>
        <w:pStyle w:val="Heading3a"/>
      </w:pPr>
      <w:r>
        <w:t>5</w:t>
      </w:r>
      <w:r w:rsidR="00AF7B19">
        <w:t>.</w:t>
      </w:r>
      <w:r w:rsidR="0041356A">
        <w:t>3</w:t>
      </w:r>
      <w:r w:rsidR="00AF7B19">
        <w:t>.4</w:t>
      </w:r>
      <w:r w:rsidR="00AF7B19">
        <w:tab/>
      </w:r>
      <w:r w:rsidR="00385301">
        <w:t>Balancing operating and capital expenditure incentives</w:t>
      </w:r>
    </w:p>
    <w:p w14:paraId="42C555CC" w14:textId="77777777" w:rsidR="0054188B" w:rsidRDefault="00505391" w:rsidP="0054188B">
      <w:r>
        <w:t>Efficiency</w:t>
      </w:r>
      <w:r w:rsidR="005D0301">
        <w:t>-</w:t>
      </w:r>
      <w:r>
        <w:t>sharing schemes also need to ensure that incentives to pursue operating and capital expenditure savings are balanced so that</w:t>
      </w:r>
      <w:r w:rsidR="005D0301">
        <w:t>,</w:t>
      </w:r>
      <w:r>
        <w:t xml:space="preserve"> for example</w:t>
      </w:r>
      <w:r w:rsidR="005D0301">
        <w:t>,</w:t>
      </w:r>
      <w:r>
        <w:t xml:space="preserve"> an incentive scheme for operating expenditure does not create a distortion whereby the operating saving is </w:t>
      </w:r>
      <w:r>
        <w:lastRenderedPageBreak/>
        <w:t>reflected in higher capital expenditure.</w:t>
      </w:r>
      <w:r w:rsidR="00E6005B">
        <w:t xml:space="preserve"> </w:t>
      </w:r>
      <w:r>
        <w:t xml:space="preserve">This means that there is a need to consider incentive schemes for both </w:t>
      </w:r>
      <w:r w:rsidR="00A734BF">
        <w:t>operating expenditure</w:t>
      </w:r>
      <w:r>
        <w:t xml:space="preserve"> and capital expenditure or complementary mechanisms to avoid </w:t>
      </w:r>
      <w:r w:rsidR="005D0301">
        <w:t xml:space="preserve">distorted </w:t>
      </w:r>
      <w:r>
        <w:t>outcomes.</w:t>
      </w:r>
    </w:p>
    <w:p w14:paraId="27793832" w14:textId="77777777" w:rsidR="00970019" w:rsidRDefault="007417BF" w:rsidP="00970019">
      <w:pPr>
        <w:pStyle w:val="Heading3a"/>
      </w:pPr>
      <w:r>
        <w:t>5</w:t>
      </w:r>
      <w:r w:rsidR="00AF7B19">
        <w:t>.</w:t>
      </w:r>
      <w:r w:rsidR="0041356A">
        <w:t>3</w:t>
      </w:r>
      <w:r w:rsidR="00AF7B19">
        <w:t>.5</w:t>
      </w:r>
      <w:r w:rsidR="00AF7B19">
        <w:tab/>
      </w:r>
      <w:r w:rsidR="00505391">
        <w:t>Symmetry of incentives</w:t>
      </w:r>
      <w:r w:rsidR="00812126">
        <w:t xml:space="preserve"> for underspending and overspending</w:t>
      </w:r>
    </w:p>
    <w:p w14:paraId="706D9BC5" w14:textId="77777777" w:rsidR="00505391" w:rsidRDefault="00505391" w:rsidP="0054188B">
      <w:r>
        <w:t xml:space="preserve">Another issue is the extent to which rewards for reducing costs should be balanced by penalties if expenditure </w:t>
      </w:r>
      <w:r w:rsidR="003E5735">
        <w:t xml:space="preserve">is higher </w:t>
      </w:r>
      <w:r>
        <w:t>than forecast.</w:t>
      </w:r>
      <w:r w:rsidR="00E6005B">
        <w:t xml:space="preserve"> </w:t>
      </w:r>
      <w:r>
        <w:t xml:space="preserve">In the context of economic </w:t>
      </w:r>
      <w:r w:rsidR="004F6312">
        <w:t>regulation,</w:t>
      </w:r>
      <w:r>
        <w:t xml:space="preserve"> it is typical to allow a wide range of cost pass</w:t>
      </w:r>
      <w:r w:rsidR="005D0301">
        <w:t>-</w:t>
      </w:r>
      <w:r>
        <w:t>throu</w:t>
      </w:r>
      <w:r w:rsidRPr="003E5735">
        <w:t xml:space="preserve">gh events </w:t>
      </w:r>
      <w:r w:rsidR="003100A3" w:rsidRPr="003E5735">
        <w:t>so th</w:t>
      </w:r>
      <w:r w:rsidR="003100A3">
        <w:t xml:space="preserve">at consumers bear all of the costs of </w:t>
      </w:r>
      <w:r w:rsidR="00672422">
        <w:t xml:space="preserve">specified </w:t>
      </w:r>
      <w:r w:rsidR="005D0301">
        <w:t>non-</w:t>
      </w:r>
      <w:r w:rsidR="003100A3">
        <w:t>controllable events.</w:t>
      </w:r>
      <w:r w:rsidR="00E6005B">
        <w:t xml:space="preserve"> </w:t>
      </w:r>
      <w:r w:rsidR="003100A3">
        <w:t>However, it is also the case that ex post reviews can disallow overspending of operating and capital expenditure</w:t>
      </w:r>
      <w:r w:rsidR="005D0301">
        <w:t>,</w:t>
      </w:r>
      <w:r w:rsidR="003100A3">
        <w:t xml:space="preserve"> and in particular not allow some capital expenditure to be rolled into the regulatory asset base in the next regulatory period.</w:t>
      </w:r>
      <w:r w:rsidR="00E6005B">
        <w:t xml:space="preserve"> </w:t>
      </w:r>
    </w:p>
    <w:p w14:paraId="37FDCAF4" w14:textId="77777777" w:rsidR="003100A3" w:rsidRDefault="003100A3" w:rsidP="0054188B">
      <w:r>
        <w:t>In particular, in implementing a capital expenditure efficiency scheme</w:t>
      </w:r>
      <w:r w:rsidR="005D0301">
        <w:t>,</w:t>
      </w:r>
      <w:r>
        <w:t xml:space="preserve"> there is a need to determine the extent to which there is a penalty for overspending of controllable capital expenditure. </w:t>
      </w:r>
    </w:p>
    <w:p w14:paraId="1E5FCC2F" w14:textId="77777777" w:rsidR="00970019" w:rsidRDefault="007417BF" w:rsidP="00970019">
      <w:pPr>
        <w:pStyle w:val="Heading3a"/>
      </w:pPr>
      <w:r>
        <w:t>5</w:t>
      </w:r>
      <w:r w:rsidR="00AF7B19">
        <w:t>.</w:t>
      </w:r>
      <w:r w:rsidR="0041356A">
        <w:t>3</w:t>
      </w:r>
      <w:r w:rsidR="00AF7B19">
        <w:t>.6</w:t>
      </w:r>
      <w:r w:rsidR="00AF7B19">
        <w:tab/>
      </w:r>
      <w:r w:rsidR="00505391">
        <w:t>Incentives to bias forecasts</w:t>
      </w:r>
    </w:p>
    <w:p w14:paraId="5C28DCDF" w14:textId="77777777" w:rsidR="007B23F4" w:rsidRDefault="003100A3" w:rsidP="00E606AB">
      <w:pPr>
        <w:rPr>
          <w:color w:val="000000"/>
          <w:lang w:val="en-US"/>
        </w:rPr>
      </w:pPr>
      <w:r>
        <w:rPr>
          <w:color w:val="000000"/>
          <w:lang w:val="en-US"/>
        </w:rPr>
        <w:t>When efficiency incentive schemes are introduced</w:t>
      </w:r>
      <w:r w:rsidR="005D0301">
        <w:rPr>
          <w:color w:val="000000"/>
          <w:lang w:val="en-US"/>
        </w:rPr>
        <w:t>,</w:t>
      </w:r>
      <w:r>
        <w:rPr>
          <w:color w:val="000000"/>
          <w:lang w:val="en-US"/>
        </w:rPr>
        <w:t xml:space="preserve"> there can be stronger incentives to exaggerate forecasts of expenditure to the extent this increases the profits of the regulated entity.</w:t>
      </w:r>
      <w:r w:rsidR="00E6005B">
        <w:rPr>
          <w:color w:val="000000"/>
          <w:lang w:val="en-US"/>
        </w:rPr>
        <w:t xml:space="preserve"> </w:t>
      </w:r>
      <w:r>
        <w:rPr>
          <w:color w:val="000000"/>
          <w:lang w:val="en-US"/>
        </w:rPr>
        <w:t>This can be addressed by improving the review process for forecasts and also by ex post adjustments where there are material differences between actual and forecast expenditure.</w:t>
      </w:r>
      <w:r w:rsidR="00E6005B">
        <w:rPr>
          <w:color w:val="000000"/>
          <w:lang w:val="en-US"/>
        </w:rPr>
        <w:t xml:space="preserve"> </w:t>
      </w:r>
    </w:p>
    <w:p w14:paraId="26AE40E3" w14:textId="77777777" w:rsidR="007B23F4" w:rsidRDefault="003100A3" w:rsidP="00E606AB">
      <w:pPr>
        <w:rPr>
          <w:color w:val="000000"/>
          <w:lang w:val="en-US"/>
        </w:rPr>
      </w:pPr>
      <w:r>
        <w:rPr>
          <w:color w:val="000000"/>
          <w:lang w:val="en-US"/>
        </w:rPr>
        <w:t>For capital expenditure deferrals, adjustments can be made to remove</w:t>
      </w:r>
      <w:r w:rsidR="002822FA">
        <w:rPr>
          <w:color w:val="000000"/>
          <w:lang w:val="en-US"/>
        </w:rPr>
        <w:t xml:space="preserve"> or reduce</w:t>
      </w:r>
      <w:r>
        <w:rPr>
          <w:color w:val="000000"/>
          <w:lang w:val="en-US"/>
        </w:rPr>
        <w:t xml:space="preserve"> the financing benefit (return on and return of the difference</w:t>
      </w:r>
      <w:r w:rsidR="00672422">
        <w:rPr>
          <w:color w:val="000000"/>
          <w:lang w:val="en-US"/>
        </w:rPr>
        <w:t xml:space="preserve"> between</w:t>
      </w:r>
      <w:r>
        <w:rPr>
          <w:color w:val="000000"/>
          <w:lang w:val="en-US"/>
        </w:rPr>
        <w:t xml:space="preserve"> actual and </w:t>
      </w:r>
      <w:r w:rsidR="00672422">
        <w:rPr>
          <w:color w:val="000000"/>
          <w:lang w:val="en-US"/>
        </w:rPr>
        <w:t xml:space="preserve">forecast </w:t>
      </w:r>
      <w:r>
        <w:rPr>
          <w:color w:val="000000"/>
          <w:lang w:val="en-US"/>
        </w:rPr>
        <w:t xml:space="preserve">capital expenditure) if </w:t>
      </w:r>
      <w:r w:rsidR="003C2F74">
        <w:rPr>
          <w:color w:val="000000"/>
          <w:lang w:val="en-US"/>
        </w:rPr>
        <w:t>the capital expenditure difference is largely attributable to a pure deferral of the expenditure</w:t>
      </w:r>
      <w:r w:rsidR="0084724B">
        <w:rPr>
          <w:color w:val="000000"/>
          <w:lang w:val="en-US"/>
        </w:rPr>
        <w:t xml:space="preserve"> rather than a permanent efficiency benefit</w:t>
      </w:r>
      <w:r w:rsidR="003C2F74">
        <w:rPr>
          <w:color w:val="000000"/>
          <w:lang w:val="en-US"/>
        </w:rPr>
        <w:t>.</w:t>
      </w:r>
      <w:r w:rsidR="00E6005B">
        <w:rPr>
          <w:color w:val="000000"/>
          <w:lang w:val="en-US"/>
        </w:rPr>
        <w:t xml:space="preserve"> </w:t>
      </w:r>
    </w:p>
    <w:p w14:paraId="05FC1132" w14:textId="77777777" w:rsidR="005C4E8E" w:rsidRDefault="0084724B" w:rsidP="00E606AB">
      <w:pPr>
        <w:rPr>
          <w:color w:val="000000"/>
          <w:lang w:val="en-US"/>
        </w:rPr>
      </w:pPr>
      <w:r w:rsidRPr="003E5735">
        <w:rPr>
          <w:color w:val="000000"/>
          <w:lang w:val="en-US"/>
        </w:rPr>
        <w:t xml:space="preserve">It should also be </w:t>
      </w:r>
      <w:proofErr w:type="spellStart"/>
      <w:r w:rsidR="00BB7F70" w:rsidRPr="005848D3">
        <w:rPr>
          <w:color w:val="000000"/>
          <w:lang w:val="en-US"/>
        </w:rPr>
        <w:t>recognised</w:t>
      </w:r>
      <w:proofErr w:type="spellEnd"/>
      <w:r w:rsidR="00BB7F70" w:rsidRPr="005848D3">
        <w:rPr>
          <w:color w:val="000000"/>
          <w:lang w:val="en-US"/>
        </w:rPr>
        <w:t xml:space="preserve"> </w:t>
      </w:r>
      <w:r w:rsidRPr="005848D3">
        <w:rPr>
          <w:color w:val="000000"/>
          <w:lang w:val="en-US"/>
        </w:rPr>
        <w:t>that a</w:t>
      </w:r>
      <w:r>
        <w:rPr>
          <w:color w:val="000000"/>
          <w:lang w:val="en-US"/>
        </w:rPr>
        <w:t>n efficiency</w:t>
      </w:r>
      <w:r w:rsidR="005D0301">
        <w:rPr>
          <w:color w:val="000000"/>
          <w:lang w:val="en-US"/>
        </w:rPr>
        <w:t>-</w:t>
      </w:r>
      <w:r>
        <w:rPr>
          <w:color w:val="000000"/>
          <w:lang w:val="en-US"/>
        </w:rPr>
        <w:t>sharing scheme can be effective in revealing a business’</w:t>
      </w:r>
      <w:r w:rsidR="005D0301">
        <w:rPr>
          <w:color w:val="000000"/>
          <w:lang w:val="en-US"/>
        </w:rPr>
        <w:t>s</w:t>
      </w:r>
      <w:r>
        <w:rPr>
          <w:color w:val="000000"/>
          <w:lang w:val="en-US"/>
        </w:rPr>
        <w:t xml:space="preserve"> efficient cost, thereby reducing the need for more intrusive expenditure reviews. </w:t>
      </w:r>
    </w:p>
    <w:p w14:paraId="322C5EA4" w14:textId="77777777" w:rsidR="00970019" w:rsidRDefault="007417BF" w:rsidP="00970019">
      <w:pPr>
        <w:pStyle w:val="Heading3a"/>
      </w:pPr>
      <w:r>
        <w:t>5</w:t>
      </w:r>
      <w:r w:rsidR="00AF7B19">
        <w:t>.</w:t>
      </w:r>
      <w:r w:rsidR="0041356A">
        <w:t>3</w:t>
      </w:r>
      <w:r w:rsidR="00AF7B19">
        <w:t>.7</w:t>
      </w:r>
      <w:r w:rsidR="00AF7B19">
        <w:tab/>
      </w:r>
      <w:r w:rsidR="001C283F">
        <w:t>IPART</w:t>
      </w:r>
      <w:r w:rsidR="005A2885">
        <w:t xml:space="preserve"> incentive scheme for Sydney Water</w:t>
      </w:r>
    </w:p>
    <w:p w14:paraId="6B378B3F" w14:textId="77777777" w:rsidR="00DD0CE5" w:rsidRPr="00DD0CE5" w:rsidRDefault="00DD0CE5" w:rsidP="008700A7">
      <w:pPr>
        <w:pStyle w:val="Heading4a"/>
        <w:rPr>
          <w:lang w:val="en-US"/>
        </w:rPr>
      </w:pPr>
      <w:r w:rsidRPr="00DD0CE5">
        <w:rPr>
          <w:lang w:val="en-US"/>
        </w:rPr>
        <w:t>Service performance incentives</w:t>
      </w:r>
      <w:r w:rsidR="00116BE4">
        <w:rPr>
          <w:lang w:val="en-US"/>
        </w:rPr>
        <w:t xml:space="preserve"> measures</w:t>
      </w:r>
    </w:p>
    <w:p w14:paraId="4CE5EFA4" w14:textId="77777777" w:rsidR="007427EF" w:rsidRDefault="009E0155" w:rsidP="00AC2BDF">
      <w:pPr>
        <w:rPr>
          <w:color w:val="000000"/>
          <w:lang w:val="en-US"/>
        </w:rPr>
      </w:pPr>
      <w:r>
        <w:rPr>
          <w:color w:val="000000"/>
          <w:lang w:val="en-US"/>
        </w:rPr>
        <w:t>IPART has responsibility for regulating</w:t>
      </w:r>
      <w:r w:rsidR="007427EF">
        <w:rPr>
          <w:color w:val="000000"/>
          <w:lang w:val="en-US"/>
        </w:rPr>
        <w:t xml:space="preserve"> </w:t>
      </w:r>
      <w:r w:rsidR="00AC2BDF">
        <w:rPr>
          <w:color w:val="000000"/>
          <w:lang w:val="en-US"/>
        </w:rPr>
        <w:t xml:space="preserve">the performance of urban water utilities according to </w:t>
      </w:r>
      <w:r w:rsidR="00812126">
        <w:rPr>
          <w:color w:val="000000"/>
          <w:lang w:val="en-US"/>
        </w:rPr>
        <w:t>standards</w:t>
      </w:r>
      <w:r w:rsidR="00AC2BDF">
        <w:rPr>
          <w:color w:val="000000"/>
          <w:lang w:val="en-US"/>
        </w:rPr>
        <w:t xml:space="preserve"> (output measures)</w:t>
      </w:r>
      <w:r w:rsidR="00812126">
        <w:rPr>
          <w:color w:val="000000"/>
          <w:lang w:val="en-US"/>
        </w:rPr>
        <w:t xml:space="preserve"> specified in </w:t>
      </w:r>
      <w:r w:rsidR="00AC2BDF">
        <w:rPr>
          <w:color w:val="000000"/>
          <w:lang w:val="en-US"/>
        </w:rPr>
        <w:t>their</w:t>
      </w:r>
      <w:r w:rsidR="00812126">
        <w:rPr>
          <w:color w:val="000000"/>
          <w:lang w:val="en-US"/>
        </w:rPr>
        <w:t xml:space="preserve"> </w:t>
      </w:r>
      <w:r w:rsidR="005D0301">
        <w:rPr>
          <w:color w:val="000000"/>
          <w:lang w:val="en-US"/>
        </w:rPr>
        <w:t>o</w:t>
      </w:r>
      <w:r w:rsidR="00812126">
        <w:rPr>
          <w:color w:val="000000"/>
          <w:lang w:val="en-US"/>
        </w:rPr>
        <w:t xml:space="preserve">perating </w:t>
      </w:r>
      <w:proofErr w:type="spellStart"/>
      <w:r w:rsidR="005D0301">
        <w:rPr>
          <w:color w:val="000000"/>
          <w:lang w:val="en-US"/>
        </w:rPr>
        <w:t>l</w:t>
      </w:r>
      <w:r w:rsidR="00812126">
        <w:rPr>
          <w:color w:val="000000"/>
          <w:lang w:val="en-US"/>
        </w:rPr>
        <w:t>icence</w:t>
      </w:r>
      <w:r w:rsidR="00AC2BDF">
        <w:rPr>
          <w:color w:val="000000"/>
          <w:lang w:val="en-US"/>
        </w:rPr>
        <w:t>s</w:t>
      </w:r>
      <w:proofErr w:type="spellEnd"/>
      <w:r w:rsidR="00812126">
        <w:rPr>
          <w:color w:val="000000"/>
          <w:lang w:val="en-US"/>
        </w:rPr>
        <w:t>.</w:t>
      </w:r>
      <w:r w:rsidR="00812126" w:rsidRPr="00AC2BDF">
        <w:rPr>
          <w:vertAlign w:val="superscript"/>
        </w:rPr>
        <w:footnoteReference w:id="37"/>
      </w:r>
      <w:r w:rsidR="00E6005B">
        <w:rPr>
          <w:color w:val="000000"/>
          <w:vertAlign w:val="superscript"/>
          <w:lang w:val="en-US"/>
        </w:rPr>
        <w:t xml:space="preserve"> </w:t>
      </w:r>
      <w:r w:rsidR="007427EF" w:rsidRPr="00AC2BDF">
        <w:rPr>
          <w:color w:val="000000"/>
          <w:lang w:val="en-US"/>
        </w:rPr>
        <w:t>In the most recent price regulation determination for Sydney Water, IPART revised the performance measures to reflect the nature of Sydney Water’s capital program.</w:t>
      </w:r>
      <w:r w:rsidR="00E6005B">
        <w:rPr>
          <w:color w:val="000000"/>
          <w:lang w:val="en-US"/>
        </w:rPr>
        <w:t xml:space="preserve"> </w:t>
      </w:r>
      <w:r w:rsidR="007427EF" w:rsidRPr="00AC2BDF">
        <w:rPr>
          <w:color w:val="000000"/>
          <w:lang w:val="en-US"/>
        </w:rPr>
        <w:t xml:space="preserve">A list of output measures for the current determination period is provided in Appendix G of </w:t>
      </w:r>
      <w:r w:rsidR="007427EF" w:rsidRPr="00AC2BDF">
        <w:rPr>
          <w:color w:val="000000"/>
          <w:lang w:val="en-US"/>
        </w:rPr>
        <w:lastRenderedPageBreak/>
        <w:t>the IPART final decision.</w:t>
      </w:r>
      <w:r w:rsidR="007427EF" w:rsidRPr="00AC2BDF">
        <w:rPr>
          <w:vertAlign w:val="superscript"/>
        </w:rPr>
        <w:footnoteReference w:id="38"/>
      </w:r>
      <w:r w:rsidR="00E6005B">
        <w:rPr>
          <w:color w:val="000000"/>
          <w:lang w:val="en-US"/>
        </w:rPr>
        <w:t xml:space="preserve"> </w:t>
      </w:r>
      <w:r w:rsidR="007427EF" w:rsidRPr="00AC2BDF">
        <w:rPr>
          <w:color w:val="000000"/>
          <w:lang w:val="en-US"/>
        </w:rPr>
        <w:t xml:space="preserve">The output measures largely relate to various targets for asset renewal. </w:t>
      </w:r>
    </w:p>
    <w:p w14:paraId="2C2734E1" w14:textId="77777777" w:rsidR="00AC2BDF" w:rsidRDefault="00AC2BDF" w:rsidP="00AC2BDF">
      <w:pPr>
        <w:rPr>
          <w:color w:val="000000"/>
          <w:lang w:val="en-US"/>
        </w:rPr>
      </w:pPr>
      <w:r>
        <w:rPr>
          <w:color w:val="000000"/>
          <w:lang w:val="en-US"/>
        </w:rPr>
        <w:t>IPART’s guidelines for water agency submissions to a pricing revi</w:t>
      </w:r>
      <w:r w:rsidR="007B23F4">
        <w:rPr>
          <w:color w:val="000000"/>
          <w:lang w:val="en-US"/>
        </w:rPr>
        <w:t>ew specify that</w:t>
      </w:r>
      <w:r>
        <w:rPr>
          <w:color w:val="000000"/>
          <w:lang w:val="en-US"/>
        </w:rPr>
        <w:t xml:space="preserve"> regulated agencies should </w:t>
      </w:r>
      <w:r w:rsidR="000B3689">
        <w:rPr>
          <w:color w:val="000000"/>
          <w:lang w:val="en-US"/>
        </w:rPr>
        <w:t xml:space="preserve">report on </w:t>
      </w:r>
      <w:r w:rsidR="00521A1D">
        <w:rPr>
          <w:color w:val="000000"/>
          <w:lang w:val="en-US"/>
        </w:rPr>
        <w:t>their</w:t>
      </w:r>
      <w:r w:rsidR="000B3689">
        <w:rPr>
          <w:color w:val="000000"/>
          <w:lang w:val="en-US"/>
        </w:rPr>
        <w:t xml:space="preserve"> performance over the current determination period</w:t>
      </w:r>
      <w:r w:rsidR="00521A1D">
        <w:rPr>
          <w:color w:val="000000"/>
          <w:lang w:val="en-US"/>
        </w:rPr>
        <w:t>,</w:t>
      </w:r>
      <w:r w:rsidR="000B3689">
        <w:rPr>
          <w:color w:val="000000"/>
          <w:lang w:val="en-US"/>
        </w:rPr>
        <w:t xml:space="preserve"> including various measures of service levels, complaints, revenue, connections, operating expenditure and capital expenditure.</w:t>
      </w:r>
      <w:r w:rsidR="000B3689">
        <w:rPr>
          <w:rStyle w:val="FootnoteReference"/>
          <w:color w:val="000000"/>
          <w:lang w:val="en-US"/>
        </w:rPr>
        <w:footnoteReference w:id="39"/>
      </w:r>
    </w:p>
    <w:p w14:paraId="77246E75" w14:textId="77777777" w:rsidR="00DD0CE5" w:rsidRDefault="00DD0CE5" w:rsidP="00AC2BDF">
      <w:pPr>
        <w:rPr>
          <w:color w:val="000000"/>
          <w:lang w:val="en-US"/>
        </w:rPr>
      </w:pPr>
      <w:r>
        <w:rPr>
          <w:color w:val="000000"/>
          <w:lang w:val="en-US"/>
        </w:rPr>
        <w:t>At this stage</w:t>
      </w:r>
      <w:r w:rsidR="00521A1D">
        <w:rPr>
          <w:color w:val="000000"/>
          <w:lang w:val="en-US"/>
        </w:rPr>
        <w:t>,</w:t>
      </w:r>
      <w:r>
        <w:rPr>
          <w:color w:val="000000"/>
          <w:lang w:val="en-US"/>
        </w:rPr>
        <w:t xml:space="preserve"> the output measures for service standards are not linked directly to financial rewards or penalties but rather provide information for assessing the efficiency of expenditure. </w:t>
      </w:r>
    </w:p>
    <w:p w14:paraId="4BAE6CB9" w14:textId="77777777" w:rsidR="00DD0CE5" w:rsidRPr="0046044C" w:rsidRDefault="00DD0CE5" w:rsidP="008700A7">
      <w:pPr>
        <w:pStyle w:val="Heading4a"/>
        <w:rPr>
          <w:lang w:val="en-US"/>
        </w:rPr>
      </w:pPr>
      <w:r w:rsidRPr="0046044C">
        <w:rPr>
          <w:lang w:val="en-US"/>
        </w:rPr>
        <w:t xml:space="preserve">Operating expenditure efficiency benefit sharing scheme </w:t>
      </w:r>
    </w:p>
    <w:p w14:paraId="7D8DD689" w14:textId="77777777" w:rsidR="001C283F" w:rsidRDefault="00B23E95" w:rsidP="00E606AB">
      <w:r>
        <w:t xml:space="preserve">In recognition of the disincentives to pursue operating cost efficiencies under the </w:t>
      </w:r>
      <w:r w:rsidR="005848D3">
        <w:t xml:space="preserve">previous </w:t>
      </w:r>
      <w:r>
        <w:t>regulatory arrangements</w:t>
      </w:r>
      <w:r w:rsidR="007B23F4">
        <w:t>,</w:t>
      </w:r>
      <w:r>
        <w:t xml:space="preserve"> IPART approved an efficiency benefit sharing scheme (EBSS) for Sydney Water.</w:t>
      </w:r>
      <w:r>
        <w:rPr>
          <w:rStyle w:val="FootnoteReference"/>
        </w:rPr>
        <w:footnoteReference w:id="40"/>
      </w:r>
      <w:r w:rsidR="00E6005B">
        <w:t xml:space="preserve"> </w:t>
      </w:r>
      <w:r w:rsidR="00A734BF">
        <w:t xml:space="preserve">The main reason for introducing the EBSS was IPART’s concern </w:t>
      </w:r>
      <w:r w:rsidR="00521A1D">
        <w:t>about</w:t>
      </w:r>
      <w:r w:rsidR="00A734BF">
        <w:t xml:space="preserve"> the periodicity of incentives problem </w:t>
      </w:r>
      <w:r w:rsidR="00521A1D">
        <w:t>– that is,</w:t>
      </w:r>
      <w:r w:rsidR="00A734BF">
        <w:t xml:space="preserve"> the incentive to delay cost savings from the end of one regulatory period to the beginning of the next.</w:t>
      </w:r>
      <w:r w:rsidR="00A734BF">
        <w:rPr>
          <w:rStyle w:val="FootnoteReference"/>
        </w:rPr>
        <w:footnoteReference w:id="41"/>
      </w:r>
    </w:p>
    <w:p w14:paraId="456C4419" w14:textId="77777777" w:rsidR="00A734BF" w:rsidRDefault="00A734BF" w:rsidP="00521A1D">
      <w:pPr>
        <w:pStyle w:val="Bodybulletintro"/>
      </w:pPr>
      <w:r>
        <w:t>Some key features of the EBSS that applies to Sydney Water are</w:t>
      </w:r>
      <w:r w:rsidR="00E24384">
        <w:t>:</w:t>
      </w:r>
      <w:r w:rsidR="00720C9A">
        <w:rPr>
          <w:rStyle w:val="FootnoteReference"/>
        </w:rPr>
        <w:footnoteReference w:id="42"/>
      </w:r>
    </w:p>
    <w:p w14:paraId="657D5683" w14:textId="77777777" w:rsidR="00720C9A" w:rsidRDefault="00720C9A" w:rsidP="00521A1D">
      <w:pPr>
        <w:pStyle w:val="Bullet"/>
      </w:pPr>
      <w:r>
        <w:t>The scheme applies to controllable operating expenditure (defined as total operating expenditure less bulk water costs covering 70 per cent of total operating expenditure for regulated services).</w:t>
      </w:r>
    </w:p>
    <w:p w14:paraId="146CBADB" w14:textId="77777777" w:rsidR="00A734BF" w:rsidRDefault="00A734BF" w:rsidP="00521A1D">
      <w:pPr>
        <w:pStyle w:val="Bullet"/>
      </w:pPr>
      <w:r>
        <w:t>The scheme is asymmetric in that it equalises incentives as to the timing of permanent efficiency savi</w:t>
      </w:r>
      <w:r w:rsidRPr="005848D3">
        <w:t>ngs over time but does not allow automatic sharing of permanent</w:t>
      </w:r>
      <w:r w:rsidR="000F7E06" w:rsidRPr="005848D3">
        <w:t xml:space="preserve"> cost increases, as this is co</w:t>
      </w:r>
      <w:r w:rsidR="000F7E06">
        <w:t>nsidered to be in the long</w:t>
      </w:r>
      <w:r w:rsidR="00521A1D">
        <w:t>-</w:t>
      </w:r>
      <w:r w:rsidR="000F7E06">
        <w:t>term interests of consumers.</w:t>
      </w:r>
      <w:r w:rsidR="00E6005B">
        <w:t xml:space="preserve"> </w:t>
      </w:r>
      <w:r w:rsidR="00D2117B">
        <w:t xml:space="preserve">There are separate </w:t>
      </w:r>
      <w:r w:rsidR="00720C9A">
        <w:t xml:space="preserve">cost pass-through mechanisms that apply to defined </w:t>
      </w:r>
      <w:r w:rsidR="008700A7">
        <w:t>non-</w:t>
      </w:r>
      <w:r w:rsidR="00720C9A">
        <w:t xml:space="preserve">controllable costs. </w:t>
      </w:r>
    </w:p>
    <w:p w14:paraId="2A49202D" w14:textId="77777777" w:rsidR="000F7E06" w:rsidRDefault="00A734BF" w:rsidP="00521A1D">
      <w:pPr>
        <w:pStyle w:val="Bullet"/>
      </w:pPr>
      <w:r>
        <w:t>Temporary over</w:t>
      </w:r>
      <w:r w:rsidR="008700A7">
        <w:t>-</w:t>
      </w:r>
      <w:r>
        <w:t xml:space="preserve"> and underspends within budget are treated symmetrically and not passed on to customers.</w:t>
      </w:r>
    </w:p>
    <w:p w14:paraId="5264362A" w14:textId="77777777" w:rsidR="000F7E06" w:rsidRDefault="000F7E06" w:rsidP="00521A1D">
      <w:pPr>
        <w:pStyle w:val="Bullet"/>
      </w:pPr>
      <w:r>
        <w:t>The scheme does not apply to capital expenditure (reflecting concerns about limited coverage, the risk of incentives to over</w:t>
      </w:r>
      <w:r w:rsidR="00521A1D">
        <w:t>-</w:t>
      </w:r>
      <w:r>
        <w:t>forecast and inefficiently defer capital expenditure, limited opportunities for efficient trade-offs between operating and capital expenditure</w:t>
      </w:r>
      <w:r w:rsidR="00521A1D">
        <w:t>,</w:t>
      </w:r>
      <w:r>
        <w:t xml:space="preserve"> and complexity). </w:t>
      </w:r>
    </w:p>
    <w:p w14:paraId="697EBE99" w14:textId="77777777" w:rsidR="000F7E06" w:rsidRDefault="000F7E06" w:rsidP="00521A1D">
      <w:pPr>
        <w:pStyle w:val="BulletLast"/>
      </w:pPr>
      <w:r>
        <w:t>The scheme is designed to apply to the four years preceding its application (three y</w:t>
      </w:r>
      <w:r w:rsidR="002037AF">
        <w:t>ears for the first application).</w:t>
      </w:r>
      <w:r w:rsidR="00E6005B">
        <w:t xml:space="preserve"> </w:t>
      </w:r>
      <w:r w:rsidR="002037AF">
        <w:t xml:space="preserve">This means that the value of a permanent </w:t>
      </w:r>
      <w:r w:rsidR="002037AF">
        <w:lastRenderedPageBreak/>
        <w:t>efficiency gain is allowed to be retained for four years irrespective of when it is realised.</w:t>
      </w:r>
      <w:r w:rsidR="00D2117B">
        <w:rPr>
          <w:rStyle w:val="FootnoteReference"/>
        </w:rPr>
        <w:footnoteReference w:id="43"/>
      </w:r>
      <w:r w:rsidR="002037AF">
        <w:t xml:space="preserve"> </w:t>
      </w:r>
    </w:p>
    <w:p w14:paraId="3E62EF84" w14:textId="77777777" w:rsidR="00970019" w:rsidRDefault="007417BF" w:rsidP="00970019">
      <w:pPr>
        <w:pStyle w:val="Heading3a"/>
      </w:pPr>
      <w:r>
        <w:t>5</w:t>
      </w:r>
      <w:r w:rsidR="00AF7B19">
        <w:t>.</w:t>
      </w:r>
      <w:r w:rsidR="0041356A">
        <w:t>3</w:t>
      </w:r>
      <w:r w:rsidR="00AF7B19">
        <w:t>.8</w:t>
      </w:r>
      <w:r w:rsidR="00AF7B19">
        <w:tab/>
      </w:r>
      <w:r w:rsidR="001C283F">
        <w:t xml:space="preserve">AER </w:t>
      </w:r>
      <w:r w:rsidR="0006718D">
        <w:t xml:space="preserve">incentive schemes </w:t>
      </w:r>
    </w:p>
    <w:p w14:paraId="748B5F0F" w14:textId="77777777" w:rsidR="00116BE4" w:rsidRPr="00DD0CE5" w:rsidRDefault="00116BE4" w:rsidP="008700A7">
      <w:pPr>
        <w:pStyle w:val="Heading4a"/>
        <w:rPr>
          <w:lang w:val="en-US"/>
        </w:rPr>
      </w:pPr>
      <w:r w:rsidRPr="00DD0CE5">
        <w:rPr>
          <w:lang w:val="en-US"/>
        </w:rPr>
        <w:t xml:space="preserve">Service </w:t>
      </w:r>
      <w:r>
        <w:rPr>
          <w:lang w:val="en-US"/>
        </w:rPr>
        <w:t xml:space="preserve">target </w:t>
      </w:r>
      <w:r w:rsidRPr="00DD0CE5">
        <w:rPr>
          <w:lang w:val="en-US"/>
        </w:rPr>
        <w:t>performance incentive</w:t>
      </w:r>
      <w:r>
        <w:rPr>
          <w:lang w:val="en-US"/>
        </w:rPr>
        <w:t xml:space="preserve"> </w:t>
      </w:r>
      <w:r w:rsidRPr="00DD0CE5">
        <w:rPr>
          <w:lang w:val="en-US"/>
        </w:rPr>
        <w:t>s</w:t>
      </w:r>
      <w:r>
        <w:rPr>
          <w:lang w:val="en-US"/>
        </w:rPr>
        <w:t>cheme</w:t>
      </w:r>
    </w:p>
    <w:p w14:paraId="21CAC6ED" w14:textId="77777777" w:rsidR="00CD529E" w:rsidRPr="00125ECD" w:rsidRDefault="0041456E" w:rsidP="00125ECD">
      <w:r w:rsidRPr="00125ECD">
        <w:t xml:space="preserve">The </w:t>
      </w:r>
      <w:r w:rsidR="00521A1D">
        <w:t>AER</w:t>
      </w:r>
      <w:r w:rsidR="00607486" w:rsidRPr="00125ECD">
        <w:t xml:space="preserve"> </w:t>
      </w:r>
      <w:r w:rsidRPr="00125ECD">
        <w:t xml:space="preserve">applies the </w:t>
      </w:r>
      <w:r w:rsidR="00521A1D">
        <w:t>s</w:t>
      </w:r>
      <w:r w:rsidRPr="00125ECD">
        <w:t xml:space="preserve">ervice </w:t>
      </w:r>
      <w:r w:rsidR="00521A1D">
        <w:t>t</w:t>
      </w:r>
      <w:r w:rsidRPr="00125ECD">
        <w:t xml:space="preserve">arget </w:t>
      </w:r>
      <w:r w:rsidR="00521A1D">
        <w:t>p</w:t>
      </w:r>
      <w:r w:rsidRPr="00125ECD">
        <w:t xml:space="preserve">erformance </w:t>
      </w:r>
      <w:r w:rsidR="00521A1D">
        <w:t>i</w:t>
      </w:r>
      <w:r w:rsidRPr="00125ECD">
        <w:t xml:space="preserve">ncentive </w:t>
      </w:r>
      <w:r w:rsidR="00521A1D">
        <w:t>s</w:t>
      </w:r>
      <w:r w:rsidRPr="00125ECD">
        <w:t xml:space="preserve">cheme (STPIS) to </w:t>
      </w:r>
      <w:r w:rsidR="00607486" w:rsidRPr="00125ECD">
        <w:t>NSPs</w:t>
      </w:r>
      <w:r w:rsidRPr="00125ECD">
        <w:t>.</w:t>
      </w:r>
      <w:r w:rsidR="00E6005B">
        <w:t xml:space="preserve"> </w:t>
      </w:r>
      <w:r w:rsidRPr="00125ECD">
        <w:t xml:space="preserve">The STPIS aims to encourage NSPs to improve or maintain the performance of their </w:t>
      </w:r>
      <w:r w:rsidR="00607486" w:rsidRPr="00125ECD">
        <w:t xml:space="preserve">electricity distribution and transmission </w:t>
      </w:r>
      <w:r w:rsidRPr="00125ECD">
        <w:t>networks.</w:t>
      </w:r>
      <w:r w:rsidR="00E6005B">
        <w:t xml:space="preserve"> </w:t>
      </w:r>
      <w:r w:rsidRPr="00125ECD">
        <w:t>This is achieved by linking NSPs</w:t>
      </w:r>
      <w:r w:rsidR="00521A1D">
        <w:t>’</w:t>
      </w:r>
      <w:r w:rsidRPr="00125ECD">
        <w:t xml:space="preserve"> allowed revenues to their performance against defined service</w:t>
      </w:r>
      <w:r w:rsidR="007319DD">
        <w:t>-</w:t>
      </w:r>
      <w:r w:rsidRPr="00125ECD">
        <w:t>level measures.</w:t>
      </w:r>
      <w:r w:rsidR="00E6005B">
        <w:t xml:space="preserve"> </w:t>
      </w:r>
      <w:r w:rsidR="00CD529E" w:rsidRPr="00125ECD">
        <w:t xml:space="preserve">Different measurements of performance and service standards apply to </w:t>
      </w:r>
      <w:r w:rsidR="00607486" w:rsidRPr="00125ECD">
        <w:t xml:space="preserve">distribution and transmission </w:t>
      </w:r>
      <w:r w:rsidR="00CD529E" w:rsidRPr="00125ECD">
        <w:t xml:space="preserve">businesses. </w:t>
      </w:r>
    </w:p>
    <w:p w14:paraId="7B3E2AF7" w14:textId="77777777" w:rsidR="00CD529E" w:rsidRPr="00125ECD" w:rsidRDefault="00CD529E" w:rsidP="00125ECD">
      <w:r w:rsidRPr="00125ECD">
        <w:t>When the AER first introduced the STPIS in 2007, it was based on the service standards guidelines developed by the Australian Competition and Consumer Commission.</w:t>
      </w:r>
      <w:r w:rsidR="00E6005B">
        <w:t xml:space="preserve"> </w:t>
      </w:r>
      <w:r w:rsidR="007319DD">
        <w:t>Th</w:t>
      </w:r>
      <w:r w:rsidR="000B32F2">
        <w:t>ose</w:t>
      </w:r>
      <w:r w:rsidR="007319DD">
        <w:t xml:space="preserve"> </w:t>
      </w:r>
      <w:r w:rsidRPr="00125ECD">
        <w:t xml:space="preserve">guidelines were designed to address the incentives provided to </w:t>
      </w:r>
      <w:r w:rsidR="00E24384">
        <w:t xml:space="preserve">transmission </w:t>
      </w:r>
      <w:r w:rsidRPr="00125ECD">
        <w:t>NSPs under a revenue cap to reduce ope</w:t>
      </w:r>
      <w:r w:rsidR="001B20C6">
        <w:t>rating expenditure</w:t>
      </w:r>
      <w:r w:rsidRPr="00125ECD">
        <w:t xml:space="preserve"> at the expense of se</w:t>
      </w:r>
      <w:r w:rsidR="00E24384">
        <w:t xml:space="preserve">rvice quality, by linking transmission </w:t>
      </w:r>
      <w:r w:rsidR="000B32F2">
        <w:t>NSPs’</w:t>
      </w:r>
      <w:r w:rsidRPr="00125ECD">
        <w:t xml:space="preserve"> allowed revenues to their performance against defined service</w:t>
      </w:r>
      <w:r w:rsidR="000B32F2">
        <w:t>-</w:t>
      </w:r>
      <w:r w:rsidRPr="00125ECD">
        <w:t>level measures.</w:t>
      </w:r>
      <w:r w:rsidR="00E6005B">
        <w:t xml:space="preserve"> </w:t>
      </w:r>
    </w:p>
    <w:p w14:paraId="1B0340C4" w14:textId="77777777" w:rsidR="0006718D" w:rsidRPr="00125ECD" w:rsidRDefault="00CD529E" w:rsidP="00521A1D">
      <w:pPr>
        <w:pStyle w:val="Bodybulletintro"/>
      </w:pPr>
      <w:r w:rsidRPr="00125ECD">
        <w:t>The STPIS has since undergone three major rounds of amendments.</w:t>
      </w:r>
      <w:r w:rsidR="00E6005B">
        <w:t xml:space="preserve"> </w:t>
      </w:r>
      <w:r w:rsidRPr="00125ECD">
        <w:t>The latest version of the</w:t>
      </w:r>
      <w:r w:rsidR="00C26570" w:rsidRPr="00125ECD">
        <w:t xml:space="preserve"> </w:t>
      </w:r>
      <w:r w:rsidRPr="00125ECD">
        <w:t xml:space="preserve">STPIS </w:t>
      </w:r>
      <w:r w:rsidR="00607486" w:rsidRPr="00125ECD">
        <w:t xml:space="preserve">for transmission NSPs </w:t>
      </w:r>
      <w:r w:rsidRPr="00125ECD">
        <w:t>has three key components:</w:t>
      </w:r>
      <w:r w:rsidR="00607486" w:rsidRPr="00125ECD">
        <w:t xml:space="preserve"> </w:t>
      </w:r>
    </w:p>
    <w:p w14:paraId="66D85C91" w14:textId="77777777" w:rsidR="0006718D" w:rsidRPr="00125ECD" w:rsidRDefault="000B32F2" w:rsidP="00521A1D">
      <w:pPr>
        <w:pStyle w:val="Bullet"/>
      </w:pPr>
      <w:proofErr w:type="gramStart"/>
      <w:r>
        <w:t>a</w:t>
      </w:r>
      <w:proofErr w:type="gramEnd"/>
      <w:r w:rsidR="0006718D" w:rsidRPr="00125ECD">
        <w:t xml:space="preserve"> service component, with performance measures covering the frequency of unplanned outages and the duration of these events.</w:t>
      </w:r>
      <w:r w:rsidR="00E6005B">
        <w:t xml:space="preserve"> </w:t>
      </w:r>
      <w:r w:rsidR="0006718D" w:rsidRPr="00125ECD">
        <w:t>This can lead to a maximum reward or penalty worth 1.25 per cent of the maximum allowable revenue (MAR);</w:t>
      </w:r>
    </w:p>
    <w:p w14:paraId="15641DD1" w14:textId="77777777" w:rsidR="0006718D" w:rsidRPr="00125ECD" w:rsidRDefault="000B32F2" w:rsidP="00521A1D">
      <w:pPr>
        <w:pStyle w:val="Bullet"/>
      </w:pPr>
      <w:proofErr w:type="gramStart"/>
      <w:r>
        <w:t>a</w:t>
      </w:r>
      <w:proofErr w:type="gramEnd"/>
      <w:r w:rsidR="0006718D" w:rsidRPr="00125ECD">
        <w:t xml:space="preserve"> market-impact component, which provides an incentive to reduce the impact of planned and unplanned outages on wholesale market outcomes.</w:t>
      </w:r>
      <w:r w:rsidR="00E6005B">
        <w:t xml:space="preserve"> </w:t>
      </w:r>
      <w:r w:rsidR="0006718D" w:rsidRPr="00125ECD">
        <w:t xml:space="preserve">This has a maximum reward of </w:t>
      </w:r>
      <w:r>
        <w:t>1 </w:t>
      </w:r>
      <w:r w:rsidR="0006718D" w:rsidRPr="00125ECD">
        <w:t>per cent of the MAR; and</w:t>
      </w:r>
    </w:p>
    <w:p w14:paraId="3CD8870F" w14:textId="77777777" w:rsidR="0006718D" w:rsidRPr="00125ECD" w:rsidRDefault="000B32F2" w:rsidP="00521A1D">
      <w:pPr>
        <w:pStyle w:val="BulletLast"/>
      </w:pPr>
      <w:proofErr w:type="gramStart"/>
      <w:r>
        <w:t>a</w:t>
      </w:r>
      <w:proofErr w:type="gramEnd"/>
      <w:r w:rsidR="0006718D" w:rsidRPr="00125ECD">
        <w:t xml:space="preserve"> network-capability component, which encourages NSPs to undertake low-cost projects that deliver improvements in network capability, availability or reliability.</w:t>
      </w:r>
      <w:r w:rsidR="00E6005B">
        <w:t xml:space="preserve"> </w:t>
      </w:r>
      <w:r w:rsidR="0006718D" w:rsidRPr="00125ECD">
        <w:t>This has a maximum reward of 1.5 per cent of the MAR</w:t>
      </w:r>
      <w:r>
        <w:t>,</w:t>
      </w:r>
      <w:r w:rsidR="0006718D" w:rsidRPr="00125ECD">
        <w:t xml:space="preserve"> and there are penalties </w:t>
      </w:r>
      <w:r w:rsidR="00ED4BD4" w:rsidRPr="00125ECD">
        <w:t xml:space="preserve">if improvement targets are not met </w:t>
      </w:r>
      <w:r>
        <w:t>(</w:t>
      </w:r>
      <w:r w:rsidR="00ED4BD4" w:rsidRPr="00125ECD">
        <w:t>up to a maximum of 3.5 per cent of the MAR</w:t>
      </w:r>
      <w:r>
        <w:t>)</w:t>
      </w:r>
      <w:r w:rsidR="00ED4BD4" w:rsidRPr="00125ECD">
        <w:t>.</w:t>
      </w:r>
      <w:r w:rsidRPr="007B23F4">
        <w:rPr>
          <w:vertAlign w:val="superscript"/>
        </w:rPr>
        <w:footnoteReference w:id="44"/>
      </w:r>
      <w:r w:rsidR="00ED4BD4" w:rsidRPr="00125ECD">
        <w:t xml:space="preserve"> </w:t>
      </w:r>
    </w:p>
    <w:p w14:paraId="59C223C3" w14:textId="77777777" w:rsidR="0006718D" w:rsidRPr="00125ECD" w:rsidRDefault="00ED4BD4" w:rsidP="00125ECD">
      <w:r w:rsidRPr="00125ECD">
        <w:t>The rewards and penaltie</w:t>
      </w:r>
      <w:r w:rsidR="007B23F4">
        <w:t xml:space="preserve">s are based on estimates of </w:t>
      </w:r>
      <w:r w:rsidRPr="00125ECD">
        <w:t>consumers</w:t>
      </w:r>
      <w:r w:rsidR="007B23F4">
        <w:t>’</w:t>
      </w:r>
      <w:r w:rsidRPr="00125ECD">
        <w:t xml:space="preserve"> willingness to pay for service and reliability improvements. </w:t>
      </w:r>
    </w:p>
    <w:p w14:paraId="07E2DD77" w14:textId="77777777" w:rsidR="00ED4BD4" w:rsidRPr="00ED4BD4" w:rsidRDefault="00ED4BD4" w:rsidP="008700A7">
      <w:pPr>
        <w:pStyle w:val="Heading4a"/>
        <w:rPr>
          <w:lang w:val="en-US"/>
        </w:rPr>
      </w:pPr>
      <w:r w:rsidRPr="00BA5487">
        <w:rPr>
          <w:lang w:val="en-US"/>
        </w:rPr>
        <w:lastRenderedPageBreak/>
        <w:t>Efficiency benefit sharing schemes</w:t>
      </w:r>
    </w:p>
    <w:p w14:paraId="2556C7BE" w14:textId="77777777" w:rsidR="000B6AE0" w:rsidRPr="00125ECD" w:rsidRDefault="000B6AE0" w:rsidP="00125ECD">
      <w:r w:rsidRPr="00125ECD">
        <w:t>The AER has also implemented efficiency incentive schemes relating to operating expenditure and capital expenditure.</w:t>
      </w:r>
      <w:r w:rsidR="00E6005B">
        <w:t xml:space="preserve"> </w:t>
      </w:r>
      <w:r w:rsidR="00C26570" w:rsidRPr="00125ECD">
        <w:t>Both schemes are still in place for transmission NSPs and the capital expenditure scheme is still in place for distribution NSPs.</w:t>
      </w:r>
      <w:r w:rsidR="00E6005B">
        <w:t xml:space="preserve"> </w:t>
      </w:r>
      <w:r w:rsidR="00C26570" w:rsidRPr="00125ECD">
        <w:t xml:space="preserve">But the </w:t>
      </w:r>
      <w:r w:rsidRPr="00125ECD">
        <w:t xml:space="preserve">operating expenditure scheme was </w:t>
      </w:r>
      <w:r w:rsidR="00C26570" w:rsidRPr="00125ECD">
        <w:t xml:space="preserve">recently </w:t>
      </w:r>
      <w:r w:rsidRPr="00125ECD">
        <w:t>replaced by a more comprehensive use of benchmarking</w:t>
      </w:r>
      <w:r w:rsidR="00C26570" w:rsidRPr="00125ECD">
        <w:t xml:space="preserve"> for distribution NSPs</w:t>
      </w:r>
      <w:r w:rsidRPr="00125ECD">
        <w:t>.</w:t>
      </w:r>
      <w:r w:rsidR="00C26570" w:rsidRPr="00125ECD">
        <w:rPr>
          <w:vertAlign w:val="superscript"/>
        </w:rPr>
        <w:footnoteReference w:id="45"/>
      </w:r>
      <w:r w:rsidRPr="00125ECD">
        <w:rPr>
          <w:vertAlign w:val="superscript"/>
        </w:rPr>
        <w:t xml:space="preserve"> </w:t>
      </w:r>
    </w:p>
    <w:p w14:paraId="0D398FA1" w14:textId="77777777" w:rsidR="00ED4BD4" w:rsidRPr="00125ECD" w:rsidRDefault="00ED4BD4" w:rsidP="00125ECD">
      <w:r w:rsidRPr="00125ECD">
        <w:t>The EBSS for operating expenditure was designed to provide continuous incentives for NSPs to pursue efficiency and to share efficiency gains and losses between NSPs and customers.</w:t>
      </w:r>
    </w:p>
    <w:p w14:paraId="7447D187" w14:textId="77777777" w:rsidR="00ED4BD4" w:rsidRPr="00125ECD" w:rsidRDefault="00ED4BD4" w:rsidP="00125ECD">
      <w:r w:rsidRPr="00125ECD">
        <w:t>Similar to IPART’s scheme for Sydney Water, the AER’s EBSS has an incremental rolling mechanis</w:t>
      </w:r>
      <w:r w:rsidR="000B32F2">
        <w:t>m where NSPs retain a share of ‘incremental’</w:t>
      </w:r>
      <w:r w:rsidRPr="00125ECD">
        <w:t xml:space="preserve"> efficiency gains and losses for a fixed period (known as the carryover period and typically equal to the length of the regulatory period of </w:t>
      </w:r>
      <w:r w:rsidR="00B8458D">
        <w:t>five</w:t>
      </w:r>
      <w:r w:rsidRPr="00125ECD">
        <w:t xml:space="preserve"> years).</w:t>
      </w:r>
      <w:r w:rsidR="00E6005B">
        <w:t xml:space="preserve"> </w:t>
      </w:r>
      <w:r w:rsidRPr="00125ECD">
        <w:t xml:space="preserve">The unused carryover amounts are added into the NSP’s allowed revenue for the next regulatory period. </w:t>
      </w:r>
    </w:p>
    <w:p w14:paraId="023E112C" w14:textId="77777777" w:rsidR="00ED4BD4" w:rsidRPr="00125ECD" w:rsidRDefault="00ED4BD4" w:rsidP="00125ECD">
      <w:r w:rsidRPr="00125ECD">
        <w:t xml:space="preserve">This mechanism ensures that NSPs retain a fixed percentage of any efficiency gains in </w:t>
      </w:r>
      <w:r w:rsidR="00326028">
        <w:t>net present value</w:t>
      </w:r>
      <w:r w:rsidR="00326028" w:rsidRPr="00125ECD">
        <w:t xml:space="preserve"> </w:t>
      </w:r>
      <w:r w:rsidR="00326028">
        <w:t>(</w:t>
      </w:r>
      <w:r w:rsidRPr="00125ECD">
        <w:t>NPV</w:t>
      </w:r>
      <w:r w:rsidR="00326028">
        <w:t>)</w:t>
      </w:r>
      <w:r w:rsidRPr="00125ECD">
        <w:t xml:space="preserve"> terms, irrespective of the nature of the ope</w:t>
      </w:r>
      <w:r w:rsidR="001B20C6">
        <w:t>rating expenditure</w:t>
      </w:r>
      <w:r w:rsidRPr="00125ECD">
        <w:t xml:space="preserve"> reduction (i.e. one-off or recurrent) and the time </w:t>
      </w:r>
      <w:r w:rsidR="00326028">
        <w:t xml:space="preserve">when </w:t>
      </w:r>
      <w:r w:rsidRPr="00125ECD">
        <w:t>the efficiency gain occurs.</w:t>
      </w:r>
      <w:r w:rsidR="00E6005B">
        <w:t xml:space="preserve"> </w:t>
      </w:r>
      <w:r w:rsidR="00DE42E8" w:rsidRPr="00125ECD">
        <w:t>Thus,</w:t>
      </w:r>
      <w:r w:rsidRPr="00125ECD">
        <w:t xml:space="preserve"> NSPs have continuous incentives to pursue ope</w:t>
      </w:r>
      <w:r w:rsidR="001B20C6">
        <w:t>rating expenditure</w:t>
      </w:r>
      <w:r w:rsidRPr="00125ECD">
        <w:t xml:space="preserve"> efficiency.</w:t>
      </w:r>
      <w:r w:rsidR="00E6005B">
        <w:t xml:space="preserve"> </w:t>
      </w:r>
      <w:r w:rsidRPr="00125ECD">
        <w:t xml:space="preserve">The EBSS operates on a symmetric basis in the sense that both </w:t>
      </w:r>
      <w:r w:rsidR="00326028">
        <w:t>over</w:t>
      </w:r>
      <w:r w:rsidRPr="00125ECD">
        <w:t>- and underperformance are shared betw</w:t>
      </w:r>
      <w:r w:rsidR="00E24384">
        <w:t>een NSPs and their customers.</w:t>
      </w:r>
      <w:r w:rsidR="00E6005B">
        <w:t xml:space="preserve"> </w:t>
      </w:r>
    </w:p>
    <w:p w14:paraId="22257278" w14:textId="77777777" w:rsidR="00ED4BD4" w:rsidRPr="00125ECD" w:rsidRDefault="00326028" w:rsidP="00125ECD">
      <w:r>
        <w:t>The EBSS is linked to the AER’</w:t>
      </w:r>
      <w:r w:rsidR="00ED4BD4" w:rsidRPr="00125ECD">
        <w:t>s approach for s</w:t>
      </w:r>
      <w:r w:rsidR="001B20C6">
        <w:t>etting the operating expenditure allowance</w:t>
      </w:r>
      <w:r>
        <w:t>,</w:t>
      </w:r>
      <w:r w:rsidR="001B20C6">
        <w:t xml:space="preserve"> </w:t>
      </w:r>
      <w:r w:rsidR="00BA5487">
        <w:t>which is usually</w:t>
      </w:r>
      <w:r w:rsidR="00ED4BD4" w:rsidRPr="00125ECD">
        <w:t xml:space="preserve"> the revealed-cost approach.</w:t>
      </w:r>
      <w:r w:rsidR="00E6005B">
        <w:t xml:space="preserve"> </w:t>
      </w:r>
      <w:r w:rsidR="00ED4BD4" w:rsidRPr="00125ECD">
        <w:t>With the revealed-cost approach, the AER uses actual ope</w:t>
      </w:r>
      <w:r w:rsidR="001B20C6">
        <w:t>rating expenditure</w:t>
      </w:r>
      <w:r w:rsidR="00ED4BD4" w:rsidRPr="00125ECD">
        <w:t xml:space="preserve"> in a base year (either the penultimate or the final year of the previous regulatory period) as a starting point for forecasting ope</w:t>
      </w:r>
      <w:r w:rsidR="001B20C6">
        <w:t>rating expenditure</w:t>
      </w:r>
      <w:r w:rsidR="00ED4BD4" w:rsidRPr="00125ECD">
        <w:t>.</w:t>
      </w:r>
      <w:r w:rsidR="00E6005B">
        <w:t xml:space="preserve"> </w:t>
      </w:r>
      <w:r w:rsidR="00ED4BD4" w:rsidRPr="00125ECD">
        <w:t>This actual ope</w:t>
      </w:r>
      <w:r w:rsidR="001B20C6">
        <w:t>rating expenditure</w:t>
      </w:r>
      <w:r w:rsidR="00ED4BD4" w:rsidRPr="00125ECD">
        <w:t xml:space="preserve"> is then adjusted downwards for any past inefficient costs (if identified), and scaled to reflect forecast changes in input costs, productivity and output growth, in order to establish a cost benchmark. </w:t>
      </w:r>
    </w:p>
    <w:p w14:paraId="11A522E4" w14:textId="49C1CB2D" w:rsidR="00ED4BD4" w:rsidRPr="00125ECD" w:rsidRDefault="00ED4BD4" w:rsidP="00125ECD">
      <w:r w:rsidRPr="00125ECD">
        <w:t>The AER argues</w:t>
      </w:r>
      <w:r w:rsidR="004D156C">
        <w:rPr>
          <w:rStyle w:val="FootnoteReference"/>
        </w:rPr>
        <w:footnoteReference w:id="46"/>
      </w:r>
      <w:r w:rsidRPr="00125ECD">
        <w:t xml:space="preserve"> that actual ope</w:t>
      </w:r>
      <w:r w:rsidR="001B20C6">
        <w:t>rating expenditure</w:t>
      </w:r>
      <w:r w:rsidRPr="00125ECD">
        <w:t xml:space="preserve"> from the previous period would be an appropriate efficient benchmark if the regulated firm had operated under an effective incentive framework (such as the EBSS) and had behaved in a profit-maximising manner.</w:t>
      </w:r>
      <w:r w:rsidR="00E6005B">
        <w:t xml:space="preserve"> </w:t>
      </w:r>
      <w:r w:rsidRPr="00125ECD">
        <w:t>If adjustments are made to actual ope</w:t>
      </w:r>
      <w:r w:rsidR="001B20C6">
        <w:t xml:space="preserve">rating </w:t>
      </w:r>
      <w:r w:rsidR="00D63741">
        <w:t>expenditure</w:t>
      </w:r>
      <w:r w:rsidRPr="00125ECD">
        <w:t>, this implies that the incentive framework was not fully effective (e.g. there are di</w:t>
      </w:r>
      <w:r w:rsidR="00326028">
        <w:t>stortions affecting the company’</w:t>
      </w:r>
      <w:r w:rsidRPr="00125ECD">
        <w:t>s decision</w:t>
      </w:r>
      <w:r w:rsidR="00326028">
        <w:t>-</w:t>
      </w:r>
      <w:r w:rsidRPr="00125ECD">
        <w:t>making).</w:t>
      </w:r>
      <w:r w:rsidR="00E6005B">
        <w:t xml:space="preserve"> </w:t>
      </w:r>
      <w:r w:rsidRPr="00D006EE">
        <w:t>Note also th</w:t>
      </w:r>
      <w:r w:rsidRPr="00125ECD">
        <w:t>at the effectiveness of the incentive framework should encompass the extent to which the firm behaves in a profit-maximising manner.</w:t>
      </w:r>
      <w:r w:rsidR="00E6005B">
        <w:t xml:space="preserve"> </w:t>
      </w:r>
    </w:p>
    <w:p w14:paraId="07383F47" w14:textId="77777777" w:rsidR="00ED4BD4" w:rsidRPr="00125ECD" w:rsidRDefault="00ED4BD4" w:rsidP="00125ECD">
      <w:r w:rsidRPr="00125ECD">
        <w:lastRenderedPageBreak/>
        <w:t>The efficiency incentives are desig</w:t>
      </w:r>
      <w:r w:rsidRPr="00D006EE">
        <w:t>ned to recognise that the N</w:t>
      </w:r>
      <w:r w:rsidRPr="00125ECD">
        <w:t>SPs can underspend their ope</w:t>
      </w:r>
      <w:r w:rsidR="001B20C6">
        <w:t>rating expenditure</w:t>
      </w:r>
      <w:r w:rsidRPr="00125ECD">
        <w:t xml:space="preserve"> allowances (hence earning additional profits) and </w:t>
      </w:r>
      <w:r w:rsidR="00D006EE">
        <w:t xml:space="preserve">to ensure they </w:t>
      </w:r>
      <w:r w:rsidRPr="00125ECD">
        <w:t>face no clawback of the allowed additional profits in the future.</w:t>
      </w:r>
      <w:r w:rsidR="00E6005B">
        <w:t xml:space="preserve"> </w:t>
      </w:r>
    </w:p>
    <w:p w14:paraId="13E02DFC" w14:textId="77777777" w:rsidR="00573DA7" w:rsidRDefault="00326028" w:rsidP="00573DA7">
      <w:r>
        <w:t>H</w:t>
      </w:r>
      <w:r w:rsidR="00ED4BD4" w:rsidRPr="00125ECD">
        <w:t>owever, the fundamental problem of a firm not revealing its true efficient costs still exists under the AER’s regime, to the extent that forecast costs are not efficient</w:t>
      </w:r>
      <w:r w:rsidR="001B20C6">
        <w:t>.</w:t>
      </w:r>
      <w:r w:rsidR="00E6005B">
        <w:t xml:space="preserve"> </w:t>
      </w:r>
      <w:r w:rsidR="001B20C6">
        <w:t>This problem</w:t>
      </w:r>
      <w:r w:rsidR="00ED4BD4" w:rsidRPr="00125ECD">
        <w:t xml:space="preserve"> is partially addressed by the </w:t>
      </w:r>
      <w:r>
        <w:t xml:space="preserve">AER’s </w:t>
      </w:r>
      <w:r w:rsidR="00ED4BD4" w:rsidRPr="00125ECD">
        <w:t>revealed-cost approach</w:t>
      </w:r>
      <w:r>
        <w:t>,</w:t>
      </w:r>
      <w:r w:rsidR="001B20C6">
        <w:t xml:space="preserve"> but </w:t>
      </w:r>
      <w:r w:rsidR="00D006EE">
        <w:t>it</w:t>
      </w:r>
      <w:r>
        <w:t xml:space="preserve"> </w:t>
      </w:r>
      <w:r w:rsidR="001B20C6">
        <w:t>underlines the importance of continuing to use benchmarking as a complementary mechanism to help identify efficient costs</w:t>
      </w:r>
      <w:r w:rsidR="00ED4BD4" w:rsidRPr="00125ECD">
        <w:t xml:space="preserve">. </w:t>
      </w:r>
    </w:p>
    <w:p w14:paraId="1A50CFF3" w14:textId="77777777" w:rsidR="00573DA7" w:rsidRDefault="00ED4BD4" w:rsidP="008700A7">
      <w:pPr>
        <w:pStyle w:val="Heading4a"/>
        <w:rPr>
          <w:lang w:val="en-US"/>
        </w:rPr>
      </w:pPr>
      <w:r w:rsidRPr="00D006EE">
        <w:rPr>
          <w:lang w:val="en-US"/>
        </w:rPr>
        <w:t>Capital expenditure sharing sc</w:t>
      </w:r>
      <w:r w:rsidRPr="00ED4BD4">
        <w:rPr>
          <w:lang w:val="en-US"/>
        </w:rPr>
        <w:t>heme</w:t>
      </w:r>
    </w:p>
    <w:p w14:paraId="294667FC" w14:textId="77777777" w:rsidR="00A22355" w:rsidRDefault="003119B2" w:rsidP="00573DA7">
      <w:r w:rsidRPr="00B51CA5">
        <w:t xml:space="preserve">The </w:t>
      </w:r>
      <w:r w:rsidR="00FF07B1" w:rsidRPr="00B51CA5">
        <w:t>EBSS</w:t>
      </w:r>
      <w:r w:rsidRPr="00B51CA5">
        <w:t xml:space="preserve"> for operating expenditure</w:t>
      </w:r>
      <w:r w:rsidR="00FF07B1" w:rsidRPr="00B51CA5">
        <w:t xml:space="preserve"> was first introduced</w:t>
      </w:r>
      <w:r w:rsidRPr="00B51CA5">
        <w:t xml:space="preserve"> by the AER</w:t>
      </w:r>
      <w:r w:rsidR="00FF07B1" w:rsidRPr="00B51CA5">
        <w:t xml:space="preserve"> in 2007</w:t>
      </w:r>
      <w:r w:rsidRPr="00B51CA5">
        <w:t xml:space="preserve"> but there was no similar scheme for capital expenditure.</w:t>
      </w:r>
      <w:r w:rsidR="00E6005B">
        <w:t xml:space="preserve"> </w:t>
      </w:r>
      <w:r w:rsidRPr="00B51CA5">
        <w:t>This provided incentives for NSPs to favour capital expenditure</w:t>
      </w:r>
      <w:r w:rsidR="00FF07B1" w:rsidRPr="00B51CA5">
        <w:t xml:space="preserve"> solutions </w:t>
      </w:r>
      <w:r w:rsidRPr="00B51CA5">
        <w:t xml:space="preserve">and to </w:t>
      </w:r>
      <w:r w:rsidR="00FF07B1" w:rsidRPr="00B51CA5">
        <w:t>misclassify ope</w:t>
      </w:r>
      <w:r w:rsidRPr="00B51CA5">
        <w:t xml:space="preserve">rating expenditure as capital expenditure, </w:t>
      </w:r>
      <w:r w:rsidR="00FF07B1" w:rsidRPr="00B51CA5">
        <w:t>as they would gain from the EBSS for ope</w:t>
      </w:r>
      <w:r w:rsidRPr="00B51CA5">
        <w:t xml:space="preserve">rating expenditure </w:t>
      </w:r>
      <w:r w:rsidR="00FF07B1" w:rsidRPr="00B51CA5">
        <w:t xml:space="preserve">but receive </w:t>
      </w:r>
      <w:r w:rsidR="002753D4" w:rsidRPr="00B51CA5">
        <w:t xml:space="preserve">a </w:t>
      </w:r>
      <w:r w:rsidR="00FF07B1" w:rsidRPr="00B51CA5">
        <w:t xml:space="preserve">return on </w:t>
      </w:r>
      <w:r w:rsidR="002753D4" w:rsidRPr="00B51CA5">
        <w:t xml:space="preserve">and return of capital for capital expenditure </w:t>
      </w:r>
      <w:r w:rsidR="00FF07B1" w:rsidRPr="00B51CA5">
        <w:t>provided it was allowed.</w:t>
      </w:r>
      <w:r w:rsidR="00E6005B">
        <w:t xml:space="preserve"> </w:t>
      </w:r>
      <w:r w:rsidR="002753D4" w:rsidRPr="00B51CA5">
        <w:t>NSPs also faced the periodicity problem for capital expenditure.</w:t>
      </w:r>
      <w:r w:rsidR="00E6005B">
        <w:t xml:space="preserve"> </w:t>
      </w:r>
      <w:r w:rsidR="00FF07B1" w:rsidRPr="00B51CA5">
        <w:t>In addition, while an NSP would incur additional financin</w:t>
      </w:r>
      <w:r w:rsidR="002753D4" w:rsidRPr="00B51CA5">
        <w:t>g costs if it overspent the capital expenditure allowance, actual capital expenditure</w:t>
      </w:r>
      <w:r w:rsidR="00FF07B1" w:rsidRPr="00B51CA5">
        <w:t xml:space="preserve"> would automatically be rolled into the </w:t>
      </w:r>
      <w:r w:rsidR="001D5B0B">
        <w:t>regulatory asset base</w:t>
      </w:r>
      <w:r w:rsidR="001D5B0B" w:rsidRPr="00B51CA5">
        <w:t xml:space="preserve"> </w:t>
      </w:r>
      <w:r w:rsidR="00FF07B1" w:rsidRPr="00B51CA5">
        <w:t>at the end of the regulatory period without being subje</w:t>
      </w:r>
      <w:r w:rsidR="001B20C6">
        <w:t>cted to any ex post assessments</w:t>
      </w:r>
      <w:r w:rsidR="00E24384">
        <w:t>.</w:t>
      </w:r>
      <w:r w:rsidR="00BA2032" w:rsidRPr="001B20C6">
        <w:rPr>
          <w:vertAlign w:val="superscript"/>
        </w:rPr>
        <w:footnoteReference w:id="47"/>
      </w:r>
      <w:r w:rsidR="00FF07B1" w:rsidRPr="00B51CA5">
        <w:t xml:space="preserve"> </w:t>
      </w:r>
    </w:p>
    <w:p w14:paraId="0D0FE5B3" w14:textId="77777777" w:rsidR="00FF07B1" w:rsidRPr="00B51CA5" w:rsidRDefault="00FF07B1" w:rsidP="00DA1FD1">
      <w:pPr>
        <w:pStyle w:val="Bodybulletintro"/>
      </w:pPr>
      <w:r w:rsidRPr="00B51CA5">
        <w:t xml:space="preserve">In 2012, the </w:t>
      </w:r>
      <w:r w:rsidR="00C1327E">
        <w:t xml:space="preserve">Australian Energy Market Commission </w:t>
      </w:r>
      <w:r w:rsidRPr="00B51CA5">
        <w:t xml:space="preserve">made a number of changes to the </w:t>
      </w:r>
      <w:r w:rsidR="00B8458D">
        <w:t>National Electricity Rules</w:t>
      </w:r>
      <w:r w:rsidRPr="00B51CA5">
        <w:t xml:space="preserve"> in response to these issues.</w:t>
      </w:r>
      <w:r w:rsidR="00E24384" w:rsidRPr="001B20C6">
        <w:rPr>
          <w:vertAlign w:val="superscript"/>
        </w:rPr>
        <w:footnoteReference w:id="48"/>
      </w:r>
      <w:r w:rsidR="00E6005B">
        <w:t xml:space="preserve"> </w:t>
      </w:r>
      <w:r w:rsidRPr="00B51CA5">
        <w:t>The changes provide the AER with the following responsibilities:</w:t>
      </w:r>
    </w:p>
    <w:p w14:paraId="35EBAB84" w14:textId="77777777" w:rsidR="00FF07B1" w:rsidRPr="00B51CA5" w:rsidRDefault="00FF07B1" w:rsidP="00DA1FD1">
      <w:pPr>
        <w:pStyle w:val="Bullet"/>
      </w:pPr>
      <w:r w:rsidRPr="00B51CA5">
        <w:t>to develo</w:t>
      </w:r>
      <w:r w:rsidR="002753D4" w:rsidRPr="00B51CA5">
        <w:t xml:space="preserve">p a capital expenditure sharing scheme </w:t>
      </w:r>
      <w:r w:rsidR="00D006EE">
        <w:t xml:space="preserve">(CESS) </w:t>
      </w:r>
      <w:r w:rsidR="002753D4" w:rsidRPr="00B51CA5">
        <w:t xml:space="preserve">to provide incentives to incur efficient capital </w:t>
      </w:r>
      <w:r w:rsidR="00B51CA5" w:rsidRPr="00B51CA5">
        <w:t>expendi</w:t>
      </w:r>
      <w:r w:rsidR="002753D4" w:rsidRPr="00B51CA5">
        <w:t>ture</w:t>
      </w:r>
      <w:r w:rsidRPr="00B51CA5">
        <w:t>;</w:t>
      </w:r>
      <w:r w:rsidR="00E80846">
        <w:t xml:space="preserve"> and</w:t>
      </w:r>
    </w:p>
    <w:p w14:paraId="2D1FB63B" w14:textId="77777777" w:rsidR="00FF07B1" w:rsidRPr="00B51CA5" w:rsidRDefault="00FF07B1" w:rsidP="00DA1FD1">
      <w:pPr>
        <w:pStyle w:val="BulletLast"/>
      </w:pPr>
      <w:proofErr w:type="gramStart"/>
      <w:r w:rsidRPr="00B51CA5">
        <w:t>to</w:t>
      </w:r>
      <w:proofErr w:type="gramEnd"/>
      <w:r w:rsidRPr="00B51CA5">
        <w:t xml:space="preserve"> undertake ex post efficiency review</w:t>
      </w:r>
      <w:r w:rsidR="002753D4" w:rsidRPr="00B51CA5">
        <w:t xml:space="preserve">s of actual capital expenditure including the ability to preclude inefficient capital expenditure from being rolled into the </w:t>
      </w:r>
      <w:r w:rsidR="001D5B0B">
        <w:t>regulatory asset base</w:t>
      </w:r>
      <w:r w:rsidRPr="00B51CA5">
        <w:t xml:space="preserve">. </w:t>
      </w:r>
    </w:p>
    <w:p w14:paraId="349EAFA7" w14:textId="77777777" w:rsidR="00FF07B1" w:rsidRPr="00B51CA5" w:rsidRDefault="00FF07B1" w:rsidP="00B51CA5">
      <w:r w:rsidRPr="00B51CA5">
        <w:t>The AER</w:t>
      </w:r>
      <w:r w:rsidRPr="006764E2">
        <w:rPr>
          <w:vertAlign w:val="superscript"/>
        </w:rPr>
        <w:t xml:space="preserve"> </w:t>
      </w:r>
      <w:r w:rsidRPr="00B51CA5">
        <w:t>has since developed guidelines on the sche</w:t>
      </w:r>
      <w:r w:rsidRPr="00D006EE">
        <w:t>me</w:t>
      </w:r>
      <w:r w:rsidRPr="00B51CA5">
        <w:t xml:space="preserve"> and a new ex post test that</w:t>
      </w:r>
      <w:r w:rsidR="00E24384">
        <w:t xml:space="preserve"> will apply to </w:t>
      </w:r>
      <w:r w:rsidR="005A371B">
        <w:t>a</w:t>
      </w:r>
      <w:r w:rsidR="00DA1FD1">
        <w:t xml:space="preserve"> NSPs’</w:t>
      </w:r>
      <w:r w:rsidRPr="00B51CA5">
        <w:t xml:space="preserve"> actual cap</w:t>
      </w:r>
      <w:r w:rsidR="001B20C6">
        <w:t xml:space="preserve">ital </w:t>
      </w:r>
      <w:r w:rsidRPr="00B51CA5">
        <w:t>ex</w:t>
      </w:r>
      <w:r w:rsidR="001B20C6">
        <w:t>penditure</w:t>
      </w:r>
      <w:r w:rsidRPr="00B51CA5">
        <w:t>.</w:t>
      </w:r>
      <w:r w:rsidR="00E24384" w:rsidRPr="006764E2">
        <w:rPr>
          <w:vertAlign w:val="superscript"/>
        </w:rPr>
        <w:footnoteReference w:id="49"/>
      </w:r>
      <w:r w:rsidR="00E6005B">
        <w:t xml:space="preserve"> </w:t>
      </w:r>
      <w:r w:rsidRPr="00B51CA5">
        <w:t xml:space="preserve">These measures were introduced to apply to all NSPs by 2016. </w:t>
      </w:r>
    </w:p>
    <w:p w14:paraId="46C578AD" w14:textId="77777777" w:rsidR="00FF07B1" w:rsidRPr="00B51CA5" w:rsidRDefault="00FF07B1" w:rsidP="00B51CA5">
      <w:r w:rsidRPr="00B51CA5">
        <w:t xml:space="preserve">Similar to the </w:t>
      </w:r>
      <w:r w:rsidR="00BA2032" w:rsidRPr="00B51CA5">
        <w:t xml:space="preserve">AER’s </w:t>
      </w:r>
      <w:r w:rsidRPr="00B51CA5">
        <w:t xml:space="preserve">EBSS, the CESS is an application of </w:t>
      </w:r>
      <w:r w:rsidR="006764E2">
        <w:t>an efficiency carryover scheme</w:t>
      </w:r>
      <w:r w:rsidRPr="00B51CA5">
        <w:t>.</w:t>
      </w:r>
      <w:r w:rsidR="00E6005B">
        <w:t xml:space="preserve"> </w:t>
      </w:r>
      <w:r w:rsidRPr="00B51CA5">
        <w:t>U</w:t>
      </w:r>
      <w:r w:rsidR="00DA1FD1">
        <w:t xml:space="preserve">nder the </w:t>
      </w:r>
      <w:r w:rsidR="00DA1FD1" w:rsidRPr="00DA1FD1">
        <w:t>EBSS,</w:t>
      </w:r>
      <w:r w:rsidR="00DA1FD1">
        <w:t xml:space="preserve"> NSPs retain any </w:t>
      </w:r>
      <w:r w:rsidRPr="00B51CA5">
        <w:t>incremental efficiency gains or losses for a fixed period via carryover payments.</w:t>
      </w:r>
      <w:r w:rsidR="00E6005B">
        <w:t xml:space="preserve"> </w:t>
      </w:r>
      <w:r w:rsidR="00BA2032" w:rsidRPr="00B51CA5">
        <w:t>However,</w:t>
      </w:r>
      <w:r w:rsidR="00B51CA5" w:rsidRPr="00B51CA5">
        <w:t xml:space="preserve"> </w:t>
      </w:r>
      <w:r w:rsidR="00BA2032" w:rsidRPr="00B51CA5">
        <w:t>t</w:t>
      </w:r>
      <w:r w:rsidRPr="00B51CA5">
        <w:t xml:space="preserve">he exact </w:t>
      </w:r>
      <w:r w:rsidR="006764E2">
        <w:t>share</w:t>
      </w:r>
      <w:r w:rsidRPr="00B51CA5">
        <w:t xml:space="preserve"> of </w:t>
      </w:r>
      <w:r w:rsidR="00BA2032" w:rsidRPr="00B51CA5">
        <w:t xml:space="preserve">the present value of permanent </w:t>
      </w:r>
      <w:r w:rsidRPr="00B51CA5">
        <w:t>benefits retained by NSPs</w:t>
      </w:r>
      <w:r w:rsidR="00E24384">
        <w:t xml:space="preserve"> under an EBSS</w:t>
      </w:r>
      <w:r w:rsidRPr="00B51CA5">
        <w:t xml:space="preserve"> will depend on the value of the </w:t>
      </w:r>
      <w:r w:rsidR="00BA2032" w:rsidRPr="00B51CA5">
        <w:lastRenderedPageBreak/>
        <w:t>discount rate</w:t>
      </w:r>
      <w:r w:rsidR="006764E2">
        <w:t xml:space="preserve"> (WACC)</w:t>
      </w:r>
      <w:r w:rsidR="00BA2032" w:rsidRPr="00B51CA5">
        <w:t xml:space="preserve"> </w:t>
      </w:r>
      <w:r w:rsidR="006764E2">
        <w:t>used to calculate the present value</w:t>
      </w:r>
      <w:r w:rsidRPr="00B51CA5">
        <w:t xml:space="preserve"> as well as the carryover period. </w:t>
      </w:r>
    </w:p>
    <w:p w14:paraId="20B36AFA" w14:textId="77777777" w:rsidR="00FF07B1" w:rsidRPr="00B51CA5" w:rsidRDefault="00B51CA5" w:rsidP="00B51CA5">
      <w:r w:rsidRPr="00B51CA5">
        <w:t>In contrast, t</w:t>
      </w:r>
      <w:r w:rsidR="00FF07B1" w:rsidRPr="00B51CA5">
        <w:t>he CESS operates on a</w:t>
      </w:r>
      <w:r w:rsidR="006764E2">
        <w:t>n e</w:t>
      </w:r>
      <w:r w:rsidR="006764E2" w:rsidRPr="00523A49">
        <w:t>xact</w:t>
      </w:r>
      <w:r w:rsidR="00E24384" w:rsidRPr="00523A49">
        <w:t xml:space="preserve"> fixed-</w:t>
      </w:r>
      <w:r w:rsidR="00FF07B1" w:rsidRPr="00523A49">
        <w:t>sharing ba</w:t>
      </w:r>
      <w:r w:rsidR="00FF07B1" w:rsidRPr="00B51CA5">
        <w:t>sis.</w:t>
      </w:r>
      <w:r w:rsidR="00E6005B">
        <w:t xml:space="preserve"> </w:t>
      </w:r>
      <w:r w:rsidR="00FF07B1" w:rsidRPr="00B51CA5">
        <w:t xml:space="preserve">At the end of each regulatory period, </w:t>
      </w:r>
      <w:r w:rsidR="00523A49">
        <w:t>a</w:t>
      </w:r>
      <w:r w:rsidR="00523A49" w:rsidRPr="00B51CA5">
        <w:t xml:space="preserve"> </w:t>
      </w:r>
      <w:r w:rsidR="00FF07B1" w:rsidRPr="00B51CA5">
        <w:t>sharing ratio of 30 per cent is applied to the value of the cumulative cap</w:t>
      </w:r>
      <w:r w:rsidR="001B20C6">
        <w:t xml:space="preserve">ital </w:t>
      </w:r>
      <w:r w:rsidR="00FF07B1" w:rsidRPr="00B51CA5">
        <w:t>ex</w:t>
      </w:r>
      <w:r w:rsidR="001B20C6">
        <w:t>penditure</w:t>
      </w:r>
      <w:r w:rsidR="00FF07B1" w:rsidRPr="00B51CA5">
        <w:t xml:space="preserve"> underspend or</w:t>
      </w:r>
      <w:r w:rsidR="00DA1FD1">
        <w:t xml:space="preserve"> overspend to determine the NSP’</w:t>
      </w:r>
      <w:r w:rsidR="00FF07B1" w:rsidRPr="00B51CA5">
        <w:t>s share</w:t>
      </w:r>
      <w:r w:rsidRPr="00B51CA5">
        <w:t xml:space="preserve"> that can be retained</w:t>
      </w:r>
      <w:r w:rsidR="006764E2">
        <w:t xml:space="preserve"> or paid for by the NSP (the scheme is symmetric)</w:t>
      </w:r>
      <w:r w:rsidR="00FF07B1" w:rsidRPr="00B51CA5">
        <w:t>.</w:t>
      </w:r>
      <w:r w:rsidR="00E6005B">
        <w:t xml:space="preserve"> </w:t>
      </w:r>
      <w:r w:rsidR="006764E2">
        <w:t>A CESS payment is calculated which can be positive or negative depending on whether there is underspending or overspending.</w:t>
      </w:r>
      <w:r w:rsidR="00E6005B">
        <w:t xml:space="preserve"> </w:t>
      </w:r>
      <w:r w:rsidR="006764E2">
        <w:t xml:space="preserve">The CESS payment also takes account of </w:t>
      </w:r>
      <w:r w:rsidR="00FF07B1" w:rsidRPr="00B51CA5">
        <w:t>the net benefit that the NSP has already earned</w:t>
      </w:r>
      <w:r w:rsidR="006764E2">
        <w:t>, or net cost already incurred,</w:t>
      </w:r>
      <w:r w:rsidR="00FF07B1" w:rsidRPr="00B51CA5">
        <w:t xml:space="preserve"> in the regulatory</w:t>
      </w:r>
      <w:r w:rsidR="002822FA">
        <w:t xml:space="preserve"> period</w:t>
      </w:r>
      <w:r w:rsidR="00FF07B1" w:rsidRPr="00B51CA5">
        <w:t>.</w:t>
      </w:r>
      <w:r w:rsidR="00E6005B">
        <w:t xml:space="preserve"> </w:t>
      </w:r>
      <w:r w:rsidR="00FF07B1" w:rsidRPr="00B51CA5">
        <w:t xml:space="preserve">This amount is added to </w:t>
      </w:r>
      <w:r w:rsidR="006764E2">
        <w:t xml:space="preserve">or deducted from </w:t>
      </w:r>
      <w:r w:rsidR="00DA1FD1">
        <w:t>the next period’</w:t>
      </w:r>
      <w:r w:rsidR="00FF07B1" w:rsidRPr="00B51CA5">
        <w:t>s allowed revenue.</w:t>
      </w:r>
      <w:r w:rsidR="00E6005B">
        <w:t xml:space="preserve"> </w:t>
      </w:r>
    </w:p>
    <w:p w14:paraId="1E1BC267" w14:textId="77777777" w:rsidR="00FF07B1" w:rsidRDefault="00FF07B1" w:rsidP="00B51CA5">
      <w:r w:rsidRPr="00B51CA5">
        <w:t>Customers are b</w:t>
      </w:r>
      <w:r w:rsidRPr="00523A49">
        <w:t xml:space="preserve">etter off </w:t>
      </w:r>
      <w:r w:rsidR="00523A49">
        <w:t>because</w:t>
      </w:r>
      <w:r w:rsidR="00523A49" w:rsidRPr="00523A49">
        <w:t xml:space="preserve"> </w:t>
      </w:r>
      <w:r w:rsidRPr="00523A49">
        <w:t xml:space="preserve">the </w:t>
      </w:r>
      <w:r w:rsidR="001B20C6" w:rsidRPr="00523A49">
        <w:t>reg</w:t>
      </w:r>
      <w:r w:rsidR="001B20C6">
        <w:t xml:space="preserve">ulatory asset base </w:t>
      </w:r>
      <w:r w:rsidRPr="00B51CA5">
        <w:t>is lower (hence lower return on and return of capital in the future) than what it would have been if the NSP had spent the full cap</w:t>
      </w:r>
      <w:r w:rsidR="001B20C6">
        <w:t xml:space="preserve">ital </w:t>
      </w:r>
      <w:r w:rsidRPr="00B51CA5">
        <w:t>ex</w:t>
      </w:r>
      <w:r w:rsidR="001B20C6">
        <w:t>penditure</w:t>
      </w:r>
      <w:r w:rsidRPr="00B51CA5">
        <w:t xml:space="preserve"> allowance.</w:t>
      </w:r>
      <w:r w:rsidR="00E6005B">
        <w:t xml:space="preserve"> </w:t>
      </w:r>
      <w:r w:rsidRPr="00B51CA5">
        <w:t xml:space="preserve">As both </w:t>
      </w:r>
      <w:r w:rsidR="00DA1FD1">
        <w:t xml:space="preserve">the </w:t>
      </w:r>
      <w:r w:rsidRPr="00B51CA5">
        <w:t xml:space="preserve">CESS and EBSS have approximately the same sharing ratio of 30 per cent (given a six per cent real WACC), there are limited incentives for the NSP to prefer one type of expenditure to the other. </w:t>
      </w:r>
    </w:p>
    <w:p w14:paraId="29FDAB22" w14:textId="47B68B23" w:rsidR="00B51CA5" w:rsidRPr="00B51CA5" w:rsidRDefault="00B51CA5" w:rsidP="00B51CA5">
      <w:r>
        <w:t>The AER scheme also makes adjustments to remove the incentive to inefficiently defer capital expenditure.</w:t>
      </w:r>
      <w:r w:rsidR="00E6005B">
        <w:t xml:space="preserve"> </w:t>
      </w:r>
      <w:r>
        <w:t xml:space="preserve">Without such an </w:t>
      </w:r>
      <w:r w:rsidR="00680A39">
        <w:t>adjustment,</w:t>
      </w:r>
      <w:r>
        <w:t xml:space="preserve"> a business ca</w:t>
      </w:r>
      <w:r w:rsidRPr="00523A49">
        <w:t xml:space="preserve">n </w:t>
      </w:r>
      <w:r w:rsidR="00C748A5" w:rsidRPr="00523A49">
        <w:t>advantage</w:t>
      </w:r>
      <w:r w:rsidRPr="00523A49">
        <w:t xml:space="preserve"> fr</w:t>
      </w:r>
      <w:r>
        <w:t xml:space="preserve">om the financing benefit (return on and return of capital) associated with the difference between forecast capital expenditure and lower actual expenditure in the current regulatory period while still being compensated when the deferred capital expenditure actually occurs. </w:t>
      </w:r>
    </w:p>
    <w:p w14:paraId="039AF64C" w14:textId="77777777" w:rsidR="003119B2" w:rsidRPr="00B51CA5" w:rsidRDefault="006764E2" w:rsidP="00B51CA5">
      <w:r>
        <w:t>To calculate the CESS payment, t</w:t>
      </w:r>
      <w:r w:rsidR="003119B2" w:rsidRPr="00B51CA5">
        <w:t xml:space="preserve">he AER estimates the present value of the underspend in the current regulatory </w:t>
      </w:r>
      <w:r w:rsidR="000D78DA">
        <w:t>period</w:t>
      </w:r>
      <w:r w:rsidR="008E7FBB">
        <w:t>;</w:t>
      </w:r>
      <w:r w:rsidR="000D78DA">
        <w:t xml:space="preserve"> the present value of any material</w:t>
      </w:r>
      <w:r w:rsidR="003119B2" w:rsidRPr="00B51CA5">
        <w:t xml:space="preserve"> increase in forecast cap</w:t>
      </w:r>
      <w:r w:rsidR="001B20C6">
        <w:t xml:space="preserve">ital </w:t>
      </w:r>
      <w:r w:rsidR="003119B2" w:rsidRPr="00B51CA5">
        <w:t>ex</w:t>
      </w:r>
      <w:r w:rsidR="001B20C6">
        <w:t>penditure</w:t>
      </w:r>
      <w:r w:rsidR="003119B2" w:rsidRPr="00B51CA5">
        <w:t xml:space="preserve"> in the next regulatory period</w:t>
      </w:r>
      <w:r w:rsidR="000D78DA">
        <w:t>, as a result of a material deferral</w:t>
      </w:r>
      <w:r w:rsidR="008E7FBB">
        <w:t>;</w:t>
      </w:r>
      <w:r w:rsidR="003119B2" w:rsidRPr="00B51CA5">
        <w:t xml:space="preserve"> and the present value of the financing benefits during the regulatory control period</w:t>
      </w:r>
      <w:r w:rsidR="009F38E0">
        <w:t>. It</w:t>
      </w:r>
      <w:r w:rsidR="003119B2" w:rsidRPr="00B51CA5">
        <w:t xml:space="preserve"> then </w:t>
      </w:r>
      <w:r w:rsidR="00B51CA5">
        <w:t xml:space="preserve">calculates </w:t>
      </w:r>
      <w:r w:rsidR="003119B2" w:rsidRPr="00B51CA5">
        <w:t>the CESS payments</w:t>
      </w:r>
      <w:r w:rsidR="00B51CA5">
        <w:t xml:space="preserve"> to be made to</w:t>
      </w:r>
      <w:r w:rsidR="000D78DA">
        <w:t xml:space="preserve"> or paid by</w:t>
      </w:r>
      <w:r w:rsidR="00B51CA5">
        <w:t xml:space="preserve"> the regulated NS</w:t>
      </w:r>
      <w:r w:rsidR="00C7628D">
        <w:t>P</w:t>
      </w:r>
      <w:r w:rsidR="003119B2" w:rsidRPr="00B51CA5">
        <w:t xml:space="preserve"> as follows:</w:t>
      </w:r>
    </w:p>
    <w:p w14:paraId="6AE764E6" w14:textId="77777777" w:rsidR="00A22355" w:rsidRDefault="003119B2">
      <w:pPr>
        <w:ind w:left="720"/>
        <w:rPr>
          <w:i/>
        </w:rPr>
      </w:pPr>
      <w:r w:rsidRPr="00B51CA5">
        <w:rPr>
          <w:i/>
        </w:rPr>
        <w:t xml:space="preserve">CESS payments = 30 per cent × (NPV of underspend in period n </w:t>
      </w:r>
      <w:r w:rsidR="008E7FBB">
        <w:rPr>
          <w:i/>
        </w:rPr>
        <w:t>–</w:t>
      </w:r>
      <w:r w:rsidR="008E7FBB" w:rsidRPr="00B51CA5">
        <w:rPr>
          <w:i/>
        </w:rPr>
        <w:t xml:space="preserve"> </w:t>
      </w:r>
      <w:r w:rsidRPr="00B51CA5">
        <w:rPr>
          <w:i/>
        </w:rPr>
        <w:t xml:space="preserve">NPV of forecast marginal increase in capex in period n+1 from capex deferred in period n) </w:t>
      </w:r>
      <w:r w:rsidR="008E7FBB">
        <w:rPr>
          <w:i/>
        </w:rPr>
        <w:t>–</w:t>
      </w:r>
      <w:r w:rsidR="008E7FBB" w:rsidRPr="00B51CA5">
        <w:rPr>
          <w:i/>
        </w:rPr>
        <w:t xml:space="preserve"> </w:t>
      </w:r>
      <w:r w:rsidRPr="00B51CA5">
        <w:rPr>
          <w:i/>
        </w:rPr>
        <w:t>financing benefits received in</w:t>
      </w:r>
      <w:r w:rsidRPr="008E7FBB">
        <w:rPr>
          <w:i/>
        </w:rPr>
        <w:t xml:space="preserve"> period n</w:t>
      </w:r>
      <w:r w:rsidR="009F38E0" w:rsidRPr="008E7FBB">
        <w:rPr>
          <w:i/>
        </w:rPr>
        <w:t>.</w:t>
      </w:r>
      <w:r w:rsidR="008E7FBB">
        <w:rPr>
          <w:rStyle w:val="FootnoteReference"/>
        </w:rPr>
        <w:footnoteReference w:id="50"/>
      </w:r>
    </w:p>
    <w:p w14:paraId="4A16BA99" w14:textId="77777777" w:rsidR="003119B2" w:rsidRPr="00B51CA5" w:rsidRDefault="003119B2" w:rsidP="00B51CA5">
      <w:r w:rsidRPr="00B51CA5">
        <w:t>This approach means that the NSP will still retain 30 per cent of the estimated present value of the</w:t>
      </w:r>
      <w:r w:rsidR="00E24384">
        <w:t xml:space="preserve"> short</w:t>
      </w:r>
      <w:r w:rsidR="008E7FBB">
        <w:t>-</w:t>
      </w:r>
      <w:r w:rsidR="00E24384">
        <w:t>term deferral.</w:t>
      </w:r>
      <w:r w:rsidRPr="00B51CA5">
        <w:rPr>
          <w:vertAlign w:val="superscript"/>
        </w:rPr>
        <w:footnoteReference w:id="51"/>
      </w:r>
    </w:p>
    <w:p w14:paraId="650160E9" w14:textId="77777777" w:rsidR="00B51CA5" w:rsidRDefault="00B51CA5" w:rsidP="00B51CA5">
      <w:r>
        <w:t xml:space="preserve">The calculation of the CESS payment when there is no deferral is simply 30 per cent of the NPV of </w:t>
      </w:r>
      <w:proofErr w:type="gramStart"/>
      <w:r>
        <w:t>an underspend</w:t>
      </w:r>
      <w:proofErr w:type="gramEnd"/>
      <w:r w:rsidR="009F38E0">
        <w:t>,</w:t>
      </w:r>
      <w:r>
        <w:t xml:space="preserve"> </w:t>
      </w:r>
      <w:r w:rsidR="000D78DA">
        <w:t xml:space="preserve">after deducting </w:t>
      </w:r>
      <w:r>
        <w:t xml:space="preserve">the NPV of the financing benefit that the </w:t>
      </w:r>
      <w:r>
        <w:lastRenderedPageBreak/>
        <w:t>entity has already received</w:t>
      </w:r>
      <w:r w:rsidR="00523A49">
        <w:t xml:space="preserve"> from the underspend</w:t>
      </w:r>
      <w:r>
        <w:t>.</w:t>
      </w:r>
      <w:r w:rsidR="00E6005B">
        <w:t xml:space="preserve"> </w:t>
      </w:r>
      <w:r w:rsidR="000D78DA">
        <w:t>If there is overspending</w:t>
      </w:r>
      <w:r w:rsidR="008E7FBB">
        <w:t>,</w:t>
      </w:r>
      <w:r w:rsidR="000D78DA">
        <w:t xml:space="preserve"> the NSP will be faced with a deduction from its allowed revenue in the next regulatory period.</w:t>
      </w:r>
    </w:p>
    <w:p w14:paraId="00EFC8FA" w14:textId="77777777" w:rsidR="00753F77" w:rsidRDefault="00753F77" w:rsidP="00753F77">
      <w:r>
        <w:t>It is also relevant to recogni</w:t>
      </w:r>
      <w:r w:rsidR="001D706E">
        <w:t>s</w:t>
      </w:r>
      <w:r>
        <w:t xml:space="preserve">e that a deferral of </w:t>
      </w:r>
      <w:r w:rsidR="00C7628D">
        <w:t xml:space="preserve">a </w:t>
      </w:r>
      <w:r>
        <w:t>fixed nominal amount of capital expenditure entails a benefit in present value terms because the expenditure is delayed a year and there will be a financing benefit to both the regulated firm and its customers from such a delay.</w:t>
      </w:r>
      <w:r w:rsidR="00E6005B">
        <w:t xml:space="preserve"> </w:t>
      </w:r>
      <w:r>
        <w:t>However, the deferral could mean that capital costs increase materially for the same project</w:t>
      </w:r>
      <w:r w:rsidR="009F38E0">
        <w:t>,</w:t>
      </w:r>
      <w:r>
        <w:t xml:space="preserve"> which would reduce or more than offset the financing benefits from </w:t>
      </w:r>
      <w:r w:rsidR="00523A49">
        <w:t xml:space="preserve">the </w:t>
      </w:r>
      <w:r>
        <w:t>delay.</w:t>
      </w:r>
      <w:r w:rsidR="00E6005B">
        <w:t xml:space="preserve"> </w:t>
      </w:r>
      <w:r>
        <w:t xml:space="preserve">The benefits and risks of </w:t>
      </w:r>
      <w:r w:rsidR="00523A49">
        <w:t xml:space="preserve">a </w:t>
      </w:r>
      <w:r>
        <w:t>delay can be shared between the regulated business and its customers</w:t>
      </w:r>
      <w:r w:rsidR="008E7FBB">
        <w:t>,</w:t>
      </w:r>
      <w:r>
        <w:t xml:space="preserve"> and these considerations should be recogni</w:t>
      </w:r>
      <w:r w:rsidR="00C7628D">
        <w:t>s</w:t>
      </w:r>
      <w:r>
        <w:t xml:space="preserve">ed when specifying how the financing benefits or costs of a deferral should be treated. </w:t>
      </w:r>
    </w:p>
    <w:p w14:paraId="09FDDBBE" w14:textId="77777777" w:rsidR="00753F77" w:rsidRPr="000D78DA" w:rsidRDefault="00753F77" w:rsidP="000D78DA">
      <w:r w:rsidRPr="000D78DA">
        <w:t>To reiterate, the CESS ensures that the NSP receives 30 per cent of the accumulated cap</w:t>
      </w:r>
      <w:r w:rsidR="001B20C6">
        <w:t xml:space="preserve">ital </w:t>
      </w:r>
      <w:r w:rsidRPr="000D78DA">
        <w:t>ex</w:t>
      </w:r>
      <w:r w:rsidR="001B20C6">
        <w:t>penditure</w:t>
      </w:r>
      <w:r w:rsidRPr="000D78DA">
        <w:t xml:space="preserve"> underspend (in NPV terms), and the value of the financing benefits in the regulatory period in which </w:t>
      </w:r>
      <w:proofErr w:type="gramStart"/>
      <w:r w:rsidRPr="000D78DA">
        <w:t>the underspend</w:t>
      </w:r>
      <w:proofErr w:type="gramEnd"/>
      <w:r w:rsidRPr="000D78DA">
        <w:t xml:space="preserve"> occurs is recogni</w:t>
      </w:r>
      <w:r w:rsidR="00C7628D">
        <w:t>s</w:t>
      </w:r>
      <w:r w:rsidRPr="000D78DA">
        <w:t xml:space="preserve">ed when calculating the carryover amount. </w:t>
      </w:r>
    </w:p>
    <w:p w14:paraId="6AE3AEFC" w14:textId="43C40837" w:rsidR="005D3CF5" w:rsidRDefault="00E24384" w:rsidP="005D3CF5">
      <w:r>
        <w:t>However, a</w:t>
      </w:r>
      <w:r w:rsidR="00753F77" w:rsidRPr="000D78DA">
        <w:t>s noted above</w:t>
      </w:r>
      <w:r w:rsidR="008E7FBB">
        <w:t>,</w:t>
      </w:r>
      <w:r w:rsidR="00753F77" w:rsidRPr="000D78DA">
        <w:t xml:space="preserve"> the scheme is symmetric so that if there is </w:t>
      </w:r>
      <w:proofErr w:type="gramStart"/>
      <w:r w:rsidR="00753F77" w:rsidRPr="000D78DA">
        <w:t>an overspend</w:t>
      </w:r>
      <w:proofErr w:type="gramEnd"/>
      <w:r w:rsidR="00753F77" w:rsidRPr="000D78DA">
        <w:t xml:space="preserve"> (and the overspend does not relate to cost pass</w:t>
      </w:r>
      <w:r w:rsidR="008E7FBB">
        <w:t>-</w:t>
      </w:r>
      <w:r w:rsidR="00753F77" w:rsidRPr="000D78DA">
        <w:t xml:space="preserve">through or reopener category) </w:t>
      </w:r>
      <w:r w:rsidR="00F233D1">
        <w:t>the regulated firm</w:t>
      </w:r>
      <w:r w:rsidR="00753F77" w:rsidRPr="000D78DA">
        <w:t xml:space="preserve"> will bear 30</w:t>
      </w:r>
      <w:r w:rsidR="00C7628D">
        <w:t xml:space="preserve"> per cent</w:t>
      </w:r>
      <w:r w:rsidR="00753F77" w:rsidRPr="000D78DA">
        <w:t xml:space="preserve"> of the cost of the overspend in present value terms.</w:t>
      </w:r>
      <w:r w:rsidR="00E6005B">
        <w:t xml:space="preserve"> </w:t>
      </w:r>
      <w:r w:rsidR="00753F77" w:rsidRPr="000D78DA">
        <w:t xml:space="preserve">This is considered appropriate given that </w:t>
      </w:r>
      <w:r w:rsidR="00AD28AE">
        <w:t xml:space="preserve">the regulated firm </w:t>
      </w:r>
      <w:r w:rsidR="00753F77" w:rsidRPr="000D78DA">
        <w:t>will benefit from 30</w:t>
      </w:r>
      <w:r w:rsidR="002336EB">
        <w:t xml:space="preserve"> per cent</w:t>
      </w:r>
      <w:r w:rsidR="00753F77" w:rsidRPr="000D78DA">
        <w:t xml:space="preserve"> of </w:t>
      </w:r>
      <w:proofErr w:type="gramStart"/>
      <w:r w:rsidR="00753F77" w:rsidRPr="000D78DA">
        <w:t>an underspend</w:t>
      </w:r>
      <w:proofErr w:type="gramEnd"/>
      <w:r w:rsidR="00753F77" w:rsidRPr="000D78DA">
        <w:t xml:space="preserve"> in present value terms.</w:t>
      </w:r>
    </w:p>
    <w:tbl>
      <w:tblPr>
        <w:tblStyle w:val="TableGrid"/>
        <w:tblW w:w="0" w:type="auto"/>
        <w:tblInd w:w="108" w:type="dxa"/>
        <w:tblLook w:val="04A0" w:firstRow="1" w:lastRow="0" w:firstColumn="1" w:lastColumn="0" w:noHBand="0" w:noVBand="1"/>
      </w:tblPr>
      <w:tblGrid>
        <w:gridCol w:w="7593"/>
      </w:tblGrid>
      <w:tr w:rsidR="007E26FA" w14:paraId="1788E2FA" w14:textId="77777777" w:rsidTr="008700A7">
        <w:tc>
          <w:tcPr>
            <w:tcW w:w="7819" w:type="dxa"/>
          </w:tcPr>
          <w:p w14:paraId="3BBCF045" w14:textId="3185D5FE" w:rsidR="007E26FA" w:rsidRDefault="00EB4C33" w:rsidP="007E26FA">
            <w:pPr>
              <w:pStyle w:val="Questiontext"/>
            </w:pPr>
            <w:r w:rsidRPr="002B5D98">
              <w:rPr>
                <w:b/>
              </w:rPr>
              <w:t>Issue 22</w:t>
            </w:r>
            <w:r>
              <w:t>:</w:t>
            </w:r>
            <w:r w:rsidR="007E26FA">
              <w:t xml:space="preserve"> Should incentive schemes be developed for service performance, operating expenditure </w:t>
            </w:r>
            <w:r w:rsidR="007E26FA" w:rsidRPr="00296E36">
              <w:t>and capita</w:t>
            </w:r>
            <w:r w:rsidR="007E26FA">
              <w:t>l expenditure?</w:t>
            </w:r>
          </w:p>
          <w:p w14:paraId="5A5A6CE5" w14:textId="4AA9B586" w:rsidR="007E26FA" w:rsidRDefault="00EB4C33" w:rsidP="007E26FA">
            <w:pPr>
              <w:pStyle w:val="Questiontext"/>
            </w:pPr>
            <w:r w:rsidRPr="002B5D98">
              <w:rPr>
                <w:b/>
              </w:rPr>
              <w:t>Issue 23</w:t>
            </w:r>
            <w:r>
              <w:t>:</w:t>
            </w:r>
            <w:r w:rsidR="007E26FA">
              <w:t xml:space="preserve"> Should these incentive schemes include financial rewards and penalties and</w:t>
            </w:r>
            <w:r w:rsidR="008E7FBB">
              <w:t>,</w:t>
            </w:r>
            <w:r w:rsidR="007E26FA">
              <w:t xml:space="preserve"> if so, how should these be determined?</w:t>
            </w:r>
          </w:p>
          <w:p w14:paraId="5A106142" w14:textId="2EED5B4B" w:rsidR="007E26FA" w:rsidRDefault="00EB4C33" w:rsidP="007E26FA">
            <w:pPr>
              <w:pStyle w:val="Questiontext"/>
            </w:pPr>
            <w:r w:rsidRPr="002B5D98">
              <w:rPr>
                <w:b/>
              </w:rPr>
              <w:t>Issue 24</w:t>
            </w:r>
            <w:r w:rsidR="007E26FA">
              <w:t>: What are relevant service performance measures that should be considered for water and sewerage services?</w:t>
            </w:r>
          </w:p>
          <w:p w14:paraId="41701989" w14:textId="7C4AD3C0" w:rsidR="007E26FA" w:rsidRDefault="00EB4C33" w:rsidP="007E26FA">
            <w:pPr>
              <w:pStyle w:val="Questiontext"/>
            </w:pPr>
            <w:r w:rsidRPr="002B5D98">
              <w:rPr>
                <w:b/>
              </w:rPr>
              <w:t xml:space="preserve">Issue </w:t>
            </w:r>
            <w:r w:rsidR="007E26FA" w:rsidRPr="002B5D98">
              <w:rPr>
                <w:b/>
              </w:rPr>
              <w:t>25</w:t>
            </w:r>
            <w:r w:rsidR="007E26FA">
              <w:t>: Should expenditure efficiency schemes only apply to controllable expenditure, recognising that this means that customers bear all the risk of non-controllable expenditure that is passed through?</w:t>
            </w:r>
          </w:p>
          <w:p w14:paraId="04908094" w14:textId="6320C46A" w:rsidR="007E26FA" w:rsidRDefault="00EB4C33" w:rsidP="007E26FA">
            <w:pPr>
              <w:pStyle w:val="Questiontext"/>
            </w:pPr>
            <w:r w:rsidRPr="002B5D98">
              <w:rPr>
                <w:b/>
              </w:rPr>
              <w:t xml:space="preserve">Issue </w:t>
            </w:r>
            <w:r w:rsidR="007E26FA" w:rsidRPr="002B5D98">
              <w:rPr>
                <w:b/>
              </w:rPr>
              <w:t>26</w:t>
            </w:r>
            <w:r w:rsidR="007E26FA">
              <w:t>: Is the periodicity problem material for both operating expenditure and capital expenditure?</w:t>
            </w:r>
          </w:p>
          <w:p w14:paraId="36A15F25" w14:textId="5A61CD71" w:rsidR="007E26FA" w:rsidRDefault="00EB4C33" w:rsidP="007E26FA">
            <w:pPr>
              <w:pStyle w:val="Questiontext"/>
            </w:pPr>
            <w:r w:rsidRPr="002B5D98">
              <w:rPr>
                <w:b/>
              </w:rPr>
              <w:t xml:space="preserve">Issue </w:t>
            </w:r>
            <w:r w:rsidR="007E26FA" w:rsidRPr="002B5D98">
              <w:rPr>
                <w:b/>
              </w:rPr>
              <w:t>27</w:t>
            </w:r>
            <w:r w:rsidR="007E26FA">
              <w:t>: To what extent should incentive schemes be symmetric so that there are rewards for good performance and penalties for poor performance</w:t>
            </w:r>
            <w:r w:rsidR="008E7FBB">
              <w:t>,</w:t>
            </w:r>
            <w:r w:rsidR="007E26FA">
              <w:t xml:space="preserve"> including in relation to both underspending and overspending of operating and capital expenditure?</w:t>
            </w:r>
          </w:p>
          <w:p w14:paraId="67CBDCD0" w14:textId="2A96BCE9" w:rsidR="007E26FA" w:rsidRDefault="00EB4C33" w:rsidP="007E26FA">
            <w:pPr>
              <w:pStyle w:val="Questiontext"/>
            </w:pPr>
            <w:r w:rsidRPr="002B5D98">
              <w:rPr>
                <w:b/>
              </w:rPr>
              <w:t xml:space="preserve">Issue </w:t>
            </w:r>
            <w:r w:rsidR="007E26FA" w:rsidRPr="002B5D98">
              <w:rPr>
                <w:b/>
              </w:rPr>
              <w:t>28</w:t>
            </w:r>
            <w:r w:rsidR="007E26FA">
              <w:t>: Is it problematical to implement an operating expenditure incentive scheme without implementing a capital expenditure efficiency scheme?</w:t>
            </w:r>
          </w:p>
          <w:p w14:paraId="12E3179E" w14:textId="0B638492" w:rsidR="007E26FA" w:rsidRDefault="00EB4C33" w:rsidP="007E26FA">
            <w:pPr>
              <w:pStyle w:val="Questiontext"/>
            </w:pPr>
            <w:r w:rsidRPr="002B5D98">
              <w:rPr>
                <w:b/>
              </w:rPr>
              <w:lastRenderedPageBreak/>
              <w:t>Issue 29</w:t>
            </w:r>
            <w:r>
              <w:t>:</w:t>
            </w:r>
            <w:r w:rsidR="007E26FA">
              <w:t xml:space="preserve"> What is an appropriate share of benefits and costs from efficiencies or inefficiencies that should apply to Icon Water for both operating and capital expenditure?</w:t>
            </w:r>
          </w:p>
          <w:p w14:paraId="2D0DCC23" w14:textId="2BC97CAB" w:rsidR="007E26FA" w:rsidRDefault="00EB4C33" w:rsidP="007E26FA">
            <w:pPr>
              <w:pStyle w:val="Questiontext"/>
            </w:pPr>
            <w:r w:rsidRPr="002B5D98">
              <w:rPr>
                <w:b/>
              </w:rPr>
              <w:t>Issue 30</w:t>
            </w:r>
            <w:r>
              <w:t>:</w:t>
            </w:r>
            <w:r w:rsidR="007E26FA">
              <w:t xml:space="preserve"> Can the incentive to defer capital expendit</w:t>
            </w:r>
            <w:r w:rsidR="007E26FA" w:rsidRPr="0078327F">
              <w:t>ure</w:t>
            </w:r>
            <w:r w:rsidR="0078327F">
              <w:t xml:space="preserve"> under</w:t>
            </w:r>
            <w:r w:rsidR="007E26FA">
              <w:t xml:space="preserve"> a capital expenditure efficiency scheme be effectively addressed by adjustments to the financing benefit of deferral?</w:t>
            </w:r>
          </w:p>
          <w:p w14:paraId="055D15FD" w14:textId="419F12AE" w:rsidR="007E26FA" w:rsidRDefault="00EB4C33" w:rsidP="007E26FA">
            <w:pPr>
              <w:pStyle w:val="Questiontext"/>
            </w:pPr>
            <w:r w:rsidRPr="002B5D98">
              <w:rPr>
                <w:b/>
              </w:rPr>
              <w:t>Issue 31</w:t>
            </w:r>
            <w:r>
              <w:t>:</w:t>
            </w:r>
            <w:r w:rsidR="007E26FA">
              <w:t xml:space="preserve"> Will ex post review of capital expend</w:t>
            </w:r>
            <w:r w:rsidR="007E26FA" w:rsidRPr="0078327F">
              <w:t xml:space="preserve">iture still be required if a capital </w:t>
            </w:r>
            <w:r w:rsidR="007E26FA" w:rsidRPr="000E43CA">
              <w:t>expenditure efficiency sh</w:t>
            </w:r>
            <w:r w:rsidR="007E26FA" w:rsidRPr="0078327F">
              <w:t>aring</w:t>
            </w:r>
            <w:r w:rsidR="007E26FA" w:rsidRPr="000E43CA">
              <w:t xml:space="preserve"> scheme</w:t>
            </w:r>
            <w:r w:rsidR="007E26FA" w:rsidRPr="0078327F">
              <w:t xml:space="preserve"> i</w:t>
            </w:r>
            <w:r w:rsidR="007E26FA">
              <w:t>s in place?</w:t>
            </w:r>
          </w:p>
          <w:p w14:paraId="5F213205" w14:textId="6BD5CC41" w:rsidR="007E26FA" w:rsidRDefault="00EB4C33" w:rsidP="00EB4C33">
            <w:pPr>
              <w:pStyle w:val="Questiontext"/>
            </w:pPr>
            <w:r w:rsidRPr="002B5D98">
              <w:rPr>
                <w:b/>
              </w:rPr>
              <w:t>Issue 32</w:t>
            </w:r>
            <w:r>
              <w:t>:</w:t>
            </w:r>
            <w:r w:rsidR="007E26FA">
              <w:t xml:space="preserve"> Are there suggestions for how service, operating expenditure and capital expenditure schemes could be trialled or implemented in the next regulatory period?</w:t>
            </w:r>
          </w:p>
        </w:tc>
      </w:tr>
    </w:tbl>
    <w:p w14:paraId="79785FA4" w14:textId="77777777" w:rsidR="0085102E" w:rsidRDefault="0085102E" w:rsidP="006C7D4B">
      <w:pPr>
        <w:pStyle w:val="Heading2"/>
      </w:pPr>
      <w:bookmarkStart w:id="145" w:name="_Toc474915163"/>
      <w:bookmarkStart w:id="146" w:name="_Toc474915421"/>
      <w:bookmarkStart w:id="147" w:name="_Toc474915164"/>
      <w:bookmarkStart w:id="148" w:name="_Toc474915422"/>
      <w:bookmarkStart w:id="149" w:name="_Toc474915165"/>
      <w:bookmarkStart w:id="150" w:name="_Toc474915423"/>
      <w:bookmarkStart w:id="151" w:name="_Toc474915166"/>
      <w:bookmarkStart w:id="152" w:name="_Toc474915424"/>
      <w:bookmarkStart w:id="153" w:name="_Toc474915167"/>
      <w:bookmarkStart w:id="154" w:name="_Toc474915425"/>
      <w:bookmarkStart w:id="155" w:name="_Toc474915168"/>
      <w:bookmarkStart w:id="156" w:name="_Toc474915426"/>
      <w:bookmarkStart w:id="157" w:name="_Toc474915169"/>
      <w:bookmarkStart w:id="158" w:name="_Toc474915427"/>
      <w:bookmarkStart w:id="159" w:name="_Toc474915170"/>
      <w:bookmarkStart w:id="160" w:name="_Toc474915428"/>
      <w:bookmarkStart w:id="161" w:name="_Toc474915171"/>
      <w:bookmarkStart w:id="162" w:name="_Toc474915429"/>
      <w:bookmarkStart w:id="163" w:name="_Toc474915172"/>
      <w:bookmarkStart w:id="164" w:name="_Toc474915430"/>
      <w:bookmarkStart w:id="165" w:name="_Toc474915173"/>
      <w:bookmarkStart w:id="166" w:name="_Toc474915431"/>
      <w:bookmarkStart w:id="167" w:name="_Toc474915174"/>
      <w:bookmarkStart w:id="168" w:name="_Toc474915432"/>
      <w:bookmarkStart w:id="169" w:name="_Toc475110015"/>
      <w:bookmarkStart w:id="170" w:name="_Toc475604665"/>
      <w:bookmarkStart w:id="171" w:name="_Toc47855726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lastRenderedPageBreak/>
        <w:t>Changes in the tariff structure</w:t>
      </w:r>
      <w:bookmarkEnd w:id="171"/>
    </w:p>
    <w:p w14:paraId="19FA1A14" w14:textId="77777777" w:rsidR="00E606AB" w:rsidRDefault="000F2AF1" w:rsidP="00176BE0">
      <w:r>
        <w:t xml:space="preserve">The Commission </w:t>
      </w:r>
      <w:r w:rsidR="004C4FB8">
        <w:t xml:space="preserve">undertook </w:t>
      </w:r>
      <w:r>
        <w:t xml:space="preserve">a review of the tariff structures for water and sewerage services in 2016 and released a final report in </w:t>
      </w:r>
      <w:r w:rsidR="005F18CA">
        <w:t>March</w:t>
      </w:r>
      <w:r>
        <w:t xml:space="preserve"> 2017.</w:t>
      </w:r>
      <w:r>
        <w:rPr>
          <w:rStyle w:val="FootnoteReference"/>
        </w:rPr>
        <w:footnoteReference w:id="52"/>
      </w:r>
    </w:p>
    <w:p w14:paraId="2AC742B7" w14:textId="77777777" w:rsidR="00AD2EA5" w:rsidRDefault="0078327F" w:rsidP="00176BE0">
      <w:r>
        <w:t>As part of the review, the Commission</w:t>
      </w:r>
      <w:r w:rsidR="006822F4">
        <w:t xml:space="preserve"> developed and applied pricing principles based on </w:t>
      </w:r>
      <w:r>
        <w:t>its</w:t>
      </w:r>
      <w:r w:rsidR="006822F4">
        <w:t xml:space="preserve"> regulatory objectives and relevant </w:t>
      </w:r>
      <w:r w:rsidR="004C4FB8">
        <w:t>g</w:t>
      </w:r>
      <w:r w:rsidR="006822F4">
        <w:t xml:space="preserve">overnment policies to determine preferred directions for changing the </w:t>
      </w:r>
      <w:r w:rsidR="00176BE0">
        <w:t xml:space="preserve">water </w:t>
      </w:r>
      <w:r w:rsidR="006822F4">
        <w:t>tariff structure.</w:t>
      </w:r>
      <w:r w:rsidR="00E6005B">
        <w:t xml:space="preserve"> </w:t>
      </w:r>
    </w:p>
    <w:p w14:paraId="39572AF7" w14:textId="77777777" w:rsidR="00680A39" w:rsidRDefault="00680A39" w:rsidP="00176BE0">
      <w:r>
        <w:t xml:space="preserve">If the </w:t>
      </w:r>
      <w:r w:rsidR="00176BE0">
        <w:t xml:space="preserve">water </w:t>
      </w:r>
      <w:r>
        <w:t>tariff structure is looked at f</w:t>
      </w:r>
      <w:r w:rsidR="00AD2EA5">
        <w:t xml:space="preserve">rom an economic efficiency </w:t>
      </w:r>
      <w:r w:rsidR="005D6A55">
        <w:t>perspective alone</w:t>
      </w:r>
      <w:r w:rsidR="00AD2EA5">
        <w:t>,</w:t>
      </w:r>
      <w:r>
        <w:t xml:space="preserve"> it would</w:t>
      </w:r>
      <w:r w:rsidR="00AD2EA5">
        <w:t xml:space="preserve"> comprise a fixed tariff and a single usage charge</w:t>
      </w:r>
      <w:r>
        <w:t>.</w:t>
      </w:r>
      <w:r w:rsidR="00E6005B">
        <w:t xml:space="preserve"> </w:t>
      </w:r>
      <w:r>
        <w:t>The</w:t>
      </w:r>
      <w:r w:rsidR="00AD2EA5">
        <w:t xml:space="preserve"> usage charge </w:t>
      </w:r>
      <w:r>
        <w:t xml:space="preserve">would </w:t>
      </w:r>
      <w:r w:rsidR="00AD2EA5">
        <w:t xml:space="preserve">reflect the additional costs to society that are incurred as additional water services and the water itself are used and the fixed charge </w:t>
      </w:r>
      <w:r w:rsidR="003371EA">
        <w:t xml:space="preserve">would be </w:t>
      </w:r>
      <w:r w:rsidR="00AD2EA5">
        <w:t>set to ensure that overall costs are recovered.</w:t>
      </w:r>
      <w:r w:rsidR="00E6005B">
        <w:t xml:space="preserve"> </w:t>
      </w:r>
      <w:r w:rsidR="00AD2EA5">
        <w:t>The fixed charge should not be related to usage</w:t>
      </w:r>
      <w:r w:rsidR="003371EA">
        <w:t>,</w:t>
      </w:r>
      <w:r w:rsidR="00AD2EA5">
        <w:t xml:space="preserve"> but it </w:t>
      </w:r>
      <w:r w:rsidR="00AD2EA5" w:rsidRPr="0046027F">
        <w:t xml:space="preserve">can differ by type of use </w:t>
      </w:r>
      <w:r w:rsidR="003371EA">
        <w:t>(</w:t>
      </w:r>
      <w:r w:rsidR="001601BE" w:rsidRPr="001601BE">
        <w:t>for example, businesses or households</w:t>
      </w:r>
      <w:r w:rsidR="003371EA">
        <w:t>)</w:t>
      </w:r>
      <w:r w:rsidR="001601BE" w:rsidRPr="001601BE">
        <w:t xml:space="preserve"> or in other ways that help to minimise adverse impacts on low</w:t>
      </w:r>
      <w:r w:rsidR="003371EA">
        <w:t>-</w:t>
      </w:r>
      <w:r w:rsidR="001601BE" w:rsidRPr="001601BE">
        <w:t>income users.</w:t>
      </w:r>
      <w:r w:rsidR="00E6005B">
        <w:t xml:space="preserve"> </w:t>
      </w:r>
    </w:p>
    <w:p w14:paraId="60182051" w14:textId="77777777" w:rsidR="00AD2EA5" w:rsidRDefault="00AD2EA5" w:rsidP="00176BE0">
      <w:r w:rsidRPr="0046027F">
        <w:t>A</w:t>
      </w:r>
      <w:r>
        <w:t xml:space="preserve"> </w:t>
      </w:r>
      <w:r w:rsidRPr="0046027F">
        <w:t xml:space="preserve">tariff </w:t>
      </w:r>
      <w:r>
        <w:t xml:space="preserve">with these characteristics </w:t>
      </w:r>
      <w:r w:rsidRPr="0046027F">
        <w:t xml:space="preserve">can ensure that the efficient level of output is provided as well as </w:t>
      </w:r>
      <w:r w:rsidR="003371EA" w:rsidRPr="0046027F">
        <w:t>ensur</w:t>
      </w:r>
      <w:r w:rsidR="003371EA">
        <w:t>e</w:t>
      </w:r>
      <w:r w:rsidR="003371EA" w:rsidRPr="0046027F">
        <w:t xml:space="preserve"> </w:t>
      </w:r>
      <w:r w:rsidRPr="0046027F">
        <w:t>that fixed costs are recovered, provided the fixed charge does not mean that some users opt out of the service.</w:t>
      </w:r>
      <w:r w:rsidR="00E6005B">
        <w:t xml:space="preserve"> </w:t>
      </w:r>
      <w:r>
        <w:t>When the single usage price is based on an appropriate measure of marginal cost and the fixed component is set to help recover efficient costs</w:t>
      </w:r>
      <w:r w:rsidR="00C77422">
        <w:t>,</w:t>
      </w:r>
      <w:r>
        <w:t xml:space="preserve"> the risk of uneconomic bypass should also be avoided.</w:t>
      </w:r>
      <w:r w:rsidR="00E6005B">
        <w:t xml:space="preserve"> </w:t>
      </w:r>
    </w:p>
    <w:p w14:paraId="189CB46C" w14:textId="77777777" w:rsidR="00680A39" w:rsidRDefault="00AD2EA5" w:rsidP="00176BE0">
      <w:r>
        <w:t>However, economic efficiency considerations need to be balanced with social and environmental objectives.</w:t>
      </w:r>
      <w:r w:rsidR="00E6005B">
        <w:t xml:space="preserve"> </w:t>
      </w:r>
      <w:r>
        <w:t xml:space="preserve">And several submissions provided strong support for retention of a two-tier </w:t>
      </w:r>
      <w:r w:rsidR="00176BE0">
        <w:t xml:space="preserve">water </w:t>
      </w:r>
      <w:r>
        <w:t>usage charge, particularly in relation to concerns about the impacts on low</w:t>
      </w:r>
      <w:r w:rsidR="003371EA">
        <w:t>-</w:t>
      </w:r>
      <w:r>
        <w:t xml:space="preserve">income households if the existing structure was changed to raise fixed charges and </w:t>
      </w:r>
      <w:r w:rsidR="003371EA">
        <w:t>reduce</w:t>
      </w:r>
      <w:r>
        <w:t xml:space="preserve"> usage charges. </w:t>
      </w:r>
    </w:p>
    <w:p w14:paraId="4EC2436A" w14:textId="77777777" w:rsidR="00AD2EA5" w:rsidRDefault="00AD2EA5" w:rsidP="00176BE0">
      <w:r>
        <w:lastRenderedPageBreak/>
        <w:t xml:space="preserve">Recognising these concerns and difficulties in effectively addressing equity concerns with other measures, the Commission proposes to retain the existing inclining block tariff with two usage components </w:t>
      </w:r>
      <w:r w:rsidR="00176BE0">
        <w:t xml:space="preserve">for water services </w:t>
      </w:r>
      <w:r>
        <w:t>for the next regulatory period.</w:t>
      </w:r>
      <w:r w:rsidR="00E6005B">
        <w:t xml:space="preserve"> </w:t>
      </w:r>
      <w:r w:rsidR="001601BE" w:rsidRPr="00573DA7">
        <w:t>However, the Commission proposes to take the opportunity to narrow the difference between the two usage components and reduce the over</w:t>
      </w:r>
      <w:r w:rsidR="003371EA">
        <w:t>-</w:t>
      </w:r>
      <w:r w:rsidR="001601BE" w:rsidRPr="00573DA7">
        <w:t>reliance on usage charges by increasing the fixed charge. Nonetheless, any change will be cautious, gradual and measured</w:t>
      </w:r>
      <w:r w:rsidR="003371EA">
        <w:t>,</w:t>
      </w:r>
      <w:r w:rsidR="001601BE" w:rsidRPr="00573DA7">
        <w:t xml:space="preserve"> taking account of the concerns mention</w:t>
      </w:r>
      <w:r w:rsidR="001601BE" w:rsidRPr="00176BE0">
        <w:t>ed earlier.</w:t>
      </w:r>
      <w:r w:rsidR="00E6005B" w:rsidRPr="00176BE0">
        <w:t xml:space="preserve"> </w:t>
      </w:r>
      <w:r w:rsidR="001601BE" w:rsidRPr="00176BE0">
        <w:t>O</w:t>
      </w:r>
      <w:r w:rsidR="001601BE" w:rsidRPr="00573DA7">
        <w:t>ver time, more consideration can be given to adopting a single usage charge</w:t>
      </w:r>
      <w:r w:rsidR="003371EA">
        <w:t>,</w:t>
      </w:r>
      <w:r w:rsidR="001601BE" w:rsidRPr="00573DA7">
        <w:t xml:space="preserve"> provided economic, environment and social objectives can be appropriately balanced.</w:t>
      </w:r>
    </w:p>
    <w:p w14:paraId="0DA10B7C" w14:textId="77777777" w:rsidR="006822F4" w:rsidRDefault="009C2D57" w:rsidP="006822F4">
      <w:r>
        <w:t>T</w:t>
      </w:r>
      <w:r w:rsidR="006822F4">
        <w:t>he Commission</w:t>
      </w:r>
      <w:r w:rsidR="00AD2EA5">
        <w:t xml:space="preserve">’s </w:t>
      </w:r>
      <w:r w:rsidR="003371EA">
        <w:t>f</w:t>
      </w:r>
      <w:r w:rsidR="00AD2EA5">
        <w:t xml:space="preserve">inal </w:t>
      </w:r>
      <w:r w:rsidR="003371EA">
        <w:t>r</w:t>
      </w:r>
      <w:r w:rsidR="00AD2EA5">
        <w:t>eport on the tariff stru</w:t>
      </w:r>
      <w:r w:rsidR="00AD2EA5" w:rsidRPr="00176BE0">
        <w:t>cture</w:t>
      </w:r>
      <w:r w:rsidR="006822F4" w:rsidRPr="00176BE0">
        <w:t xml:space="preserve"> </w:t>
      </w:r>
      <w:r w:rsidRPr="00176BE0">
        <w:t>proposed th</w:t>
      </w:r>
      <w:r>
        <w:t xml:space="preserve">at any change to the structure of tariffs </w:t>
      </w:r>
      <w:r w:rsidR="00AD2EA5">
        <w:t>for water services</w:t>
      </w:r>
      <w:r w:rsidR="00B272DF">
        <w:t>, should it be considered appropriate,</w:t>
      </w:r>
      <w:r w:rsidR="00AD2EA5">
        <w:t xml:space="preserve"> </w:t>
      </w:r>
      <w:r>
        <w:t>would be undertaken as part of the price investigation for regulated water and sewerage services.</w:t>
      </w:r>
      <w:r w:rsidR="00E6005B">
        <w:t xml:space="preserve"> </w:t>
      </w:r>
      <w:r w:rsidR="00EA327A">
        <w:t>This will allow the use of relevant information on costs and demand when it becomes available</w:t>
      </w:r>
      <w:r w:rsidR="0016783F">
        <w:t>.</w:t>
      </w:r>
    </w:p>
    <w:p w14:paraId="76423C95" w14:textId="77777777" w:rsidR="00A150FA" w:rsidRDefault="00A150FA" w:rsidP="006822F4">
      <w:r>
        <w:t xml:space="preserve">The Commission proposes to retain the current tariff structure for sewerage services where a single fixed service charge applies, given difficulties in developing a usage charge and the fact that fixed costs for sewerage are approximately 93 per cent of total costs. </w:t>
      </w:r>
    </w:p>
    <w:p w14:paraId="661B043B" w14:textId="77777777" w:rsidR="00573DA7" w:rsidRDefault="00A150FA" w:rsidP="00D16C5B">
      <w:r>
        <w:t>However, a more cost</w:t>
      </w:r>
      <w:r w:rsidR="003371EA">
        <w:t>-</w:t>
      </w:r>
      <w:r>
        <w:t>reflective tariff is likely to be beneficial for trade waste</w:t>
      </w:r>
      <w:r w:rsidR="003371EA">
        <w:t>,</w:t>
      </w:r>
      <w:r>
        <w:t xml:space="preserve"> and the </w:t>
      </w:r>
      <w:r w:rsidRPr="00EF2F36">
        <w:t xml:space="preserve">Commission welcomes Icon Water’s commitment to introducing a trade waste pricing regime in the </w:t>
      </w:r>
      <w:r>
        <w:t>next</w:t>
      </w:r>
      <w:r w:rsidRPr="00EF2F36">
        <w:t xml:space="preserve"> regulatory period</w:t>
      </w:r>
      <w:r>
        <w:t>, starting on 1 July 2018</w:t>
      </w:r>
      <w:r w:rsidRPr="00EF2F36">
        <w:t>.</w:t>
      </w:r>
    </w:p>
    <w:tbl>
      <w:tblPr>
        <w:tblStyle w:val="TableGrid"/>
        <w:tblW w:w="0" w:type="auto"/>
        <w:tblInd w:w="108" w:type="dxa"/>
        <w:tblLook w:val="04A0" w:firstRow="1" w:lastRow="0" w:firstColumn="1" w:lastColumn="0" w:noHBand="0" w:noVBand="1"/>
      </w:tblPr>
      <w:tblGrid>
        <w:gridCol w:w="7593"/>
      </w:tblGrid>
      <w:tr w:rsidR="007E26FA" w14:paraId="51314DC8" w14:textId="77777777" w:rsidTr="008700A7">
        <w:tc>
          <w:tcPr>
            <w:tcW w:w="7819" w:type="dxa"/>
          </w:tcPr>
          <w:p w14:paraId="357E3F0D" w14:textId="5E8AA8AD" w:rsidR="007E26FA" w:rsidRDefault="00EB4C33" w:rsidP="007E26FA">
            <w:pPr>
              <w:pStyle w:val="Questiontext"/>
            </w:pPr>
            <w:r w:rsidRPr="00EB4C33">
              <w:rPr>
                <w:b/>
              </w:rPr>
              <w:t>Issue 33</w:t>
            </w:r>
            <w:r w:rsidRPr="00EB4C33">
              <w:t>:</w:t>
            </w:r>
            <w:r w:rsidR="007E26FA">
              <w:t xml:space="preserve"> The Commission welcomes comments on its approach to determining the structure of tariffs.</w:t>
            </w:r>
          </w:p>
          <w:p w14:paraId="4745939D" w14:textId="6D054EE8" w:rsidR="007E26FA" w:rsidRDefault="00EB4C33" w:rsidP="007E26FA">
            <w:pPr>
              <w:pStyle w:val="Questiontext"/>
            </w:pPr>
            <w:r w:rsidRPr="00EB4C33">
              <w:rPr>
                <w:b/>
              </w:rPr>
              <w:t>Issue 34</w:t>
            </w:r>
            <w:r>
              <w:t>:</w:t>
            </w:r>
            <w:r w:rsidR="007E26FA">
              <w:t xml:space="preserve"> How should customer characteristics affect the fixed supply charge in the water tariff?</w:t>
            </w:r>
          </w:p>
          <w:p w14:paraId="533CC939" w14:textId="7EEBA87E" w:rsidR="007E26FA" w:rsidRDefault="00EB4C33" w:rsidP="007E26FA">
            <w:pPr>
              <w:pStyle w:val="Questiontext"/>
            </w:pPr>
            <w:r w:rsidRPr="00EB4C33">
              <w:rPr>
                <w:b/>
              </w:rPr>
              <w:t>Issue 35</w:t>
            </w:r>
            <w:r>
              <w:t>:</w:t>
            </w:r>
            <w:r w:rsidR="007E26FA">
              <w:t xml:space="preserve"> Should there be different fixed charges for business and household </w:t>
            </w:r>
            <w:r w:rsidR="00176BE0">
              <w:t xml:space="preserve">water </w:t>
            </w:r>
            <w:r w:rsidR="007E26FA">
              <w:t>use? Should there be higher fixed charges but lower usage charges for very large users to ensure that larger users do not develop other options for the supply of water?</w:t>
            </w:r>
          </w:p>
          <w:p w14:paraId="5E006BB8" w14:textId="112CE82F" w:rsidR="007E26FA" w:rsidRDefault="00EB4C33" w:rsidP="00EB4C33">
            <w:pPr>
              <w:pStyle w:val="Questiontext"/>
            </w:pPr>
            <w:r w:rsidRPr="00EB4C33">
              <w:rPr>
                <w:b/>
              </w:rPr>
              <w:t>Issue 36</w:t>
            </w:r>
            <w:r>
              <w:t>:</w:t>
            </w:r>
            <w:r w:rsidR="007E26FA">
              <w:t xml:space="preserve"> What other options are there to address concerns about adverse impacts of tariff structure changes on low-income households?</w:t>
            </w:r>
          </w:p>
        </w:tc>
      </w:tr>
    </w:tbl>
    <w:p w14:paraId="6B81C69F" w14:textId="77777777" w:rsidR="00B016D6" w:rsidRDefault="00B016D6" w:rsidP="006C7D4B">
      <w:pPr>
        <w:pStyle w:val="Heading2"/>
      </w:pPr>
      <w:bookmarkStart w:id="172" w:name="_Toc474915176"/>
      <w:bookmarkStart w:id="173" w:name="_Toc474915434"/>
      <w:bookmarkStart w:id="174" w:name="_Toc475110017"/>
      <w:bookmarkStart w:id="175" w:name="_Toc475604667"/>
      <w:bookmarkStart w:id="176" w:name="_Toc474915177"/>
      <w:bookmarkStart w:id="177" w:name="_Toc474915435"/>
      <w:bookmarkStart w:id="178" w:name="_Toc474915178"/>
      <w:bookmarkStart w:id="179" w:name="_Toc474915436"/>
      <w:bookmarkStart w:id="180" w:name="_Toc474915179"/>
      <w:bookmarkStart w:id="181" w:name="_Toc474915437"/>
      <w:bookmarkStart w:id="182" w:name="_Toc474915180"/>
      <w:bookmarkStart w:id="183" w:name="_Toc474915438"/>
      <w:bookmarkStart w:id="184" w:name="_Toc474915181"/>
      <w:bookmarkStart w:id="185" w:name="_Toc474915439"/>
      <w:bookmarkStart w:id="186" w:name="_Toc478557264"/>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t>Incremental impacts on prices</w:t>
      </w:r>
      <w:bookmarkEnd w:id="186"/>
      <w:r>
        <w:t xml:space="preserve"> </w:t>
      </w:r>
    </w:p>
    <w:p w14:paraId="6CADC136" w14:textId="77777777" w:rsidR="00E606AB" w:rsidRDefault="002B2309" w:rsidP="004D4603">
      <w:pPr>
        <w:pStyle w:val="Bodybulletintro"/>
      </w:pPr>
      <w:r>
        <w:t xml:space="preserve">The terms of reference </w:t>
      </w:r>
      <w:r w:rsidR="009E75E1">
        <w:t>require</w:t>
      </w:r>
      <w:r>
        <w:t xml:space="preserve"> the Commission to identify the incremental impact on prices of: </w:t>
      </w:r>
    </w:p>
    <w:p w14:paraId="60DA33C5" w14:textId="77777777" w:rsidR="002B2309" w:rsidRDefault="002B2309" w:rsidP="004D4603">
      <w:pPr>
        <w:pStyle w:val="Bullet"/>
      </w:pPr>
      <w:r>
        <w:t>any changes to the total allowed revenue for Icon Water;</w:t>
      </w:r>
    </w:p>
    <w:p w14:paraId="2E00EFD9" w14:textId="77777777" w:rsidR="002B2309" w:rsidRDefault="002B2309" w:rsidP="004D4603">
      <w:pPr>
        <w:pStyle w:val="Bullet"/>
      </w:pPr>
      <w:r>
        <w:t>any changes to water demand forecasts used in the regulatory model; and</w:t>
      </w:r>
    </w:p>
    <w:p w14:paraId="74FE2528" w14:textId="77777777" w:rsidR="002B2309" w:rsidRDefault="002B2309" w:rsidP="004D4603">
      <w:pPr>
        <w:pStyle w:val="BulletLast"/>
      </w:pPr>
      <w:proofErr w:type="gramStart"/>
      <w:r>
        <w:lastRenderedPageBreak/>
        <w:t>the</w:t>
      </w:r>
      <w:proofErr w:type="gramEnd"/>
      <w:r>
        <w:t xml:space="preserve"> implementation of any reforms to the tariff structure for the water and sewerage services tariffs.</w:t>
      </w:r>
    </w:p>
    <w:p w14:paraId="54E45AC1" w14:textId="77777777" w:rsidR="00D26BD0" w:rsidRDefault="00714985" w:rsidP="00D26BD0">
      <w:pPr>
        <w:sectPr w:rsidR="00D26BD0" w:rsidSect="00232490">
          <w:headerReference w:type="even" r:id="rId42"/>
          <w:headerReference w:type="default" r:id="rId43"/>
          <w:endnotePr>
            <w:numFmt w:val="decimal"/>
          </w:endnotePr>
          <w:type w:val="continuous"/>
          <w:pgSz w:w="11907" w:h="16840" w:code="9"/>
          <w:pgMar w:top="2268" w:right="2098" w:bottom="1701" w:left="2098" w:header="578" w:footer="578" w:gutter="0"/>
          <w:cols w:space="720"/>
          <w:noEndnote/>
          <w:docGrid w:linePitch="299"/>
        </w:sectPr>
      </w:pPr>
      <w:r>
        <w:t xml:space="preserve">The incremental impacts for these aspects will be identified in the draft and final reports. </w:t>
      </w:r>
    </w:p>
    <w:p w14:paraId="577A7541" w14:textId="7D0C3267" w:rsidR="00004D80" w:rsidRDefault="0007632E" w:rsidP="00004D80">
      <w:pPr>
        <w:pStyle w:val="Heading1"/>
        <w:sectPr w:rsidR="00004D80" w:rsidSect="00D26BD0">
          <w:headerReference w:type="default" r:id="rId44"/>
          <w:endnotePr>
            <w:numFmt w:val="decimal"/>
          </w:endnotePr>
          <w:type w:val="oddPage"/>
          <w:pgSz w:w="11907" w:h="16840" w:code="9"/>
          <w:pgMar w:top="2268" w:right="2098" w:bottom="1701" w:left="2098" w:header="578" w:footer="578" w:gutter="0"/>
          <w:cols w:space="720"/>
          <w:noEndnote/>
          <w:docGrid w:linePitch="299"/>
        </w:sectPr>
      </w:pPr>
      <w:bookmarkStart w:id="187" w:name="_Toc478557265"/>
      <w:bookmarkStart w:id="188" w:name="_Ref478629794"/>
      <w:bookmarkStart w:id="189" w:name="_Ref478629833"/>
      <w:bookmarkStart w:id="190" w:name="_Ref478631693"/>
      <w:bookmarkStart w:id="191" w:name="_Ref478631733"/>
      <w:r>
        <w:lastRenderedPageBreak/>
        <w:t>Issues for consultation: Summary</w:t>
      </w:r>
      <w:bookmarkEnd w:id="187"/>
      <w:bookmarkEnd w:id="188"/>
      <w:bookmarkEnd w:id="189"/>
      <w:bookmarkEnd w:id="190"/>
      <w:bookmarkEnd w:id="191"/>
    </w:p>
    <w:p w14:paraId="0FF121F9" w14:textId="439F9B19" w:rsidR="00ED3916" w:rsidRPr="00ED3916" w:rsidRDefault="00EA327A" w:rsidP="00ED3916">
      <w:r>
        <w:t xml:space="preserve">In </w:t>
      </w:r>
      <w:r w:rsidR="00ED3916" w:rsidRPr="00ED3916">
        <w:t xml:space="preserve">this paper, the Commission has identified specific </w:t>
      </w:r>
      <w:r w:rsidR="00B03B25">
        <w:t>issues</w:t>
      </w:r>
      <w:r w:rsidR="00ED3916" w:rsidRPr="00ED3916">
        <w:t xml:space="preserve"> on which it welcomes responses from interested parties. The full list of </w:t>
      </w:r>
      <w:r w:rsidR="00061F43">
        <w:t>issues</w:t>
      </w:r>
      <w:r w:rsidR="00ED3916" w:rsidRPr="00ED3916">
        <w:t xml:space="preserve"> is reproduced </w:t>
      </w:r>
      <w:r w:rsidR="004D4603">
        <w:t xml:space="preserve">in </w:t>
      </w:r>
      <w:r w:rsidR="00F77E72">
        <w:fldChar w:fldCharType="begin"/>
      </w:r>
      <w:r w:rsidR="00F77E72">
        <w:instrText xml:space="preserve"> REF _Ref478729891 \h </w:instrText>
      </w:r>
      <w:r w:rsidR="00F77E72">
        <w:fldChar w:fldCharType="separate"/>
      </w:r>
      <w:r w:rsidR="00F77E72">
        <w:t xml:space="preserve">Box </w:t>
      </w:r>
      <w:r w:rsidR="00F77E72">
        <w:rPr>
          <w:noProof/>
        </w:rPr>
        <w:t>6</w:t>
      </w:r>
      <w:r w:rsidR="00F77E72">
        <w:fldChar w:fldCharType="end"/>
      </w:r>
      <w:r w:rsidR="00F77E72">
        <w:t>.1</w:t>
      </w:r>
      <w:r w:rsidR="004D4603" w:rsidRPr="00ED3916">
        <w:t xml:space="preserve"> </w:t>
      </w:r>
      <w:r w:rsidR="00ED3916" w:rsidRPr="00ED3916">
        <w:t xml:space="preserve">for ease of reference. </w:t>
      </w:r>
    </w:p>
    <w:p w14:paraId="30B0FB64" w14:textId="77777777" w:rsidR="00004D80" w:rsidRDefault="00ED3916" w:rsidP="00ED3916">
      <w:r w:rsidRPr="00ED3916">
        <w:t>The Commission also welcomes comments on any other issue or the provision of any other relevant information that interested parties think could</w:t>
      </w:r>
      <w:r>
        <w:t xml:space="preserve"> assist the Commission’s investigation into the </w:t>
      </w:r>
      <w:r w:rsidR="00B4074D">
        <w:t xml:space="preserve">prices for regulated </w:t>
      </w:r>
      <w:r>
        <w:t>water and sewerage se</w:t>
      </w:r>
      <w:r w:rsidRPr="00B4074D">
        <w:t>rvices th</w:t>
      </w:r>
      <w:r>
        <w:t>at should apply for the period 1 July 2018 to 30 June 2023.</w:t>
      </w:r>
    </w:p>
    <w:p w14:paraId="10A8EC12" w14:textId="3718A6A5" w:rsidR="007E26FA" w:rsidRDefault="00F77E72" w:rsidP="00F77E72">
      <w:pPr>
        <w:pStyle w:val="FigureName"/>
      </w:pPr>
      <w:bookmarkStart w:id="192" w:name="_Ref478729891"/>
      <w:bookmarkStart w:id="193" w:name="_Toc478729931"/>
      <w:r>
        <w:t xml:space="preserve">Box </w:t>
      </w:r>
      <w:r>
        <w:fldChar w:fldCharType="begin"/>
      </w:r>
      <w:r>
        <w:instrText xml:space="preserve"> SEQ Box \* ARABIC </w:instrText>
      </w:r>
      <w:r>
        <w:fldChar w:fldCharType="separate"/>
      </w:r>
      <w:r>
        <w:rPr>
          <w:noProof/>
        </w:rPr>
        <w:t>6</w:t>
      </w:r>
      <w:r>
        <w:fldChar w:fldCharType="end"/>
      </w:r>
      <w:bookmarkEnd w:id="192"/>
      <w:r>
        <w:t>.1</w:t>
      </w:r>
      <w:r w:rsidR="00B03B25">
        <w:tab/>
        <w:t>List of issues</w:t>
      </w:r>
      <w:bookmarkEnd w:id="193"/>
    </w:p>
    <w:tbl>
      <w:tblPr>
        <w:tblStyle w:val="TableGrid"/>
        <w:tblW w:w="0" w:type="auto"/>
        <w:tblInd w:w="108" w:type="dxa"/>
        <w:tblLook w:val="04A0" w:firstRow="1" w:lastRow="0" w:firstColumn="1" w:lastColumn="0" w:noHBand="0" w:noVBand="1"/>
      </w:tblPr>
      <w:tblGrid>
        <w:gridCol w:w="7593"/>
      </w:tblGrid>
      <w:tr w:rsidR="007E26FA" w14:paraId="3FD93495" w14:textId="77777777" w:rsidTr="00C97DD4">
        <w:tc>
          <w:tcPr>
            <w:tcW w:w="7927" w:type="dxa"/>
          </w:tcPr>
          <w:p w14:paraId="3B751F9E" w14:textId="6E92974B" w:rsidR="007E26FA" w:rsidRDefault="00EB4C33" w:rsidP="007E26FA">
            <w:pPr>
              <w:pStyle w:val="Questiontext"/>
            </w:pPr>
            <w:r w:rsidRPr="002B5D98">
              <w:rPr>
                <w:b/>
              </w:rPr>
              <w:t>Issue 1</w:t>
            </w:r>
            <w:r>
              <w:t>:</w:t>
            </w:r>
            <w:r w:rsidR="007E26FA">
              <w:t xml:space="preserve"> </w:t>
            </w:r>
            <w:r w:rsidR="007E26FA" w:rsidRPr="00860ECE">
              <w:t>The Commission welcomes any comments on the pricing principles that will form the basis for addressing and balancing economic, social and environmental objectives.</w:t>
            </w:r>
          </w:p>
          <w:p w14:paraId="174AC944" w14:textId="701F7E0B" w:rsidR="007E26FA" w:rsidRDefault="00EB4C33" w:rsidP="007E26FA">
            <w:pPr>
              <w:pStyle w:val="Questiontext"/>
            </w:pPr>
            <w:r w:rsidRPr="002B5D98">
              <w:rPr>
                <w:b/>
              </w:rPr>
              <w:t>Issue 2</w:t>
            </w:r>
            <w:r>
              <w:t>:</w:t>
            </w:r>
            <w:r w:rsidR="007E26FA">
              <w:t xml:space="preserve"> The Commission welcomes any comments on the regulatory model and form of control and its proposal to adopt the hybrid revenue and price ca</w:t>
            </w:r>
            <w:r w:rsidR="00E96C03">
              <w:t>p approach for the 2018–</w:t>
            </w:r>
            <w:r w:rsidR="007E26FA">
              <w:t xml:space="preserve">2023 regulatory period. </w:t>
            </w:r>
          </w:p>
          <w:p w14:paraId="2B17F984" w14:textId="388442F1" w:rsidR="007E26FA" w:rsidRDefault="00EB4C33" w:rsidP="007E26FA">
            <w:pPr>
              <w:pStyle w:val="Questiontext"/>
            </w:pPr>
            <w:r w:rsidRPr="002B5D98">
              <w:rPr>
                <w:b/>
              </w:rPr>
              <w:t>Issue 3</w:t>
            </w:r>
            <w:r>
              <w:t>:</w:t>
            </w:r>
            <w:r w:rsidR="007E26FA">
              <w:t xml:space="preserve"> What are the advantages and disadvantages of adopting a pure revenue cap or a pure price cap as the form of control of prices?</w:t>
            </w:r>
          </w:p>
          <w:p w14:paraId="51CBFF30" w14:textId="2522F240" w:rsidR="007E26FA" w:rsidRPr="00B2525E" w:rsidRDefault="00EB4C33" w:rsidP="007E26FA">
            <w:pPr>
              <w:pStyle w:val="Questiontext"/>
            </w:pPr>
            <w:r w:rsidRPr="002B5D98">
              <w:rPr>
                <w:b/>
              </w:rPr>
              <w:t>Issue 4</w:t>
            </w:r>
            <w:r>
              <w:t>:</w:t>
            </w:r>
            <w:r w:rsidR="007E26FA">
              <w:t xml:space="preserve"> </w:t>
            </w:r>
            <w:r w:rsidR="007E26FA" w:rsidRPr="00B2525E">
              <w:t>If the demand volatility adjustment is triggered</w:t>
            </w:r>
            <w:r w:rsidR="007E26FA">
              <w:t>,</w:t>
            </w:r>
            <w:r w:rsidR="007E26FA" w:rsidRPr="00B2525E">
              <w:t xml:space="preserve"> how should it be dealt with in prices in the regulatory period from 1 July 2018 to 30 June 2023?</w:t>
            </w:r>
          </w:p>
          <w:p w14:paraId="1A09C429" w14:textId="30475E11" w:rsidR="007E26FA" w:rsidRPr="00B2525E" w:rsidRDefault="002B5D98" w:rsidP="007E26FA">
            <w:pPr>
              <w:pStyle w:val="Questiontext"/>
            </w:pPr>
            <w:r>
              <w:rPr>
                <w:b/>
              </w:rPr>
              <w:t>Issue 5:</w:t>
            </w:r>
            <w:r w:rsidR="007E26FA">
              <w:t xml:space="preserve"> </w:t>
            </w:r>
            <w:r w:rsidR="007E26FA" w:rsidRPr="00B2525E">
              <w:t>Is there scope to avoid price shocks by including a component of under</w:t>
            </w:r>
            <w:r w:rsidR="00E96C03">
              <w:t>-</w:t>
            </w:r>
            <w:r w:rsidR="007E26FA" w:rsidRPr="00B2525E">
              <w:t>recovered revenue in the regulatory asset base for future recovery?</w:t>
            </w:r>
          </w:p>
          <w:p w14:paraId="03B705B5" w14:textId="5B49DE35" w:rsidR="007E26FA" w:rsidRPr="00B2525E" w:rsidRDefault="002B5D98" w:rsidP="007E26FA">
            <w:pPr>
              <w:pStyle w:val="Questiontext"/>
            </w:pPr>
            <w:r>
              <w:rPr>
                <w:b/>
              </w:rPr>
              <w:t>Issue 6:</w:t>
            </w:r>
            <w:r w:rsidR="007E26FA">
              <w:t xml:space="preserve"> </w:t>
            </w:r>
            <w:r w:rsidR="007E26FA" w:rsidRPr="00B2525E">
              <w:t>Should revenue adjustment mechanisms continue to apply to address under</w:t>
            </w:r>
            <w:r w:rsidR="00E96C03">
              <w:t>-</w:t>
            </w:r>
            <w:r w:rsidR="007E26FA" w:rsidRPr="00B2525E">
              <w:t xml:space="preserve"> or over</w:t>
            </w:r>
            <w:r w:rsidR="00E96C03">
              <w:t>-</w:t>
            </w:r>
            <w:r w:rsidR="007E26FA" w:rsidRPr="00B2525E">
              <w:t>recovery of revenue</w:t>
            </w:r>
            <w:r w:rsidR="007E26FA">
              <w:t>?</w:t>
            </w:r>
          </w:p>
          <w:p w14:paraId="1F6295B2" w14:textId="5719D02F" w:rsidR="007E26FA" w:rsidRPr="00B2525E" w:rsidRDefault="002B5D98" w:rsidP="007E26FA">
            <w:pPr>
              <w:pStyle w:val="Questiontext"/>
            </w:pPr>
            <w:r>
              <w:rPr>
                <w:b/>
              </w:rPr>
              <w:t>Issue 7:</w:t>
            </w:r>
            <w:r w:rsidR="007E26FA">
              <w:t xml:space="preserve"> </w:t>
            </w:r>
            <w:r w:rsidR="007E26FA" w:rsidRPr="00B2525E">
              <w:t xml:space="preserve">The Commission welcomes any comments on the process for reviewing the prudence and efficiency of capital expenditure over the current regulatory period before the capital expenditure is allowed </w:t>
            </w:r>
            <w:r w:rsidR="007E26FA">
              <w:t>and</w:t>
            </w:r>
            <w:r w:rsidR="007E26FA" w:rsidRPr="00B2525E">
              <w:t xml:space="preserve"> included in the regulatory asset base.</w:t>
            </w:r>
          </w:p>
          <w:p w14:paraId="24159632" w14:textId="132BC36C" w:rsidR="007E26FA" w:rsidRDefault="002B5D98" w:rsidP="007E26FA">
            <w:pPr>
              <w:pStyle w:val="Questiontext"/>
            </w:pPr>
            <w:r>
              <w:rPr>
                <w:b/>
              </w:rPr>
              <w:t>Issue 8:</w:t>
            </w:r>
            <w:r w:rsidR="007E26FA">
              <w:t xml:space="preserve"> </w:t>
            </w:r>
            <w:r w:rsidR="007E26FA" w:rsidRPr="00B2525E">
              <w:t>The Commission welcomes any comments on whether and how the financing benefit of any capital underspending (should it have occurred) should be determined and used to a</w:t>
            </w:r>
            <w:r w:rsidR="007E26FA" w:rsidRPr="0011298B">
              <w:t>djust regulated prices</w:t>
            </w:r>
            <w:r w:rsidR="007E26FA" w:rsidRPr="00B2525E">
              <w:t xml:space="preserve"> for water and sewerage</w:t>
            </w:r>
            <w:r w:rsidR="00F1017C">
              <w:t xml:space="preserve"> services</w:t>
            </w:r>
            <w:r w:rsidR="007E26FA">
              <w:t>.</w:t>
            </w:r>
          </w:p>
          <w:p w14:paraId="6B2FCF68" w14:textId="4F1F58E3" w:rsidR="007E26FA" w:rsidRDefault="002B5D98" w:rsidP="007E26FA">
            <w:pPr>
              <w:pStyle w:val="Questiontext"/>
            </w:pPr>
            <w:r>
              <w:rPr>
                <w:b/>
              </w:rPr>
              <w:t>Issue 9:</w:t>
            </w:r>
            <w:r w:rsidR="007E26FA">
              <w:t xml:space="preserve"> The Commission welcomes comments on how it can best forecast the demand for water.</w:t>
            </w:r>
          </w:p>
          <w:p w14:paraId="2434C16B" w14:textId="4157DA43" w:rsidR="007E26FA" w:rsidRDefault="002B5D98" w:rsidP="007E26FA">
            <w:pPr>
              <w:pStyle w:val="Questiontext"/>
            </w:pPr>
            <w:r>
              <w:rPr>
                <w:b/>
              </w:rPr>
              <w:t>Issue 10:</w:t>
            </w:r>
            <w:r w:rsidR="007E26FA">
              <w:t xml:space="preserve"> How much rebalancing of the tariff structure components should be undertaken (or other mechanisms implemented) so that forecasting of demand for water is less critical in ensuring revenue recovery of efficient costs?</w:t>
            </w:r>
          </w:p>
          <w:p w14:paraId="16ECEA6F" w14:textId="6635F3BE" w:rsidR="007E26FA" w:rsidRDefault="002B5D98" w:rsidP="007E26FA">
            <w:pPr>
              <w:pStyle w:val="Questiontext"/>
            </w:pPr>
            <w:r>
              <w:rPr>
                <w:b/>
              </w:rPr>
              <w:lastRenderedPageBreak/>
              <w:t>Issue 11:</w:t>
            </w:r>
            <w:r w:rsidR="007E26FA">
              <w:t xml:space="preserve"> Is there a better alternative to the current efficient benchmark approach </w:t>
            </w:r>
            <w:r w:rsidR="0011298B">
              <w:t xml:space="preserve">for </w:t>
            </w:r>
            <w:r w:rsidR="007E26FA">
              <w:t>estimating an allowed rate of return for Icon Water?</w:t>
            </w:r>
          </w:p>
          <w:p w14:paraId="19EA5F85" w14:textId="2C8BFED9" w:rsidR="007E26FA" w:rsidRDefault="002B5D98" w:rsidP="007E26FA">
            <w:pPr>
              <w:pStyle w:val="Questiontext"/>
            </w:pPr>
            <w:r>
              <w:rPr>
                <w:b/>
              </w:rPr>
              <w:t>Issue 12:</w:t>
            </w:r>
            <w:r w:rsidR="007E26FA">
              <w:t xml:space="preserve"> </w:t>
            </w:r>
            <w:r w:rsidR="007E26FA" w:rsidRPr="0011298B">
              <w:t>Are there comments</w:t>
            </w:r>
            <w:r w:rsidR="007E26FA">
              <w:t xml:space="preserve"> about individual parameters in the current approach?</w:t>
            </w:r>
          </w:p>
          <w:p w14:paraId="4F5F37D3" w14:textId="61CAC1B7" w:rsidR="007E26FA" w:rsidRDefault="002B5D98" w:rsidP="007E26FA">
            <w:pPr>
              <w:pStyle w:val="Questiontext"/>
            </w:pPr>
            <w:r>
              <w:rPr>
                <w:b/>
              </w:rPr>
              <w:t>Issue 13:</w:t>
            </w:r>
            <w:r w:rsidR="007E26FA">
              <w:t xml:space="preserve"> Does the current value of the equity beta parameter continue to be appropriate?</w:t>
            </w:r>
          </w:p>
          <w:p w14:paraId="12ED7092" w14:textId="2454FF6D" w:rsidR="007E26FA" w:rsidRDefault="002B5D98" w:rsidP="007E26FA">
            <w:pPr>
              <w:pStyle w:val="Questiontext"/>
            </w:pPr>
            <w:r>
              <w:rPr>
                <w:b/>
              </w:rPr>
              <w:t>Issue 14:</w:t>
            </w:r>
            <w:r w:rsidR="007E26FA">
              <w:t xml:space="preserve"> Is it appropriate to rely solely on the current single Bloomberg implied measure of the market risk premium to estimate the market risk premium?</w:t>
            </w:r>
          </w:p>
          <w:p w14:paraId="3A045F7D" w14:textId="69EA9ABB" w:rsidR="007E26FA" w:rsidRDefault="002B5D98" w:rsidP="007E26FA">
            <w:pPr>
              <w:pStyle w:val="Questiontext"/>
            </w:pPr>
            <w:r>
              <w:rPr>
                <w:b/>
              </w:rPr>
              <w:t>Issue 15:</w:t>
            </w:r>
            <w:r w:rsidR="007E26FA">
              <w:t xml:space="preserve"> If not</w:t>
            </w:r>
            <w:r w:rsidR="00E96C03">
              <w:t>,</w:t>
            </w:r>
            <w:r w:rsidR="007E26FA">
              <w:t xml:space="preserve"> what methods should be used to measure the market risk premium?</w:t>
            </w:r>
          </w:p>
          <w:p w14:paraId="54D01F11" w14:textId="662BAFF6" w:rsidR="007E26FA" w:rsidRDefault="00342DFF" w:rsidP="007E26FA">
            <w:pPr>
              <w:pStyle w:val="Questiontext"/>
            </w:pPr>
            <w:r>
              <w:rPr>
                <w:b/>
              </w:rPr>
              <w:t>Issue 16:</w:t>
            </w:r>
            <w:r w:rsidR="007E26FA">
              <w:t xml:space="preserve"> Are there any concerns about the current approaches for the treatment of expenditure risks?</w:t>
            </w:r>
          </w:p>
          <w:p w14:paraId="4F44B527" w14:textId="28091EE2" w:rsidR="007E26FA" w:rsidRDefault="00342DFF" w:rsidP="007E26FA">
            <w:pPr>
              <w:pStyle w:val="Questiontext"/>
            </w:pPr>
            <w:r>
              <w:rPr>
                <w:b/>
              </w:rPr>
              <w:t>Issue 17:</w:t>
            </w:r>
            <w:r w:rsidR="007E26FA">
              <w:t xml:space="preserve"> If so</w:t>
            </w:r>
            <w:r w:rsidR="00E96C03">
              <w:t>,</w:t>
            </w:r>
            <w:r w:rsidR="007E26FA">
              <w:t xml:space="preserve"> what forms of different treatments are appropriate?</w:t>
            </w:r>
          </w:p>
          <w:p w14:paraId="19E67B2D" w14:textId="0327E9DE" w:rsidR="007E26FA" w:rsidRDefault="00342DFF" w:rsidP="007E26FA">
            <w:pPr>
              <w:pStyle w:val="Questiontext"/>
            </w:pPr>
            <w:r>
              <w:rPr>
                <w:b/>
              </w:rPr>
              <w:t>Issue 18:</w:t>
            </w:r>
            <w:r w:rsidR="007E26FA">
              <w:t xml:space="preserve"> In what circumstances should Icon Water be required to absorb non</w:t>
            </w:r>
            <w:r w:rsidR="00E96C03">
              <w:t>-</w:t>
            </w:r>
            <w:r w:rsidR="007E26FA">
              <w:t>controllable co</w:t>
            </w:r>
            <w:r w:rsidR="007E26FA" w:rsidRPr="0011298B">
              <w:t xml:space="preserve">sts as </w:t>
            </w:r>
            <w:r w:rsidR="0011298B">
              <w:t>opposed to</w:t>
            </w:r>
            <w:r w:rsidR="0011298B" w:rsidRPr="0011298B">
              <w:t xml:space="preserve"> </w:t>
            </w:r>
            <w:r w:rsidR="007E26FA" w:rsidRPr="0011298B">
              <w:t>those cos</w:t>
            </w:r>
            <w:r w:rsidR="007E26FA">
              <w:t>ts being fully or substantially passed on to customers?</w:t>
            </w:r>
          </w:p>
          <w:p w14:paraId="3A10374D" w14:textId="268AC530" w:rsidR="007E26FA" w:rsidRDefault="00342DFF" w:rsidP="007E26FA">
            <w:pPr>
              <w:pStyle w:val="Questiontext"/>
            </w:pPr>
            <w:r>
              <w:rPr>
                <w:b/>
              </w:rPr>
              <w:t>Issue 19:</w:t>
            </w:r>
            <w:r w:rsidR="007E26FA">
              <w:t xml:space="preserve"> What materiality thresholds should apply in relation to the pass</w:t>
            </w:r>
            <w:r w:rsidR="00E96C03">
              <w:t>-</w:t>
            </w:r>
            <w:r w:rsidR="007E26FA">
              <w:t xml:space="preserve">through of unexpected </w:t>
            </w:r>
            <w:r w:rsidR="008700A7">
              <w:t>non-</w:t>
            </w:r>
            <w:r w:rsidR="007E26FA">
              <w:t>controllable costs?</w:t>
            </w:r>
          </w:p>
          <w:p w14:paraId="1B266987" w14:textId="3EEA9966" w:rsidR="007E26FA" w:rsidRDefault="00342DFF" w:rsidP="007E26FA">
            <w:pPr>
              <w:pStyle w:val="Questiontext"/>
            </w:pPr>
            <w:r>
              <w:rPr>
                <w:b/>
              </w:rPr>
              <w:t>Issue 20:</w:t>
            </w:r>
            <w:r w:rsidR="007E26FA">
              <w:t xml:space="preserve"> To what extent would the transfer of all non-controllable risk to customers affect Icon Water’s incentives to develop effective mechanisms to minimise risk?</w:t>
            </w:r>
          </w:p>
          <w:p w14:paraId="2BAB30BE" w14:textId="5A2625AE" w:rsidR="007E26FA" w:rsidRDefault="00342DFF" w:rsidP="007E26FA">
            <w:pPr>
              <w:pStyle w:val="Questiontext"/>
            </w:pPr>
            <w:r>
              <w:rPr>
                <w:b/>
              </w:rPr>
              <w:t>Issue 21:</w:t>
            </w:r>
            <w:r w:rsidR="007E26FA">
              <w:t xml:space="preserve"> If Icon Water is permitted to pass through some or all non</w:t>
            </w:r>
            <w:r w:rsidR="00E96C03">
              <w:t>-</w:t>
            </w:r>
            <w:r w:rsidR="007E26FA">
              <w:t>controllable costs, should the regulator set a lower rate of return?</w:t>
            </w:r>
          </w:p>
          <w:p w14:paraId="6179B48D" w14:textId="265958B6" w:rsidR="007E26FA" w:rsidRDefault="00342DFF" w:rsidP="007E26FA">
            <w:pPr>
              <w:pStyle w:val="Questiontext"/>
            </w:pPr>
            <w:r>
              <w:rPr>
                <w:b/>
              </w:rPr>
              <w:t>Issue 22:</w:t>
            </w:r>
            <w:r w:rsidR="007E26FA">
              <w:t xml:space="preserve"> Should incentive schemes be developed for service performance, operating expenditure and capital expenditure?</w:t>
            </w:r>
          </w:p>
          <w:p w14:paraId="151062A9" w14:textId="13F214C1" w:rsidR="007E26FA" w:rsidRDefault="00342DFF" w:rsidP="007E26FA">
            <w:pPr>
              <w:pStyle w:val="Questiontext"/>
            </w:pPr>
            <w:r>
              <w:rPr>
                <w:b/>
              </w:rPr>
              <w:t>Issue 23:</w:t>
            </w:r>
            <w:r w:rsidR="007E26FA">
              <w:t xml:space="preserve"> Should these incentive schemes include financial rewards and penalties and</w:t>
            </w:r>
            <w:r w:rsidR="00E96C03">
              <w:t>,</w:t>
            </w:r>
            <w:r w:rsidR="007E26FA">
              <w:t xml:space="preserve"> </w:t>
            </w:r>
            <w:r w:rsidR="007E26FA" w:rsidRPr="0011298B">
              <w:t>if so, ho</w:t>
            </w:r>
            <w:r w:rsidR="007E26FA">
              <w:t>w should these be determined?</w:t>
            </w:r>
          </w:p>
          <w:p w14:paraId="30A5B447" w14:textId="3A07744A" w:rsidR="007E26FA" w:rsidRDefault="00342DFF" w:rsidP="007E26FA">
            <w:pPr>
              <w:pStyle w:val="Questiontext"/>
            </w:pPr>
            <w:r>
              <w:rPr>
                <w:b/>
              </w:rPr>
              <w:t>Issue 24:</w:t>
            </w:r>
            <w:r w:rsidR="007E26FA">
              <w:t xml:space="preserve"> What are relevant service performance measures that should be considered for water and sewerage services?</w:t>
            </w:r>
          </w:p>
          <w:p w14:paraId="6001DB30" w14:textId="1F9E73F0" w:rsidR="007E26FA" w:rsidRDefault="00342DFF" w:rsidP="007E26FA">
            <w:pPr>
              <w:pStyle w:val="Questiontext"/>
            </w:pPr>
            <w:r>
              <w:rPr>
                <w:b/>
              </w:rPr>
              <w:t>Issue 25:</w:t>
            </w:r>
            <w:r w:rsidR="007E26FA">
              <w:t xml:space="preserve"> Should expenditure efficiency schemes only apply to controllable expenditure, recognising that this means that customers bear all the risk of non-controllable expenditure that is passed through?</w:t>
            </w:r>
          </w:p>
          <w:p w14:paraId="4242A0A5" w14:textId="66A2C97A" w:rsidR="007E26FA" w:rsidRDefault="00342DFF" w:rsidP="007E26FA">
            <w:pPr>
              <w:pStyle w:val="Questiontext"/>
            </w:pPr>
            <w:r>
              <w:rPr>
                <w:b/>
              </w:rPr>
              <w:t>Issue 26:</w:t>
            </w:r>
            <w:r w:rsidR="007E26FA">
              <w:t xml:space="preserve"> Is the periodicity problem material for both operating expenditure and capital expenditure?</w:t>
            </w:r>
          </w:p>
          <w:p w14:paraId="1119BC7A" w14:textId="7CDEA61A" w:rsidR="007E26FA" w:rsidRDefault="00342DFF" w:rsidP="007E26FA">
            <w:pPr>
              <w:pStyle w:val="Questiontext"/>
            </w:pPr>
            <w:r>
              <w:rPr>
                <w:b/>
              </w:rPr>
              <w:t>Issue 27:</w:t>
            </w:r>
            <w:r w:rsidR="007E26FA">
              <w:t xml:space="preserve"> To what extent should incentive schemes be symmetric so that there are rewards for good performance and penalties for poor performance including </w:t>
            </w:r>
            <w:r w:rsidR="007E26FA">
              <w:lastRenderedPageBreak/>
              <w:t xml:space="preserve">in relation to both underspending and overspending of operating </w:t>
            </w:r>
            <w:r w:rsidR="007E26FA" w:rsidRPr="0011298B">
              <w:t>and capital exp</w:t>
            </w:r>
            <w:r w:rsidR="007E26FA" w:rsidRPr="001E0114">
              <w:t>enditure</w:t>
            </w:r>
            <w:r w:rsidR="007E26FA" w:rsidRPr="006F294D">
              <w:t>?</w:t>
            </w:r>
          </w:p>
          <w:p w14:paraId="23604254" w14:textId="51A918F6" w:rsidR="007E26FA" w:rsidRDefault="00342DFF" w:rsidP="007E26FA">
            <w:pPr>
              <w:pStyle w:val="Questiontext"/>
            </w:pPr>
            <w:r>
              <w:rPr>
                <w:b/>
              </w:rPr>
              <w:t>Issue 28:</w:t>
            </w:r>
            <w:r w:rsidR="007E26FA">
              <w:t xml:space="preserve"> Is it problematical to implement an operating expenditure incentive scheme without implementing a capital expenditure efficiency scheme?</w:t>
            </w:r>
          </w:p>
          <w:p w14:paraId="3EDD5839" w14:textId="535F4EDA" w:rsidR="007E26FA" w:rsidRDefault="00342DFF" w:rsidP="007E26FA">
            <w:pPr>
              <w:pStyle w:val="Questiontext"/>
            </w:pPr>
            <w:r>
              <w:rPr>
                <w:b/>
              </w:rPr>
              <w:t>Issue 29:</w:t>
            </w:r>
            <w:r w:rsidR="007E26FA">
              <w:t xml:space="preserve"> What is an appropriate share of benefits and costs from efficiencies or inefficiencies that should apply to Icon Water for both operating and capital expenditure?</w:t>
            </w:r>
          </w:p>
          <w:p w14:paraId="4C8E5607" w14:textId="59742A11" w:rsidR="007E26FA" w:rsidRDefault="00342DFF" w:rsidP="007E26FA">
            <w:pPr>
              <w:pStyle w:val="Questiontext"/>
            </w:pPr>
            <w:r>
              <w:rPr>
                <w:b/>
              </w:rPr>
              <w:t>Issue 30:</w:t>
            </w:r>
            <w:r w:rsidR="007E26FA">
              <w:t xml:space="preserve"> Can the incentive to defer cap</w:t>
            </w:r>
            <w:r w:rsidR="007E26FA" w:rsidRPr="0011298B">
              <w:t>ital expenditure</w:t>
            </w:r>
            <w:r w:rsidR="0011298B">
              <w:t xml:space="preserve"> under</w:t>
            </w:r>
            <w:r w:rsidR="007E26FA" w:rsidRPr="0011298B">
              <w:t xml:space="preserve"> a capital expenditure efficiency scheme </w:t>
            </w:r>
            <w:r w:rsidR="007E26FA">
              <w:t>be effectively addressed by adjustments to the financing benefit of deferral?</w:t>
            </w:r>
          </w:p>
          <w:p w14:paraId="0B8723C9" w14:textId="292938FB" w:rsidR="007E26FA" w:rsidRDefault="00342DFF" w:rsidP="007E26FA">
            <w:pPr>
              <w:pStyle w:val="Questiontext"/>
            </w:pPr>
            <w:r>
              <w:rPr>
                <w:b/>
              </w:rPr>
              <w:t>Issue 31:</w:t>
            </w:r>
            <w:r w:rsidR="007E26FA">
              <w:t xml:space="preserve"> Will ex post review of capital expenditure still be required if a capital expenditure efficien</w:t>
            </w:r>
            <w:r w:rsidR="007E26FA" w:rsidRPr="0011298B">
              <w:t>cy sharing scheme</w:t>
            </w:r>
            <w:r w:rsidR="007E26FA">
              <w:t xml:space="preserve"> is in place?</w:t>
            </w:r>
          </w:p>
          <w:p w14:paraId="5A74964F" w14:textId="5C2566D0" w:rsidR="007E26FA" w:rsidRDefault="00342DFF" w:rsidP="007E26FA">
            <w:pPr>
              <w:pStyle w:val="Questiontext"/>
            </w:pPr>
            <w:r>
              <w:rPr>
                <w:b/>
              </w:rPr>
              <w:t>Issue 32:</w:t>
            </w:r>
            <w:r w:rsidR="007E26FA">
              <w:t xml:space="preserve"> Are there suggestions for how service, operating expenditure and capital expenditure schemes could be trialled or implemented in the next regulatory period?</w:t>
            </w:r>
          </w:p>
          <w:p w14:paraId="45B728B2" w14:textId="46975226" w:rsidR="007E26FA" w:rsidRDefault="00342DFF" w:rsidP="007E26FA">
            <w:pPr>
              <w:pStyle w:val="Questiontext"/>
            </w:pPr>
            <w:r>
              <w:rPr>
                <w:b/>
              </w:rPr>
              <w:t>Issue 33:</w:t>
            </w:r>
            <w:r w:rsidR="007E26FA">
              <w:t xml:space="preserve"> The Commission welcomes comments on its approach to determin</w:t>
            </w:r>
            <w:r w:rsidR="007329D0">
              <w:t>ing</w:t>
            </w:r>
            <w:r w:rsidR="007E26FA">
              <w:t xml:space="preserve"> the structure of tariffs.</w:t>
            </w:r>
          </w:p>
          <w:p w14:paraId="1EA0FFE5" w14:textId="329AAA5C" w:rsidR="007E26FA" w:rsidRDefault="00342DFF" w:rsidP="007E26FA">
            <w:pPr>
              <w:pStyle w:val="Questiontext"/>
            </w:pPr>
            <w:r>
              <w:rPr>
                <w:b/>
              </w:rPr>
              <w:t>Issue 34:</w:t>
            </w:r>
            <w:r w:rsidR="007E26FA">
              <w:t xml:space="preserve"> How should customer characteristics affect the fixed supply charge in the water tariff?</w:t>
            </w:r>
          </w:p>
          <w:p w14:paraId="2185B5C1" w14:textId="249486E3" w:rsidR="007E26FA" w:rsidRDefault="00342DFF" w:rsidP="007E26FA">
            <w:pPr>
              <w:pStyle w:val="Questiontext"/>
            </w:pPr>
            <w:r>
              <w:rPr>
                <w:b/>
              </w:rPr>
              <w:t>Issue 34:</w:t>
            </w:r>
            <w:r w:rsidR="007E26FA">
              <w:t xml:space="preserve"> Should there be different fixed charges for business and household </w:t>
            </w:r>
            <w:r w:rsidR="0011298B">
              <w:t xml:space="preserve">water </w:t>
            </w:r>
            <w:r w:rsidR="007E26FA">
              <w:t>use? Should there be higher fixed charges but lower usage charges for very large users to ensure that large users do not develop other options for the supply of water?</w:t>
            </w:r>
          </w:p>
          <w:p w14:paraId="219A847B" w14:textId="11A156FD" w:rsidR="007E26FA" w:rsidRDefault="00342DFF" w:rsidP="00342DFF">
            <w:pPr>
              <w:pStyle w:val="Questiontext"/>
            </w:pPr>
            <w:r>
              <w:rPr>
                <w:b/>
              </w:rPr>
              <w:t>Issue 36:</w:t>
            </w:r>
            <w:r w:rsidR="007E26FA">
              <w:t xml:space="preserve"> Wha</w:t>
            </w:r>
            <w:r w:rsidR="007E26FA" w:rsidRPr="0011298B">
              <w:t xml:space="preserve">t </w:t>
            </w:r>
            <w:r w:rsidR="007E26FA" w:rsidRPr="001E0114">
              <w:t>other</w:t>
            </w:r>
            <w:r w:rsidR="007E26FA" w:rsidRPr="006F294D">
              <w:t xml:space="preserve"> op</w:t>
            </w:r>
            <w:r w:rsidR="007E26FA">
              <w:t>tions are there to address concerns about adverse impacts of tariff structure changes on low</w:t>
            </w:r>
            <w:r w:rsidR="007329D0">
              <w:t>-</w:t>
            </w:r>
            <w:r w:rsidR="007E26FA">
              <w:t>income households?</w:t>
            </w:r>
          </w:p>
        </w:tc>
      </w:tr>
    </w:tbl>
    <w:p w14:paraId="0AC30010" w14:textId="77777777" w:rsidR="007E26FA" w:rsidRDefault="007E26FA" w:rsidP="00004D80"/>
    <w:p w14:paraId="75E627AC" w14:textId="77777777" w:rsidR="00061F43" w:rsidRDefault="00061F43" w:rsidP="00004D80">
      <w:pPr>
        <w:sectPr w:rsidR="00061F43" w:rsidSect="00004D80">
          <w:headerReference w:type="even" r:id="rId45"/>
          <w:headerReference w:type="default" r:id="rId46"/>
          <w:endnotePr>
            <w:numFmt w:val="decimal"/>
          </w:endnotePr>
          <w:type w:val="continuous"/>
          <w:pgSz w:w="11907" w:h="16840" w:code="9"/>
          <w:pgMar w:top="2268" w:right="2098" w:bottom="1701" w:left="2098" w:header="578" w:footer="578" w:gutter="0"/>
          <w:cols w:space="720"/>
          <w:noEndnote/>
          <w:docGrid w:linePitch="299"/>
        </w:sectPr>
      </w:pPr>
    </w:p>
    <w:p w14:paraId="198CE4BA" w14:textId="77777777" w:rsidR="00100A2D" w:rsidRDefault="00100A2D" w:rsidP="00100A2D">
      <w:pPr>
        <w:pStyle w:val="HeadingAppendix1"/>
      </w:pPr>
      <w:bookmarkStart w:id="194" w:name="_Ref459711230"/>
      <w:bookmarkStart w:id="195" w:name="_Toc478557266"/>
      <w:r>
        <w:lastRenderedPageBreak/>
        <w:t>Terms of reference</w:t>
      </w:r>
      <w:bookmarkEnd w:id="194"/>
      <w:bookmarkEnd w:id="195"/>
    </w:p>
    <w:p w14:paraId="4D2F7522" w14:textId="77777777" w:rsidR="00100A2D" w:rsidRPr="00100A2D" w:rsidRDefault="00100A2D" w:rsidP="004D616B">
      <w:pPr>
        <w:pStyle w:val="HeadingAppendix1"/>
        <w:numPr>
          <w:ilvl w:val="0"/>
          <w:numId w:val="0"/>
        </w:numPr>
        <w:ind w:left="2693" w:hanging="2693"/>
        <w:sectPr w:rsidR="00100A2D" w:rsidRPr="00100A2D" w:rsidSect="00662C7A">
          <w:headerReference w:type="default" r:id="rId47"/>
          <w:endnotePr>
            <w:numFmt w:val="decimal"/>
          </w:endnotePr>
          <w:type w:val="oddPage"/>
          <w:pgSz w:w="11907" w:h="16840" w:code="9"/>
          <w:pgMar w:top="2268" w:right="2098" w:bottom="1701" w:left="2098" w:header="578" w:footer="578" w:gutter="0"/>
          <w:cols w:space="720"/>
          <w:docGrid w:linePitch="360"/>
        </w:sectPr>
      </w:pPr>
    </w:p>
    <w:p w14:paraId="30AD70B8"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r>
        <w:rPr>
          <w:rFonts w:ascii="Calibri" w:hAnsi="Calibri" w:cs="Calibri"/>
          <w:color w:val="000000"/>
          <w:sz w:val="24"/>
          <w:lang w:val="en-US" w:eastAsia="en-AU"/>
        </w:rPr>
        <w:t>Australian Capital Territory</w:t>
      </w:r>
    </w:p>
    <w:p w14:paraId="08CA14BE"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b/>
          <w:bCs/>
          <w:color w:val="000000"/>
          <w:sz w:val="39"/>
          <w:szCs w:val="39"/>
          <w:lang w:val="en-US" w:eastAsia="en-AU"/>
        </w:rPr>
      </w:pPr>
    </w:p>
    <w:p w14:paraId="4B8A84F4"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b/>
          <w:bCs/>
          <w:color w:val="000000"/>
          <w:sz w:val="39"/>
          <w:szCs w:val="39"/>
          <w:lang w:val="en-US" w:eastAsia="en-AU"/>
        </w:rPr>
      </w:pPr>
      <w:r>
        <w:rPr>
          <w:rFonts w:ascii="Calibri" w:hAnsi="Calibri" w:cs="Calibri"/>
          <w:b/>
          <w:bCs/>
          <w:color w:val="000000"/>
          <w:sz w:val="39"/>
          <w:szCs w:val="39"/>
          <w:lang w:val="en-US" w:eastAsia="en-AU"/>
        </w:rPr>
        <w:t>Independent Competition and Regulatory Commission (Regulated Water and Sewerage Services) Terms of Reference Determination 2016</w:t>
      </w:r>
    </w:p>
    <w:p w14:paraId="1C1B6CDE"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b/>
          <w:bCs/>
          <w:color w:val="000000"/>
          <w:sz w:val="24"/>
          <w:lang w:val="en-US" w:eastAsia="en-AU"/>
        </w:rPr>
      </w:pPr>
    </w:p>
    <w:p w14:paraId="632C4D86"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b/>
          <w:bCs/>
          <w:color w:val="000000"/>
          <w:sz w:val="24"/>
          <w:lang w:val="en-US" w:eastAsia="en-AU"/>
        </w:rPr>
      </w:pPr>
      <w:r>
        <w:rPr>
          <w:rFonts w:ascii="Calibri" w:hAnsi="Calibri" w:cs="Calibri"/>
          <w:b/>
          <w:bCs/>
          <w:color w:val="000000"/>
          <w:sz w:val="24"/>
          <w:lang w:val="en-US" w:eastAsia="en-AU"/>
        </w:rPr>
        <w:t>Disallowable instrument DI2016‐297</w:t>
      </w:r>
    </w:p>
    <w:p w14:paraId="35A6F575"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p>
    <w:p w14:paraId="612352EF"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proofErr w:type="gramStart"/>
      <w:r>
        <w:rPr>
          <w:rFonts w:ascii="Calibri" w:hAnsi="Calibri" w:cs="Calibri"/>
          <w:color w:val="000000"/>
          <w:sz w:val="24"/>
          <w:lang w:val="en-US" w:eastAsia="en-AU"/>
        </w:rPr>
        <w:t>made</w:t>
      </w:r>
      <w:proofErr w:type="gramEnd"/>
      <w:r>
        <w:rPr>
          <w:rFonts w:ascii="Calibri" w:hAnsi="Calibri" w:cs="Calibri"/>
          <w:color w:val="000000"/>
          <w:sz w:val="24"/>
          <w:lang w:val="en-US" w:eastAsia="en-AU"/>
        </w:rPr>
        <w:t xml:space="preserve"> under the</w:t>
      </w:r>
    </w:p>
    <w:p w14:paraId="233174F7"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b/>
          <w:bCs/>
          <w:i/>
          <w:iCs/>
          <w:color w:val="000000"/>
          <w:sz w:val="24"/>
          <w:lang w:val="en-US" w:eastAsia="en-AU"/>
        </w:rPr>
      </w:pPr>
    </w:p>
    <w:p w14:paraId="3B60EEEA"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b/>
          <w:bCs/>
          <w:color w:val="000000"/>
          <w:sz w:val="24"/>
          <w:lang w:val="en-US" w:eastAsia="en-AU"/>
        </w:rPr>
      </w:pPr>
      <w:r>
        <w:rPr>
          <w:rFonts w:ascii="Calibri" w:hAnsi="Calibri" w:cs="Calibri"/>
          <w:b/>
          <w:bCs/>
          <w:i/>
          <w:iCs/>
          <w:color w:val="000000"/>
          <w:sz w:val="24"/>
          <w:lang w:val="en-US" w:eastAsia="en-AU"/>
        </w:rPr>
        <w:t xml:space="preserve">Independent Competition and Regulatory Commission Act 1997 </w:t>
      </w:r>
      <w:r>
        <w:rPr>
          <w:rFonts w:ascii="Calibri" w:hAnsi="Calibri" w:cs="Calibri"/>
          <w:b/>
          <w:bCs/>
          <w:color w:val="000000"/>
          <w:sz w:val="24"/>
          <w:lang w:val="en-US" w:eastAsia="en-AU"/>
        </w:rPr>
        <w:t>(‘the Act’), Section 15 (Nature of industry references) and Section 16 (Terms of industry references).</w:t>
      </w:r>
    </w:p>
    <w:p w14:paraId="10BA4FEB"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b/>
          <w:bCs/>
          <w:color w:val="000000"/>
          <w:sz w:val="24"/>
          <w:lang w:val="en-US" w:eastAsia="en-AU"/>
        </w:rPr>
      </w:pPr>
    </w:p>
    <w:p w14:paraId="569893BB"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b/>
          <w:bCs/>
          <w:color w:val="000000"/>
          <w:sz w:val="24"/>
          <w:lang w:val="en-US" w:eastAsia="en-AU"/>
        </w:rPr>
      </w:pPr>
      <w:r>
        <w:rPr>
          <w:rFonts w:ascii="Calibri" w:hAnsi="Calibri" w:cs="Calibri"/>
          <w:b/>
          <w:bCs/>
          <w:color w:val="000000"/>
          <w:sz w:val="24"/>
          <w:lang w:val="en-US" w:eastAsia="en-AU"/>
        </w:rPr>
        <w:t>Reference for investigation under s. 15</w:t>
      </w:r>
    </w:p>
    <w:p w14:paraId="366850F7"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r>
        <w:rPr>
          <w:rFonts w:ascii="Calibri" w:hAnsi="Calibri" w:cs="Calibri"/>
          <w:color w:val="000000"/>
          <w:sz w:val="24"/>
          <w:lang w:val="en-US" w:eastAsia="en-AU"/>
        </w:rPr>
        <w:t>Pursuant to subsection 15(1)(a) of the Act, I refer to the Independent Competition and Regulatory Commission (the ‘Commission’) the matter of an investigation into, and the making of a price direction for regulated water and sewerage services provided by Icon Water Limited.</w:t>
      </w:r>
    </w:p>
    <w:p w14:paraId="5AF6DA03"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p>
    <w:p w14:paraId="4B168D77"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r>
        <w:rPr>
          <w:rFonts w:ascii="Calibri" w:hAnsi="Calibri" w:cs="Calibri"/>
          <w:color w:val="000000"/>
          <w:sz w:val="24"/>
          <w:lang w:val="en-US" w:eastAsia="en-AU"/>
        </w:rPr>
        <w:t>The price direction will be for the period of 1 July 2018 to 30 June 2023.</w:t>
      </w:r>
    </w:p>
    <w:p w14:paraId="3B3DE90B"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b/>
          <w:bCs/>
          <w:color w:val="000000"/>
          <w:sz w:val="24"/>
          <w:lang w:val="en-US" w:eastAsia="en-AU"/>
        </w:rPr>
      </w:pPr>
      <w:r>
        <w:rPr>
          <w:rFonts w:ascii="Calibri" w:hAnsi="Calibri" w:cs="Calibri"/>
          <w:b/>
          <w:bCs/>
          <w:color w:val="000000"/>
          <w:sz w:val="24"/>
          <w:lang w:val="en-US" w:eastAsia="en-AU"/>
        </w:rPr>
        <w:t>Terms of Reference for investigation under s. 16</w:t>
      </w:r>
    </w:p>
    <w:p w14:paraId="51222A87" w14:textId="77777777" w:rsidR="000D2AB1" w:rsidRDefault="000D2AB1"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b/>
          <w:bCs/>
          <w:color w:val="000000"/>
          <w:sz w:val="24"/>
          <w:lang w:val="en-US" w:eastAsia="en-AU"/>
        </w:rPr>
      </w:pPr>
    </w:p>
    <w:p w14:paraId="26C66D96" w14:textId="77777777" w:rsidR="000D2AB1" w:rsidRDefault="001735B3"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r>
        <w:rPr>
          <w:rFonts w:ascii="Calibri" w:hAnsi="Calibri" w:cs="Calibri"/>
          <w:color w:val="000000"/>
          <w:sz w:val="24"/>
          <w:lang w:val="en-US" w:eastAsia="en-AU"/>
        </w:rPr>
        <w:t>1.</w:t>
      </w:r>
      <w:r>
        <w:rPr>
          <w:rFonts w:ascii="Calibri" w:hAnsi="Calibri" w:cs="Calibri"/>
          <w:color w:val="000000"/>
          <w:sz w:val="24"/>
          <w:lang w:val="en-US" w:eastAsia="en-AU"/>
        </w:rPr>
        <w:tab/>
      </w:r>
      <w:r w:rsidR="000D2AB1">
        <w:rPr>
          <w:rFonts w:ascii="Calibri" w:hAnsi="Calibri" w:cs="Calibri"/>
          <w:color w:val="000000"/>
          <w:sz w:val="24"/>
          <w:lang w:val="en-US" w:eastAsia="en-AU"/>
        </w:rPr>
        <w:t xml:space="preserve">The Commission must consider: </w:t>
      </w:r>
    </w:p>
    <w:p w14:paraId="2566E697" w14:textId="77777777" w:rsidR="000D2AB1" w:rsidRDefault="001735B3" w:rsidP="00C75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20" w:hanging="1120"/>
        <w:rPr>
          <w:rFonts w:ascii="Calibri" w:hAnsi="Calibri" w:cs="Calibri"/>
          <w:color w:val="000000"/>
          <w:sz w:val="24"/>
          <w:lang w:val="en-US" w:eastAsia="en-AU"/>
        </w:rPr>
      </w:pPr>
      <w:r>
        <w:rPr>
          <w:rFonts w:ascii="Calibri" w:hAnsi="Calibri" w:cs="Calibri"/>
          <w:color w:val="000000"/>
          <w:sz w:val="24"/>
          <w:lang w:val="en-US" w:eastAsia="en-AU"/>
        </w:rPr>
        <w:tab/>
      </w:r>
      <w:proofErr w:type="gramStart"/>
      <w:r w:rsidR="000D2AB1">
        <w:rPr>
          <w:rFonts w:ascii="Calibri" w:hAnsi="Calibri" w:cs="Calibri"/>
          <w:color w:val="000000"/>
          <w:sz w:val="24"/>
          <w:lang w:val="en-US" w:eastAsia="en-AU"/>
        </w:rPr>
        <w:t>a</w:t>
      </w:r>
      <w:proofErr w:type="gramEnd"/>
      <w:r w:rsidR="000D2AB1">
        <w:rPr>
          <w:rFonts w:ascii="Calibri" w:hAnsi="Calibri" w:cs="Calibri"/>
          <w:color w:val="000000"/>
          <w:sz w:val="24"/>
          <w:lang w:val="en-US" w:eastAsia="en-AU"/>
        </w:rPr>
        <w:t>.</w:t>
      </w:r>
      <w:r w:rsidR="000D2AB1">
        <w:rPr>
          <w:rFonts w:ascii="Calibri" w:hAnsi="Calibri" w:cs="Calibri"/>
          <w:color w:val="000000"/>
          <w:sz w:val="24"/>
          <w:lang w:val="en-US" w:eastAsia="en-AU"/>
        </w:rPr>
        <w:tab/>
        <w:t xml:space="preserve">the objectives of the Commission outlined within section 7 of the Act; </w:t>
      </w:r>
    </w:p>
    <w:p w14:paraId="77A8F330" w14:textId="77777777" w:rsidR="000D2AB1" w:rsidRDefault="001735B3" w:rsidP="00173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20" w:hanging="1120"/>
        <w:rPr>
          <w:rFonts w:ascii="Calibri" w:hAnsi="Calibri" w:cs="Calibri"/>
          <w:color w:val="000000"/>
          <w:sz w:val="24"/>
          <w:lang w:val="en-US" w:eastAsia="en-AU"/>
        </w:rPr>
      </w:pPr>
      <w:r>
        <w:rPr>
          <w:rFonts w:ascii="Calibri" w:hAnsi="Calibri" w:cs="Calibri"/>
          <w:color w:val="000000"/>
          <w:sz w:val="24"/>
          <w:lang w:val="en-US" w:eastAsia="en-AU"/>
        </w:rPr>
        <w:tab/>
      </w:r>
      <w:proofErr w:type="gramStart"/>
      <w:r w:rsidR="000D2AB1">
        <w:rPr>
          <w:rFonts w:ascii="Calibri" w:hAnsi="Calibri" w:cs="Calibri"/>
          <w:color w:val="000000"/>
          <w:sz w:val="24"/>
          <w:lang w:val="en-US" w:eastAsia="en-AU"/>
        </w:rPr>
        <w:t>b</w:t>
      </w:r>
      <w:proofErr w:type="gramEnd"/>
      <w:r w:rsidR="000D2AB1">
        <w:rPr>
          <w:rFonts w:ascii="Calibri" w:hAnsi="Calibri" w:cs="Calibri"/>
          <w:color w:val="000000"/>
          <w:sz w:val="24"/>
          <w:lang w:val="en-US" w:eastAsia="en-AU"/>
        </w:rPr>
        <w:t>.</w:t>
      </w:r>
      <w:r w:rsidR="000D2AB1">
        <w:rPr>
          <w:rFonts w:ascii="Calibri" w:hAnsi="Calibri" w:cs="Calibri"/>
          <w:color w:val="000000"/>
          <w:sz w:val="24"/>
          <w:lang w:val="en-US" w:eastAsia="en-AU"/>
        </w:rPr>
        <w:tab/>
        <w:t xml:space="preserve">the objective related to price directions outlined in section 19L of the Act; </w:t>
      </w:r>
    </w:p>
    <w:p w14:paraId="27866B74" w14:textId="77777777" w:rsidR="000D2AB1" w:rsidRDefault="001735B3"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r>
        <w:rPr>
          <w:rFonts w:ascii="Calibri" w:hAnsi="Calibri" w:cs="Calibri"/>
          <w:color w:val="000000"/>
          <w:sz w:val="24"/>
          <w:lang w:val="en-US" w:eastAsia="en-AU"/>
        </w:rPr>
        <w:tab/>
      </w:r>
      <w:proofErr w:type="gramStart"/>
      <w:r w:rsidR="000D2AB1">
        <w:rPr>
          <w:rFonts w:ascii="Calibri" w:hAnsi="Calibri" w:cs="Calibri"/>
          <w:color w:val="000000"/>
          <w:sz w:val="24"/>
          <w:lang w:val="en-US" w:eastAsia="en-AU"/>
        </w:rPr>
        <w:t>c</w:t>
      </w:r>
      <w:proofErr w:type="gramEnd"/>
      <w:r w:rsidR="000D2AB1">
        <w:rPr>
          <w:rFonts w:ascii="Calibri" w:hAnsi="Calibri" w:cs="Calibri"/>
          <w:color w:val="000000"/>
          <w:sz w:val="24"/>
          <w:lang w:val="en-US" w:eastAsia="en-AU"/>
        </w:rPr>
        <w:t>.</w:t>
      </w:r>
      <w:r w:rsidR="000D2AB1">
        <w:rPr>
          <w:rFonts w:ascii="Calibri" w:hAnsi="Calibri" w:cs="Calibri"/>
          <w:color w:val="000000"/>
          <w:sz w:val="24"/>
          <w:lang w:val="en-US" w:eastAsia="en-AU"/>
        </w:rPr>
        <w:tab/>
        <w:t>the legislative requirements outlined in section 20(2) of the Act;</w:t>
      </w:r>
    </w:p>
    <w:p w14:paraId="6AD51415" w14:textId="77777777" w:rsidR="000D2AB1" w:rsidRDefault="001735B3" w:rsidP="00173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20" w:hanging="1120"/>
        <w:rPr>
          <w:rFonts w:ascii="Calibri" w:hAnsi="Calibri" w:cs="Calibri"/>
          <w:color w:val="000000"/>
          <w:sz w:val="24"/>
          <w:lang w:val="en-US" w:eastAsia="en-AU"/>
        </w:rPr>
      </w:pPr>
      <w:r>
        <w:rPr>
          <w:rFonts w:ascii="Calibri" w:hAnsi="Calibri" w:cs="Calibri"/>
          <w:color w:val="000000"/>
          <w:sz w:val="24"/>
          <w:lang w:val="en-US" w:eastAsia="en-AU"/>
        </w:rPr>
        <w:tab/>
      </w:r>
      <w:proofErr w:type="gramStart"/>
      <w:r w:rsidR="000D2AB1">
        <w:rPr>
          <w:rFonts w:ascii="Calibri" w:hAnsi="Calibri" w:cs="Calibri"/>
          <w:color w:val="000000"/>
          <w:sz w:val="24"/>
          <w:lang w:val="en-US" w:eastAsia="en-AU"/>
        </w:rPr>
        <w:t>d</w:t>
      </w:r>
      <w:proofErr w:type="gramEnd"/>
      <w:r w:rsidR="000D2AB1">
        <w:rPr>
          <w:rFonts w:ascii="Calibri" w:hAnsi="Calibri" w:cs="Calibri"/>
          <w:color w:val="000000"/>
          <w:sz w:val="24"/>
          <w:lang w:val="en-US" w:eastAsia="en-AU"/>
        </w:rPr>
        <w:t>.</w:t>
      </w:r>
      <w:r w:rsidR="000D2AB1">
        <w:rPr>
          <w:rFonts w:ascii="Calibri" w:hAnsi="Calibri" w:cs="Calibri"/>
          <w:color w:val="000000"/>
          <w:sz w:val="24"/>
          <w:lang w:val="en-US" w:eastAsia="en-AU"/>
        </w:rPr>
        <w:tab/>
        <w:t xml:space="preserve">the policies of the ACT Government as they relate to the supply and use of water and sewerage services, including the </w:t>
      </w:r>
      <w:r w:rsidR="000D2AB1">
        <w:rPr>
          <w:rFonts w:ascii="Calibri" w:hAnsi="Calibri" w:cs="Calibri"/>
          <w:i/>
          <w:iCs/>
          <w:color w:val="000000"/>
          <w:sz w:val="24"/>
          <w:lang w:val="en-US" w:eastAsia="en-AU"/>
        </w:rPr>
        <w:t>ACT Water Strategy ‐ Striking the Balance 2014‐2044</w:t>
      </w:r>
      <w:r w:rsidR="000D2AB1">
        <w:rPr>
          <w:rFonts w:ascii="Calibri" w:hAnsi="Calibri" w:cs="Calibri"/>
          <w:color w:val="000000"/>
          <w:sz w:val="24"/>
          <w:lang w:val="en-US" w:eastAsia="en-AU"/>
        </w:rPr>
        <w:t>;</w:t>
      </w:r>
    </w:p>
    <w:p w14:paraId="0B706CC2" w14:textId="77777777" w:rsidR="000D2AB1" w:rsidRDefault="001735B3" w:rsidP="00C75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20" w:hanging="1120"/>
        <w:rPr>
          <w:rFonts w:ascii="Calibri" w:hAnsi="Calibri" w:cs="Calibri"/>
          <w:color w:val="000000"/>
          <w:sz w:val="24"/>
          <w:lang w:val="en-US" w:eastAsia="en-AU"/>
        </w:rPr>
      </w:pPr>
      <w:r>
        <w:rPr>
          <w:rFonts w:ascii="Calibri" w:hAnsi="Calibri" w:cs="Calibri"/>
          <w:color w:val="000000"/>
          <w:sz w:val="24"/>
          <w:lang w:val="en-US" w:eastAsia="en-AU"/>
        </w:rPr>
        <w:tab/>
      </w:r>
      <w:proofErr w:type="gramStart"/>
      <w:r w:rsidR="000D2AB1">
        <w:rPr>
          <w:rFonts w:ascii="Calibri" w:hAnsi="Calibri" w:cs="Calibri"/>
          <w:color w:val="000000"/>
          <w:sz w:val="24"/>
          <w:lang w:val="en-US" w:eastAsia="en-AU"/>
        </w:rPr>
        <w:t>e</w:t>
      </w:r>
      <w:proofErr w:type="gramEnd"/>
      <w:r w:rsidR="000D2AB1">
        <w:rPr>
          <w:rFonts w:ascii="Calibri" w:hAnsi="Calibri" w:cs="Calibri"/>
          <w:color w:val="000000"/>
          <w:sz w:val="24"/>
          <w:lang w:val="en-US" w:eastAsia="en-AU"/>
        </w:rPr>
        <w:t>.</w:t>
      </w:r>
      <w:r w:rsidR="000D2AB1">
        <w:rPr>
          <w:rFonts w:ascii="Calibri" w:hAnsi="Calibri" w:cs="Calibri"/>
          <w:color w:val="000000"/>
          <w:sz w:val="24"/>
          <w:lang w:val="en-US" w:eastAsia="en-AU"/>
        </w:rPr>
        <w:tab/>
        <w:t>the National Water Initiative, Murray‐Darling Basin Plan commitments and associated policies and agreements; and</w:t>
      </w:r>
    </w:p>
    <w:p w14:paraId="7308FD27" w14:textId="77777777" w:rsidR="000D2AB1" w:rsidRDefault="001735B3"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r>
        <w:rPr>
          <w:rFonts w:ascii="Calibri" w:hAnsi="Calibri" w:cs="Calibri"/>
          <w:color w:val="000000"/>
          <w:sz w:val="24"/>
          <w:lang w:val="en-US" w:eastAsia="en-AU"/>
        </w:rPr>
        <w:tab/>
      </w:r>
      <w:proofErr w:type="gramStart"/>
      <w:r w:rsidR="000D2AB1">
        <w:rPr>
          <w:rFonts w:ascii="Calibri" w:hAnsi="Calibri" w:cs="Calibri"/>
          <w:color w:val="000000"/>
          <w:sz w:val="24"/>
          <w:lang w:val="en-US" w:eastAsia="en-AU"/>
        </w:rPr>
        <w:t>f</w:t>
      </w:r>
      <w:proofErr w:type="gramEnd"/>
      <w:r w:rsidR="000D2AB1">
        <w:rPr>
          <w:rFonts w:ascii="Calibri" w:hAnsi="Calibri" w:cs="Calibri"/>
          <w:color w:val="000000"/>
          <w:sz w:val="24"/>
          <w:lang w:val="en-US" w:eastAsia="en-AU"/>
        </w:rPr>
        <w:t>.</w:t>
      </w:r>
      <w:r w:rsidR="000D2AB1">
        <w:rPr>
          <w:rFonts w:ascii="Calibri" w:hAnsi="Calibri" w:cs="Calibri"/>
          <w:color w:val="000000"/>
          <w:sz w:val="24"/>
          <w:lang w:val="en-US" w:eastAsia="en-AU"/>
        </w:rPr>
        <w:tab/>
        <w:t xml:space="preserve">any other matters considered to be directly relevant to the pricing </w:t>
      </w:r>
      <w:r w:rsidR="000D2AB1">
        <w:rPr>
          <w:rFonts w:ascii="Calibri" w:hAnsi="Calibri" w:cs="Calibri"/>
          <w:color w:val="000000"/>
          <w:sz w:val="24"/>
          <w:lang w:val="en-US" w:eastAsia="en-AU"/>
        </w:rPr>
        <w:tab/>
      </w:r>
      <w:r>
        <w:rPr>
          <w:rFonts w:ascii="Calibri" w:hAnsi="Calibri" w:cs="Calibri"/>
          <w:color w:val="000000"/>
          <w:sz w:val="24"/>
          <w:lang w:val="en-US" w:eastAsia="en-AU"/>
        </w:rPr>
        <w:tab/>
      </w:r>
      <w:r w:rsidR="000D2AB1">
        <w:rPr>
          <w:rFonts w:ascii="Calibri" w:hAnsi="Calibri" w:cs="Calibri"/>
          <w:color w:val="000000"/>
          <w:sz w:val="24"/>
          <w:lang w:val="en-US" w:eastAsia="en-AU"/>
        </w:rPr>
        <w:t>investigation.</w:t>
      </w:r>
    </w:p>
    <w:p w14:paraId="3AE4C797" w14:textId="77777777" w:rsidR="001735B3" w:rsidRDefault="001735B3"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p>
    <w:p w14:paraId="75C9C099" w14:textId="77777777" w:rsidR="000D2AB1" w:rsidRDefault="001735B3"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r>
        <w:rPr>
          <w:rFonts w:ascii="Calibri" w:hAnsi="Calibri" w:cs="Calibri"/>
          <w:color w:val="000000"/>
          <w:sz w:val="24"/>
          <w:lang w:val="en-US" w:eastAsia="en-AU"/>
        </w:rPr>
        <w:lastRenderedPageBreak/>
        <w:t>2.</w:t>
      </w:r>
      <w:r>
        <w:rPr>
          <w:rFonts w:ascii="Calibri" w:hAnsi="Calibri" w:cs="Calibri"/>
          <w:color w:val="000000"/>
          <w:sz w:val="24"/>
          <w:lang w:val="en-US" w:eastAsia="en-AU"/>
        </w:rPr>
        <w:tab/>
      </w:r>
      <w:r w:rsidR="000D2AB1">
        <w:rPr>
          <w:rFonts w:ascii="Calibri" w:hAnsi="Calibri" w:cs="Calibri"/>
          <w:color w:val="000000"/>
          <w:sz w:val="24"/>
          <w:lang w:val="en-US" w:eastAsia="en-AU"/>
        </w:rPr>
        <w:t>The Commission should consider:</w:t>
      </w:r>
    </w:p>
    <w:p w14:paraId="57EE9821" w14:textId="77777777" w:rsidR="000D2AB1" w:rsidRDefault="001735B3" w:rsidP="00173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20" w:hanging="1120"/>
        <w:rPr>
          <w:rFonts w:ascii="Calibri" w:hAnsi="Calibri" w:cs="Calibri"/>
          <w:color w:val="000000"/>
          <w:sz w:val="24"/>
          <w:lang w:val="en-US" w:eastAsia="en-AU"/>
        </w:rPr>
      </w:pPr>
      <w:r>
        <w:rPr>
          <w:rFonts w:ascii="Calibri" w:hAnsi="Calibri" w:cs="Calibri"/>
          <w:color w:val="000000"/>
          <w:sz w:val="24"/>
          <w:lang w:val="en-US" w:eastAsia="en-AU"/>
        </w:rPr>
        <w:tab/>
      </w:r>
      <w:proofErr w:type="gramStart"/>
      <w:r>
        <w:rPr>
          <w:rFonts w:ascii="Calibri" w:hAnsi="Calibri" w:cs="Calibri"/>
          <w:color w:val="000000"/>
          <w:sz w:val="24"/>
          <w:lang w:val="en-US" w:eastAsia="en-AU"/>
        </w:rPr>
        <w:t>a</w:t>
      </w:r>
      <w:proofErr w:type="gramEnd"/>
      <w:r>
        <w:rPr>
          <w:rFonts w:ascii="Calibri" w:hAnsi="Calibri" w:cs="Calibri"/>
          <w:color w:val="000000"/>
          <w:sz w:val="24"/>
          <w:lang w:val="en-US" w:eastAsia="en-AU"/>
        </w:rPr>
        <w:t>.</w:t>
      </w:r>
      <w:r>
        <w:rPr>
          <w:rFonts w:ascii="Calibri" w:hAnsi="Calibri" w:cs="Calibri"/>
          <w:color w:val="000000"/>
          <w:sz w:val="24"/>
          <w:lang w:val="en-US" w:eastAsia="en-AU"/>
        </w:rPr>
        <w:tab/>
      </w:r>
      <w:r w:rsidR="000D2AB1">
        <w:rPr>
          <w:rFonts w:ascii="Calibri" w:hAnsi="Calibri" w:cs="Calibri"/>
          <w:color w:val="000000"/>
          <w:sz w:val="24"/>
          <w:lang w:val="en-US" w:eastAsia="en-AU"/>
        </w:rPr>
        <w:t>continuing to use the current regulatory model, and, where identified, implement improvements to particular aspects of the methodology;</w:t>
      </w:r>
    </w:p>
    <w:p w14:paraId="774F0F37" w14:textId="77777777" w:rsidR="000D2AB1" w:rsidRDefault="001735B3" w:rsidP="00173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20" w:hanging="1120"/>
        <w:rPr>
          <w:rFonts w:ascii="Calibri" w:hAnsi="Calibri" w:cs="Calibri"/>
          <w:color w:val="000000"/>
          <w:sz w:val="24"/>
          <w:lang w:val="en-US" w:eastAsia="en-AU"/>
        </w:rPr>
      </w:pPr>
      <w:r>
        <w:rPr>
          <w:rFonts w:ascii="Calibri" w:hAnsi="Calibri" w:cs="Calibri"/>
          <w:color w:val="000000"/>
          <w:sz w:val="24"/>
          <w:lang w:val="en-US" w:eastAsia="en-AU"/>
        </w:rPr>
        <w:tab/>
      </w:r>
      <w:proofErr w:type="gramStart"/>
      <w:r>
        <w:rPr>
          <w:rFonts w:ascii="Calibri" w:hAnsi="Calibri" w:cs="Calibri"/>
          <w:color w:val="000000"/>
          <w:sz w:val="24"/>
          <w:lang w:val="en-US" w:eastAsia="en-AU"/>
        </w:rPr>
        <w:t>b</w:t>
      </w:r>
      <w:proofErr w:type="gramEnd"/>
      <w:r>
        <w:rPr>
          <w:rFonts w:ascii="Calibri" w:hAnsi="Calibri" w:cs="Calibri"/>
          <w:color w:val="000000"/>
          <w:sz w:val="24"/>
          <w:lang w:val="en-US" w:eastAsia="en-AU"/>
        </w:rPr>
        <w:t>.</w:t>
      </w:r>
      <w:r>
        <w:rPr>
          <w:rFonts w:ascii="Calibri" w:hAnsi="Calibri" w:cs="Calibri"/>
          <w:color w:val="000000"/>
          <w:sz w:val="24"/>
          <w:lang w:val="en-US" w:eastAsia="en-AU"/>
        </w:rPr>
        <w:tab/>
      </w:r>
      <w:r w:rsidR="000D2AB1">
        <w:rPr>
          <w:rFonts w:ascii="Calibri" w:hAnsi="Calibri" w:cs="Calibri"/>
          <w:color w:val="000000"/>
          <w:sz w:val="24"/>
          <w:lang w:val="en-US" w:eastAsia="en-AU"/>
        </w:rPr>
        <w:t xml:space="preserve">appropriate mechanisms to ensure the recovery of the prudent and efficient costs of Icon Water Limited during the regulatory period, while </w:t>
      </w:r>
      <w:proofErr w:type="spellStart"/>
      <w:r w:rsidR="000D2AB1">
        <w:rPr>
          <w:rFonts w:ascii="Calibri" w:hAnsi="Calibri" w:cs="Calibri"/>
          <w:color w:val="000000"/>
          <w:sz w:val="24"/>
          <w:lang w:val="en-US" w:eastAsia="en-AU"/>
        </w:rPr>
        <w:t>minimising</w:t>
      </w:r>
      <w:proofErr w:type="spellEnd"/>
      <w:r w:rsidR="000D2AB1">
        <w:rPr>
          <w:rFonts w:ascii="Calibri" w:hAnsi="Calibri" w:cs="Calibri"/>
          <w:color w:val="000000"/>
          <w:sz w:val="24"/>
          <w:lang w:val="en-US" w:eastAsia="en-AU"/>
        </w:rPr>
        <w:t xml:space="preserve"> the potential for significant price fluctuations; and</w:t>
      </w:r>
    </w:p>
    <w:p w14:paraId="2F079A08" w14:textId="77777777" w:rsidR="000D2AB1" w:rsidRDefault="001735B3" w:rsidP="00173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20" w:hanging="1120"/>
        <w:rPr>
          <w:rFonts w:ascii="Calibri" w:hAnsi="Calibri" w:cs="Calibri"/>
          <w:color w:val="000000"/>
          <w:sz w:val="24"/>
          <w:lang w:val="en-US" w:eastAsia="en-AU"/>
        </w:rPr>
      </w:pPr>
      <w:r>
        <w:rPr>
          <w:rFonts w:ascii="Calibri" w:hAnsi="Calibri" w:cs="Calibri"/>
          <w:color w:val="000000"/>
          <w:sz w:val="24"/>
          <w:lang w:val="en-US" w:eastAsia="en-AU"/>
        </w:rPr>
        <w:tab/>
      </w:r>
      <w:r w:rsidR="000D2AB1">
        <w:rPr>
          <w:rFonts w:ascii="Calibri" w:hAnsi="Calibri" w:cs="Calibri"/>
          <w:color w:val="000000"/>
          <w:sz w:val="24"/>
          <w:lang w:val="en-US" w:eastAsia="en-AU"/>
        </w:rPr>
        <w:t>c.</w:t>
      </w:r>
      <w:r w:rsidR="000D2AB1">
        <w:rPr>
          <w:rFonts w:ascii="Calibri" w:hAnsi="Calibri" w:cs="Calibri"/>
          <w:color w:val="000000"/>
          <w:sz w:val="24"/>
          <w:lang w:val="en-US" w:eastAsia="en-AU"/>
        </w:rPr>
        <w:tab/>
        <w:t>whether there is potential for the implementation of incentive schemes for service levels, operating expenditure or capital expenditure for Icon Water Limited in the future.</w:t>
      </w:r>
    </w:p>
    <w:p w14:paraId="51ACF1DB" w14:textId="77777777" w:rsidR="001735B3" w:rsidRDefault="001735B3"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lang w:val="en-US" w:eastAsia="en-AU"/>
        </w:rPr>
      </w:pPr>
    </w:p>
    <w:p w14:paraId="72C74D4D" w14:textId="77777777" w:rsidR="000D2AB1" w:rsidRDefault="001735B3" w:rsidP="00173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hanging="560"/>
        <w:rPr>
          <w:rFonts w:ascii="Calibri" w:hAnsi="Calibri" w:cs="Calibri"/>
          <w:color w:val="000000"/>
          <w:sz w:val="24"/>
          <w:lang w:val="en-US" w:eastAsia="en-AU"/>
        </w:rPr>
      </w:pPr>
      <w:r>
        <w:rPr>
          <w:rFonts w:ascii="Calibri" w:hAnsi="Calibri" w:cs="Calibri"/>
          <w:color w:val="000000"/>
          <w:sz w:val="24"/>
          <w:lang w:val="en-US" w:eastAsia="en-AU"/>
        </w:rPr>
        <w:t>3.</w:t>
      </w:r>
      <w:r>
        <w:rPr>
          <w:rFonts w:ascii="Calibri" w:hAnsi="Calibri" w:cs="Calibri"/>
          <w:color w:val="000000"/>
          <w:sz w:val="24"/>
          <w:lang w:val="en-US" w:eastAsia="en-AU"/>
        </w:rPr>
        <w:tab/>
      </w:r>
      <w:r w:rsidR="000D2AB1">
        <w:rPr>
          <w:rFonts w:ascii="Calibri" w:hAnsi="Calibri" w:cs="Calibri"/>
          <w:color w:val="000000"/>
          <w:sz w:val="24"/>
          <w:lang w:val="en-US" w:eastAsia="en-AU"/>
        </w:rPr>
        <w:t>As part of its investigation, the Commission should outline its intended approach to achieving its various regulatory objectives within its decision making process.</w:t>
      </w:r>
    </w:p>
    <w:p w14:paraId="62ED6EA5" w14:textId="77777777" w:rsidR="001735B3" w:rsidRDefault="001735B3"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p>
    <w:p w14:paraId="49BA8A88" w14:textId="77777777" w:rsidR="000D2AB1" w:rsidRDefault="000D2AB1" w:rsidP="00173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hanging="560"/>
        <w:rPr>
          <w:rFonts w:ascii="Calibri" w:hAnsi="Calibri" w:cs="Calibri"/>
          <w:color w:val="000000"/>
          <w:sz w:val="24"/>
          <w:lang w:val="en-US" w:eastAsia="en-AU"/>
        </w:rPr>
      </w:pPr>
      <w:r>
        <w:rPr>
          <w:rFonts w:ascii="Calibri" w:hAnsi="Calibri" w:cs="Calibri"/>
          <w:color w:val="000000"/>
          <w:sz w:val="24"/>
          <w:lang w:val="en-US" w:eastAsia="en-AU"/>
        </w:rPr>
        <w:t>4.</w:t>
      </w:r>
      <w:r>
        <w:rPr>
          <w:rFonts w:ascii="Calibri" w:hAnsi="Calibri" w:cs="Calibri"/>
          <w:color w:val="000000"/>
          <w:sz w:val="24"/>
          <w:lang w:val="en-US" w:eastAsia="en-AU"/>
        </w:rPr>
        <w:tab/>
        <w:t>The Commission should identify, in the draft and final reports of the investigation, the incremental impact on prices associated with:</w:t>
      </w:r>
    </w:p>
    <w:p w14:paraId="14614E0A" w14:textId="77777777" w:rsidR="000D2AB1" w:rsidRDefault="001735B3"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r>
        <w:rPr>
          <w:rFonts w:ascii="Calibri" w:hAnsi="Calibri" w:cs="Calibri"/>
          <w:color w:val="000000"/>
          <w:sz w:val="24"/>
          <w:lang w:val="en-US" w:eastAsia="en-AU"/>
        </w:rPr>
        <w:tab/>
      </w:r>
      <w:proofErr w:type="gramStart"/>
      <w:r w:rsidR="000D2AB1">
        <w:rPr>
          <w:rFonts w:ascii="Calibri" w:hAnsi="Calibri" w:cs="Calibri"/>
          <w:color w:val="000000"/>
          <w:sz w:val="24"/>
          <w:lang w:val="en-US" w:eastAsia="en-AU"/>
        </w:rPr>
        <w:t>a</w:t>
      </w:r>
      <w:proofErr w:type="gramEnd"/>
      <w:r w:rsidR="000D2AB1">
        <w:rPr>
          <w:rFonts w:ascii="Calibri" w:hAnsi="Calibri" w:cs="Calibri"/>
          <w:color w:val="000000"/>
          <w:sz w:val="24"/>
          <w:lang w:val="en-US" w:eastAsia="en-AU"/>
        </w:rPr>
        <w:t>.</w:t>
      </w:r>
      <w:r w:rsidR="000D2AB1">
        <w:rPr>
          <w:rFonts w:ascii="Calibri" w:hAnsi="Calibri" w:cs="Calibri"/>
          <w:color w:val="000000"/>
          <w:sz w:val="24"/>
          <w:lang w:val="en-US" w:eastAsia="en-AU"/>
        </w:rPr>
        <w:tab/>
        <w:t>any changes to the total allowed revenue for Icon Water Limited;</w:t>
      </w:r>
    </w:p>
    <w:p w14:paraId="73FB85CF" w14:textId="77777777" w:rsidR="001735B3" w:rsidRDefault="001735B3"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p>
    <w:p w14:paraId="13494E8A" w14:textId="77777777" w:rsidR="000D2AB1" w:rsidRDefault="001735B3" w:rsidP="00173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20" w:hanging="1120"/>
        <w:rPr>
          <w:rFonts w:ascii="Calibri" w:hAnsi="Calibri" w:cs="Calibri"/>
          <w:color w:val="000000"/>
          <w:sz w:val="24"/>
          <w:lang w:val="en-US" w:eastAsia="en-AU"/>
        </w:rPr>
      </w:pPr>
      <w:r>
        <w:rPr>
          <w:rFonts w:ascii="Calibri" w:hAnsi="Calibri" w:cs="Calibri"/>
          <w:color w:val="000000"/>
          <w:sz w:val="24"/>
          <w:lang w:val="en-US" w:eastAsia="en-AU"/>
        </w:rPr>
        <w:tab/>
      </w:r>
      <w:proofErr w:type="gramStart"/>
      <w:r w:rsidR="000D2AB1">
        <w:rPr>
          <w:rFonts w:ascii="Calibri" w:hAnsi="Calibri" w:cs="Calibri"/>
          <w:color w:val="000000"/>
          <w:sz w:val="24"/>
          <w:lang w:val="en-US" w:eastAsia="en-AU"/>
        </w:rPr>
        <w:t>b</w:t>
      </w:r>
      <w:proofErr w:type="gramEnd"/>
      <w:r w:rsidR="000D2AB1">
        <w:rPr>
          <w:rFonts w:ascii="Calibri" w:hAnsi="Calibri" w:cs="Calibri"/>
          <w:color w:val="000000"/>
          <w:sz w:val="24"/>
          <w:lang w:val="en-US" w:eastAsia="en-AU"/>
        </w:rPr>
        <w:t>.</w:t>
      </w:r>
      <w:r w:rsidR="000D2AB1">
        <w:rPr>
          <w:rFonts w:ascii="Calibri" w:hAnsi="Calibri" w:cs="Calibri"/>
          <w:color w:val="000000"/>
          <w:sz w:val="24"/>
          <w:lang w:val="en-US" w:eastAsia="en-AU"/>
        </w:rPr>
        <w:tab/>
        <w:t>any changes to the water demand forecasts used in the regulatory model; and</w:t>
      </w:r>
    </w:p>
    <w:p w14:paraId="7E56ACD1" w14:textId="77777777" w:rsidR="001735B3" w:rsidRDefault="001735B3" w:rsidP="00173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20" w:hanging="1120"/>
        <w:rPr>
          <w:rFonts w:ascii="Calibri" w:hAnsi="Calibri" w:cs="Calibri"/>
          <w:color w:val="000000"/>
          <w:sz w:val="24"/>
          <w:lang w:val="en-US" w:eastAsia="en-AU"/>
        </w:rPr>
      </w:pPr>
    </w:p>
    <w:p w14:paraId="5E30BFF7" w14:textId="77777777" w:rsidR="000D2AB1" w:rsidRDefault="001735B3" w:rsidP="00173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20" w:hanging="1120"/>
        <w:rPr>
          <w:rFonts w:ascii="Calibri" w:hAnsi="Calibri" w:cs="Calibri"/>
          <w:color w:val="000000"/>
          <w:sz w:val="24"/>
          <w:lang w:val="en-US" w:eastAsia="en-AU"/>
        </w:rPr>
      </w:pPr>
      <w:r>
        <w:rPr>
          <w:rFonts w:ascii="Calibri" w:hAnsi="Calibri" w:cs="Calibri"/>
          <w:color w:val="000000"/>
          <w:sz w:val="24"/>
          <w:lang w:val="en-US" w:eastAsia="en-AU"/>
        </w:rPr>
        <w:tab/>
      </w:r>
      <w:r w:rsidR="000D2AB1">
        <w:rPr>
          <w:rFonts w:ascii="Calibri" w:hAnsi="Calibri" w:cs="Calibri"/>
          <w:color w:val="000000"/>
          <w:sz w:val="24"/>
          <w:lang w:val="en-US" w:eastAsia="en-AU"/>
        </w:rPr>
        <w:t>c.</w:t>
      </w:r>
      <w:r w:rsidR="000D2AB1">
        <w:rPr>
          <w:rFonts w:ascii="Calibri" w:hAnsi="Calibri" w:cs="Calibri"/>
          <w:color w:val="000000"/>
          <w:sz w:val="24"/>
          <w:lang w:val="en-US" w:eastAsia="en-AU"/>
        </w:rPr>
        <w:tab/>
        <w:t>the implementation of any reforms to the tariff structure arising from the Commission’s review of Icon Water Limited’s regulated water and sewerage services tariffs.</w:t>
      </w:r>
    </w:p>
    <w:p w14:paraId="0F415242" w14:textId="77777777" w:rsidR="001735B3" w:rsidRDefault="001735B3"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p>
    <w:p w14:paraId="57FD5430" w14:textId="77777777" w:rsidR="001735B3" w:rsidRDefault="001735B3" w:rsidP="00C75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hanging="560"/>
        <w:rPr>
          <w:rFonts w:ascii="Calibri" w:hAnsi="Calibri" w:cs="Calibri"/>
          <w:color w:val="000000"/>
          <w:sz w:val="24"/>
          <w:lang w:val="en-US" w:eastAsia="en-AU"/>
        </w:rPr>
      </w:pPr>
      <w:r>
        <w:rPr>
          <w:rFonts w:ascii="Calibri" w:hAnsi="Calibri" w:cs="Calibri"/>
          <w:color w:val="000000"/>
          <w:sz w:val="24"/>
          <w:lang w:val="en-US" w:eastAsia="en-AU"/>
        </w:rPr>
        <w:t>5.</w:t>
      </w:r>
      <w:r>
        <w:rPr>
          <w:rFonts w:ascii="Calibri" w:hAnsi="Calibri" w:cs="Calibri"/>
          <w:color w:val="000000"/>
          <w:sz w:val="24"/>
          <w:lang w:val="en-US" w:eastAsia="en-AU"/>
        </w:rPr>
        <w:tab/>
        <w:t>In accordance with subsection 16(2</w:t>
      </w:r>
      <w:proofErr w:type="gramStart"/>
      <w:r>
        <w:rPr>
          <w:rFonts w:ascii="Calibri" w:hAnsi="Calibri" w:cs="Calibri"/>
          <w:color w:val="000000"/>
          <w:sz w:val="24"/>
          <w:lang w:val="en-US" w:eastAsia="en-AU"/>
        </w:rPr>
        <w:t>)(</w:t>
      </w:r>
      <w:proofErr w:type="gramEnd"/>
      <w:r>
        <w:rPr>
          <w:rFonts w:ascii="Calibri" w:hAnsi="Calibri" w:cs="Calibri"/>
          <w:color w:val="000000"/>
          <w:sz w:val="24"/>
          <w:lang w:val="en-US" w:eastAsia="en-AU"/>
        </w:rPr>
        <w:t>d) of the Act, the Commission must make available a draft report for public in</w:t>
      </w:r>
      <w:r w:rsidR="00E6005B">
        <w:rPr>
          <w:rFonts w:ascii="Calibri" w:hAnsi="Calibri" w:cs="Calibri"/>
          <w:color w:val="000000"/>
          <w:sz w:val="24"/>
          <w:lang w:val="en-US" w:eastAsia="en-AU"/>
        </w:rPr>
        <w:t>spection within the period of 1 </w:t>
      </w:r>
      <w:r>
        <w:rPr>
          <w:rFonts w:ascii="Calibri" w:hAnsi="Calibri" w:cs="Calibri"/>
          <w:color w:val="000000"/>
          <w:sz w:val="24"/>
          <w:lang w:val="en-US" w:eastAsia="en-AU"/>
        </w:rPr>
        <w:t>September 2017 to 12 December 2017.</w:t>
      </w:r>
    </w:p>
    <w:p w14:paraId="2C93A7B4" w14:textId="77777777" w:rsidR="00C7542D" w:rsidRDefault="00C7542D" w:rsidP="00C75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hanging="560"/>
        <w:rPr>
          <w:rFonts w:ascii="Calibri" w:hAnsi="Calibri" w:cs="Calibri"/>
          <w:color w:val="000000"/>
          <w:sz w:val="24"/>
          <w:lang w:val="en-US" w:eastAsia="en-AU"/>
        </w:rPr>
      </w:pPr>
    </w:p>
    <w:p w14:paraId="37957E4E" w14:textId="77777777" w:rsidR="001735B3" w:rsidRDefault="001735B3" w:rsidP="00C75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hanging="560"/>
        <w:rPr>
          <w:rFonts w:ascii="Calibri" w:hAnsi="Calibri" w:cs="Calibri"/>
          <w:color w:val="000000"/>
          <w:sz w:val="24"/>
          <w:lang w:val="en-US" w:eastAsia="en-AU"/>
        </w:rPr>
      </w:pPr>
      <w:r>
        <w:rPr>
          <w:rFonts w:ascii="Calibri" w:hAnsi="Calibri" w:cs="Calibri"/>
          <w:color w:val="000000"/>
          <w:sz w:val="24"/>
          <w:lang w:val="en-US" w:eastAsia="en-AU"/>
        </w:rPr>
        <w:t>6.</w:t>
      </w:r>
      <w:r>
        <w:rPr>
          <w:rFonts w:ascii="Calibri" w:hAnsi="Calibri" w:cs="Calibri"/>
          <w:color w:val="000000"/>
          <w:sz w:val="24"/>
          <w:lang w:val="en-US" w:eastAsia="en-AU"/>
        </w:rPr>
        <w:tab/>
        <w:t>In accordance with subsection 16(2</w:t>
      </w:r>
      <w:proofErr w:type="gramStart"/>
      <w:r>
        <w:rPr>
          <w:rFonts w:ascii="Calibri" w:hAnsi="Calibri" w:cs="Calibri"/>
          <w:color w:val="000000"/>
          <w:sz w:val="24"/>
          <w:lang w:val="en-US" w:eastAsia="en-AU"/>
        </w:rPr>
        <w:t>)(</w:t>
      </w:r>
      <w:proofErr w:type="gramEnd"/>
      <w:r>
        <w:rPr>
          <w:rFonts w:ascii="Calibri" w:hAnsi="Calibri" w:cs="Calibri"/>
          <w:color w:val="000000"/>
          <w:sz w:val="24"/>
          <w:lang w:val="en-US" w:eastAsia="en-AU"/>
        </w:rPr>
        <w:t>a) of the Act, the Commission must</w:t>
      </w:r>
      <w:r w:rsidR="00E6005B">
        <w:rPr>
          <w:rFonts w:ascii="Calibri" w:hAnsi="Calibri" w:cs="Calibri"/>
          <w:color w:val="000000"/>
          <w:sz w:val="24"/>
          <w:lang w:val="en-US" w:eastAsia="en-AU"/>
        </w:rPr>
        <w:t xml:space="preserve"> </w:t>
      </w:r>
      <w:r>
        <w:rPr>
          <w:rFonts w:ascii="Calibri" w:hAnsi="Calibri" w:cs="Calibri"/>
          <w:color w:val="000000"/>
          <w:sz w:val="24"/>
          <w:lang w:val="en-US" w:eastAsia="en-AU"/>
        </w:rPr>
        <w:t xml:space="preserve">submit its final report to the referring authority within the period </w:t>
      </w:r>
      <w:r w:rsidR="00E6005B">
        <w:rPr>
          <w:rFonts w:ascii="Calibri" w:hAnsi="Calibri" w:cs="Calibri"/>
          <w:color w:val="000000"/>
          <w:sz w:val="24"/>
          <w:lang w:val="en-US" w:eastAsia="en-AU"/>
        </w:rPr>
        <w:t>of 1 </w:t>
      </w:r>
      <w:r>
        <w:rPr>
          <w:rFonts w:ascii="Calibri" w:hAnsi="Calibri" w:cs="Calibri"/>
          <w:color w:val="000000"/>
          <w:sz w:val="24"/>
          <w:lang w:val="en-US" w:eastAsia="en-AU"/>
        </w:rPr>
        <w:t>March 2018 to 1 May 2018.</w:t>
      </w:r>
    </w:p>
    <w:p w14:paraId="7D1B4EF9" w14:textId="77777777" w:rsidR="001735B3" w:rsidRDefault="001735B3" w:rsidP="000D2A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p>
    <w:p w14:paraId="1BB1A217" w14:textId="77777777" w:rsidR="00C7542D" w:rsidRDefault="00C7542D" w:rsidP="00C75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p>
    <w:p w14:paraId="08A41B1C" w14:textId="77777777" w:rsidR="00C7542D" w:rsidRDefault="000D2AB1" w:rsidP="00C75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r>
        <w:rPr>
          <w:rFonts w:ascii="Calibri" w:hAnsi="Calibri" w:cs="Calibri"/>
          <w:color w:val="000000"/>
          <w:sz w:val="24"/>
          <w:lang w:val="en-US" w:eastAsia="en-AU"/>
        </w:rPr>
        <w:t>Andrew Barr MLA Treasurer</w:t>
      </w:r>
    </w:p>
    <w:p w14:paraId="1AB0B0FB" w14:textId="77777777" w:rsidR="00C7542D" w:rsidRDefault="00C7542D" w:rsidP="00C75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p>
    <w:p w14:paraId="07823C51" w14:textId="77777777" w:rsidR="001735B3" w:rsidRDefault="000D2AB1" w:rsidP="00C75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lang w:val="en-US" w:eastAsia="en-AU"/>
        </w:rPr>
      </w:pPr>
      <w:r>
        <w:rPr>
          <w:rFonts w:ascii="Calibri" w:hAnsi="Calibri" w:cs="Calibri"/>
          <w:color w:val="000000"/>
          <w:sz w:val="24"/>
          <w:lang w:val="en-US" w:eastAsia="en-AU"/>
        </w:rPr>
        <w:t>13 December 2016</w:t>
      </w:r>
    </w:p>
    <w:p w14:paraId="2A50AC92" w14:textId="77777777" w:rsidR="00C7542D" w:rsidRDefault="00C7542D" w:rsidP="00173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4"/>
          <w:lang w:val="en-US" w:eastAsia="en-AU"/>
        </w:rPr>
      </w:pPr>
    </w:p>
    <w:p w14:paraId="73F918E7" w14:textId="77777777" w:rsidR="001735B3" w:rsidRPr="001735B3" w:rsidRDefault="001735B3" w:rsidP="00173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4"/>
          <w:lang w:val="en-US" w:eastAsia="en-AU"/>
        </w:rPr>
      </w:pPr>
      <w:proofErr w:type="spellStart"/>
      <w:r w:rsidRPr="001735B3">
        <w:rPr>
          <w:rFonts w:ascii="Arial" w:hAnsi="Arial" w:cs="Arial"/>
          <w:color w:val="000000"/>
          <w:sz w:val="24"/>
          <w:lang w:val="en-US" w:eastAsia="en-AU"/>
        </w:rPr>
        <w:t>Authorised</w:t>
      </w:r>
      <w:proofErr w:type="spellEnd"/>
      <w:r w:rsidRPr="001735B3">
        <w:rPr>
          <w:rFonts w:ascii="Arial" w:hAnsi="Arial" w:cs="Arial"/>
          <w:color w:val="000000"/>
          <w:sz w:val="24"/>
          <w:lang w:val="en-US" w:eastAsia="en-AU"/>
        </w:rPr>
        <w:t xml:space="preserve"> by the ACT Parliamentary Counsel—also accessible at </w:t>
      </w:r>
      <w:hyperlink r:id="rId48" w:history="1">
        <w:r w:rsidRPr="001735B3">
          <w:rPr>
            <w:rStyle w:val="Hyperlink"/>
            <w:rFonts w:ascii="Arial" w:hAnsi="Arial" w:cs="Arial"/>
            <w:sz w:val="24"/>
            <w:lang w:val="en-US" w:eastAsia="en-AU"/>
          </w:rPr>
          <w:t>www.legislation.act.gov.au</w:t>
        </w:r>
      </w:hyperlink>
    </w:p>
    <w:p w14:paraId="363D5B24" w14:textId="77777777" w:rsidR="001735B3" w:rsidRDefault="001735B3" w:rsidP="000D2AB1">
      <w:pPr>
        <w:pStyle w:val="HeadingAppendix1"/>
        <w:numPr>
          <w:ilvl w:val="0"/>
          <w:numId w:val="0"/>
        </w:numPr>
        <w:rPr>
          <w:rFonts w:ascii="Calibri" w:hAnsi="Calibri" w:cs="Calibri"/>
          <w:color w:val="000000"/>
          <w:sz w:val="24"/>
          <w:lang w:val="en-US" w:eastAsia="en-AU"/>
        </w:rPr>
      </w:pPr>
    </w:p>
    <w:p w14:paraId="6ADE4C6B" w14:textId="77777777" w:rsidR="001735B3" w:rsidRDefault="001735B3" w:rsidP="000D2AB1">
      <w:pPr>
        <w:pStyle w:val="HeadingAppendix1"/>
        <w:numPr>
          <w:ilvl w:val="0"/>
          <w:numId w:val="0"/>
        </w:numPr>
        <w:sectPr w:rsidR="001735B3" w:rsidSect="00662C7A">
          <w:headerReference w:type="even" r:id="rId49"/>
          <w:headerReference w:type="default" r:id="rId50"/>
          <w:endnotePr>
            <w:numFmt w:val="decimal"/>
          </w:endnotePr>
          <w:type w:val="continuous"/>
          <w:pgSz w:w="11907" w:h="16840" w:code="9"/>
          <w:pgMar w:top="2268" w:right="2098" w:bottom="1701" w:left="2098" w:header="578" w:footer="578" w:gutter="0"/>
          <w:cols w:space="720"/>
          <w:docGrid w:linePitch="360"/>
        </w:sectPr>
      </w:pPr>
    </w:p>
    <w:p w14:paraId="6D2684A1" w14:textId="77777777" w:rsidR="00B26829" w:rsidRDefault="00B26829" w:rsidP="00B26829">
      <w:pPr>
        <w:pStyle w:val="Heading1a"/>
      </w:pPr>
      <w:bookmarkStart w:id="196" w:name="_Toc478557267"/>
      <w:r>
        <w:lastRenderedPageBreak/>
        <w:t>Abbreviations and acronyms</w:t>
      </w:r>
      <w:bookmarkEnd w:id="196"/>
    </w:p>
    <w:p w14:paraId="79BAF3B8" w14:textId="77777777" w:rsidR="00695C73" w:rsidRDefault="00695C73" w:rsidP="00B26829">
      <w:pPr>
        <w:pStyle w:val="Heading1a"/>
        <w:sectPr w:rsidR="00695C73" w:rsidSect="00662C7A">
          <w:headerReference w:type="default" r:id="rId51"/>
          <w:endnotePr>
            <w:numFmt w:val="decimal"/>
          </w:endnotePr>
          <w:type w:val="oddPage"/>
          <w:pgSz w:w="11907" w:h="16840" w:code="9"/>
          <w:pgMar w:top="2268" w:right="2098" w:bottom="1701" w:left="2098" w:header="578" w:footer="578" w:gutter="0"/>
          <w:cols w:space="720"/>
          <w:docGrid w:linePitch="360"/>
        </w:sectPr>
      </w:pPr>
    </w:p>
    <w:tbl>
      <w:tblPr>
        <w:tblW w:w="7796" w:type="dxa"/>
        <w:shd w:val="clear" w:color="auto" w:fill="FFFFFF"/>
        <w:tblLayout w:type="fixed"/>
        <w:tblLook w:val="01E0" w:firstRow="1" w:lastRow="1" w:firstColumn="1" w:lastColumn="1" w:noHBand="0" w:noVBand="0"/>
      </w:tblPr>
      <w:tblGrid>
        <w:gridCol w:w="2268"/>
        <w:gridCol w:w="5528"/>
      </w:tblGrid>
      <w:tr w:rsidR="00B26829" w:rsidRPr="00B26829" w14:paraId="0E3841AF" w14:textId="77777777" w:rsidTr="00415F2D">
        <w:trPr>
          <w:trHeight w:val="284"/>
        </w:trPr>
        <w:tc>
          <w:tcPr>
            <w:tcW w:w="2268" w:type="dxa"/>
            <w:shd w:val="clear" w:color="auto" w:fill="FFFFFF"/>
          </w:tcPr>
          <w:p w14:paraId="1424D4F4" w14:textId="77777777" w:rsidR="001D706E" w:rsidRDefault="001D706E" w:rsidP="00415F2D">
            <w:r>
              <w:t>ACT</w:t>
            </w:r>
          </w:p>
          <w:p w14:paraId="640A58E6" w14:textId="77777777" w:rsidR="00B26829" w:rsidRPr="00B26829" w:rsidRDefault="001D706E" w:rsidP="00DA1FD1">
            <w:r>
              <w:t>ACTEW</w:t>
            </w:r>
          </w:p>
        </w:tc>
        <w:tc>
          <w:tcPr>
            <w:tcW w:w="5528" w:type="dxa"/>
            <w:shd w:val="clear" w:color="auto" w:fill="FFFFFF"/>
          </w:tcPr>
          <w:p w14:paraId="7C015B99" w14:textId="77777777" w:rsidR="001D706E" w:rsidRDefault="001D706E" w:rsidP="00415F2D">
            <w:r>
              <w:t>Australian Capital Territory</w:t>
            </w:r>
          </w:p>
          <w:p w14:paraId="5B23F9F0" w14:textId="77777777" w:rsidR="00B26829" w:rsidRPr="00B26829" w:rsidRDefault="001D706E" w:rsidP="00DA1FD1">
            <w:r>
              <w:t>Australian Capital Territory Electricity and Water</w:t>
            </w:r>
          </w:p>
        </w:tc>
      </w:tr>
      <w:tr w:rsidR="00525FC0" w:rsidRPr="00B26829" w14:paraId="537E84A7" w14:textId="77777777" w:rsidTr="00415F2D">
        <w:trPr>
          <w:trHeight w:val="284"/>
        </w:trPr>
        <w:tc>
          <w:tcPr>
            <w:tcW w:w="2268" w:type="dxa"/>
            <w:shd w:val="clear" w:color="auto" w:fill="FFFFFF"/>
          </w:tcPr>
          <w:p w14:paraId="1F3C93B8" w14:textId="77777777" w:rsidR="000A4241" w:rsidRDefault="00525FC0" w:rsidP="00415F2D">
            <w:r>
              <w:t>AER</w:t>
            </w:r>
          </w:p>
          <w:p w14:paraId="71FBB5B5" w14:textId="77777777" w:rsidR="00525FC0" w:rsidRPr="000A4241" w:rsidRDefault="000A4241" w:rsidP="00415F2D">
            <w:r>
              <w:t>CAPM</w:t>
            </w:r>
          </w:p>
        </w:tc>
        <w:tc>
          <w:tcPr>
            <w:tcW w:w="5528" w:type="dxa"/>
            <w:shd w:val="clear" w:color="auto" w:fill="FFFFFF"/>
          </w:tcPr>
          <w:p w14:paraId="6076E5FA" w14:textId="77777777" w:rsidR="00525FC0" w:rsidRDefault="00525FC0" w:rsidP="00415F2D">
            <w:r>
              <w:t>Australian Energy Regulator</w:t>
            </w:r>
          </w:p>
          <w:p w14:paraId="4C618029" w14:textId="77777777" w:rsidR="001D706E" w:rsidRPr="00B26829" w:rsidRDefault="005309FF" w:rsidP="00415F2D">
            <w:r>
              <w:t>c</w:t>
            </w:r>
            <w:r w:rsidR="000A4241">
              <w:t xml:space="preserve">apital </w:t>
            </w:r>
            <w:r>
              <w:t>a</w:t>
            </w:r>
            <w:r w:rsidR="000A4241">
              <w:t xml:space="preserve">sset </w:t>
            </w:r>
            <w:r>
              <w:t>p</w:t>
            </w:r>
            <w:r w:rsidR="000A4241">
              <w:t xml:space="preserve">ricing </w:t>
            </w:r>
            <w:r>
              <w:t>m</w:t>
            </w:r>
            <w:r w:rsidR="000A4241">
              <w:t>odel</w:t>
            </w:r>
          </w:p>
        </w:tc>
      </w:tr>
      <w:tr w:rsidR="00525FC0" w:rsidRPr="00B26829" w14:paraId="3B573096" w14:textId="77777777" w:rsidTr="00415F2D">
        <w:trPr>
          <w:trHeight w:val="284"/>
        </w:trPr>
        <w:tc>
          <w:tcPr>
            <w:tcW w:w="2268" w:type="dxa"/>
            <w:shd w:val="clear" w:color="auto" w:fill="FFFFFF"/>
          </w:tcPr>
          <w:p w14:paraId="37B3D9C1" w14:textId="77777777" w:rsidR="000A4241" w:rsidRDefault="000A4241" w:rsidP="00415F2D">
            <w:r>
              <w:t>CESS</w:t>
            </w:r>
          </w:p>
          <w:p w14:paraId="09B587D9" w14:textId="77777777" w:rsidR="000A4241" w:rsidRDefault="000A4241" w:rsidP="00415F2D">
            <w:r>
              <w:t>CPI</w:t>
            </w:r>
          </w:p>
          <w:p w14:paraId="1429554B" w14:textId="77777777" w:rsidR="000A4241" w:rsidRDefault="000A4241" w:rsidP="00415F2D">
            <w:r>
              <w:t>EBSS</w:t>
            </w:r>
          </w:p>
          <w:p w14:paraId="10B9E056" w14:textId="77777777" w:rsidR="000A4241" w:rsidRDefault="003371EA" w:rsidP="00415F2D">
            <w:r>
              <w:t>G</w:t>
            </w:r>
            <w:r w:rsidR="000A4241">
              <w:t>L</w:t>
            </w:r>
          </w:p>
          <w:p w14:paraId="45DFFEA9" w14:textId="77777777" w:rsidR="00525FC0" w:rsidRPr="00B26829" w:rsidRDefault="00525FC0" w:rsidP="00415F2D">
            <w:r w:rsidRPr="00B26829">
              <w:t>ICRC</w:t>
            </w:r>
          </w:p>
        </w:tc>
        <w:tc>
          <w:tcPr>
            <w:tcW w:w="5528" w:type="dxa"/>
            <w:shd w:val="clear" w:color="auto" w:fill="FFFFFF"/>
          </w:tcPr>
          <w:p w14:paraId="3D3974CF" w14:textId="77777777" w:rsidR="000A4241" w:rsidRDefault="00DA1FD1" w:rsidP="00415F2D">
            <w:r>
              <w:t>c</w:t>
            </w:r>
            <w:r w:rsidR="000A4241">
              <w:t xml:space="preserve">apital </w:t>
            </w:r>
            <w:r>
              <w:t>e</w:t>
            </w:r>
            <w:r w:rsidR="000A4241">
              <w:t xml:space="preserve">xpenditure </w:t>
            </w:r>
            <w:r>
              <w:t>s</w:t>
            </w:r>
            <w:r w:rsidR="000A4241">
              <w:t xml:space="preserve">haring </w:t>
            </w:r>
            <w:r>
              <w:t>s</w:t>
            </w:r>
            <w:r w:rsidR="000A4241">
              <w:t>cheme</w:t>
            </w:r>
          </w:p>
          <w:p w14:paraId="6042F3C0" w14:textId="77777777" w:rsidR="000A4241" w:rsidRDefault="00F22BCB" w:rsidP="00415F2D">
            <w:r>
              <w:t>c</w:t>
            </w:r>
            <w:r w:rsidR="000A4241">
              <w:t xml:space="preserve">onsumer </w:t>
            </w:r>
            <w:r>
              <w:t>p</w:t>
            </w:r>
            <w:r w:rsidR="000A4241">
              <w:t xml:space="preserve">rice </w:t>
            </w:r>
            <w:r>
              <w:t>i</w:t>
            </w:r>
            <w:r w:rsidR="000A4241">
              <w:t>ndex</w:t>
            </w:r>
          </w:p>
          <w:p w14:paraId="038E02B1" w14:textId="77777777" w:rsidR="000A4241" w:rsidRDefault="00DA1FD1" w:rsidP="00415F2D">
            <w:r>
              <w:t>e</w:t>
            </w:r>
            <w:r w:rsidR="000A4241">
              <w:t xml:space="preserve">fficiency </w:t>
            </w:r>
            <w:r>
              <w:t>b</w:t>
            </w:r>
            <w:r w:rsidR="000A4241">
              <w:t xml:space="preserve">enefit </w:t>
            </w:r>
            <w:r>
              <w:t>s</w:t>
            </w:r>
            <w:r w:rsidR="000A4241">
              <w:t xml:space="preserve">haring </w:t>
            </w:r>
            <w:r>
              <w:t>s</w:t>
            </w:r>
            <w:r w:rsidR="000A4241">
              <w:t>cheme</w:t>
            </w:r>
          </w:p>
          <w:p w14:paraId="7A09F007" w14:textId="77777777" w:rsidR="000A4241" w:rsidRDefault="003371EA" w:rsidP="00415F2D">
            <w:proofErr w:type="spellStart"/>
            <w:r>
              <w:t>g</w:t>
            </w:r>
            <w:r w:rsidR="000A4241">
              <w:t>igalitre</w:t>
            </w:r>
            <w:proofErr w:type="spellEnd"/>
          </w:p>
          <w:p w14:paraId="6A4A316E" w14:textId="77777777" w:rsidR="00525FC0" w:rsidRPr="00B26829" w:rsidRDefault="00525FC0" w:rsidP="00415F2D">
            <w:r w:rsidRPr="00B26829">
              <w:t>Independent Competition and Regulatory Commission</w:t>
            </w:r>
          </w:p>
        </w:tc>
      </w:tr>
      <w:tr w:rsidR="00525FC0" w:rsidRPr="00B26829" w14:paraId="086BCF94" w14:textId="77777777" w:rsidTr="00415F2D">
        <w:trPr>
          <w:trHeight w:val="284"/>
        </w:trPr>
        <w:tc>
          <w:tcPr>
            <w:tcW w:w="2268" w:type="dxa"/>
            <w:shd w:val="clear" w:color="auto" w:fill="FFFFFF"/>
          </w:tcPr>
          <w:p w14:paraId="1AEFCC5A" w14:textId="77777777" w:rsidR="00525FC0" w:rsidRDefault="00525FC0" w:rsidP="00415F2D">
            <w:r w:rsidRPr="00B26829">
              <w:t>IPART</w:t>
            </w:r>
          </w:p>
          <w:p w14:paraId="7C7F54B6" w14:textId="77777777" w:rsidR="00B8458D" w:rsidRPr="00B26829" w:rsidRDefault="002A1A68" w:rsidP="00DA1FD1">
            <w:r>
              <w:t>MAR</w:t>
            </w:r>
          </w:p>
        </w:tc>
        <w:tc>
          <w:tcPr>
            <w:tcW w:w="5528" w:type="dxa"/>
            <w:shd w:val="clear" w:color="auto" w:fill="FFFFFF"/>
          </w:tcPr>
          <w:p w14:paraId="3BE1B6EA" w14:textId="77777777" w:rsidR="00525FC0" w:rsidRDefault="00525FC0" w:rsidP="00415F2D">
            <w:r w:rsidRPr="00B26829">
              <w:t xml:space="preserve">Independent Pricing and Regulatory Tribunal </w:t>
            </w:r>
          </w:p>
          <w:p w14:paraId="5D32FEF4" w14:textId="77777777" w:rsidR="00B8458D" w:rsidRPr="00B26829" w:rsidRDefault="00DA1FD1" w:rsidP="00DA1FD1">
            <w:r>
              <w:t>m</w:t>
            </w:r>
            <w:r w:rsidR="002A1A68">
              <w:t xml:space="preserve">aximum </w:t>
            </w:r>
            <w:r>
              <w:t>a</w:t>
            </w:r>
            <w:r w:rsidR="002A1A68">
              <w:t xml:space="preserve">llowable </w:t>
            </w:r>
            <w:r>
              <w:t>r</w:t>
            </w:r>
            <w:r w:rsidR="002A1A68">
              <w:t>evenue</w:t>
            </w:r>
          </w:p>
        </w:tc>
      </w:tr>
      <w:tr w:rsidR="00525FC0" w:rsidRPr="00B26829" w14:paraId="4B09210C" w14:textId="77777777" w:rsidTr="00415F2D">
        <w:trPr>
          <w:trHeight w:val="284"/>
        </w:trPr>
        <w:tc>
          <w:tcPr>
            <w:tcW w:w="2268" w:type="dxa"/>
            <w:shd w:val="clear" w:color="auto" w:fill="FFFFFF"/>
          </w:tcPr>
          <w:p w14:paraId="2B071AB0" w14:textId="77777777" w:rsidR="000A4241" w:rsidRDefault="000A4241" w:rsidP="00415F2D">
            <w:r>
              <w:t>NPV</w:t>
            </w:r>
          </w:p>
          <w:p w14:paraId="4A979513" w14:textId="77777777" w:rsidR="00525FC0" w:rsidRPr="00B26829" w:rsidRDefault="00525FC0" w:rsidP="00415F2D">
            <w:r>
              <w:t>NSP</w:t>
            </w:r>
          </w:p>
        </w:tc>
        <w:tc>
          <w:tcPr>
            <w:tcW w:w="5528" w:type="dxa"/>
            <w:shd w:val="clear" w:color="auto" w:fill="FFFFFF"/>
          </w:tcPr>
          <w:p w14:paraId="343ECA27" w14:textId="77777777" w:rsidR="000A4241" w:rsidRDefault="00F22BCB" w:rsidP="00415F2D">
            <w:r>
              <w:t>n</w:t>
            </w:r>
            <w:r w:rsidR="000A4241">
              <w:t xml:space="preserve">et </w:t>
            </w:r>
            <w:r>
              <w:t>p</w:t>
            </w:r>
            <w:r w:rsidR="000A4241">
              <w:t xml:space="preserve">resent </w:t>
            </w:r>
            <w:r>
              <w:t>v</w:t>
            </w:r>
            <w:r w:rsidR="000A4241">
              <w:t>alue</w:t>
            </w:r>
          </w:p>
          <w:p w14:paraId="67DE023F" w14:textId="77777777" w:rsidR="00525FC0" w:rsidRPr="00B26829" w:rsidRDefault="00DA1FD1" w:rsidP="00415F2D">
            <w:r>
              <w:t>n</w:t>
            </w:r>
            <w:r w:rsidR="00525FC0">
              <w:t xml:space="preserve">etwork </w:t>
            </w:r>
            <w:r>
              <w:t>s</w:t>
            </w:r>
            <w:r w:rsidR="00525FC0">
              <w:t xml:space="preserve">ervice </w:t>
            </w:r>
            <w:r>
              <w:t>p</w:t>
            </w:r>
            <w:r w:rsidR="00525FC0">
              <w:t xml:space="preserve">rovider </w:t>
            </w:r>
          </w:p>
        </w:tc>
      </w:tr>
      <w:tr w:rsidR="00525FC0" w:rsidRPr="00B26829" w14:paraId="55080FE1" w14:textId="77777777" w:rsidTr="00415F2D">
        <w:trPr>
          <w:trHeight w:val="284"/>
        </w:trPr>
        <w:tc>
          <w:tcPr>
            <w:tcW w:w="2268" w:type="dxa"/>
            <w:shd w:val="clear" w:color="auto" w:fill="FFFFFF"/>
          </w:tcPr>
          <w:p w14:paraId="3845B45C" w14:textId="77777777" w:rsidR="00525FC0" w:rsidRPr="00B26829" w:rsidRDefault="008E49E9" w:rsidP="00415F2D">
            <w:r>
              <w:t>QCA</w:t>
            </w:r>
          </w:p>
        </w:tc>
        <w:tc>
          <w:tcPr>
            <w:tcW w:w="5528" w:type="dxa"/>
            <w:shd w:val="clear" w:color="auto" w:fill="FFFFFF"/>
          </w:tcPr>
          <w:p w14:paraId="6524EF95" w14:textId="77777777" w:rsidR="00525FC0" w:rsidRPr="00B26829" w:rsidRDefault="008E49E9" w:rsidP="00415F2D">
            <w:r>
              <w:t>Queensland Competition Authority</w:t>
            </w:r>
          </w:p>
        </w:tc>
      </w:tr>
      <w:tr w:rsidR="008E49E9" w:rsidRPr="00B26829" w14:paraId="5E88FCFB" w14:textId="77777777" w:rsidTr="00415F2D">
        <w:trPr>
          <w:trHeight w:val="284"/>
        </w:trPr>
        <w:tc>
          <w:tcPr>
            <w:tcW w:w="2268" w:type="dxa"/>
            <w:shd w:val="clear" w:color="auto" w:fill="FFFFFF"/>
          </w:tcPr>
          <w:p w14:paraId="31560208" w14:textId="77777777" w:rsidR="000A4241" w:rsidRDefault="008E49E9" w:rsidP="00415F2D">
            <w:r>
              <w:t>STPIS</w:t>
            </w:r>
          </w:p>
          <w:p w14:paraId="4B98B7D6" w14:textId="77777777" w:rsidR="002A1A68" w:rsidRPr="00B26829" w:rsidRDefault="000A4241" w:rsidP="00415F2D">
            <w:r>
              <w:t>WACC</w:t>
            </w:r>
          </w:p>
        </w:tc>
        <w:tc>
          <w:tcPr>
            <w:tcW w:w="5528" w:type="dxa"/>
            <w:shd w:val="clear" w:color="auto" w:fill="FFFFFF"/>
          </w:tcPr>
          <w:p w14:paraId="3CD158CC" w14:textId="77777777" w:rsidR="000A4241" w:rsidRDefault="00DA1FD1" w:rsidP="00415F2D">
            <w:r>
              <w:rPr>
                <w:color w:val="000000"/>
                <w:lang w:val="en-US"/>
              </w:rPr>
              <w:t>s</w:t>
            </w:r>
            <w:r w:rsidR="008E49E9" w:rsidRPr="00F36DFF">
              <w:rPr>
                <w:color w:val="000000"/>
                <w:lang w:val="en-US"/>
              </w:rPr>
              <w:t xml:space="preserve">ervice </w:t>
            </w:r>
            <w:r>
              <w:rPr>
                <w:color w:val="000000"/>
                <w:lang w:val="en-US"/>
              </w:rPr>
              <w:t>t</w:t>
            </w:r>
            <w:r w:rsidR="008E49E9" w:rsidRPr="00F36DFF">
              <w:rPr>
                <w:color w:val="000000"/>
                <w:lang w:val="en-US"/>
              </w:rPr>
              <w:t xml:space="preserve">arget </w:t>
            </w:r>
            <w:r>
              <w:rPr>
                <w:color w:val="000000"/>
                <w:lang w:val="en-US"/>
              </w:rPr>
              <w:t>p</w:t>
            </w:r>
            <w:r w:rsidR="008E49E9" w:rsidRPr="00F36DFF">
              <w:rPr>
                <w:color w:val="000000"/>
                <w:lang w:val="en-US"/>
              </w:rPr>
              <w:t xml:space="preserve">erformance </w:t>
            </w:r>
            <w:r>
              <w:rPr>
                <w:color w:val="000000"/>
                <w:lang w:val="en-US"/>
              </w:rPr>
              <w:t>i</w:t>
            </w:r>
            <w:r w:rsidR="008E49E9" w:rsidRPr="00F36DFF">
              <w:rPr>
                <w:color w:val="000000"/>
                <w:lang w:val="en-US"/>
              </w:rPr>
              <w:t xml:space="preserve">ncentive </w:t>
            </w:r>
            <w:r>
              <w:rPr>
                <w:color w:val="000000"/>
                <w:lang w:val="en-US"/>
              </w:rPr>
              <w:t>s</w:t>
            </w:r>
            <w:r w:rsidR="008E49E9" w:rsidRPr="00F36DFF">
              <w:rPr>
                <w:color w:val="000000"/>
                <w:lang w:val="en-US"/>
              </w:rPr>
              <w:t>cheme</w:t>
            </w:r>
          </w:p>
          <w:p w14:paraId="46484B99" w14:textId="77777777" w:rsidR="002A1A68" w:rsidRPr="00B26829" w:rsidRDefault="00DA1FD1" w:rsidP="00415F2D">
            <w:r>
              <w:rPr>
                <w:color w:val="000000"/>
                <w:lang w:val="en-US"/>
              </w:rPr>
              <w:t>w</w:t>
            </w:r>
            <w:r w:rsidR="000A4241">
              <w:rPr>
                <w:color w:val="000000"/>
                <w:lang w:val="en-US"/>
              </w:rPr>
              <w:t xml:space="preserve">eighted </w:t>
            </w:r>
            <w:r>
              <w:rPr>
                <w:color w:val="000000"/>
                <w:lang w:val="en-US"/>
              </w:rPr>
              <w:t>a</w:t>
            </w:r>
            <w:r w:rsidR="000A4241">
              <w:rPr>
                <w:color w:val="000000"/>
                <w:lang w:val="en-US"/>
              </w:rPr>
              <w:t xml:space="preserve">verage </w:t>
            </w:r>
            <w:r>
              <w:rPr>
                <w:color w:val="000000"/>
                <w:lang w:val="en-US"/>
              </w:rPr>
              <w:t>c</w:t>
            </w:r>
            <w:r w:rsidR="000A4241">
              <w:rPr>
                <w:color w:val="000000"/>
                <w:lang w:val="en-US"/>
              </w:rPr>
              <w:t xml:space="preserve">ost of </w:t>
            </w:r>
            <w:r>
              <w:rPr>
                <w:color w:val="000000"/>
                <w:lang w:val="en-US"/>
              </w:rPr>
              <w:t>c</w:t>
            </w:r>
            <w:r w:rsidR="000A4241">
              <w:rPr>
                <w:color w:val="000000"/>
                <w:lang w:val="en-US"/>
              </w:rPr>
              <w:t>apital</w:t>
            </w:r>
          </w:p>
        </w:tc>
      </w:tr>
    </w:tbl>
    <w:p w14:paraId="485DFF33" w14:textId="77777777" w:rsidR="00B26829" w:rsidRDefault="00B26829" w:rsidP="00B26829"/>
    <w:p w14:paraId="59143572" w14:textId="77777777" w:rsidR="00B26829" w:rsidRDefault="00B26829" w:rsidP="00B26829">
      <w:pPr>
        <w:sectPr w:rsidR="00B26829" w:rsidSect="00662C7A">
          <w:endnotePr>
            <w:numFmt w:val="decimal"/>
          </w:endnotePr>
          <w:type w:val="continuous"/>
          <w:pgSz w:w="11907" w:h="16840" w:code="9"/>
          <w:pgMar w:top="2268" w:right="2098" w:bottom="1701" w:left="2098" w:header="578" w:footer="578" w:gutter="0"/>
          <w:cols w:space="720"/>
          <w:docGrid w:linePitch="360"/>
        </w:sectPr>
      </w:pPr>
    </w:p>
    <w:p w14:paraId="77534228" w14:textId="77777777" w:rsidR="008C4D2D" w:rsidRPr="00E01F12" w:rsidRDefault="007A1FA7" w:rsidP="00B26829">
      <w:pPr>
        <w:pStyle w:val="Heading1a"/>
      </w:pPr>
      <w:bookmarkStart w:id="197" w:name="_Toc478557268"/>
      <w:r w:rsidRPr="00E01F12">
        <w:lastRenderedPageBreak/>
        <w:t>References</w:t>
      </w:r>
      <w:bookmarkEnd w:id="197"/>
    </w:p>
    <w:p w14:paraId="501E0060" w14:textId="77777777" w:rsidR="001D7846" w:rsidRDefault="001D7846" w:rsidP="00C7285A">
      <w:pPr>
        <w:pStyle w:val="Heading1a"/>
        <w:sectPr w:rsidR="001D7846" w:rsidSect="00662C7A">
          <w:endnotePr>
            <w:numFmt w:val="decimal"/>
          </w:endnotePr>
          <w:type w:val="oddPage"/>
          <w:pgSz w:w="11907" w:h="16840" w:code="9"/>
          <w:pgMar w:top="2268" w:right="2098" w:bottom="1701" w:left="2098" w:header="578" w:footer="578" w:gutter="0"/>
          <w:cols w:space="720"/>
          <w:docGrid w:linePitch="360"/>
        </w:sectPr>
      </w:pPr>
    </w:p>
    <w:p w14:paraId="2A0148DB" w14:textId="77777777" w:rsidR="002753D4" w:rsidRPr="002753D4" w:rsidRDefault="00525FC0" w:rsidP="002753D4">
      <w:pPr>
        <w:pStyle w:val="References"/>
        <w:rPr>
          <w:color w:val="000000"/>
          <w:szCs w:val="22"/>
          <w:lang w:val="en-US"/>
        </w:rPr>
      </w:pPr>
      <w:r>
        <w:rPr>
          <w:color w:val="000000"/>
          <w:szCs w:val="22"/>
          <w:lang w:val="en-US"/>
        </w:rPr>
        <w:t>AEMC (2012</w:t>
      </w:r>
      <w:r w:rsidR="002753D4" w:rsidRPr="002753D4">
        <w:rPr>
          <w:color w:val="000000"/>
          <w:szCs w:val="22"/>
          <w:lang w:val="en-US"/>
        </w:rPr>
        <w:t xml:space="preserve">) National Electricity Amendment (Economic Regulation of Network Service Providers) Rule 2012, </w:t>
      </w:r>
      <w:r w:rsidR="00DA1FD1">
        <w:t>Australian Energy Market Commission</w:t>
      </w:r>
      <w:r w:rsidR="001C0233">
        <w:t>, Sydney.</w:t>
      </w:r>
    </w:p>
    <w:p w14:paraId="0E54B534" w14:textId="77777777" w:rsidR="00C26570" w:rsidRPr="00C26570" w:rsidRDefault="00C26570" w:rsidP="00C26570">
      <w:pPr>
        <w:pStyle w:val="References"/>
        <w:rPr>
          <w:color w:val="000000"/>
          <w:szCs w:val="22"/>
          <w:lang w:val="en-US"/>
        </w:rPr>
      </w:pPr>
      <w:r w:rsidRPr="00C26570">
        <w:rPr>
          <w:color w:val="000000"/>
          <w:szCs w:val="22"/>
          <w:lang w:val="en-US"/>
        </w:rPr>
        <w:t xml:space="preserve">AER (2013a) </w:t>
      </w:r>
      <w:r w:rsidR="00F62621" w:rsidRPr="00F62621">
        <w:rPr>
          <w:rStyle w:val="Italic"/>
        </w:rPr>
        <w:t>Efficiency benefit sharing scheme for electricity network service providers</w:t>
      </w:r>
      <w:r w:rsidRPr="008C32BB">
        <w:rPr>
          <w:color w:val="000000"/>
          <w:szCs w:val="22"/>
          <w:lang w:val="en-US"/>
        </w:rPr>
        <w:t xml:space="preserve">, </w:t>
      </w:r>
      <w:r w:rsidR="008C32BB" w:rsidRPr="008C32BB">
        <w:rPr>
          <w:color w:val="000000"/>
          <w:szCs w:val="22"/>
          <w:lang w:val="en-US"/>
        </w:rPr>
        <w:t>Australian Energy Regulator, Melbourne</w:t>
      </w:r>
      <w:r w:rsidRPr="00C26570">
        <w:rPr>
          <w:color w:val="000000"/>
          <w:szCs w:val="22"/>
          <w:lang w:val="en-US"/>
        </w:rPr>
        <w:t>.</w:t>
      </w:r>
    </w:p>
    <w:p w14:paraId="62B855D8" w14:textId="77777777" w:rsidR="00C26570" w:rsidRPr="00C26570" w:rsidRDefault="00C26570" w:rsidP="00C26570">
      <w:pPr>
        <w:pStyle w:val="References"/>
        <w:rPr>
          <w:color w:val="000000"/>
          <w:szCs w:val="22"/>
          <w:lang w:val="en-US"/>
        </w:rPr>
      </w:pPr>
      <w:r w:rsidRPr="00C26570">
        <w:rPr>
          <w:color w:val="000000"/>
          <w:szCs w:val="22"/>
          <w:lang w:val="en-US"/>
        </w:rPr>
        <w:t xml:space="preserve">AER (2013b) </w:t>
      </w:r>
      <w:r w:rsidR="00F62621" w:rsidRPr="00F62621">
        <w:rPr>
          <w:rStyle w:val="Italic"/>
        </w:rPr>
        <w:t>Efficiency benefit sharing scheme for electricity network service providers: Better regulation explanatory statement</w:t>
      </w:r>
      <w:r w:rsidRPr="00C26570">
        <w:rPr>
          <w:color w:val="000000"/>
          <w:szCs w:val="22"/>
          <w:lang w:val="en-US"/>
        </w:rPr>
        <w:t xml:space="preserve">, </w:t>
      </w:r>
      <w:r w:rsidR="008C32BB">
        <w:t>Australian Energy Regulator, Melbourne</w:t>
      </w:r>
      <w:r w:rsidRPr="00C26570">
        <w:rPr>
          <w:color w:val="000000"/>
          <w:szCs w:val="22"/>
          <w:lang w:val="en-US"/>
        </w:rPr>
        <w:t>.</w:t>
      </w:r>
    </w:p>
    <w:p w14:paraId="54C22406" w14:textId="77777777" w:rsidR="00C26570" w:rsidRPr="00C26570" w:rsidRDefault="00C26570" w:rsidP="00C26570">
      <w:pPr>
        <w:pStyle w:val="References"/>
        <w:rPr>
          <w:color w:val="000000"/>
          <w:szCs w:val="22"/>
          <w:lang w:val="en-US"/>
        </w:rPr>
      </w:pPr>
      <w:r w:rsidRPr="00C26570">
        <w:rPr>
          <w:color w:val="000000"/>
          <w:szCs w:val="22"/>
          <w:lang w:val="en-US"/>
        </w:rPr>
        <w:t xml:space="preserve">AER (2013c) </w:t>
      </w:r>
      <w:r w:rsidR="00F62621" w:rsidRPr="00F62621">
        <w:rPr>
          <w:rStyle w:val="Italic"/>
        </w:rPr>
        <w:t>Capital expenditure incentive guideline for electricity network service providers</w:t>
      </w:r>
      <w:r w:rsidRPr="00C26570">
        <w:rPr>
          <w:color w:val="000000"/>
          <w:szCs w:val="22"/>
          <w:lang w:val="en-US"/>
        </w:rPr>
        <w:t xml:space="preserve">, </w:t>
      </w:r>
      <w:r w:rsidR="008C32BB">
        <w:t>Australian Energy Regulator, Melbourne</w:t>
      </w:r>
      <w:r w:rsidRPr="00C26570">
        <w:rPr>
          <w:color w:val="000000"/>
          <w:szCs w:val="22"/>
          <w:lang w:val="en-US"/>
        </w:rPr>
        <w:t>.</w:t>
      </w:r>
    </w:p>
    <w:p w14:paraId="36ECCAE1" w14:textId="77777777" w:rsidR="00C26570" w:rsidRDefault="00C26570" w:rsidP="00C26570">
      <w:pPr>
        <w:pStyle w:val="References"/>
        <w:rPr>
          <w:color w:val="000000"/>
          <w:szCs w:val="22"/>
          <w:lang w:val="en-US"/>
        </w:rPr>
      </w:pPr>
      <w:r w:rsidRPr="00C26570">
        <w:rPr>
          <w:color w:val="000000"/>
          <w:szCs w:val="22"/>
          <w:lang w:val="en-US"/>
        </w:rPr>
        <w:t xml:space="preserve">AER (2013d) </w:t>
      </w:r>
      <w:r w:rsidR="00F62621" w:rsidRPr="00F62621">
        <w:rPr>
          <w:rStyle w:val="Italic"/>
        </w:rPr>
        <w:t>Capital expenditure incentive guideline for electricity network service providers: Better regulation explanatory statement</w:t>
      </w:r>
      <w:r w:rsidRPr="00C26570">
        <w:rPr>
          <w:color w:val="000000"/>
          <w:szCs w:val="22"/>
          <w:lang w:val="en-US"/>
        </w:rPr>
        <w:t xml:space="preserve">, </w:t>
      </w:r>
      <w:r w:rsidR="008C32BB">
        <w:t>Australian Energy Regulator, Melbourne</w:t>
      </w:r>
      <w:r w:rsidRPr="00C26570">
        <w:rPr>
          <w:color w:val="000000"/>
          <w:szCs w:val="22"/>
          <w:lang w:val="en-US"/>
        </w:rPr>
        <w:t>.</w:t>
      </w:r>
    </w:p>
    <w:p w14:paraId="352FE544" w14:textId="77777777" w:rsidR="008E49E9" w:rsidRPr="00C26570" w:rsidRDefault="008E49E9" w:rsidP="00C26570">
      <w:pPr>
        <w:pStyle w:val="References"/>
        <w:rPr>
          <w:color w:val="000000"/>
          <w:szCs w:val="22"/>
          <w:lang w:val="en-US"/>
        </w:rPr>
      </w:pPr>
      <w:r>
        <w:rPr>
          <w:color w:val="000000"/>
          <w:szCs w:val="22"/>
          <w:lang w:val="en-US"/>
        </w:rPr>
        <w:t xml:space="preserve">AER (2013e) </w:t>
      </w:r>
      <w:r w:rsidR="00F62621" w:rsidRPr="00F62621">
        <w:rPr>
          <w:rStyle w:val="Italic"/>
        </w:rPr>
        <w:t>Better regulation: Explanatory statement – Rate of return guideline</w:t>
      </w:r>
      <w:r>
        <w:rPr>
          <w:color w:val="000000"/>
          <w:szCs w:val="22"/>
          <w:lang w:val="en-US"/>
        </w:rPr>
        <w:t xml:space="preserve">, </w:t>
      </w:r>
      <w:r w:rsidR="008C32BB">
        <w:t>Australian Energy Regulator, Melbourne</w:t>
      </w:r>
      <w:r>
        <w:rPr>
          <w:color w:val="000000"/>
          <w:szCs w:val="22"/>
          <w:lang w:val="en-US"/>
        </w:rPr>
        <w:t xml:space="preserve">. </w:t>
      </w:r>
    </w:p>
    <w:p w14:paraId="097B3F24" w14:textId="77777777" w:rsidR="006F294D" w:rsidRPr="00C26570" w:rsidRDefault="006F294D" w:rsidP="006F294D">
      <w:pPr>
        <w:pStyle w:val="References"/>
        <w:rPr>
          <w:color w:val="000000"/>
          <w:szCs w:val="22"/>
          <w:lang w:val="en-US"/>
        </w:rPr>
      </w:pPr>
      <w:r w:rsidRPr="00607486">
        <w:rPr>
          <w:color w:val="000000"/>
          <w:szCs w:val="22"/>
          <w:lang w:val="en-US"/>
        </w:rPr>
        <w:t>AER (2015</w:t>
      </w:r>
      <w:r>
        <w:rPr>
          <w:color w:val="000000"/>
          <w:szCs w:val="22"/>
          <w:lang w:val="en-US"/>
        </w:rPr>
        <w:t>a</w:t>
      </w:r>
      <w:r w:rsidRPr="00607486">
        <w:rPr>
          <w:color w:val="000000"/>
          <w:szCs w:val="22"/>
          <w:lang w:val="en-US"/>
        </w:rPr>
        <w:t xml:space="preserve">) </w:t>
      </w:r>
      <w:r w:rsidR="00F62621" w:rsidRPr="00F62621">
        <w:rPr>
          <w:rStyle w:val="Italic"/>
        </w:rPr>
        <w:t>Electricity transmission network service provider</w:t>
      </w:r>
      <w:r>
        <w:rPr>
          <w:rStyle w:val="Italic"/>
        </w:rPr>
        <w:t>:</w:t>
      </w:r>
      <w:r w:rsidR="00F62621" w:rsidRPr="00F62621">
        <w:rPr>
          <w:rStyle w:val="Italic"/>
        </w:rPr>
        <w:t xml:space="preserve"> Service target performance incentive scheme version 5 (corrected)</w:t>
      </w:r>
      <w:r>
        <w:rPr>
          <w:color w:val="000000"/>
          <w:szCs w:val="22"/>
          <w:lang w:val="en-US"/>
        </w:rPr>
        <w:t xml:space="preserve">, </w:t>
      </w:r>
      <w:r>
        <w:t>Australian Energy Regulator, Melbourne</w:t>
      </w:r>
      <w:r w:rsidRPr="00C26570">
        <w:rPr>
          <w:color w:val="000000"/>
          <w:szCs w:val="22"/>
          <w:lang w:val="en-US"/>
        </w:rPr>
        <w:t>.</w:t>
      </w:r>
    </w:p>
    <w:p w14:paraId="58320EF6" w14:textId="77777777" w:rsidR="006F294D" w:rsidRPr="00C26570" w:rsidRDefault="006F294D" w:rsidP="006F294D">
      <w:pPr>
        <w:pStyle w:val="References"/>
        <w:rPr>
          <w:color w:val="000000"/>
          <w:szCs w:val="22"/>
          <w:lang w:val="en-US"/>
        </w:rPr>
      </w:pPr>
      <w:r w:rsidRPr="00C26570">
        <w:rPr>
          <w:color w:val="000000"/>
          <w:szCs w:val="22"/>
          <w:lang w:val="en-US"/>
        </w:rPr>
        <w:t xml:space="preserve">AER (2015b) </w:t>
      </w:r>
      <w:r w:rsidR="00F62621" w:rsidRPr="00F62621">
        <w:rPr>
          <w:rStyle w:val="Italic"/>
        </w:rPr>
        <w:t xml:space="preserve">Final decision: </w:t>
      </w:r>
      <w:proofErr w:type="spellStart"/>
      <w:r w:rsidR="00F62621" w:rsidRPr="00F62621">
        <w:rPr>
          <w:rStyle w:val="Italic"/>
        </w:rPr>
        <w:t>Ausgrid</w:t>
      </w:r>
      <w:proofErr w:type="spellEnd"/>
      <w:r w:rsidR="00F62621" w:rsidRPr="00F62621">
        <w:rPr>
          <w:rStyle w:val="Italic"/>
        </w:rPr>
        <w:t xml:space="preserve"> determination, 2015–16 to 2018–19</w:t>
      </w:r>
      <w:r w:rsidRPr="00C26570">
        <w:rPr>
          <w:color w:val="000000"/>
          <w:szCs w:val="22"/>
          <w:lang w:val="en-US"/>
        </w:rPr>
        <w:t xml:space="preserve">, </w:t>
      </w:r>
      <w:r>
        <w:t>Australian Energy Regulator, Melbourne</w:t>
      </w:r>
      <w:r w:rsidRPr="00C26570">
        <w:rPr>
          <w:color w:val="000000"/>
          <w:szCs w:val="22"/>
          <w:lang w:val="en-US"/>
        </w:rPr>
        <w:t>.</w:t>
      </w:r>
    </w:p>
    <w:p w14:paraId="1374C6C4" w14:textId="77777777" w:rsidR="001935D5" w:rsidRDefault="00994640" w:rsidP="00994640">
      <w:pPr>
        <w:pStyle w:val="References"/>
        <w:rPr>
          <w:color w:val="000000"/>
          <w:szCs w:val="22"/>
          <w:lang w:val="en-US"/>
        </w:rPr>
      </w:pPr>
      <w:r w:rsidRPr="00715FFF">
        <w:rPr>
          <w:color w:val="000000"/>
          <w:szCs w:val="22"/>
          <w:lang w:val="en-US"/>
        </w:rPr>
        <w:t>Indu</w:t>
      </w:r>
      <w:r w:rsidR="00F62621" w:rsidRPr="00F62621">
        <w:rPr>
          <w:color w:val="000000"/>
          <w:szCs w:val="22"/>
          <w:lang w:val="en-US"/>
        </w:rPr>
        <w:t>s</w:t>
      </w:r>
      <w:r w:rsidRPr="00715FFF">
        <w:rPr>
          <w:color w:val="000000"/>
          <w:szCs w:val="22"/>
          <w:lang w:val="en-US"/>
        </w:rPr>
        <w:t>try Panel (2015</w:t>
      </w:r>
      <w:r w:rsidR="004869CD">
        <w:rPr>
          <w:color w:val="000000"/>
          <w:szCs w:val="22"/>
          <w:lang w:val="en-US"/>
        </w:rPr>
        <w:t>a</w:t>
      </w:r>
      <w:r w:rsidRPr="00715FFF">
        <w:rPr>
          <w:color w:val="000000"/>
          <w:szCs w:val="22"/>
          <w:lang w:val="en-US"/>
        </w:rPr>
        <w:t xml:space="preserve">) </w:t>
      </w:r>
      <w:r w:rsidR="00F62621" w:rsidRPr="00F62621">
        <w:rPr>
          <w:rStyle w:val="Italic"/>
        </w:rPr>
        <w:t xml:space="preserve">Review of the Independent Competition and Regulatory Commission’s 2013 </w:t>
      </w:r>
      <w:r w:rsidR="001E0114">
        <w:rPr>
          <w:rStyle w:val="Italic"/>
        </w:rPr>
        <w:t>p</w:t>
      </w:r>
      <w:r w:rsidR="00F62621" w:rsidRPr="00F62621">
        <w:rPr>
          <w:rStyle w:val="Italic"/>
        </w:rPr>
        <w:t xml:space="preserve">rice </w:t>
      </w:r>
      <w:r w:rsidR="001E0114">
        <w:rPr>
          <w:rStyle w:val="Italic"/>
        </w:rPr>
        <w:t>d</w:t>
      </w:r>
      <w:r w:rsidR="00F62621" w:rsidRPr="00F62621">
        <w:rPr>
          <w:rStyle w:val="Italic"/>
        </w:rPr>
        <w:t>irection for regulated water and sewerage services: Final report</w:t>
      </w:r>
      <w:r w:rsidRPr="00715FFF">
        <w:rPr>
          <w:iCs/>
          <w:color w:val="000000"/>
          <w:szCs w:val="22"/>
          <w:lang w:val="en-US"/>
        </w:rPr>
        <w:t>,</w:t>
      </w:r>
      <w:r>
        <w:rPr>
          <w:i/>
          <w:iCs/>
          <w:color w:val="000000"/>
          <w:szCs w:val="22"/>
          <w:lang w:val="en-US"/>
        </w:rPr>
        <w:t xml:space="preserve"> </w:t>
      </w:r>
      <w:r>
        <w:rPr>
          <w:color w:val="000000"/>
          <w:szCs w:val="22"/>
          <w:lang w:val="en-US"/>
        </w:rPr>
        <w:t>Indu</w:t>
      </w:r>
      <w:r w:rsidR="009F756B">
        <w:rPr>
          <w:color w:val="000000"/>
          <w:szCs w:val="22"/>
          <w:lang w:val="en-US"/>
        </w:rPr>
        <w:t xml:space="preserve">stry Panel, Canberra. </w:t>
      </w:r>
    </w:p>
    <w:p w14:paraId="01FA070D" w14:textId="77777777" w:rsidR="004869CD" w:rsidRDefault="004869CD" w:rsidP="004869CD">
      <w:pPr>
        <w:pStyle w:val="References"/>
        <w:rPr>
          <w:color w:val="000000"/>
          <w:szCs w:val="22"/>
          <w:lang w:val="en-US"/>
        </w:rPr>
      </w:pPr>
      <w:r w:rsidRPr="00715FFF">
        <w:rPr>
          <w:color w:val="000000"/>
          <w:szCs w:val="22"/>
          <w:lang w:val="en-US"/>
        </w:rPr>
        <w:t>Indu</w:t>
      </w:r>
      <w:r w:rsidR="00F62621" w:rsidRPr="00F62621">
        <w:rPr>
          <w:color w:val="000000"/>
          <w:szCs w:val="22"/>
          <w:lang w:val="en-US"/>
        </w:rPr>
        <w:t>s</w:t>
      </w:r>
      <w:r w:rsidRPr="00715FFF">
        <w:rPr>
          <w:color w:val="000000"/>
          <w:szCs w:val="22"/>
          <w:lang w:val="en-US"/>
        </w:rPr>
        <w:t>try Panel (2015</w:t>
      </w:r>
      <w:r>
        <w:rPr>
          <w:color w:val="000000"/>
          <w:szCs w:val="22"/>
          <w:lang w:val="en-US"/>
        </w:rPr>
        <w:t>b</w:t>
      </w:r>
      <w:r w:rsidRPr="00715FFF">
        <w:rPr>
          <w:color w:val="000000"/>
          <w:szCs w:val="22"/>
          <w:lang w:val="en-US"/>
        </w:rPr>
        <w:t xml:space="preserve">) </w:t>
      </w:r>
      <w:r w:rsidR="00F62621" w:rsidRPr="00F62621">
        <w:rPr>
          <w:rStyle w:val="Italic"/>
        </w:rPr>
        <w:t xml:space="preserve">Substituted </w:t>
      </w:r>
      <w:r w:rsidR="001E0114">
        <w:rPr>
          <w:rStyle w:val="Italic"/>
        </w:rPr>
        <w:t>p</w:t>
      </w:r>
      <w:r w:rsidR="00F62621" w:rsidRPr="00F62621">
        <w:rPr>
          <w:rStyle w:val="Italic"/>
        </w:rPr>
        <w:t xml:space="preserve">rice </w:t>
      </w:r>
      <w:r w:rsidR="001E0114">
        <w:rPr>
          <w:rStyle w:val="Italic"/>
        </w:rPr>
        <w:t>d</w:t>
      </w:r>
      <w:r w:rsidR="00F62621" w:rsidRPr="00F62621">
        <w:rPr>
          <w:rStyle w:val="Italic"/>
        </w:rPr>
        <w:t xml:space="preserve">irection: Regulated </w:t>
      </w:r>
      <w:r w:rsidR="001E0114">
        <w:rPr>
          <w:rStyle w:val="Italic"/>
        </w:rPr>
        <w:t>w</w:t>
      </w:r>
      <w:r w:rsidR="00F62621" w:rsidRPr="00F62621">
        <w:rPr>
          <w:rStyle w:val="Italic"/>
        </w:rPr>
        <w:t xml:space="preserve">ater and </w:t>
      </w:r>
      <w:r w:rsidR="001E0114">
        <w:rPr>
          <w:rStyle w:val="Italic"/>
        </w:rPr>
        <w:t>s</w:t>
      </w:r>
      <w:r w:rsidR="00F62621" w:rsidRPr="00F62621">
        <w:rPr>
          <w:rStyle w:val="Italic"/>
        </w:rPr>
        <w:t xml:space="preserve">ewerage </w:t>
      </w:r>
      <w:r w:rsidR="001E0114">
        <w:rPr>
          <w:rStyle w:val="Italic"/>
        </w:rPr>
        <w:t>s</w:t>
      </w:r>
      <w:r w:rsidR="00F62621" w:rsidRPr="00F62621">
        <w:rPr>
          <w:rStyle w:val="Italic"/>
        </w:rPr>
        <w:t>ervices 1 July 2013 to 30 June 2018</w:t>
      </w:r>
      <w:r>
        <w:rPr>
          <w:iCs/>
          <w:color w:val="000000"/>
          <w:szCs w:val="22"/>
          <w:lang w:val="en-US"/>
        </w:rPr>
        <w:t xml:space="preserve">, </w:t>
      </w:r>
      <w:r w:rsidR="001C0233">
        <w:rPr>
          <w:color w:val="000000"/>
          <w:szCs w:val="22"/>
          <w:lang w:val="en-US"/>
        </w:rPr>
        <w:t>Industry Panel</w:t>
      </w:r>
      <w:r w:rsidR="001C0233">
        <w:rPr>
          <w:iCs/>
          <w:color w:val="000000"/>
          <w:szCs w:val="22"/>
          <w:lang w:val="en-US"/>
        </w:rPr>
        <w:t xml:space="preserve">, </w:t>
      </w:r>
      <w:r>
        <w:rPr>
          <w:iCs/>
          <w:color w:val="000000"/>
          <w:szCs w:val="22"/>
          <w:lang w:val="en-US"/>
        </w:rPr>
        <w:t>Canberra</w:t>
      </w:r>
      <w:r>
        <w:rPr>
          <w:color w:val="000000"/>
          <w:szCs w:val="22"/>
          <w:lang w:val="en-US"/>
        </w:rPr>
        <w:t>.</w:t>
      </w:r>
    </w:p>
    <w:p w14:paraId="6FED39E3" w14:textId="77777777" w:rsidR="001935D5" w:rsidRDefault="00994640" w:rsidP="00A407F2">
      <w:pPr>
        <w:pStyle w:val="References"/>
        <w:rPr>
          <w:noProof/>
        </w:rPr>
      </w:pPr>
      <w:bookmarkStart w:id="198" w:name="_ENREF_8"/>
      <w:r>
        <w:rPr>
          <w:noProof/>
        </w:rPr>
        <w:t xml:space="preserve">ICRC </w:t>
      </w:r>
      <w:r w:rsidR="00896B23">
        <w:rPr>
          <w:noProof/>
        </w:rPr>
        <w:t>(</w:t>
      </w:r>
      <w:r>
        <w:rPr>
          <w:noProof/>
        </w:rPr>
        <w:t>2013</w:t>
      </w:r>
      <w:r w:rsidR="00896B23">
        <w:rPr>
          <w:noProof/>
        </w:rPr>
        <w:t>)</w:t>
      </w:r>
      <w:r w:rsidR="001935D5" w:rsidRPr="001935D5">
        <w:rPr>
          <w:noProof/>
        </w:rPr>
        <w:t xml:space="preserve"> </w:t>
      </w:r>
      <w:r w:rsidR="00F62621" w:rsidRPr="00F62621">
        <w:rPr>
          <w:rStyle w:val="Italic"/>
        </w:rPr>
        <w:t xml:space="preserve">Final report: Regulated water and sewerage services 1 </w:t>
      </w:r>
      <w:r w:rsidR="00BA53D3">
        <w:rPr>
          <w:rStyle w:val="Italic"/>
        </w:rPr>
        <w:t>July 2013 to 30 </w:t>
      </w:r>
      <w:r w:rsidR="00F62621" w:rsidRPr="00F62621">
        <w:rPr>
          <w:rStyle w:val="Italic"/>
        </w:rPr>
        <w:t>June 2019</w:t>
      </w:r>
      <w:r w:rsidR="004869CD">
        <w:rPr>
          <w:noProof/>
        </w:rPr>
        <w:t xml:space="preserve">, </w:t>
      </w:r>
      <w:r w:rsidR="001E0114" w:rsidRPr="00B26829">
        <w:t>Independent Competition and Regulatory Commission</w:t>
      </w:r>
      <w:r w:rsidR="001E0114">
        <w:t xml:space="preserve">, </w:t>
      </w:r>
      <w:r w:rsidR="004869CD">
        <w:rPr>
          <w:noProof/>
        </w:rPr>
        <w:t>Canberra</w:t>
      </w:r>
      <w:r w:rsidR="001935D5" w:rsidRPr="001935D5">
        <w:rPr>
          <w:noProof/>
        </w:rPr>
        <w:t>.</w:t>
      </w:r>
      <w:bookmarkEnd w:id="198"/>
    </w:p>
    <w:p w14:paraId="7AD2B432" w14:textId="77777777" w:rsidR="006F294D" w:rsidRDefault="006F294D" w:rsidP="006F294D">
      <w:pPr>
        <w:pStyle w:val="References"/>
        <w:rPr>
          <w:noProof/>
        </w:rPr>
      </w:pPr>
      <w:r>
        <w:rPr>
          <w:noProof/>
        </w:rPr>
        <w:t xml:space="preserve">ICRC (2015) </w:t>
      </w:r>
      <w:r w:rsidR="00F62621" w:rsidRPr="00F62621">
        <w:rPr>
          <w:rStyle w:val="Italic"/>
        </w:rPr>
        <w:t>Regulated water and sewerage services – The Industry Panel process: Outcomes and prospects</w:t>
      </w:r>
      <w:r>
        <w:rPr>
          <w:noProof/>
        </w:rPr>
        <w:t xml:space="preserve">, </w:t>
      </w:r>
      <w:r w:rsidRPr="00B26829">
        <w:t>Independent Competition and Regulatory Commission</w:t>
      </w:r>
      <w:r>
        <w:t>, Canberra</w:t>
      </w:r>
      <w:r>
        <w:rPr>
          <w:noProof/>
        </w:rPr>
        <w:t>.</w:t>
      </w:r>
    </w:p>
    <w:p w14:paraId="0057E751" w14:textId="77777777" w:rsidR="006F294D" w:rsidRDefault="006F294D" w:rsidP="006F294D">
      <w:pPr>
        <w:pStyle w:val="References"/>
        <w:rPr>
          <w:noProof/>
        </w:rPr>
      </w:pPr>
      <w:r>
        <w:rPr>
          <w:noProof/>
        </w:rPr>
        <w:t xml:space="preserve">ICRC (2017) </w:t>
      </w:r>
      <w:r w:rsidR="00F62621" w:rsidRPr="00F62621">
        <w:rPr>
          <w:rStyle w:val="Italic"/>
        </w:rPr>
        <w:t>Final report: Tariff Structure Review 2016–17 – Regulated water and sewerage services</w:t>
      </w:r>
      <w:r>
        <w:rPr>
          <w:noProof/>
        </w:rPr>
        <w:t>, March</w:t>
      </w:r>
      <w:r w:rsidRPr="001E0114">
        <w:t xml:space="preserve"> </w:t>
      </w:r>
      <w:r w:rsidRPr="00B26829">
        <w:t>Independent Competition and Regulatory Commission</w:t>
      </w:r>
      <w:r>
        <w:t>, Canberra</w:t>
      </w:r>
      <w:r>
        <w:rPr>
          <w:noProof/>
        </w:rPr>
        <w:t>.</w:t>
      </w:r>
    </w:p>
    <w:p w14:paraId="4751B95C" w14:textId="77777777" w:rsidR="00BA53D3" w:rsidRDefault="00BA53D3" w:rsidP="00BA53D3">
      <w:pPr>
        <w:pStyle w:val="References"/>
        <w:rPr>
          <w:noProof/>
        </w:rPr>
      </w:pPr>
      <w:r>
        <w:rPr>
          <w:noProof/>
        </w:rPr>
        <w:lastRenderedPageBreak/>
        <w:t xml:space="preserve">IPART (2013) </w:t>
      </w:r>
      <w:r w:rsidR="00F62621" w:rsidRPr="00F62621">
        <w:rPr>
          <w:rStyle w:val="Italic"/>
        </w:rPr>
        <w:t xml:space="preserve">Review of WACC </w:t>
      </w:r>
      <w:r>
        <w:rPr>
          <w:rStyle w:val="Italic"/>
        </w:rPr>
        <w:t>m</w:t>
      </w:r>
      <w:r w:rsidR="00F62621" w:rsidRPr="00F62621">
        <w:rPr>
          <w:rStyle w:val="Italic"/>
        </w:rPr>
        <w:t>ethodology: Research – Final report</w:t>
      </w:r>
      <w:r>
        <w:rPr>
          <w:noProof/>
        </w:rPr>
        <w:t>, December</w:t>
      </w:r>
      <w:r w:rsidRPr="001E0114">
        <w:t xml:space="preserve"> </w:t>
      </w:r>
      <w:r w:rsidRPr="00B26829">
        <w:t>Independent Pricing and Regulatory Tribunal</w:t>
      </w:r>
      <w:r>
        <w:t>, Sydney</w:t>
      </w:r>
      <w:r>
        <w:rPr>
          <w:noProof/>
        </w:rPr>
        <w:t xml:space="preserve">. </w:t>
      </w:r>
    </w:p>
    <w:p w14:paraId="2540DB56" w14:textId="77777777" w:rsidR="00BA53D3" w:rsidRDefault="00BA53D3" w:rsidP="00BA53D3">
      <w:pPr>
        <w:pStyle w:val="References"/>
        <w:rPr>
          <w:noProof/>
        </w:rPr>
      </w:pPr>
      <w:r>
        <w:rPr>
          <w:noProof/>
        </w:rPr>
        <w:t xml:space="preserve">IPART (2015a) </w:t>
      </w:r>
      <w:r w:rsidR="00F62621" w:rsidRPr="00F62621">
        <w:rPr>
          <w:rStyle w:val="Italic"/>
        </w:rPr>
        <w:t xml:space="preserve">Guidelines for </w:t>
      </w:r>
      <w:r>
        <w:rPr>
          <w:rStyle w:val="Italic"/>
        </w:rPr>
        <w:t>w</w:t>
      </w:r>
      <w:r w:rsidR="00F62621" w:rsidRPr="00F62621">
        <w:rPr>
          <w:rStyle w:val="Italic"/>
        </w:rPr>
        <w:t xml:space="preserve">ater </w:t>
      </w:r>
      <w:r>
        <w:rPr>
          <w:rStyle w:val="Italic"/>
        </w:rPr>
        <w:t>a</w:t>
      </w:r>
      <w:r w:rsidR="00F62621" w:rsidRPr="00F62621">
        <w:rPr>
          <w:rStyle w:val="Italic"/>
        </w:rPr>
        <w:t xml:space="preserve">gency </w:t>
      </w:r>
      <w:r>
        <w:rPr>
          <w:rStyle w:val="Italic"/>
        </w:rPr>
        <w:t>p</w:t>
      </w:r>
      <w:r w:rsidR="00F62621" w:rsidRPr="00F62621">
        <w:rPr>
          <w:rStyle w:val="Italic"/>
        </w:rPr>
        <w:t xml:space="preserve">ricing </w:t>
      </w:r>
      <w:r>
        <w:rPr>
          <w:rStyle w:val="Italic"/>
        </w:rPr>
        <w:t>s</w:t>
      </w:r>
      <w:r w:rsidR="00F62621" w:rsidRPr="00F62621">
        <w:rPr>
          <w:rStyle w:val="Italic"/>
        </w:rPr>
        <w:t>ubmissions: Water – Guidelines</w:t>
      </w:r>
      <w:r>
        <w:rPr>
          <w:noProof/>
        </w:rPr>
        <w:t xml:space="preserve">, </w:t>
      </w:r>
      <w:r w:rsidRPr="00B26829">
        <w:t>Independent Pricing and Regulatory Tribunal</w:t>
      </w:r>
      <w:r>
        <w:t>, Sydney</w:t>
      </w:r>
      <w:r>
        <w:rPr>
          <w:noProof/>
        </w:rPr>
        <w:t>.</w:t>
      </w:r>
    </w:p>
    <w:p w14:paraId="442B3D18" w14:textId="77777777" w:rsidR="00BA53D3" w:rsidRDefault="00BA53D3" w:rsidP="00BA53D3">
      <w:pPr>
        <w:pStyle w:val="References"/>
        <w:rPr>
          <w:noProof/>
        </w:rPr>
      </w:pPr>
      <w:r>
        <w:rPr>
          <w:noProof/>
        </w:rPr>
        <w:t xml:space="preserve">IPART (2015b) </w:t>
      </w:r>
      <w:r w:rsidR="00F62621" w:rsidRPr="00F62621">
        <w:rPr>
          <w:rStyle w:val="Italic"/>
        </w:rPr>
        <w:t>Review of prices for Sydney Water Corporation; from 1 July 2016 to 30 June 2020, water – Issues paper</w:t>
      </w:r>
      <w:r>
        <w:rPr>
          <w:noProof/>
        </w:rPr>
        <w:t>,</w:t>
      </w:r>
      <w:r w:rsidRPr="001E0114">
        <w:t xml:space="preserve"> </w:t>
      </w:r>
      <w:r w:rsidRPr="00B26829">
        <w:t>Independent Pricing and Regulatory Tribunal</w:t>
      </w:r>
      <w:r>
        <w:t>, Sydney</w:t>
      </w:r>
      <w:r>
        <w:rPr>
          <w:noProof/>
        </w:rPr>
        <w:t>.</w:t>
      </w:r>
    </w:p>
    <w:p w14:paraId="49D3AD2A" w14:textId="77777777" w:rsidR="00E24384" w:rsidRDefault="00E24384" w:rsidP="00E24384">
      <w:pPr>
        <w:pStyle w:val="References"/>
        <w:rPr>
          <w:noProof/>
        </w:rPr>
      </w:pPr>
      <w:r>
        <w:rPr>
          <w:noProof/>
        </w:rPr>
        <w:t xml:space="preserve">IPART (2016a) </w:t>
      </w:r>
      <w:r w:rsidR="00F62621" w:rsidRPr="00F62621">
        <w:rPr>
          <w:rStyle w:val="Italic"/>
        </w:rPr>
        <w:t>Review of prices for Sydney Water Corporation; from 1 July 2016 to 30 June 2020, water – Final report</w:t>
      </w:r>
      <w:r>
        <w:rPr>
          <w:noProof/>
        </w:rPr>
        <w:t xml:space="preserve">, </w:t>
      </w:r>
      <w:r w:rsidR="001E0114" w:rsidRPr="00B26829">
        <w:t>Independent Pricing and Regulatory Tribunal</w:t>
      </w:r>
      <w:r w:rsidR="001E0114">
        <w:t>, Sydney</w:t>
      </w:r>
      <w:r>
        <w:rPr>
          <w:noProof/>
        </w:rPr>
        <w:t xml:space="preserve">. </w:t>
      </w:r>
    </w:p>
    <w:p w14:paraId="58A7103A" w14:textId="77777777" w:rsidR="00607486" w:rsidRDefault="00607486" w:rsidP="00A407F2">
      <w:pPr>
        <w:pStyle w:val="References"/>
        <w:rPr>
          <w:noProof/>
        </w:rPr>
      </w:pPr>
      <w:r>
        <w:rPr>
          <w:noProof/>
        </w:rPr>
        <w:t>IPART</w:t>
      </w:r>
      <w:r w:rsidR="00812126">
        <w:rPr>
          <w:noProof/>
        </w:rPr>
        <w:t xml:space="preserve"> (2016</w:t>
      </w:r>
      <w:r w:rsidR="00E24384">
        <w:rPr>
          <w:noProof/>
        </w:rPr>
        <w:t>b</w:t>
      </w:r>
      <w:r w:rsidR="00812126">
        <w:rPr>
          <w:noProof/>
        </w:rPr>
        <w:t xml:space="preserve">) </w:t>
      </w:r>
      <w:r w:rsidR="00F62621" w:rsidRPr="00F62621">
        <w:rPr>
          <w:rStyle w:val="Italic"/>
        </w:rPr>
        <w:t>Sydney Water Corporation operational audit 2014–15: Water compliance report</w:t>
      </w:r>
      <w:r w:rsidR="00812126">
        <w:rPr>
          <w:noProof/>
        </w:rPr>
        <w:t xml:space="preserve">, </w:t>
      </w:r>
      <w:r w:rsidR="001E0114" w:rsidRPr="00B26829">
        <w:t>Independent Pricing and Regulatory Tribunal</w:t>
      </w:r>
      <w:r w:rsidR="001E0114">
        <w:t>, Sydney</w:t>
      </w:r>
      <w:r w:rsidR="00812126">
        <w:rPr>
          <w:noProof/>
        </w:rPr>
        <w:t>.</w:t>
      </w:r>
    </w:p>
    <w:p w14:paraId="1C267776" w14:textId="77777777" w:rsidR="002E05F2" w:rsidRDefault="008674FE" w:rsidP="00A407F2">
      <w:pPr>
        <w:pStyle w:val="References"/>
      </w:pPr>
      <w:proofErr w:type="spellStart"/>
      <w:r>
        <w:t>Ofwat</w:t>
      </w:r>
      <w:proofErr w:type="spellEnd"/>
      <w:r>
        <w:t xml:space="preserve"> (2010) </w:t>
      </w:r>
      <w:r w:rsidR="00F62621" w:rsidRPr="00F62621">
        <w:rPr>
          <w:rStyle w:val="Italic"/>
        </w:rPr>
        <w:t>Putting water consumers first: How can we challenge monopoly companies to improve</w:t>
      </w:r>
      <w:proofErr w:type="gramStart"/>
      <w:r w:rsidR="00F62621" w:rsidRPr="00F62621">
        <w:rPr>
          <w:rStyle w:val="Italic"/>
        </w:rPr>
        <w:t>?</w:t>
      </w:r>
      <w:r w:rsidR="00146871">
        <w:t>,</w:t>
      </w:r>
      <w:proofErr w:type="gramEnd"/>
      <w:r w:rsidR="00146871">
        <w:t xml:space="preserve"> Office of Water Services</w:t>
      </w:r>
      <w:r w:rsidR="006F294D">
        <w:t>,</w:t>
      </w:r>
      <w:r w:rsidR="006F294D" w:rsidRPr="006F294D">
        <w:t xml:space="preserve"> </w:t>
      </w:r>
      <w:r w:rsidR="006F294D">
        <w:t>Birmingham, UK.</w:t>
      </w:r>
    </w:p>
    <w:p w14:paraId="0AC19D0C" w14:textId="77777777" w:rsidR="00525126" w:rsidRDefault="00525126" w:rsidP="00A407F2">
      <w:pPr>
        <w:pStyle w:val="References"/>
      </w:pPr>
      <w:r>
        <w:t xml:space="preserve">QCA (2014) </w:t>
      </w:r>
      <w:r w:rsidR="00F62621" w:rsidRPr="00F62621">
        <w:rPr>
          <w:rStyle w:val="Italic"/>
        </w:rPr>
        <w:t>Cost of capital: market parameters – Final decision</w:t>
      </w:r>
      <w:r>
        <w:t xml:space="preserve">, </w:t>
      </w:r>
      <w:r w:rsidR="006F294D">
        <w:t>Queensland Competition Authority, Brisbane</w:t>
      </w:r>
      <w:r>
        <w:t xml:space="preserve">. </w:t>
      </w:r>
    </w:p>
    <w:p w14:paraId="40B28B28" w14:textId="77777777" w:rsidR="00937C40" w:rsidRDefault="00937C40" w:rsidP="00937C40">
      <w:pPr>
        <w:pStyle w:val="References"/>
        <w:rPr>
          <w:noProof/>
        </w:rPr>
      </w:pPr>
      <w:r>
        <w:t xml:space="preserve">SFG </w:t>
      </w:r>
      <w:proofErr w:type="gramStart"/>
      <w:r>
        <w:t>Consulting</w:t>
      </w:r>
      <w:proofErr w:type="gramEnd"/>
      <w:r>
        <w:t xml:space="preserve"> (2013) </w:t>
      </w:r>
      <w:r w:rsidR="008C32BB">
        <w:t>‘</w:t>
      </w:r>
      <w:r>
        <w:t>Market risk premium</w:t>
      </w:r>
      <w:r w:rsidR="00896B23">
        <w:t>’</w:t>
      </w:r>
      <w:r>
        <w:t xml:space="preserve">, 18 May, Appendix B </w:t>
      </w:r>
      <w:r w:rsidR="006F294D">
        <w:t xml:space="preserve">in </w:t>
      </w:r>
      <w:r>
        <w:rPr>
          <w:noProof/>
        </w:rPr>
        <w:t xml:space="preserve">IPART (2013) </w:t>
      </w:r>
      <w:r w:rsidR="00F62621" w:rsidRPr="00F62621">
        <w:rPr>
          <w:rStyle w:val="Italic"/>
        </w:rPr>
        <w:t>Review of WACC methodology: Research – Final report</w:t>
      </w:r>
      <w:r>
        <w:rPr>
          <w:noProof/>
        </w:rPr>
        <w:t xml:space="preserve">, </w:t>
      </w:r>
      <w:r w:rsidR="006F294D" w:rsidRPr="00B26829">
        <w:t>Independent Pricing and Regulatory Tribunal</w:t>
      </w:r>
      <w:r w:rsidR="006F294D">
        <w:t>, Sydney</w:t>
      </w:r>
      <w:r>
        <w:rPr>
          <w:noProof/>
        </w:rPr>
        <w:t xml:space="preserve">. </w:t>
      </w:r>
    </w:p>
    <w:p w14:paraId="1C916768" w14:textId="77777777" w:rsidR="00937C40" w:rsidRPr="002F5F55" w:rsidRDefault="00937C40" w:rsidP="002F5F55">
      <w:pPr>
        <w:tabs>
          <w:tab w:val="left" w:pos="5084"/>
        </w:tabs>
      </w:pPr>
    </w:p>
    <w:sectPr w:rsidR="00937C40" w:rsidRPr="002F5F55" w:rsidSect="00662C7A">
      <w:headerReference w:type="even" r:id="rId52"/>
      <w:headerReference w:type="default" r:id="rId53"/>
      <w:endnotePr>
        <w:numFmt w:val="decimal"/>
      </w:endnotePr>
      <w:type w:val="continuous"/>
      <w:pgSz w:w="11907" w:h="16840" w:code="9"/>
      <w:pgMar w:top="2268" w:right="2098" w:bottom="1701" w:left="2098" w:header="578" w:footer="5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B9895" w14:textId="77777777" w:rsidR="00A003A1" w:rsidRDefault="00A003A1" w:rsidP="00474ECC">
      <w:pPr>
        <w:spacing w:after="0" w:line="240" w:lineRule="auto"/>
      </w:pPr>
      <w:r>
        <w:separator/>
      </w:r>
    </w:p>
    <w:p w14:paraId="0629411B" w14:textId="77777777" w:rsidR="00A003A1" w:rsidRDefault="00A003A1"/>
  </w:endnote>
  <w:endnote w:type="continuationSeparator" w:id="0">
    <w:p w14:paraId="39524961" w14:textId="77777777" w:rsidR="00A003A1" w:rsidRDefault="00A003A1" w:rsidP="00474ECC">
      <w:pPr>
        <w:spacing w:after="0" w:line="240" w:lineRule="auto"/>
      </w:pPr>
      <w:r>
        <w:continuationSeparator/>
      </w:r>
    </w:p>
    <w:p w14:paraId="24D5F21F" w14:textId="77777777" w:rsidR="00A003A1" w:rsidRDefault="00A003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venir Next">
    <w:altName w:val="Arial"/>
    <w:charset w:val="00"/>
    <w:family w:val="swiss"/>
    <w:pitch w:val="variable"/>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890"/>
      <w:gridCol w:w="7037"/>
    </w:tblGrid>
    <w:tr w:rsidR="00A003A1" w14:paraId="7E121408" w14:textId="77777777" w:rsidTr="00D50B7C">
      <w:tc>
        <w:tcPr>
          <w:tcW w:w="918" w:type="dxa"/>
          <w:vAlign w:val="center"/>
        </w:tcPr>
        <w:p w14:paraId="70E78725" w14:textId="77777777" w:rsidR="00A003A1" w:rsidRPr="00D50B7C" w:rsidRDefault="00A003A1" w:rsidP="00DE64FD">
          <w:pPr>
            <w:pStyle w:val="Footer"/>
            <w:jc w:val="center"/>
            <w:rPr>
              <w:b/>
              <w:color w:val="4F81BD"/>
              <w:sz w:val="32"/>
              <w:szCs w:val="32"/>
            </w:rPr>
          </w:pPr>
          <w:r w:rsidRPr="00D50B7C">
            <w:rPr>
              <w:szCs w:val="24"/>
            </w:rPr>
            <w:fldChar w:fldCharType="begin"/>
          </w:r>
          <w:r w:rsidRPr="0031563D">
            <w:rPr>
              <w:szCs w:val="24"/>
            </w:rPr>
            <w:instrText xml:space="preserve"> PAGE   \* MERGEFORMAT </w:instrText>
          </w:r>
          <w:r w:rsidRPr="00D50B7C">
            <w:rPr>
              <w:szCs w:val="24"/>
            </w:rPr>
            <w:fldChar w:fldCharType="separate"/>
          </w:r>
          <w:r w:rsidRPr="00D50B7C">
            <w:rPr>
              <w:b/>
              <w:noProof/>
              <w:color w:val="4F81BD"/>
              <w:sz w:val="32"/>
              <w:szCs w:val="32"/>
            </w:rPr>
            <w:t>106</w:t>
          </w:r>
          <w:r w:rsidRPr="00D50B7C">
            <w:rPr>
              <w:b/>
              <w:noProof/>
              <w:color w:val="4F81BD"/>
              <w:sz w:val="32"/>
              <w:szCs w:val="32"/>
            </w:rPr>
            <w:fldChar w:fldCharType="end"/>
          </w:r>
        </w:p>
      </w:tc>
      <w:tc>
        <w:tcPr>
          <w:tcW w:w="7938" w:type="dxa"/>
          <w:vAlign w:val="center"/>
        </w:tcPr>
        <w:p w14:paraId="7D3890A5" w14:textId="63AABE3E" w:rsidR="00A003A1" w:rsidRPr="0031563D" w:rsidRDefault="00A003A1" w:rsidP="00DE64FD">
          <w:pPr>
            <w:pStyle w:val="Footer"/>
            <w:ind w:left="-1134"/>
            <w:jc w:val="right"/>
            <w:rPr>
              <w:szCs w:val="24"/>
            </w:rPr>
          </w:pPr>
          <w:r>
            <w:rPr>
              <w:noProof/>
              <w:szCs w:val="24"/>
              <w:lang w:val="en-AU" w:eastAsia="en-AU"/>
            </w:rPr>
            <mc:AlternateContent>
              <mc:Choice Requires="wps">
                <w:drawing>
                  <wp:anchor distT="0" distB="0" distL="114300" distR="114300" simplePos="0" relativeHeight="251659264" behindDoc="0" locked="0" layoutInCell="1" allowOverlap="1" wp14:anchorId="7E143EA4" wp14:editId="32B4F86A">
                    <wp:simplePos x="0" y="0"/>
                    <wp:positionH relativeFrom="column">
                      <wp:posOffset>-42545</wp:posOffset>
                    </wp:positionH>
                    <wp:positionV relativeFrom="paragraph">
                      <wp:posOffset>40005</wp:posOffset>
                    </wp:positionV>
                    <wp:extent cx="2567940" cy="278130"/>
                    <wp:effectExtent l="0" t="0" r="3810" b="7620"/>
                    <wp:wrapNone/>
                    <wp:docPr id="4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78130"/>
                            </a:xfrm>
                            <a:prstGeom prst="rect">
                              <a:avLst/>
                            </a:prstGeom>
                            <a:solidFill>
                              <a:srgbClr val="FFFFFF"/>
                            </a:solidFill>
                            <a:ln>
                              <a:noFill/>
                            </a:ln>
                            <a:extLst/>
                          </wps:spPr>
                          <wps:txbx>
                            <w:txbxContent>
                              <w:p w14:paraId="41410D3B" w14:textId="77777777" w:rsidR="00A003A1" w:rsidRDefault="00A003A1" w:rsidP="00723FE5">
                                <w:pPr>
                                  <w:pStyle w:val="Footer"/>
                                  <w:ind w:left="-1134"/>
                                  <w:jc w:val="both"/>
                                </w:pPr>
                                <w:r>
                                  <w:fldChar w:fldCharType="begin"/>
                                </w:r>
                                <w:r>
                                  <w:instrText xml:space="preserve"> PAGE </w:instrText>
                                </w:r>
                                <w:r>
                                  <w:fldChar w:fldCharType="separate"/>
                                </w:r>
                                <w:r>
                                  <w:rPr>
                                    <w:noProof/>
                                  </w:rPr>
                                  <w:t>106</w:t>
                                </w:r>
                                <w:r>
                                  <w:rPr>
                                    <w:noProof/>
                                  </w:rPr>
                                  <w:fldChar w:fldCharType="end"/>
                                </w:r>
                                <w:r>
                                  <w:t xml:space="preserve"> —&lt;</w:t>
                                </w:r>
                                <w:proofErr w:type="gramStart"/>
                                <w:r>
                                  <w:t xml:space="preserve">Insert  </w:t>
                                </w:r>
                                <w:r>
                                  <w:rPr>
                                    <w:lang w:val="en-AU"/>
                                  </w:rPr>
                                  <w:t>Regulated</w:t>
                                </w:r>
                                <w:proofErr w:type="gramEnd"/>
                                <w:r>
                                  <w:rPr>
                                    <w:lang w:val="en-AU"/>
                                  </w:rPr>
                                  <w:t xml:space="preserve"> water and sewerage services</w:t>
                                </w:r>
                              </w:p>
                              <w:p w14:paraId="77A564A6" w14:textId="77777777" w:rsidR="00A003A1" w:rsidRDefault="00A003A1" w:rsidP="00723FE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143EA4" id="_x0000_t202" coordsize="21600,21600" o:spt="202" path="m,l,21600r21600,l21600,xe">
                    <v:stroke joinstyle="miter"/>
                    <v:path gradientshapeok="t" o:connecttype="rect"/>
                  </v:shapetype>
                  <v:shape id="Text Box 97" o:spid="_x0000_s1027" type="#_x0000_t202" style="position:absolute;left:0;text-align:left;margin-left:-3.35pt;margin-top:3.15pt;width:202.2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" stroked="f">
                    <v:textbox>
                      <w:txbxContent>
                        <w:p w14:paraId="41410D3B" w14:textId="77777777" w:rsidR="00A003A1" w:rsidRDefault="00A003A1" w:rsidP="00723FE5">
                          <w:pPr>
                            <w:pStyle w:val="Footer"/>
                            <w:ind w:left="-1134"/>
                            <w:jc w:val="both"/>
                          </w:pPr>
                          <w:r>
                            <w:fldChar w:fldCharType="begin"/>
                          </w:r>
                          <w:r>
                            <w:instrText xml:space="preserve"> PAGE </w:instrText>
                          </w:r>
                          <w:r>
                            <w:fldChar w:fldCharType="separate"/>
                          </w:r>
                          <w:r>
                            <w:rPr>
                              <w:noProof/>
                            </w:rPr>
                            <w:t>106</w:t>
                          </w:r>
                          <w:r>
                            <w:rPr>
                              <w:noProof/>
                            </w:rPr>
                            <w:fldChar w:fldCharType="end"/>
                          </w:r>
                          <w:r>
                            <w:t xml:space="preserve"> —&lt;</w:t>
                          </w:r>
                          <w:proofErr w:type="gramStart"/>
                          <w:r>
                            <w:t xml:space="preserve">Insert  </w:t>
                          </w:r>
                          <w:r>
                            <w:rPr>
                              <w:lang w:val="en-AU"/>
                            </w:rPr>
                            <w:t>Regulated</w:t>
                          </w:r>
                          <w:proofErr w:type="gramEnd"/>
                          <w:r>
                            <w:rPr>
                              <w:lang w:val="en-AU"/>
                            </w:rPr>
                            <w:t xml:space="preserve"> water and sewerage services</w:t>
                          </w:r>
                        </w:p>
                        <w:p w14:paraId="77A564A6" w14:textId="77777777" w:rsidR="00A003A1" w:rsidRDefault="00A003A1" w:rsidP="00723FE5"/>
                      </w:txbxContent>
                    </v:textbox>
                  </v:shape>
                </w:pict>
              </mc:Fallback>
            </mc:AlternateContent>
          </w:r>
          <w:r w:rsidRPr="0031563D">
            <w:rPr>
              <w:noProof/>
              <w:szCs w:val="24"/>
              <w:lang w:val="en-AU" w:eastAsia="en-AU"/>
            </w:rPr>
            <w:drawing>
              <wp:inline distT="0" distB="0" distL="0" distR="0" wp14:anchorId="69B4265E" wp14:editId="3F30C9AD">
                <wp:extent cx="1155700" cy="387472"/>
                <wp:effectExtent l="0" t="0" r="6350" b="0"/>
                <wp:docPr id="11" name="Picture 7" descr="ICRC logo New 2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7" descr="ICRC logo New 2011.jpg"/>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1155700" cy="387350"/>
                        </a:xfrm>
                        <a:prstGeom prst="rect">
                          <a:avLst/>
                        </a:prstGeom>
                        <a:noFill/>
                        <a:ln w="9525">
                          <a:noFill/>
                          <a:miter lim="800000"/>
                          <a:headEnd/>
                          <a:tailEnd/>
                        </a:ln>
                      </pic:spPr>
                    </pic:pic>
                  </a:graphicData>
                </a:graphic>
              </wp:inline>
            </w:drawing>
          </w:r>
        </w:p>
      </w:tc>
    </w:tr>
  </w:tbl>
  <w:p w14:paraId="16976E1F" w14:textId="77777777" w:rsidR="00A003A1" w:rsidRDefault="00A003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5FADA" w14:textId="77777777" w:rsidR="00A003A1" w:rsidRDefault="00A003A1" w:rsidP="00EF6AF3">
    <w:pPr>
      <w:pStyle w:val="Footer"/>
    </w:pPr>
    <w:r>
      <w:t xml:space="preserve">ICRC </w:t>
    </w:r>
    <w:r>
      <w:tab/>
      <w:t xml:space="preserve">Draft Report — Enlarged Cotter Dam Water Security Project — </w:t>
    </w:r>
    <w:r>
      <w:fldChar w:fldCharType="begin"/>
    </w:r>
    <w:r>
      <w:instrText xml:space="preserve"> PAGE </w:instrText>
    </w:r>
    <w:r>
      <w:fldChar w:fldCharType="separate"/>
    </w:r>
    <w:r>
      <w:rPr>
        <w:noProof/>
      </w:rPr>
      <w:t>i</w:t>
    </w:r>
    <w:r>
      <w:rPr>
        <w:noProof/>
      </w:rPr>
      <w:fldChar w:fldCharType="end"/>
    </w:r>
  </w:p>
  <w:p w14:paraId="7AC540B4" w14:textId="77777777" w:rsidR="00A003A1" w:rsidRDefault="00A003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05" w:type="dxa"/>
      <w:tblLook w:val="04A0" w:firstRow="1" w:lastRow="0" w:firstColumn="1" w:lastColumn="0" w:noHBand="0" w:noVBand="1"/>
    </w:tblPr>
    <w:tblGrid>
      <w:gridCol w:w="2943"/>
      <w:gridCol w:w="4962"/>
    </w:tblGrid>
    <w:tr w:rsidR="00A003A1" w:rsidRPr="00280AFD" w14:paraId="4ED95970" w14:textId="77777777" w:rsidTr="00D50B7C">
      <w:trPr>
        <w:trHeight w:hRule="exact" w:val="655"/>
      </w:trPr>
      <w:tc>
        <w:tcPr>
          <w:tcW w:w="2943" w:type="dxa"/>
          <w:shd w:val="clear" w:color="auto" w:fill="auto"/>
          <w:vAlign w:val="center"/>
        </w:tcPr>
        <w:p w14:paraId="6AF9DC3C" w14:textId="2F20AC96" w:rsidR="00A003A1" w:rsidRPr="0031563D" w:rsidRDefault="00A003A1" w:rsidP="00D50B7C">
          <w:pPr>
            <w:pStyle w:val="Footer"/>
            <w:tabs>
              <w:tab w:val="clear" w:pos="8732"/>
            </w:tabs>
            <w:rPr>
              <w:rFonts w:eastAsia="SimSun"/>
              <w:szCs w:val="24"/>
            </w:rPr>
          </w:pPr>
          <w:r>
            <w:rPr>
              <w:rFonts w:eastAsia="SimSun"/>
              <w:noProof/>
              <w:color w:val="auto"/>
              <w:szCs w:val="24"/>
              <w:lang w:val="en-AU" w:eastAsia="en-AU"/>
            </w:rPr>
            <mc:AlternateContent>
              <mc:Choice Requires="wps">
                <w:drawing>
                  <wp:anchor distT="0" distB="0" distL="114300" distR="114300" simplePos="0" relativeHeight="251662336" behindDoc="0" locked="0" layoutInCell="1" allowOverlap="1" wp14:anchorId="53090876" wp14:editId="648A77BE">
                    <wp:simplePos x="0" y="0"/>
                    <wp:positionH relativeFrom="column">
                      <wp:posOffset>-74930</wp:posOffset>
                    </wp:positionH>
                    <wp:positionV relativeFrom="paragraph">
                      <wp:posOffset>-107950</wp:posOffset>
                    </wp:positionV>
                    <wp:extent cx="5039995" cy="14605"/>
                    <wp:effectExtent l="0" t="0" r="8255" b="4445"/>
                    <wp:wrapNone/>
                    <wp:docPr id="48"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s>
                                <a:gs pos="100000">
                                  <a:srgbClr val="FFA12D">
                                    <a:gamma/>
                                    <a:tint val="10588"/>
                                    <a:invGamma/>
                                  </a:srgbClr>
                                </a:gs>
                              </a:gsLst>
                              <a:lin ang="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59AAC" id="Rectangle 152" o:spid="_x0000_s1026" style="position:absolute;margin-left:-5.9pt;margin-top:-8.5pt;width:396.85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" fillcolor="#ffa12d" stroked="f">
                    <v:fill color2="#fff5e9" rotate="t" angle="90" focus="100%" type="gradient"/>
                  </v:rect>
                </w:pict>
              </mc:Fallback>
            </mc:AlternateContent>
          </w:r>
          <w:r w:rsidRPr="00D50B7C">
            <w:rPr>
              <w:rFonts w:eastAsia="SimSun"/>
              <w:color w:val="000033"/>
              <w:szCs w:val="24"/>
            </w:rPr>
            <w:fldChar w:fldCharType="begin"/>
          </w:r>
          <w:r w:rsidRPr="0031563D">
            <w:rPr>
              <w:rFonts w:eastAsia="SimSun"/>
              <w:color w:val="000033"/>
              <w:szCs w:val="24"/>
            </w:rPr>
            <w:instrText xml:space="preserve"> PAGE   \* MERGEFORMAT </w:instrText>
          </w:r>
          <w:r w:rsidRPr="00D50B7C">
            <w:rPr>
              <w:color w:val="000033"/>
              <w:szCs w:val="24"/>
            </w:rPr>
            <w:fldChar w:fldCharType="separate"/>
          </w:r>
          <w:r w:rsidR="00306CBB" w:rsidRPr="00306CBB">
            <w:rPr>
              <w:rFonts w:eastAsia="SimSun"/>
              <w:b/>
              <w:noProof/>
              <w:color w:val="000033"/>
              <w:sz w:val="32"/>
              <w:szCs w:val="32"/>
            </w:rPr>
            <w:t>4</w:t>
          </w:r>
          <w:r w:rsidRPr="00D50B7C">
            <w:rPr>
              <w:rFonts w:eastAsia="SimSun"/>
              <w:b/>
              <w:noProof/>
              <w:color w:val="000033"/>
              <w:sz w:val="32"/>
              <w:szCs w:val="32"/>
            </w:rPr>
            <w:fldChar w:fldCharType="end"/>
          </w:r>
        </w:p>
      </w:tc>
      <w:tc>
        <w:tcPr>
          <w:tcW w:w="4962" w:type="dxa"/>
          <w:shd w:val="clear" w:color="auto" w:fill="auto"/>
          <w:vAlign w:val="center"/>
        </w:tcPr>
        <w:p w14:paraId="0E82E6B5" w14:textId="77777777" w:rsidR="00A003A1" w:rsidRPr="0031563D" w:rsidRDefault="00A003A1" w:rsidP="00356FB5">
          <w:pPr>
            <w:pStyle w:val="Footer"/>
            <w:tabs>
              <w:tab w:val="clear" w:pos="8732"/>
            </w:tabs>
            <w:jc w:val="right"/>
            <w:rPr>
              <w:rFonts w:eastAsia="SimSun"/>
              <w:color w:val="000033"/>
              <w:szCs w:val="24"/>
            </w:rPr>
          </w:pPr>
          <w:r w:rsidRPr="0031563D">
            <w:rPr>
              <w:rFonts w:eastAsia="SimSun"/>
              <w:szCs w:val="24"/>
            </w:rPr>
            <w:t>Issues paper: Regulated water and sewerage services prices 2018</w:t>
          </w:r>
          <w:r>
            <w:rPr>
              <w:rFonts w:eastAsia="SimSun"/>
              <w:szCs w:val="24"/>
            </w:rPr>
            <w:t>–</w:t>
          </w:r>
          <w:r w:rsidRPr="0031563D">
            <w:rPr>
              <w:rFonts w:eastAsia="SimSun"/>
              <w:szCs w:val="24"/>
            </w:rPr>
            <w:t>2023</w:t>
          </w:r>
        </w:p>
      </w:tc>
    </w:tr>
  </w:tbl>
  <w:p w14:paraId="0348F38F" w14:textId="77777777" w:rsidR="00A003A1" w:rsidRPr="00D5242B" w:rsidRDefault="00A003A1" w:rsidP="00E01F12">
    <w:pPr>
      <w:pStyle w:val="Footer"/>
      <w:jc w:val="right"/>
    </w:pPr>
    <w:r>
      <w:rPr>
        <w:noProof/>
        <w:lang w:val="en-AU" w:eastAsia="en-AU"/>
      </w:rPr>
      <w:drawing>
        <wp:anchor distT="0" distB="0" distL="114300" distR="114300" simplePos="0" relativeHeight="251654144" behindDoc="0" locked="1" layoutInCell="1" allowOverlap="1" wp14:anchorId="1C96792D" wp14:editId="53B372D0">
          <wp:simplePos x="0" y="0"/>
          <wp:positionH relativeFrom="column">
            <wp:posOffset>458470</wp:posOffset>
          </wp:positionH>
          <wp:positionV relativeFrom="paragraph">
            <wp:posOffset>-342900</wp:posOffset>
          </wp:positionV>
          <wp:extent cx="1123950" cy="266700"/>
          <wp:effectExtent l="0" t="0" r="0" b="0"/>
          <wp:wrapNone/>
          <wp:docPr id="5" name="Picture 1" descr="Description: Description: 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CRC logo New Blue (modified J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05" w:type="dxa"/>
      <w:tblLook w:val="04A0" w:firstRow="1" w:lastRow="0" w:firstColumn="1" w:lastColumn="0" w:noHBand="0" w:noVBand="1"/>
    </w:tblPr>
    <w:tblGrid>
      <w:gridCol w:w="5070"/>
      <w:gridCol w:w="2835"/>
    </w:tblGrid>
    <w:tr w:rsidR="00A003A1" w:rsidRPr="00280AFD" w14:paraId="43B76361" w14:textId="77777777" w:rsidTr="00D50B7C">
      <w:trPr>
        <w:trHeight w:hRule="exact" w:val="641"/>
      </w:trPr>
      <w:tc>
        <w:tcPr>
          <w:tcW w:w="5070" w:type="dxa"/>
          <w:shd w:val="clear" w:color="auto" w:fill="auto"/>
          <w:vAlign w:val="center"/>
        </w:tcPr>
        <w:p w14:paraId="4502A4AB" w14:textId="6628B0F5" w:rsidR="00A003A1" w:rsidRPr="0031563D" w:rsidRDefault="00A003A1" w:rsidP="00D50B7C">
          <w:pPr>
            <w:pStyle w:val="Footer"/>
            <w:tabs>
              <w:tab w:val="clear" w:pos="8732"/>
            </w:tabs>
            <w:rPr>
              <w:rFonts w:eastAsia="SimSun"/>
              <w:szCs w:val="24"/>
            </w:rPr>
          </w:pPr>
          <w:r>
            <w:rPr>
              <w:rFonts w:eastAsia="SimSun"/>
              <w:noProof/>
              <w:color w:val="auto"/>
              <w:szCs w:val="24"/>
              <w:lang w:val="en-AU" w:eastAsia="en-AU"/>
            </w:rPr>
            <mc:AlternateContent>
              <mc:Choice Requires="wps">
                <w:drawing>
                  <wp:anchor distT="0" distB="0" distL="114300" distR="114300" simplePos="0" relativeHeight="251661312" behindDoc="0" locked="0" layoutInCell="1" allowOverlap="1" wp14:anchorId="264869A2" wp14:editId="63E8699E">
                    <wp:simplePos x="0" y="0"/>
                    <wp:positionH relativeFrom="column">
                      <wp:posOffset>-79375</wp:posOffset>
                    </wp:positionH>
                    <wp:positionV relativeFrom="paragraph">
                      <wp:posOffset>-81280</wp:posOffset>
                    </wp:positionV>
                    <wp:extent cx="5039995" cy="14605"/>
                    <wp:effectExtent l="0" t="0" r="8255" b="4445"/>
                    <wp:wrapNone/>
                    <wp:docPr id="1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amma/>
                                    <a:tint val="10588"/>
                                    <a:invGamma/>
                                  </a:srgbClr>
                                </a:gs>
                                <a:gs pos="100000">
                                  <a:srgbClr val="FFA12D"/>
                                </a:gs>
                              </a:gsLst>
                              <a:lin ang="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44AF8" id="Rectangle 151" o:spid="_x0000_s1026" style="position:absolute;margin-left:-6.25pt;margin-top:-6.4pt;width:396.85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" fillcolor="#fff5e9" stroked="f">
                    <v:fill color2="#ffa12d" rotate="t" angle="90" focus="100%" type="gradient"/>
                  </v:rect>
                </w:pict>
              </mc:Fallback>
            </mc:AlternateContent>
          </w:r>
          <w:r w:rsidRPr="0031563D">
            <w:rPr>
              <w:rFonts w:eastAsia="SimSun"/>
              <w:szCs w:val="24"/>
            </w:rPr>
            <w:t xml:space="preserve"> Issues paper: Regulated water and sewerage services prices 2018-2023</w:t>
          </w:r>
        </w:p>
        <w:p w14:paraId="1174057F" w14:textId="77777777" w:rsidR="00A003A1" w:rsidRPr="0031563D" w:rsidRDefault="00A003A1" w:rsidP="00D50B7C">
          <w:pPr>
            <w:pStyle w:val="Footer"/>
            <w:tabs>
              <w:tab w:val="clear" w:pos="8732"/>
            </w:tabs>
            <w:rPr>
              <w:rFonts w:eastAsia="SimSun"/>
              <w:szCs w:val="24"/>
            </w:rPr>
          </w:pPr>
        </w:p>
      </w:tc>
      <w:tc>
        <w:tcPr>
          <w:tcW w:w="2835" w:type="dxa"/>
          <w:shd w:val="clear" w:color="auto" w:fill="auto"/>
          <w:vAlign w:val="center"/>
        </w:tcPr>
        <w:p w14:paraId="2B0396A8" w14:textId="77777777" w:rsidR="00A003A1" w:rsidRPr="00D50B7C" w:rsidRDefault="00A003A1" w:rsidP="00D50B7C">
          <w:pPr>
            <w:pStyle w:val="Footer"/>
            <w:tabs>
              <w:tab w:val="clear" w:pos="8732"/>
            </w:tabs>
            <w:jc w:val="right"/>
            <w:rPr>
              <w:rFonts w:eastAsia="SimSun"/>
              <w:color w:val="000033"/>
              <w:sz w:val="32"/>
              <w:szCs w:val="32"/>
            </w:rPr>
          </w:pPr>
          <w:r w:rsidRPr="00D50B7C">
            <w:rPr>
              <w:rFonts w:eastAsia="SimSun"/>
              <w:color w:val="000033"/>
              <w:sz w:val="32"/>
              <w:szCs w:val="32"/>
            </w:rPr>
            <w:fldChar w:fldCharType="begin"/>
          </w:r>
          <w:r w:rsidRPr="00D50B7C">
            <w:rPr>
              <w:rFonts w:eastAsia="SimSun"/>
              <w:color w:val="000033"/>
              <w:sz w:val="32"/>
              <w:szCs w:val="32"/>
            </w:rPr>
            <w:instrText xml:space="preserve"> PAGE   \* MERGEFORMAT </w:instrText>
          </w:r>
          <w:r w:rsidRPr="00D50B7C">
            <w:rPr>
              <w:color w:val="000033"/>
              <w:sz w:val="32"/>
              <w:szCs w:val="32"/>
            </w:rPr>
            <w:fldChar w:fldCharType="separate"/>
          </w:r>
          <w:r w:rsidR="00306CBB" w:rsidRPr="00306CBB">
            <w:rPr>
              <w:b/>
              <w:bCs/>
              <w:noProof/>
              <w:color w:val="000033"/>
              <w:sz w:val="32"/>
              <w:szCs w:val="32"/>
              <w:lang w:val="en-US"/>
            </w:rPr>
            <w:t>i</w:t>
          </w:r>
          <w:r w:rsidRPr="00D50B7C">
            <w:rPr>
              <w:rFonts w:eastAsia="SimSun"/>
              <w:b/>
              <w:noProof/>
              <w:color w:val="000033"/>
              <w:sz w:val="32"/>
              <w:szCs w:val="32"/>
            </w:rPr>
            <w:fldChar w:fldCharType="end"/>
          </w:r>
        </w:p>
      </w:tc>
    </w:tr>
  </w:tbl>
  <w:p w14:paraId="6D6C4A7D" w14:textId="77777777" w:rsidR="00A003A1" w:rsidRPr="00E42160" w:rsidRDefault="00A003A1" w:rsidP="00280AFD">
    <w:pPr>
      <w:pStyle w:val="Footer"/>
    </w:pPr>
    <w:r>
      <w:rPr>
        <w:noProof/>
        <w:lang w:val="en-AU" w:eastAsia="en-AU"/>
      </w:rPr>
      <w:drawing>
        <wp:anchor distT="0" distB="0" distL="114300" distR="114300" simplePos="0" relativeHeight="251656192" behindDoc="0" locked="1" layoutInCell="1" allowOverlap="1" wp14:anchorId="43093E0C" wp14:editId="549E362A">
          <wp:simplePos x="0" y="0"/>
          <wp:positionH relativeFrom="column">
            <wp:posOffset>3296920</wp:posOffset>
          </wp:positionH>
          <wp:positionV relativeFrom="paragraph">
            <wp:posOffset>-342900</wp:posOffset>
          </wp:positionV>
          <wp:extent cx="1123950" cy="266700"/>
          <wp:effectExtent l="0" t="0" r="0" b="0"/>
          <wp:wrapNone/>
          <wp:docPr id="4" name="Picture 1" descr="Description: Description: 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CRC logo New Blue (modified J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05" w:type="dxa"/>
      <w:tblLook w:val="04A0" w:firstRow="1" w:lastRow="0" w:firstColumn="1" w:lastColumn="0" w:noHBand="0" w:noVBand="1"/>
    </w:tblPr>
    <w:tblGrid>
      <w:gridCol w:w="4786"/>
      <w:gridCol w:w="3119"/>
    </w:tblGrid>
    <w:tr w:rsidR="00A003A1" w:rsidRPr="00280AFD" w14:paraId="01866049" w14:textId="77777777" w:rsidTr="00E6005B">
      <w:trPr>
        <w:trHeight w:hRule="exact" w:val="641"/>
      </w:trPr>
      <w:tc>
        <w:tcPr>
          <w:tcW w:w="4786" w:type="dxa"/>
          <w:shd w:val="clear" w:color="auto" w:fill="auto"/>
          <w:vAlign w:val="center"/>
        </w:tcPr>
        <w:p w14:paraId="5B395845" w14:textId="241C1D4F" w:rsidR="00A003A1" w:rsidRPr="0031563D" w:rsidRDefault="00A003A1" w:rsidP="00D50B7C">
          <w:pPr>
            <w:pStyle w:val="Footer"/>
            <w:tabs>
              <w:tab w:val="clear" w:pos="8732"/>
            </w:tabs>
            <w:rPr>
              <w:rFonts w:eastAsia="SimSun"/>
              <w:szCs w:val="24"/>
            </w:rPr>
          </w:pPr>
          <w:r>
            <w:rPr>
              <w:rFonts w:eastAsia="SimSun"/>
              <w:noProof/>
              <w:szCs w:val="24"/>
              <w:lang w:val="en-AU" w:eastAsia="en-AU"/>
            </w:rPr>
            <mc:AlternateContent>
              <mc:Choice Requires="wps">
                <w:drawing>
                  <wp:anchor distT="0" distB="0" distL="114300" distR="114300" simplePos="0" relativeHeight="251660288" behindDoc="0" locked="0" layoutInCell="1" allowOverlap="1" wp14:anchorId="187A9B91" wp14:editId="5F0A2AE3">
                    <wp:simplePos x="0" y="0"/>
                    <wp:positionH relativeFrom="column">
                      <wp:posOffset>-79375</wp:posOffset>
                    </wp:positionH>
                    <wp:positionV relativeFrom="paragraph">
                      <wp:posOffset>-81280</wp:posOffset>
                    </wp:positionV>
                    <wp:extent cx="5039995" cy="14605"/>
                    <wp:effectExtent l="0" t="0" r="8255" b="4445"/>
                    <wp:wrapNone/>
                    <wp:docPr id="47"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amma/>
                                    <a:tint val="10588"/>
                                    <a:invGamma/>
                                  </a:srgbClr>
                                </a:gs>
                                <a:gs pos="100000">
                                  <a:srgbClr val="FFA12D"/>
                                </a:gs>
                              </a:gsLst>
                              <a:lin ang="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C4953" id="Rectangle 151" o:spid="_x0000_s1026" style="position:absolute;margin-left:-6.25pt;margin-top:-6.4pt;width:396.8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" fillcolor="#fff5e9" stroked="f">
                    <v:fill color2="#ffa12d" rotate="t" angle="90" focus="100%" type="gradient"/>
                  </v:rect>
                </w:pict>
              </mc:Fallback>
            </mc:AlternateContent>
          </w:r>
          <w:r w:rsidRPr="0031563D">
            <w:rPr>
              <w:rFonts w:eastAsia="SimSun"/>
              <w:szCs w:val="24"/>
            </w:rPr>
            <w:t>Issues paper: Regulated water and sewerage services prices 2018</w:t>
          </w:r>
          <w:r>
            <w:rPr>
              <w:rFonts w:eastAsia="SimSun"/>
              <w:szCs w:val="24"/>
            </w:rPr>
            <w:t>–</w:t>
          </w:r>
          <w:r w:rsidRPr="0031563D">
            <w:rPr>
              <w:rFonts w:eastAsia="SimSun"/>
              <w:szCs w:val="24"/>
            </w:rPr>
            <w:t>2023</w:t>
          </w:r>
        </w:p>
      </w:tc>
      <w:tc>
        <w:tcPr>
          <w:tcW w:w="3119" w:type="dxa"/>
          <w:shd w:val="clear" w:color="auto" w:fill="auto"/>
          <w:vAlign w:val="center"/>
        </w:tcPr>
        <w:p w14:paraId="41FC278F" w14:textId="77777777" w:rsidR="00A003A1" w:rsidRPr="00D50B7C" w:rsidRDefault="00A003A1" w:rsidP="00D50B7C">
          <w:pPr>
            <w:pStyle w:val="Footer"/>
            <w:tabs>
              <w:tab w:val="clear" w:pos="8732"/>
            </w:tabs>
            <w:jc w:val="right"/>
            <w:rPr>
              <w:rFonts w:eastAsia="SimSun"/>
              <w:color w:val="000033"/>
              <w:sz w:val="32"/>
              <w:szCs w:val="32"/>
            </w:rPr>
          </w:pPr>
          <w:r w:rsidRPr="00D50B7C">
            <w:rPr>
              <w:rFonts w:eastAsia="SimSun"/>
              <w:color w:val="000033"/>
              <w:sz w:val="32"/>
              <w:szCs w:val="32"/>
            </w:rPr>
            <w:fldChar w:fldCharType="begin"/>
          </w:r>
          <w:r w:rsidRPr="00D50B7C">
            <w:rPr>
              <w:rFonts w:eastAsia="SimSun"/>
              <w:color w:val="000033"/>
              <w:sz w:val="32"/>
              <w:szCs w:val="32"/>
            </w:rPr>
            <w:instrText xml:space="preserve"> PAGE   \* MERGEFORMAT </w:instrText>
          </w:r>
          <w:r w:rsidRPr="00D50B7C">
            <w:rPr>
              <w:color w:val="000033"/>
              <w:sz w:val="32"/>
              <w:szCs w:val="32"/>
            </w:rPr>
            <w:fldChar w:fldCharType="separate"/>
          </w:r>
          <w:r w:rsidR="00306CBB" w:rsidRPr="00306CBB">
            <w:rPr>
              <w:b/>
              <w:bCs/>
              <w:noProof/>
              <w:color w:val="000033"/>
              <w:sz w:val="32"/>
              <w:szCs w:val="32"/>
              <w:lang w:val="en-US"/>
            </w:rPr>
            <w:t>3</w:t>
          </w:r>
          <w:r w:rsidRPr="00D50B7C">
            <w:rPr>
              <w:rFonts w:eastAsia="SimSun"/>
              <w:b/>
              <w:noProof/>
              <w:color w:val="000033"/>
              <w:sz w:val="32"/>
              <w:szCs w:val="32"/>
            </w:rPr>
            <w:fldChar w:fldCharType="end"/>
          </w:r>
        </w:p>
      </w:tc>
    </w:tr>
  </w:tbl>
  <w:p w14:paraId="1B288100" w14:textId="77777777" w:rsidR="00A003A1" w:rsidRPr="00E42160" w:rsidRDefault="00A003A1" w:rsidP="00280AFD">
    <w:pPr>
      <w:pStyle w:val="Footer"/>
    </w:pPr>
    <w:r>
      <w:rPr>
        <w:noProof/>
        <w:lang w:val="en-AU" w:eastAsia="en-AU"/>
      </w:rPr>
      <w:drawing>
        <wp:anchor distT="0" distB="0" distL="114300" distR="114300" simplePos="0" relativeHeight="251655168" behindDoc="0" locked="1" layoutInCell="1" allowOverlap="1" wp14:anchorId="32AECD69" wp14:editId="770B16C6">
          <wp:simplePos x="0" y="0"/>
          <wp:positionH relativeFrom="column">
            <wp:posOffset>3296920</wp:posOffset>
          </wp:positionH>
          <wp:positionV relativeFrom="paragraph">
            <wp:posOffset>-342900</wp:posOffset>
          </wp:positionV>
          <wp:extent cx="1123950" cy="266700"/>
          <wp:effectExtent l="0" t="0" r="0" b="0"/>
          <wp:wrapNone/>
          <wp:docPr id="3" name="Picture 1" descr="Description: Description: 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CRC logo New Blue (modified J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64640" w14:textId="77777777" w:rsidR="00A003A1" w:rsidRDefault="00A003A1" w:rsidP="006522B3">
      <w:pPr>
        <w:spacing w:after="0" w:line="240" w:lineRule="auto"/>
      </w:pPr>
      <w:r>
        <w:separator/>
      </w:r>
    </w:p>
  </w:footnote>
  <w:footnote w:type="continuationSeparator" w:id="0">
    <w:p w14:paraId="64BFA76A" w14:textId="77777777" w:rsidR="00A003A1" w:rsidRDefault="00A003A1" w:rsidP="006522B3">
      <w:pPr>
        <w:spacing w:after="0" w:line="240" w:lineRule="auto"/>
      </w:pPr>
      <w:r>
        <w:continuationSeparator/>
      </w:r>
    </w:p>
  </w:footnote>
  <w:footnote w:type="continuationNotice" w:id="1">
    <w:p w14:paraId="6C009E70" w14:textId="77777777" w:rsidR="00A003A1" w:rsidRDefault="00A003A1">
      <w:pPr>
        <w:spacing w:after="0" w:line="240" w:lineRule="auto"/>
      </w:pPr>
    </w:p>
  </w:footnote>
  <w:footnote w:id="2">
    <w:p w14:paraId="7F759DC4" w14:textId="77777777" w:rsidR="00A003A1" w:rsidRPr="009F756B" w:rsidRDefault="00A003A1">
      <w:pPr>
        <w:pStyle w:val="FootnoteText"/>
        <w:rPr>
          <w:lang w:val="en-US"/>
        </w:rPr>
      </w:pPr>
      <w:r>
        <w:rPr>
          <w:rStyle w:val="FootnoteReference"/>
        </w:rPr>
        <w:footnoteRef/>
      </w:r>
      <w:r>
        <w:t xml:space="preserve"> Industry Panel, 2015a. </w:t>
      </w:r>
    </w:p>
  </w:footnote>
  <w:footnote w:id="3">
    <w:p w14:paraId="5E326183" w14:textId="77777777" w:rsidR="00A003A1" w:rsidRPr="009F756B" w:rsidRDefault="00A003A1" w:rsidP="00ED3916">
      <w:pPr>
        <w:pStyle w:val="FootnoteText"/>
        <w:rPr>
          <w:lang w:val="en-US"/>
        </w:rPr>
      </w:pPr>
      <w:r>
        <w:rPr>
          <w:rStyle w:val="FootnoteReference"/>
        </w:rPr>
        <w:footnoteRef/>
      </w:r>
      <w:r>
        <w:t xml:space="preserve"> </w:t>
      </w:r>
      <w:r>
        <w:rPr>
          <w:lang w:val="en-US"/>
        </w:rPr>
        <w:t>ICRC, 2013.</w:t>
      </w:r>
    </w:p>
  </w:footnote>
  <w:footnote w:id="4">
    <w:p w14:paraId="4DD3BB6D" w14:textId="77777777" w:rsidR="00A003A1" w:rsidRPr="00CF4B46" w:rsidRDefault="00A003A1">
      <w:pPr>
        <w:pStyle w:val="FootnoteText"/>
        <w:rPr>
          <w:lang w:val="en-US"/>
        </w:rPr>
      </w:pPr>
      <w:r>
        <w:rPr>
          <w:rStyle w:val="FootnoteReference"/>
        </w:rPr>
        <w:footnoteRef/>
      </w:r>
      <w:r>
        <w:t xml:space="preserve"> There were other differences, but they did not make a difference on a net present value basis when considered over the same regulatory period and assuming the allowed operating and capital expenditure for the final three years of the regulatory period. </w:t>
      </w:r>
    </w:p>
  </w:footnote>
  <w:footnote w:id="5">
    <w:p w14:paraId="4ECA2076" w14:textId="77777777" w:rsidR="00A003A1" w:rsidRPr="008C5374" w:rsidRDefault="00A003A1">
      <w:pPr>
        <w:pStyle w:val="FootnoteText"/>
        <w:rPr>
          <w:lang w:val="en-US"/>
        </w:rPr>
      </w:pPr>
      <w:r>
        <w:rPr>
          <w:rStyle w:val="FootnoteReference"/>
        </w:rPr>
        <w:footnoteRef/>
      </w:r>
      <w:r>
        <w:t xml:space="preserve"> With scope to update the rate of return parameters at the biennial recalibrations. </w:t>
      </w:r>
    </w:p>
  </w:footnote>
  <w:footnote w:id="6">
    <w:p w14:paraId="3B4C1CDE" w14:textId="77777777" w:rsidR="00A003A1" w:rsidRPr="003C73AD" w:rsidRDefault="00A003A1">
      <w:pPr>
        <w:pStyle w:val="FootnoteText"/>
        <w:rPr>
          <w:lang w:val="en-US"/>
        </w:rPr>
      </w:pPr>
      <w:r>
        <w:rPr>
          <w:rStyle w:val="FootnoteReference"/>
        </w:rPr>
        <w:footnoteRef/>
      </w:r>
      <w:r>
        <w:t xml:space="preserve"> </w:t>
      </w:r>
      <w:r>
        <w:rPr>
          <w:lang w:val="en-US"/>
        </w:rPr>
        <w:t>Industry Panel, 2015a: Table 1.7.</w:t>
      </w:r>
    </w:p>
  </w:footnote>
  <w:footnote w:id="7">
    <w:p w14:paraId="71FC4DDB" w14:textId="77777777" w:rsidR="00A003A1" w:rsidRPr="004108C9" w:rsidRDefault="00A003A1">
      <w:pPr>
        <w:pStyle w:val="FootnoteText"/>
        <w:rPr>
          <w:lang w:val="en-US"/>
        </w:rPr>
      </w:pPr>
      <w:r>
        <w:rPr>
          <w:rStyle w:val="FootnoteReference"/>
        </w:rPr>
        <w:footnoteRef/>
      </w:r>
      <w:r>
        <w:t xml:space="preserve"> </w:t>
      </w:r>
      <w:r>
        <w:rPr>
          <w:lang w:val="en-US"/>
        </w:rPr>
        <w:t xml:space="preserve">ICRC, 2017. </w:t>
      </w:r>
    </w:p>
  </w:footnote>
  <w:footnote w:id="8">
    <w:p w14:paraId="7743C942" w14:textId="77777777" w:rsidR="00A003A1" w:rsidRPr="00E556E6" w:rsidRDefault="00A003A1" w:rsidP="0007446D">
      <w:pPr>
        <w:pStyle w:val="FootnoteText"/>
        <w:rPr>
          <w:lang w:val="en-US"/>
        </w:rPr>
      </w:pPr>
      <w:r>
        <w:rPr>
          <w:rStyle w:val="FootnoteReference"/>
        </w:rPr>
        <w:footnoteRef/>
      </w:r>
      <w:r>
        <w:t xml:space="preserve"> </w:t>
      </w:r>
      <w:r>
        <w:rPr>
          <w:lang w:val="en-US"/>
        </w:rPr>
        <w:t>Industry Panel, 2015a: 30.</w:t>
      </w:r>
    </w:p>
  </w:footnote>
  <w:footnote w:id="9">
    <w:p w14:paraId="7E8CEF2B" w14:textId="77777777" w:rsidR="00A003A1" w:rsidRPr="008C5374" w:rsidRDefault="00A003A1" w:rsidP="00F30EC2">
      <w:pPr>
        <w:pStyle w:val="FootnoteText"/>
        <w:rPr>
          <w:lang w:val="en-US"/>
        </w:rPr>
      </w:pPr>
      <w:r>
        <w:rPr>
          <w:rStyle w:val="FootnoteReference"/>
        </w:rPr>
        <w:footnoteRef/>
      </w:r>
      <w:r>
        <w:t xml:space="preserve"> </w:t>
      </w:r>
      <w:r>
        <w:rPr>
          <w:lang w:val="en-US"/>
        </w:rPr>
        <w:t xml:space="preserve">Industry Panel, 2015a: 5. </w:t>
      </w:r>
    </w:p>
  </w:footnote>
  <w:footnote w:id="10">
    <w:p w14:paraId="7FC0511C" w14:textId="77777777" w:rsidR="00A003A1" w:rsidRPr="00482E64" w:rsidRDefault="00A003A1" w:rsidP="00331E28">
      <w:pPr>
        <w:pStyle w:val="FootnoteText"/>
        <w:rPr>
          <w:lang w:val="en-US"/>
        </w:rPr>
      </w:pPr>
      <w:r>
        <w:rPr>
          <w:rStyle w:val="FootnoteReference"/>
        </w:rPr>
        <w:footnoteRef/>
      </w:r>
      <w:r>
        <w:t xml:space="preserve"> </w:t>
      </w:r>
      <w:r>
        <w:rPr>
          <w:lang w:val="en-US"/>
        </w:rPr>
        <w:t xml:space="preserve">Industry Panel, 2015a: </w:t>
      </w:r>
      <w:r w:rsidRPr="00421275">
        <w:rPr>
          <w:lang w:val="en-US"/>
        </w:rPr>
        <w:t>30–</w:t>
      </w:r>
      <w:r w:rsidRPr="00CB632F">
        <w:rPr>
          <w:lang w:val="en-US"/>
        </w:rPr>
        <w:t>7.</w:t>
      </w:r>
    </w:p>
  </w:footnote>
  <w:footnote w:id="11">
    <w:p w14:paraId="0FF48F31" w14:textId="77777777" w:rsidR="00A003A1" w:rsidRPr="004869CD" w:rsidRDefault="00A003A1" w:rsidP="00F30EC2">
      <w:pPr>
        <w:pStyle w:val="FootnoteText"/>
        <w:rPr>
          <w:lang w:val="en-US"/>
        </w:rPr>
      </w:pPr>
      <w:r>
        <w:rPr>
          <w:rStyle w:val="FootnoteReference"/>
        </w:rPr>
        <w:footnoteRef/>
      </w:r>
      <w:r>
        <w:t xml:space="preserve"> </w:t>
      </w:r>
      <w:r>
        <w:rPr>
          <w:lang w:val="en-US"/>
        </w:rPr>
        <w:t xml:space="preserve">Industry Panel, 2015a: 35–6. </w:t>
      </w:r>
    </w:p>
  </w:footnote>
  <w:footnote w:id="12">
    <w:p w14:paraId="3426138F" w14:textId="77777777" w:rsidR="00A003A1" w:rsidRPr="004869CD" w:rsidRDefault="00A003A1" w:rsidP="005A271C">
      <w:pPr>
        <w:pStyle w:val="FootnoteText"/>
        <w:rPr>
          <w:lang w:val="en-US"/>
        </w:rPr>
      </w:pPr>
      <w:r>
        <w:rPr>
          <w:rStyle w:val="FootnoteReference"/>
        </w:rPr>
        <w:footnoteRef/>
      </w:r>
      <w:r>
        <w:t xml:space="preserve"> </w:t>
      </w:r>
      <w:r>
        <w:rPr>
          <w:lang w:val="en-US"/>
        </w:rPr>
        <w:t>Industry Panel, 2015b: 13.</w:t>
      </w:r>
    </w:p>
  </w:footnote>
  <w:footnote w:id="13">
    <w:p w14:paraId="33C916BD" w14:textId="77777777" w:rsidR="00A003A1" w:rsidRPr="00696B65" w:rsidRDefault="00A003A1" w:rsidP="00F30EC2">
      <w:pPr>
        <w:pStyle w:val="FootnoteText"/>
        <w:rPr>
          <w:lang w:val="en-US"/>
        </w:rPr>
      </w:pPr>
      <w:r>
        <w:rPr>
          <w:rStyle w:val="FootnoteReference"/>
        </w:rPr>
        <w:footnoteRef/>
      </w:r>
      <w:r>
        <w:t xml:space="preserve"> </w:t>
      </w:r>
      <w:r>
        <w:rPr>
          <w:lang w:val="en-US"/>
        </w:rPr>
        <w:t>Industry Panel, 2015a: 36.</w:t>
      </w:r>
    </w:p>
  </w:footnote>
  <w:footnote w:id="14">
    <w:p w14:paraId="447A1691" w14:textId="77777777" w:rsidR="00A003A1" w:rsidRDefault="00A003A1">
      <w:pPr>
        <w:pStyle w:val="FootnoteText"/>
      </w:pPr>
      <w:r>
        <w:rPr>
          <w:rStyle w:val="FootnoteReference"/>
        </w:rPr>
        <w:footnoteRef/>
      </w:r>
      <w:r>
        <w:t xml:space="preserve"> ICRC, 2015: Appendix 1. </w:t>
      </w:r>
    </w:p>
  </w:footnote>
  <w:footnote w:id="15">
    <w:p w14:paraId="1AC0A493" w14:textId="77777777" w:rsidR="00A003A1" w:rsidRPr="003E19BE" w:rsidRDefault="00A003A1">
      <w:pPr>
        <w:pStyle w:val="FootnoteText"/>
        <w:rPr>
          <w:lang w:val="en-US"/>
        </w:rPr>
      </w:pPr>
      <w:r>
        <w:rPr>
          <w:rStyle w:val="FootnoteReference"/>
        </w:rPr>
        <w:footnoteRef/>
      </w:r>
      <w:r>
        <w:t xml:space="preserve"> The term ‘nominal’ means that the return components are in nominal as opposed to real (inflation-adjusted) terms, so an inflation premium is already included in the components. The term ‘vanilla’ refers to the simple form of the WACC, where explicit tax effects are not included in the formula but treated separately in defining allowed revenue requirements. </w:t>
      </w:r>
    </w:p>
  </w:footnote>
  <w:footnote w:id="16">
    <w:p w14:paraId="6B766475" w14:textId="77777777" w:rsidR="00A003A1" w:rsidRPr="00623726" w:rsidRDefault="00A003A1">
      <w:pPr>
        <w:pStyle w:val="FootnoteText"/>
        <w:rPr>
          <w:lang w:val="en-US"/>
        </w:rPr>
      </w:pPr>
      <w:r>
        <w:rPr>
          <w:rStyle w:val="FootnoteReference"/>
        </w:rPr>
        <w:footnoteRef/>
      </w:r>
      <w:r>
        <w:t xml:space="preserve"> </w:t>
      </w:r>
      <w:r>
        <w:rPr>
          <w:lang w:val="en-US"/>
        </w:rPr>
        <w:t>Industry Panel, 2015: 65.</w:t>
      </w:r>
    </w:p>
  </w:footnote>
  <w:footnote w:id="17">
    <w:p w14:paraId="37F8BA2A" w14:textId="334B0628" w:rsidR="00A003A1" w:rsidRPr="005A6A28" w:rsidRDefault="00A003A1">
      <w:pPr>
        <w:pStyle w:val="FootnoteText"/>
        <w:rPr>
          <w:lang w:val="en-US"/>
        </w:rPr>
      </w:pPr>
      <w:r>
        <w:rPr>
          <w:rStyle w:val="FootnoteReference"/>
        </w:rPr>
        <w:footnoteRef/>
      </w:r>
      <w:r>
        <w:t xml:space="preserve"> </w:t>
      </w:r>
      <w:r>
        <w:rPr>
          <w:lang w:val="en-US"/>
        </w:rPr>
        <w:t>Industry Panel, 2015: 65.</w:t>
      </w:r>
    </w:p>
  </w:footnote>
  <w:footnote w:id="18">
    <w:p w14:paraId="5C0AB932" w14:textId="77777777" w:rsidR="00A003A1" w:rsidRPr="004E0BB0" w:rsidRDefault="00A003A1">
      <w:pPr>
        <w:pStyle w:val="FootnoteText"/>
        <w:rPr>
          <w:lang w:val="en-US"/>
        </w:rPr>
      </w:pPr>
      <w:r>
        <w:rPr>
          <w:rStyle w:val="FootnoteReference"/>
        </w:rPr>
        <w:footnoteRef/>
      </w:r>
      <w:r>
        <w:t xml:space="preserve"> </w:t>
      </w:r>
      <w:r>
        <w:rPr>
          <w:lang w:val="en-US"/>
        </w:rPr>
        <w:t>Industry Panel, 2015: 65.</w:t>
      </w:r>
    </w:p>
  </w:footnote>
  <w:footnote w:id="19">
    <w:p w14:paraId="226F8823" w14:textId="77777777" w:rsidR="00A003A1" w:rsidRPr="001E2D3D" w:rsidRDefault="00A003A1">
      <w:pPr>
        <w:pStyle w:val="FootnoteText"/>
        <w:rPr>
          <w:lang w:val="en-US"/>
        </w:rPr>
      </w:pPr>
      <w:r>
        <w:rPr>
          <w:rStyle w:val="FootnoteReference"/>
        </w:rPr>
        <w:footnoteRef/>
      </w:r>
      <w:r>
        <w:t xml:space="preserve"> </w:t>
      </w:r>
      <w:r>
        <w:rPr>
          <w:lang w:val="en-US"/>
        </w:rPr>
        <w:t>IPART, 2016a: 125.</w:t>
      </w:r>
    </w:p>
  </w:footnote>
  <w:footnote w:id="20">
    <w:p w14:paraId="2BC65971" w14:textId="77777777" w:rsidR="00A003A1" w:rsidRPr="003748FA" w:rsidRDefault="00A003A1">
      <w:pPr>
        <w:pStyle w:val="FootnoteText"/>
        <w:rPr>
          <w:lang w:val="en-US"/>
        </w:rPr>
      </w:pPr>
      <w:r>
        <w:rPr>
          <w:rStyle w:val="FootnoteReference"/>
        </w:rPr>
        <w:footnoteRef/>
      </w:r>
      <w:r>
        <w:t xml:space="preserve"> </w:t>
      </w:r>
      <w:r>
        <w:rPr>
          <w:lang w:val="en-US"/>
        </w:rPr>
        <w:t>Industry Panel, 2015a: 71.</w:t>
      </w:r>
    </w:p>
  </w:footnote>
  <w:footnote w:id="21">
    <w:p w14:paraId="73621CC3" w14:textId="77777777" w:rsidR="00A003A1" w:rsidRPr="000533B0" w:rsidRDefault="00A003A1">
      <w:pPr>
        <w:pStyle w:val="FootnoteText"/>
        <w:rPr>
          <w:lang w:val="en-US"/>
        </w:rPr>
      </w:pPr>
      <w:r>
        <w:rPr>
          <w:rStyle w:val="FootnoteReference"/>
        </w:rPr>
        <w:footnoteRef/>
      </w:r>
      <w:r>
        <w:t xml:space="preserve"> </w:t>
      </w:r>
      <w:r>
        <w:rPr>
          <w:lang w:val="en-US"/>
        </w:rPr>
        <w:t>Industry Panel, 2015a: 78.</w:t>
      </w:r>
    </w:p>
  </w:footnote>
  <w:footnote w:id="22">
    <w:p w14:paraId="15F66771" w14:textId="77777777" w:rsidR="00A003A1" w:rsidRPr="00B50566" w:rsidRDefault="00A003A1" w:rsidP="001C4070">
      <w:pPr>
        <w:pStyle w:val="FootnoteText"/>
        <w:rPr>
          <w:lang w:val="en-US"/>
        </w:rPr>
      </w:pPr>
      <w:r>
        <w:rPr>
          <w:rStyle w:val="FootnoteReference"/>
        </w:rPr>
        <w:footnoteRef/>
      </w:r>
      <w:r>
        <w:t xml:space="preserve"> </w:t>
      </w:r>
      <w:r>
        <w:rPr>
          <w:lang w:val="en-US"/>
        </w:rPr>
        <w:t>IPART, 2013: 33.</w:t>
      </w:r>
    </w:p>
  </w:footnote>
  <w:footnote w:id="23">
    <w:p w14:paraId="28EB249B" w14:textId="77777777" w:rsidR="00A003A1" w:rsidRPr="00B50566" w:rsidRDefault="00A003A1">
      <w:pPr>
        <w:pStyle w:val="FootnoteText"/>
        <w:rPr>
          <w:lang w:val="en-US"/>
        </w:rPr>
      </w:pPr>
      <w:r>
        <w:rPr>
          <w:rStyle w:val="FootnoteReference"/>
        </w:rPr>
        <w:footnoteRef/>
      </w:r>
      <w:r>
        <w:t xml:space="preserve"> </w:t>
      </w:r>
      <w:r>
        <w:rPr>
          <w:lang w:val="en-US"/>
        </w:rPr>
        <w:t>IPART, 2013.</w:t>
      </w:r>
    </w:p>
  </w:footnote>
  <w:footnote w:id="24">
    <w:p w14:paraId="5FE81DE1" w14:textId="77777777" w:rsidR="00A003A1" w:rsidRPr="00231950" w:rsidRDefault="00A003A1">
      <w:pPr>
        <w:pStyle w:val="FootnoteText"/>
        <w:rPr>
          <w:lang w:val="en-US"/>
        </w:rPr>
      </w:pPr>
      <w:r>
        <w:rPr>
          <w:rStyle w:val="FootnoteReference"/>
        </w:rPr>
        <w:footnoteRef/>
      </w:r>
      <w:r>
        <w:t xml:space="preserve"> </w:t>
      </w:r>
      <w:r>
        <w:rPr>
          <w:lang w:val="en-US"/>
        </w:rPr>
        <w:t>IPART, 2013: 2–4.</w:t>
      </w:r>
    </w:p>
  </w:footnote>
  <w:footnote w:id="25">
    <w:p w14:paraId="66CF3D31" w14:textId="77777777" w:rsidR="00A003A1" w:rsidRPr="00F70372" w:rsidRDefault="00A003A1">
      <w:pPr>
        <w:pStyle w:val="FootnoteText"/>
        <w:rPr>
          <w:lang w:val="en-US"/>
        </w:rPr>
      </w:pPr>
      <w:r>
        <w:rPr>
          <w:rStyle w:val="FootnoteReference"/>
        </w:rPr>
        <w:footnoteRef/>
      </w:r>
      <w:r>
        <w:t xml:space="preserve"> </w:t>
      </w:r>
      <w:r>
        <w:rPr>
          <w:lang w:val="en-US"/>
        </w:rPr>
        <w:t>IPART, 2016a: 125.</w:t>
      </w:r>
    </w:p>
  </w:footnote>
  <w:footnote w:id="26">
    <w:p w14:paraId="376B75B1" w14:textId="77777777" w:rsidR="00A003A1" w:rsidRPr="008E49E9" w:rsidRDefault="00A003A1" w:rsidP="00C97DD4">
      <w:pPr>
        <w:pStyle w:val="FootnoteText"/>
      </w:pPr>
      <w:r>
        <w:rPr>
          <w:rStyle w:val="FootnoteReference"/>
        </w:rPr>
        <w:footnoteRef/>
      </w:r>
      <w:r>
        <w:t xml:space="preserve"> AER, 2013; QCA, 2014.</w:t>
      </w:r>
    </w:p>
  </w:footnote>
  <w:footnote w:id="27">
    <w:p w14:paraId="308EC891" w14:textId="1DBB3F1D" w:rsidR="00A003A1" w:rsidRDefault="00A003A1">
      <w:pPr>
        <w:pStyle w:val="FootnoteText"/>
      </w:pPr>
      <w:r>
        <w:rPr>
          <w:rStyle w:val="FootnoteReference"/>
        </w:rPr>
        <w:footnoteRef/>
      </w:r>
      <w:r>
        <w:t xml:space="preserve"> AER, 2013e: 11.</w:t>
      </w:r>
    </w:p>
  </w:footnote>
  <w:footnote w:id="28">
    <w:p w14:paraId="70B11E2B" w14:textId="77777777" w:rsidR="00A003A1" w:rsidRPr="00525126" w:rsidRDefault="00A003A1">
      <w:pPr>
        <w:pStyle w:val="FootnoteText"/>
        <w:rPr>
          <w:lang w:val="en-US"/>
        </w:rPr>
      </w:pPr>
      <w:r>
        <w:rPr>
          <w:rStyle w:val="FootnoteReference"/>
        </w:rPr>
        <w:footnoteRef/>
      </w:r>
      <w:r>
        <w:t xml:space="preserve"> QCA, 2014: 23. </w:t>
      </w:r>
    </w:p>
  </w:footnote>
  <w:footnote w:id="29">
    <w:p w14:paraId="55DF3A00" w14:textId="77777777" w:rsidR="00A003A1" w:rsidRPr="00937C40" w:rsidRDefault="00A003A1" w:rsidP="00C97DD4">
      <w:pPr>
        <w:pStyle w:val="FootnoteText"/>
        <w:rPr>
          <w:lang w:val="en-US"/>
        </w:rPr>
      </w:pPr>
      <w:r>
        <w:rPr>
          <w:rStyle w:val="FootnoteReference"/>
        </w:rPr>
        <w:footnoteRef/>
      </w:r>
      <w:r>
        <w:t xml:space="preserve"> </w:t>
      </w:r>
      <w:r>
        <w:rPr>
          <w:lang w:val="en-US"/>
        </w:rPr>
        <w:t>SFG Consulting, 2013: 12.</w:t>
      </w:r>
    </w:p>
  </w:footnote>
  <w:footnote w:id="30">
    <w:p w14:paraId="6FC0FEDE" w14:textId="77777777" w:rsidR="00A003A1" w:rsidRPr="00AB5DC7" w:rsidRDefault="00A003A1">
      <w:pPr>
        <w:pStyle w:val="FootnoteText"/>
        <w:rPr>
          <w:lang w:val="en-US"/>
        </w:rPr>
      </w:pPr>
      <w:r>
        <w:rPr>
          <w:rStyle w:val="FootnoteReference"/>
        </w:rPr>
        <w:footnoteRef/>
      </w:r>
      <w:r>
        <w:t xml:space="preserve"> </w:t>
      </w:r>
      <w:r>
        <w:rPr>
          <w:lang w:val="en-US"/>
        </w:rPr>
        <w:t>ICRC, 2017.</w:t>
      </w:r>
    </w:p>
  </w:footnote>
  <w:footnote w:id="31">
    <w:p w14:paraId="59FE87ED" w14:textId="77777777" w:rsidR="00A003A1" w:rsidRPr="00E612E7" w:rsidRDefault="00A003A1">
      <w:pPr>
        <w:pStyle w:val="FootnoteText"/>
        <w:rPr>
          <w:lang w:val="en-US"/>
        </w:rPr>
      </w:pPr>
      <w:r>
        <w:rPr>
          <w:rStyle w:val="FootnoteReference"/>
        </w:rPr>
        <w:footnoteRef/>
      </w:r>
      <w:r>
        <w:t xml:space="preserve"> </w:t>
      </w:r>
      <w:r>
        <w:rPr>
          <w:lang w:val="en-US"/>
        </w:rPr>
        <w:t>Symmetry of expected returns is effectively assumed in the standard cost of capital methodology – the CAPM.</w:t>
      </w:r>
    </w:p>
  </w:footnote>
  <w:footnote w:id="32">
    <w:p w14:paraId="14B183EA" w14:textId="77777777" w:rsidR="00A003A1" w:rsidRPr="00D63462" w:rsidRDefault="00A003A1">
      <w:pPr>
        <w:pStyle w:val="FootnoteText"/>
        <w:rPr>
          <w:lang w:val="en-US"/>
        </w:rPr>
      </w:pPr>
      <w:r>
        <w:rPr>
          <w:rStyle w:val="FootnoteReference"/>
        </w:rPr>
        <w:footnoteRef/>
      </w:r>
      <w:r>
        <w:t xml:space="preserve"> </w:t>
      </w:r>
      <w:r>
        <w:rPr>
          <w:lang w:val="en-US"/>
        </w:rPr>
        <w:t>Industry Panel, 2015a: 37–42.</w:t>
      </w:r>
    </w:p>
  </w:footnote>
  <w:footnote w:id="33">
    <w:p w14:paraId="791E624D" w14:textId="77777777" w:rsidR="00A003A1" w:rsidRPr="0059141B" w:rsidRDefault="00A003A1" w:rsidP="008700A7">
      <w:pPr>
        <w:pStyle w:val="BodyText"/>
        <w:spacing w:before="178" w:line="240" w:lineRule="auto"/>
        <w:ind w:right="102"/>
      </w:pPr>
      <w:r>
        <w:rPr>
          <w:rStyle w:val="FootnoteReference"/>
        </w:rPr>
        <w:footnoteRef/>
      </w:r>
      <w:r>
        <w:t xml:space="preserve"> </w:t>
      </w:r>
      <w:r w:rsidRPr="0059141B">
        <w:rPr>
          <w:sz w:val="18"/>
          <w:szCs w:val="18"/>
        </w:rPr>
        <w:t xml:space="preserve">The materiality threshold for the cost pass-through mechanism is $0 for the </w:t>
      </w:r>
      <w:r>
        <w:rPr>
          <w:sz w:val="18"/>
          <w:szCs w:val="18"/>
        </w:rPr>
        <w:t>w</w:t>
      </w:r>
      <w:r w:rsidRPr="0059141B">
        <w:rPr>
          <w:sz w:val="18"/>
          <w:szCs w:val="18"/>
        </w:rPr>
        <w:t xml:space="preserve">ater </w:t>
      </w:r>
      <w:r>
        <w:rPr>
          <w:sz w:val="18"/>
          <w:szCs w:val="18"/>
        </w:rPr>
        <w:t>a</w:t>
      </w:r>
      <w:r w:rsidRPr="0059141B">
        <w:rPr>
          <w:sz w:val="18"/>
          <w:szCs w:val="18"/>
        </w:rPr>
        <w:t xml:space="preserve">bstraction </w:t>
      </w:r>
      <w:r>
        <w:rPr>
          <w:sz w:val="18"/>
          <w:szCs w:val="18"/>
        </w:rPr>
        <w:t>c</w:t>
      </w:r>
      <w:r w:rsidRPr="0059141B">
        <w:rPr>
          <w:sz w:val="18"/>
          <w:szCs w:val="18"/>
        </w:rPr>
        <w:t xml:space="preserve">harge, the </w:t>
      </w:r>
      <w:r>
        <w:rPr>
          <w:sz w:val="18"/>
          <w:szCs w:val="18"/>
        </w:rPr>
        <w:t>u</w:t>
      </w:r>
      <w:r w:rsidRPr="0059141B">
        <w:rPr>
          <w:sz w:val="18"/>
          <w:szCs w:val="18"/>
        </w:rPr>
        <w:t xml:space="preserve">tilities </w:t>
      </w:r>
      <w:r>
        <w:rPr>
          <w:sz w:val="18"/>
          <w:szCs w:val="18"/>
        </w:rPr>
        <w:t>n</w:t>
      </w:r>
      <w:r w:rsidRPr="0059141B">
        <w:rPr>
          <w:sz w:val="18"/>
          <w:szCs w:val="18"/>
        </w:rPr>
        <w:t xml:space="preserve">etwork </w:t>
      </w:r>
      <w:r>
        <w:rPr>
          <w:sz w:val="18"/>
          <w:szCs w:val="18"/>
        </w:rPr>
        <w:t>f</w:t>
      </w:r>
      <w:r w:rsidRPr="0059141B">
        <w:rPr>
          <w:sz w:val="18"/>
          <w:szCs w:val="18"/>
        </w:rPr>
        <w:t xml:space="preserve">acilities </w:t>
      </w:r>
      <w:r>
        <w:rPr>
          <w:sz w:val="18"/>
          <w:szCs w:val="18"/>
        </w:rPr>
        <w:t>t</w:t>
      </w:r>
      <w:r w:rsidRPr="0059141B">
        <w:rPr>
          <w:sz w:val="18"/>
          <w:szCs w:val="18"/>
        </w:rPr>
        <w:t>ax and subvention payments, and $2 million (2012</w:t>
      </w:r>
      <w:r>
        <w:rPr>
          <w:sz w:val="18"/>
          <w:szCs w:val="18"/>
        </w:rPr>
        <w:t>–</w:t>
      </w:r>
      <w:r w:rsidRPr="0059141B">
        <w:rPr>
          <w:sz w:val="18"/>
          <w:szCs w:val="18"/>
        </w:rPr>
        <w:t>13</w:t>
      </w:r>
      <w:r>
        <w:rPr>
          <w:sz w:val="18"/>
          <w:szCs w:val="18"/>
        </w:rPr>
        <w:t xml:space="preserve"> dollars</w:t>
      </w:r>
      <w:r w:rsidRPr="0059141B">
        <w:rPr>
          <w:sz w:val="18"/>
          <w:szCs w:val="18"/>
        </w:rPr>
        <w:t>) per event for all other cost pass-through categories (Industry Panel</w:t>
      </w:r>
      <w:r>
        <w:rPr>
          <w:sz w:val="18"/>
          <w:szCs w:val="18"/>
        </w:rPr>
        <w:t>,</w:t>
      </w:r>
      <w:r w:rsidRPr="0059141B">
        <w:rPr>
          <w:sz w:val="18"/>
          <w:szCs w:val="18"/>
        </w:rPr>
        <w:t xml:space="preserve"> 2015</w:t>
      </w:r>
      <w:r>
        <w:rPr>
          <w:sz w:val="18"/>
          <w:szCs w:val="18"/>
        </w:rPr>
        <w:t>a</w:t>
      </w:r>
      <w:r w:rsidRPr="0059141B">
        <w:rPr>
          <w:sz w:val="18"/>
          <w:szCs w:val="18"/>
        </w:rPr>
        <w:t>:</w:t>
      </w:r>
      <w:r>
        <w:rPr>
          <w:sz w:val="18"/>
          <w:szCs w:val="18"/>
        </w:rPr>
        <w:t xml:space="preserve"> </w:t>
      </w:r>
      <w:r w:rsidRPr="0059141B">
        <w:rPr>
          <w:sz w:val="18"/>
          <w:szCs w:val="18"/>
        </w:rPr>
        <w:t>41).</w:t>
      </w:r>
    </w:p>
  </w:footnote>
  <w:footnote w:id="34">
    <w:p w14:paraId="1DAE09F4" w14:textId="77777777" w:rsidR="00A003A1" w:rsidRPr="00155C33" w:rsidRDefault="00A003A1">
      <w:pPr>
        <w:pStyle w:val="FootnoteText"/>
        <w:rPr>
          <w:lang w:val="en-US"/>
        </w:rPr>
      </w:pPr>
      <w:r>
        <w:rPr>
          <w:rStyle w:val="FootnoteReference"/>
        </w:rPr>
        <w:footnoteRef/>
      </w:r>
      <w:r>
        <w:t xml:space="preserve"> </w:t>
      </w:r>
      <w:r w:rsidRPr="00155C33">
        <w:rPr>
          <w:lang w:val="en-US"/>
        </w:rPr>
        <w:t xml:space="preserve">The event must severely restrict Icon Water’s ability to provide water and/or sewerage services and impose a total </w:t>
      </w:r>
      <w:proofErr w:type="spellStart"/>
      <w:r w:rsidRPr="00155C33">
        <w:rPr>
          <w:lang w:val="en-US"/>
        </w:rPr>
        <w:t>annualised</w:t>
      </w:r>
      <w:proofErr w:type="spellEnd"/>
      <w:r w:rsidRPr="00155C33">
        <w:rPr>
          <w:lang w:val="en-US"/>
        </w:rPr>
        <w:t xml:space="preserve"> cost on Icon Water for the remainder of the regulatory period of more than </w:t>
      </w:r>
      <w:r>
        <w:rPr>
          <w:lang w:val="en-US"/>
        </w:rPr>
        <w:br/>
      </w:r>
      <w:r w:rsidRPr="00155C33">
        <w:rPr>
          <w:lang w:val="en-US"/>
        </w:rPr>
        <w:t xml:space="preserve">$12 </w:t>
      </w:r>
      <w:r>
        <w:rPr>
          <w:lang w:val="en-US"/>
        </w:rPr>
        <w:t>million (Industry Panel, 2015a: 42).</w:t>
      </w:r>
    </w:p>
  </w:footnote>
  <w:footnote w:id="35">
    <w:p w14:paraId="38C0915C" w14:textId="77777777" w:rsidR="00A003A1" w:rsidRPr="000F7AB5" w:rsidRDefault="00A003A1">
      <w:pPr>
        <w:pStyle w:val="FootnoteText"/>
        <w:rPr>
          <w:lang w:val="en-US"/>
        </w:rPr>
      </w:pPr>
      <w:r>
        <w:rPr>
          <w:rStyle w:val="FootnoteReference"/>
        </w:rPr>
        <w:footnoteRef/>
      </w:r>
      <w:r>
        <w:t xml:space="preserve"> </w:t>
      </w:r>
      <w:r>
        <w:rPr>
          <w:lang w:val="en-US"/>
        </w:rPr>
        <w:t xml:space="preserve">Industry Panel, 2015a: 129. </w:t>
      </w:r>
    </w:p>
  </w:footnote>
  <w:footnote w:id="36">
    <w:p w14:paraId="4E954758" w14:textId="77777777" w:rsidR="00A003A1" w:rsidRPr="008674FE" w:rsidRDefault="00A003A1">
      <w:pPr>
        <w:pStyle w:val="FootnoteText"/>
        <w:rPr>
          <w:lang w:val="en-US"/>
        </w:rPr>
      </w:pPr>
      <w:r>
        <w:rPr>
          <w:rStyle w:val="FootnoteReference"/>
        </w:rPr>
        <w:footnoteRef/>
      </w:r>
      <w:r>
        <w:t xml:space="preserve"> The UK Office of Water Services</w:t>
      </w:r>
      <w:r>
        <w:rPr>
          <w:lang w:val="en-US"/>
        </w:rPr>
        <w:t xml:space="preserve"> has used customer surveys to determine how satisfied customers were with services and with the handling of complaints (</w:t>
      </w:r>
      <w:proofErr w:type="spellStart"/>
      <w:r>
        <w:rPr>
          <w:lang w:val="en-US"/>
        </w:rPr>
        <w:t>Ofwat</w:t>
      </w:r>
      <w:proofErr w:type="spellEnd"/>
      <w:r>
        <w:rPr>
          <w:lang w:val="en-US"/>
        </w:rPr>
        <w:t>, 2010).</w:t>
      </w:r>
    </w:p>
  </w:footnote>
  <w:footnote w:id="37">
    <w:p w14:paraId="4FDEDB67" w14:textId="77777777" w:rsidR="00A003A1" w:rsidRPr="00812126" w:rsidRDefault="00A003A1">
      <w:pPr>
        <w:pStyle w:val="FootnoteText"/>
        <w:rPr>
          <w:lang w:val="en-US"/>
        </w:rPr>
      </w:pPr>
      <w:r>
        <w:rPr>
          <w:rStyle w:val="FootnoteReference"/>
        </w:rPr>
        <w:footnoteRef/>
      </w:r>
      <w:r>
        <w:t xml:space="preserve"> See IPART, 2015a; 2016a, b.</w:t>
      </w:r>
    </w:p>
  </w:footnote>
  <w:footnote w:id="38">
    <w:p w14:paraId="3393CF7E" w14:textId="77777777" w:rsidR="00A003A1" w:rsidRPr="007427EF" w:rsidRDefault="00A003A1">
      <w:pPr>
        <w:pStyle w:val="FootnoteText"/>
        <w:rPr>
          <w:lang w:val="en-US"/>
        </w:rPr>
      </w:pPr>
      <w:r>
        <w:rPr>
          <w:rStyle w:val="FootnoteReference"/>
        </w:rPr>
        <w:footnoteRef/>
      </w:r>
      <w:r>
        <w:t xml:space="preserve"> </w:t>
      </w:r>
      <w:r>
        <w:rPr>
          <w:lang w:val="en-US"/>
        </w:rPr>
        <w:t xml:space="preserve">IPART, 2016a: 282. </w:t>
      </w:r>
    </w:p>
  </w:footnote>
  <w:footnote w:id="39">
    <w:p w14:paraId="488BDCC8" w14:textId="77777777" w:rsidR="00A003A1" w:rsidRPr="000B3689" w:rsidRDefault="00A003A1">
      <w:pPr>
        <w:pStyle w:val="FootnoteText"/>
        <w:rPr>
          <w:lang w:val="en-US"/>
        </w:rPr>
      </w:pPr>
      <w:r>
        <w:rPr>
          <w:rStyle w:val="FootnoteReference"/>
        </w:rPr>
        <w:footnoteRef/>
      </w:r>
      <w:r>
        <w:t xml:space="preserve"> </w:t>
      </w:r>
      <w:r>
        <w:rPr>
          <w:lang w:val="en-US"/>
        </w:rPr>
        <w:t>IPART, 2015a: 5–7.</w:t>
      </w:r>
    </w:p>
  </w:footnote>
  <w:footnote w:id="40">
    <w:p w14:paraId="38A1AD7D" w14:textId="77777777" w:rsidR="00A003A1" w:rsidRPr="00B23E95" w:rsidRDefault="00A003A1">
      <w:pPr>
        <w:pStyle w:val="FootnoteText"/>
        <w:rPr>
          <w:lang w:val="en-US"/>
        </w:rPr>
      </w:pPr>
      <w:r>
        <w:rPr>
          <w:rStyle w:val="FootnoteReference"/>
        </w:rPr>
        <w:footnoteRef/>
      </w:r>
      <w:r>
        <w:t xml:space="preserve"> </w:t>
      </w:r>
      <w:r>
        <w:rPr>
          <w:lang w:val="en-US"/>
        </w:rPr>
        <w:t>IPART, 2016a: 53–60.</w:t>
      </w:r>
    </w:p>
  </w:footnote>
  <w:footnote w:id="41">
    <w:p w14:paraId="2D895D2B" w14:textId="77777777" w:rsidR="00A003A1" w:rsidRPr="00A734BF" w:rsidRDefault="00A003A1">
      <w:pPr>
        <w:pStyle w:val="FootnoteText"/>
        <w:rPr>
          <w:lang w:val="en-US"/>
        </w:rPr>
      </w:pPr>
      <w:r>
        <w:rPr>
          <w:rStyle w:val="FootnoteReference"/>
        </w:rPr>
        <w:footnoteRef/>
      </w:r>
      <w:r>
        <w:t xml:space="preserve"> </w:t>
      </w:r>
      <w:r>
        <w:rPr>
          <w:lang w:val="en-US"/>
        </w:rPr>
        <w:t>IPART, 2016a: 53–55.</w:t>
      </w:r>
    </w:p>
  </w:footnote>
  <w:footnote w:id="42">
    <w:p w14:paraId="09C7FC69" w14:textId="77777777" w:rsidR="00A003A1" w:rsidRPr="00720C9A" w:rsidRDefault="00A003A1">
      <w:pPr>
        <w:pStyle w:val="FootnoteText"/>
        <w:rPr>
          <w:lang w:val="en-US"/>
        </w:rPr>
      </w:pPr>
      <w:r>
        <w:rPr>
          <w:rStyle w:val="FootnoteReference"/>
        </w:rPr>
        <w:footnoteRef/>
      </w:r>
      <w:r>
        <w:t xml:space="preserve"> </w:t>
      </w:r>
      <w:r>
        <w:rPr>
          <w:lang w:val="en-US"/>
        </w:rPr>
        <w:t>IPART, 2016a: 53–62.</w:t>
      </w:r>
    </w:p>
  </w:footnote>
  <w:footnote w:id="43">
    <w:p w14:paraId="582B0E0D" w14:textId="77777777" w:rsidR="00A003A1" w:rsidRPr="00D2117B" w:rsidRDefault="00A003A1">
      <w:pPr>
        <w:pStyle w:val="FootnoteText"/>
        <w:rPr>
          <w:lang w:val="en-US"/>
        </w:rPr>
      </w:pPr>
      <w:r>
        <w:rPr>
          <w:rStyle w:val="FootnoteReference"/>
        </w:rPr>
        <w:footnoteRef/>
      </w:r>
      <w:r>
        <w:t xml:space="preserve"> This gain can be measured in terms of the share of the permanent present value gain that is realised, which depends on the gain and a discount rate. The share of the gain increases as the discount rate increases since future gains are worth less relative to gains for the first four years. For a four-year holding period and a 5.3 per cent discount rate, the share of the present value of a permanent efficiency gain is approximately 18 per cent (IPART, 2015b: 86).</w:t>
      </w:r>
    </w:p>
  </w:footnote>
  <w:footnote w:id="44">
    <w:p w14:paraId="06C6F4A0" w14:textId="77777777" w:rsidR="00A003A1" w:rsidRPr="00C26570" w:rsidRDefault="00A003A1" w:rsidP="000B32F2">
      <w:pPr>
        <w:pStyle w:val="FootnoteText"/>
        <w:rPr>
          <w:lang w:val="en-US"/>
        </w:rPr>
      </w:pPr>
      <w:r>
        <w:rPr>
          <w:rStyle w:val="FootnoteReference"/>
        </w:rPr>
        <w:footnoteRef/>
      </w:r>
      <w:r>
        <w:t xml:space="preserve"> </w:t>
      </w:r>
      <w:r>
        <w:rPr>
          <w:lang w:val="en-US"/>
        </w:rPr>
        <w:t>AER, 2015a.</w:t>
      </w:r>
    </w:p>
  </w:footnote>
  <w:footnote w:id="45">
    <w:p w14:paraId="19A340D2" w14:textId="77777777" w:rsidR="00A003A1" w:rsidRPr="00C26570" w:rsidRDefault="00A003A1">
      <w:pPr>
        <w:pStyle w:val="FootnoteText"/>
        <w:rPr>
          <w:lang w:val="en-US"/>
        </w:rPr>
      </w:pPr>
      <w:r>
        <w:rPr>
          <w:rStyle w:val="FootnoteReference"/>
        </w:rPr>
        <w:footnoteRef/>
      </w:r>
      <w:r>
        <w:t xml:space="preserve"> </w:t>
      </w:r>
      <w:r>
        <w:rPr>
          <w:lang w:val="en-US"/>
        </w:rPr>
        <w:t>AER, 2015b: 47.</w:t>
      </w:r>
    </w:p>
  </w:footnote>
  <w:footnote w:id="46">
    <w:p w14:paraId="2A9C5B62" w14:textId="54689495" w:rsidR="00A003A1" w:rsidRPr="004D156C" w:rsidRDefault="00A003A1">
      <w:pPr>
        <w:pStyle w:val="FootnoteText"/>
        <w:rPr>
          <w:lang w:val="en-AU"/>
        </w:rPr>
      </w:pPr>
      <w:r>
        <w:rPr>
          <w:rStyle w:val="FootnoteReference"/>
        </w:rPr>
        <w:footnoteRef/>
      </w:r>
      <w:r>
        <w:t xml:space="preserve"> </w:t>
      </w:r>
      <w:r>
        <w:rPr>
          <w:lang w:val="en-AU"/>
        </w:rPr>
        <w:t>AER, 2015a: 15.</w:t>
      </w:r>
    </w:p>
  </w:footnote>
  <w:footnote w:id="47">
    <w:p w14:paraId="26FA6F97" w14:textId="77777777" w:rsidR="00A003A1" w:rsidRPr="00BA2032" w:rsidRDefault="00A003A1">
      <w:pPr>
        <w:pStyle w:val="FootnoteText"/>
        <w:rPr>
          <w:lang w:val="en-US"/>
        </w:rPr>
      </w:pPr>
      <w:r>
        <w:rPr>
          <w:rStyle w:val="FootnoteReference"/>
        </w:rPr>
        <w:footnoteRef/>
      </w:r>
      <w:r>
        <w:t xml:space="preserve"> </w:t>
      </w:r>
      <w:r>
        <w:rPr>
          <w:lang w:val="en-US"/>
        </w:rPr>
        <w:t>AER, 2013d.</w:t>
      </w:r>
    </w:p>
  </w:footnote>
  <w:footnote w:id="48">
    <w:p w14:paraId="7097A947" w14:textId="77777777" w:rsidR="00A003A1" w:rsidRPr="002753D4" w:rsidRDefault="00A003A1" w:rsidP="00E24384">
      <w:pPr>
        <w:pStyle w:val="FootnoteText"/>
        <w:rPr>
          <w:lang w:val="en-US"/>
        </w:rPr>
      </w:pPr>
      <w:r>
        <w:rPr>
          <w:rStyle w:val="FootnoteReference"/>
        </w:rPr>
        <w:footnoteRef/>
      </w:r>
      <w:r>
        <w:t xml:space="preserve"> </w:t>
      </w:r>
      <w:r>
        <w:rPr>
          <w:lang w:val="en-US"/>
        </w:rPr>
        <w:t>AEMC, 2012: v.</w:t>
      </w:r>
    </w:p>
  </w:footnote>
  <w:footnote w:id="49">
    <w:p w14:paraId="0545F631" w14:textId="77777777" w:rsidR="00A003A1" w:rsidRPr="00BA2032" w:rsidRDefault="00A003A1" w:rsidP="00E24384">
      <w:pPr>
        <w:pStyle w:val="FootnoteText"/>
        <w:rPr>
          <w:lang w:val="en-US"/>
        </w:rPr>
      </w:pPr>
      <w:r>
        <w:rPr>
          <w:rStyle w:val="FootnoteReference"/>
        </w:rPr>
        <w:footnoteRef/>
      </w:r>
      <w:r>
        <w:t xml:space="preserve"> </w:t>
      </w:r>
      <w:r>
        <w:rPr>
          <w:lang w:val="en-US"/>
        </w:rPr>
        <w:t>AER, 2013c, d.</w:t>
      </w:r>
    </w:p>
  </w:footnote>
  <w:footnote w:id="50">
    <w:p w14:paraId="680270C4" w14:textId="77777777" w:rsidR="00A003A1" w:rsidRPr="008E7FBB" w:rsidRDefault="00A003A1">
      <w:pPr>
        <w:pStyle w:val="FootnoteText"/>
        <w:rPr>
          <w:lang w:val="en-AU"/>
        </w:rPr>
      </w:pPr>
      <w:r>
        <w:rPr>
          <w:rStyle w:val="FootnoteReference"/>
        </w:rPr>
        <w:footnoteRef/>
      </w:r>
      <w:r>
        <w:t xml:space="preserve"> </w:t>
      </w:r>
      <w:r w:rsidRPr="00B51CA5">
        <w:t>AER</w:t>
      </w:r>
      <w:r>
        <w:t>,</w:t>
      </w:r>
      <w:r w:rsidRPr="00B51CA5">
        <w:t xml:space="preserve"> 2013b</w:t>
      </w:r>
      <w:r>
        <w:t>:</w:t>
      </w:r>
      <w:r w:rsidRPr="00B51CA5">
        <w:t xml:space="preserve"> 32</w:t>
      </w:r>
      <w:r>
        <w:t>.</w:t>
      </w:r>
    </w:p>
  </w:footnote>
  <w:footnote w:id="51">
    <w:p w14:paraId="40AD0D88" w14:textId="77777777" w:rsidR="00A003A1" w:rsidRDefault="00A003A1" w:rsidP="003119B2">
      <w:pPr>
        <w:pStyle w:val="FootnoteText"/>
      </w:pPr>
      <w:r>
        <w:rPr>
          <w:rStyle w:val="FootnoteReference"/>
        </w:rPr>
        <w:footnoteRef/>
      </w:r>
      <w:r>
        <w:t xml:space="preserve"> </w:t>
      </w:r>
      <w:r w:rsidRPr="00740693">
        <w:t>The AER (2013b) explanatory statement shows that the NSP would receive 30 per cent of the estimated benefit of an inter-period deferral after an adjustment to the CESS payments (Attachment D).</w:t>
      </w:r>
      <w:r>
        <w:rPr>
          <w:color w:val="000000"/>
          <w:sz w:val="22"/>
          <w:szCs w:val="22"/>
        </w:rPr>
        <w:t xml:space="preserve"> </w:t>
      </w:r>
    </w:p>
  </w:footnote>
  <w:footnote w:id="52">
    <w:p w14:paraId="49ECFDB0" w14:textId="77777777" w:rsidR="00A003A1" w:rsidRPr="000F2AF1" w:rsidRDefault="00A003A1">
      <w:pPr>
        <w:pStyle w:val="FootnoteText"/>
        <w:rPr>
          <w:lang w:val="en-US"/>
        </w:rPr>
      </w:pPr>
      <w:r>
        <w:rPr>
          <w:rStyle w:val="FootnoteReference"/>
        </w:rPr>
        <w:footnoteRef/>
      </w:r>
      <w:r>
        <w:t xml:space="preserve"> </w:t>
      </w:r>
      <w:r>
        <w:rPr>
          <w:lang w:val="en-US"/>
        </w:rPr>
        <w:t>ICRC,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5F5EC" w14:textId="77777777" w:rsidR="00A003A1" w:rsidRDefault="00A003A1">
    <w:pPr>
      <w:spacing w:after="0" w:line="240" w:lineRule="aut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D226" w14:textId="77777777" w:rsidR="00A003A1" w:rsidRDefault="00A003A1" w:rsidP="00CF59A9">
    <w:pPr>
      <w:spacing w:after="0"/>
    </w:pPr>
  </w:p>
  <w:p w14:paraId="48D0ADC8" w14:textId="77777777" w:rsidR="00A003A1" w:rsidRDefault="00A003A1" w:rsidP="00CF59A9">
    <w:pPr>
      <w:spacing w:after="0"/>
    </w:pPr>
  </w:p>
  <w:p w14:paraId="08A7B16B" w14:textId="77777777" w:rsidR="00A003A1" w:rsidRDefault="00A003A1" w:rsidP="00CF59A9">
    <w:pPr>
      <w:pStyle w:val="Headereven"/>
    </w:pPr>
  </w:p>
  <w:p w14:paraId="244E0E98" w14:textId="77777777" w:rsidR="00A003A1" w:rsidRPr="00CF59A9" w:rsidRDefault="00A003A1" w:rsidP="00B1531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88D19" w14:textId="77777777" w:rsidR="00A003A1" w:rsidRDefault="00A003A1" w:rsidP="00D67976">
    <w:pPr>
      <w:spacing w:after="0"/>
      <w:jc w:val="right"/>
    </w:pPr>
  </w:p>
  <w:p w14:paraId="4A39E088" w14:textId="77777777" w:rsidR="00A003A1" w:rsidRDefault="00A003A1" w:rsidP="00D67976">
    <w:pPr>
      <w:spacing w:after="0"/>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C43DB" w14:textId="77777777" w:rsidR="00A003A1" w:rsidRDefault="00A003A1" w:rsidP="00D67976">
    <w:pPr>
      <w:spacing w:after="0"/>
    </w:pPr>
  </w:p>
  <w:p w14:paraId="0DF3CCC1" w14:textId="77777777" w:rsidR="00A003A1" w:rsidRDefault="00A003A1" w:rsidP="00D67976">
    <w:pPr>
      <w:spacing w:after="0"/>
    </w:pPr>
  </w:p>
  <w:p w14:paraId="5D02B153" w14:textId="77777777" w:rsidR="00A003A1" w:rsidRDefault="00A003A1" w:rsidP="00502D80">
    <w:pPr>
      <w:pStyle w:val="Headereven"/>
    </w:pPr>
    <w:r>
      <w:fldChar w:fldCharType="begin"/>
    </w:r>
    <w:r>
      <w:instrText xml:space="preserve"> REF _Ref338172668 \r \h </w:instrText>
    </w:r>
    <w:r>
      <w:fldChar w:fldCharType="separate"/>
    </w:r>
    <w:r>
      <w:rPr>
        <w:b/>
        <w:bCs/>
        <w:lang w:val="en-US"/>
      </w:rPr>
      <w:t>Error! Reference source not found.</w:t>
    </w:r>
    <w:r>
      <w:fldChar w:fldCharType="end"/>
    </w:r>
    <w:r>
      <w:t xml:space="preserve"> – </w:t>
    </w:r>
    <w:r>
      <w:fldChar w:fldCharType="begin"/>
    </w:r>
    <w:r>
      <w:instrText xml:space="preserve"> REF _Ref338172668 \h </w:instrText>
    </w:r>
    <w:r>
      <w:fldChar w:fldCharType="separate"/>
    </w:r>
    <w:r>
      <w:rPr>
        <w:b/>
        <w:bCs/>
        <w:lang w:val="en-US"/>
      </w:rPr>
      <w:t>Error! Reference source not found.</w:t>
    </w:r>
    <w:r>
      <w:fldChar w:fldCharType="end"/>
    </w:r>
  </w:p>
  <w:p w14:paraId="4B59933F" w14:textId="77777777" w:rsidR="00A003A1" w:rsidRDefault="00A003A1" w:rsidP="00502D80">
    <w:pPr>
      <w:pStyle w:val="Headereven"/>
    </w:pPr>
    <w:r>
      <w:fldChar w:fldCharType="begin"/>
    </w:r>
    <w:r>
      <w:instrText xml:space="preserve"> REF _Ref349552358 \r \h </w:instrText>
    </w:r>
    <w:r>
      <w:fldChar w:fldCharType="separate"/>
    </w:r>
    <w:r>
      <w:rPr>
        <w:b/>
        <w:bCs/>
        <w:lang w:val="en-US"/>
      </w:rPr>
      <w:t>Error! Reference source not found.</w:t>
    </w:r>
    <w:r>
      <w:fldChar w:fldCharType="end"/>
    </w:r>
    <w:r>
      <w:t xml:space="preserve"> – </w:t>
    </w:r>
    <w:r>
      <w:fldChar w:fldCharType="begin"/>
    </w:r>
    <w:r>
      <w:instrText xml:space="preserve"> REF _Ref349552358 \h </w:instrText>
    </w:r>
    <w:r>
      <w:fldChar w:fldCharType="separate"/>
    </w:r>
    <w:r>
      <w:rPr>
        <w:b/>
        <w:bCs/>
        <w:lang w:val="en-US"/>
      </w:rPr>
      <w:t>Error! Reference source not found.</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6F1C5" w14:textId="77777777" w:rsidR="00A003A1" w:rsidRDefault="00A003A1" w:rsidP="00D67976">
    <w:pPr>
      <w:spacing w:after="0"/>
      <w:jc w:val="right"/>
    </w:pPr>
  </w:p>
  <w:p w14:paraId="0355F46D" w14:textId="77777777" w:rsidR="00A003A1" w:rsidRDefault="00A003A1" w:rsidP="00D67976">
    <w:pPr>
      <w:spacing w:after="0"/>
      <w:jc w:val="right"/>
    </w:pPr>
  </w:p>
  <w:p w14:paraId="138EB59E" w14:textId="77777777" w:rsidR="00A003A1" w:rsidRDefault="00A003A1" w:rsidP="00D67976">
    <w:pPr>
      <w:spacing w:after="0"/>
      <w:jc w:val="right"/>
    </w:pPr>
  </w:p>
  <w:p w14:paraId="64DA34D4" w14:textId="77777777" w:rsidR="00A003A1" w:rsidRPr="00790F62" w:rsidRDefault="00A003A1" w:rsidP="00502D80">
    <w:pPr>
      <w:pStyle w:val="Headerod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22C16" w14:textId="77777777" w:rsidR="00A003A1" w:rsidRDefault="00A003A1" w:rsidP="00D67976">
    <w:pPr>
      <w:spacing w:after="0"/>
    </w:pPr>
  </w:p>
  <w:p w14:paraId="66F22846" w14:textId="77777777" w:rsidR="00A003A1" w:rsidRDefault="00A003A1" w:rsidP="00D67976">
    <w:pPr>
      <w:spacing w:after="0"/>
    </w:pPr>
  </w:p>
  <w:p w14:paraId="72FFEEED" w14:textId="77777777" w:rsidR="00A003A1" w:rsidRDefault="00A003A1" w:rsidP="00502D80">
    <w:pPr>
      <w:pStyle w:val="Headereven"/>
    </w:pPr>
    <w:r>
      <w:fldChar w:fldCharType="begin"/>
    </w:r>
    <w:r>
      <w:instrText xml:space="preserve"> REF _Ref364695177 \r \h </w:instrText>
    </w:r>
    <w:r>
      <w:fldChar w:fldCharType="separate"/>
    </w:r>
    <w:r>
      <w:t>1</w:t>
    </w:r>
    <w:r>
      <w:fldChar w:fldCharType="end"/>
    </w:r>
    <w:r>
      <w:t xml:space="preserve"> – </w:t>
    </w:r>
    <w:r>
      <w:fldChar w:fldCharType="begin"/>
    </w:r>
    <w:r>
      <w:instrText xml:space="preserve"> REF _Ref364695177 \h </w:instrText>
    </w:r>
    <w:r>
      <w:fldChar w:fldCharType="separate"/>
    </w:r>
    <w:r>
      <w:t>Introduction</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83E45" w14:textId="77777777" w:rsidR="00A003A1" w:rsidRDefault="00A003A1" w:rsidP="00D67976">
    <w:pPr>
      <w:spacing w:after="0"/>
      <w:jc w:val="right"/>
    </w:pPr>
  </w:p>
  <w:p w14:paraId="6EC9DA32" w14:textId="77777777" w:rsidR="00A003A1" w:rsidRDefault="00A003A1" w:rsidP="00D67976">
    <w:pPr>
      <w:spacing w:after="0"/>
      <w:jc w:val="right"/>
    </w:pPr>
  </w:p>
  <w:p w14:paraId="50C49731" w14:textId="77777777" w:rsidR="00A003A1" w:rsidRPr="00790F62" w:rsidRDefault="00A003A1" w:rsidP="00502D80">
    <w:pPr>
      <w:pStyle w:val="Headerodd"/>
    </w:pPr>
    <w:r>
      <w:fldChar w:fldCharType="begin"/>
    </w:r>
    <w:r>
      <w:instrText xml:space="preserve"> PAGEREF _Ref364695177 \h </w:instrText>
    </w:r>
    <w:r>
      <w:fldChar w:fldCharType="separate"/>
    </w:r>
    <w:r w:rsidR="00306CBB">
      <w:rPr>
        <w:noProof/>
      </w:rPr>
      <w:t>1</w:t>
    </w:r>
    <w:r>
      <w:fldChar w:fldCharType="end"/>
    </w:r>
    <w:r>
      <w:t xml:space="preserve"> – </w:t>
    </w:r>
    <w:r>
      <w:fldChar w:fldCharType="begin"/>
    </w:r>
    <w:r>
      <w:instrText xml:space="preserve"> REF _Ref364695177 \h </w:instrText>
    </w:r>
    <w:r>
      <w:fldChar w:fldCharType="separate"/>
    </w:r>
    <w:r>
      <w:t>Introduction</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2514A" w14:textId="77777777" w:rsidR="00A003A1" w:rsidRDefault="00A003A1" w:rsidP="00D67976">
    <w:pPr>
      <w:spacing w:after="0"/>
    </w:pPr>
  </w:p>
  <w:p w14:paraId="73654332" w14:textId="77777777" w:rsidR="00A003A1" w:rsidRDefault="00A003A1" w:rsidP="00D67976">
    <w:pPr>
      <w:spacing w:after="0"/>
    </w:pPr>
  </w:p>
  <w:p w14:paraId="0ECFC1AA" w14:textId="77777777" w:rsidR="00A003A1" w:rsidRDefault="00A003A1" w:rsidP="00502D80">
    <w:pPr>
      <w:pStyle w:val="Headereven"/>
    </w:pPr>
  </w:p>
  <w:p w14:paraId="53454AD5" w14:textId="77777777" w:rsidR="00A003A1" w:rsidRDefault="00A003A1" w:rsidP="00502D80">
    <w:pPr>
      <w:pStyle w:val="Headereven"/>
    </w:pPr>
    <w:r>
      <w:fldChar w:fldCharType="begin"/>
    </w:r>
    <w:r>
      <w:instrText xml:space="preserve"> REF _Ref364695177 \r \h </w:instrText>
    </w:r>
    <w:r>
      <w:fldChar w:fldCharType="separate"/>
    </w:r>
    <w:r>
      <w:t>1</w:t>
    </w:r>
    <w:r>
      <w:fldChar w:fldCharType="end"/>
    </w:r>
    <w:r>
      <w:t xml:space="preserve"> – </w:t>
    </w:r>
    <w:r>
      <w:fldChar w:fldCharType="begin"/>
    </w:r>
    <w:r>
      <w:instrText xml:space="preserve"> REF _Ref364695177 \h </w:instrText>
    </w:r>
    <w:r>
      <w:fldChar w:fldCharType="separate"/>
    </w:r>
    <w:r>
      <w:t>Introduction</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1711B" w14:textId="77777777" w:rsidR="00A003A1" w:rsidRDefault="00A003A1" w:rsidP="00D67976">
    <w:pPr>
      <w:spacing w:after="0"/>
      <w:jc w:val="right"/>
    </w:pPr>
  </w:p>
  <w:p w14:paraId="325D1065" w14:textId="77777777" w:rsidR="00A003A1" w:rsidRDefault="00A003A1" w:rsidP="00D67976">
    <w:pPr>
      <w:spacing w:after="0"/>
      <w:jc w:val="right"/>
    </w:pPr>
  </w:p>
  <w:p w14:paraId="374AC8A3" w14:textId="77777777" w:rsidR="00A003A1" w:rsidRDefault="00A003A1" w:rsidP="00502D80">
    <w:pPr>
      <w:pStyle w:val="Headerodd"/>
    </w:pPr>
  </w:p>
  <w:p w14:paraId="4AFFD5CD" w14:textId="77777777" w:rsidR="00A003A1" w:rsidRPr="00790F62" w:rsidRDefault="00A003A1" w:rsidP="00502D80">
    <w:pPr>
      <w:pStyle w:val="Headerod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52FB7" w14:textId="77777777" w:rsidR="00A003A1" w:rsidRDefault="00A003A1" w:rsidP="00D67976">
    <w:pPr>
      <w:spacing w:after="0"/>
    </w:pPr>
  </w:p>
  <w:p w14:paraId="1904428B" w14:textId="77777777" w:rsidR="00A003A1" w:rsidRDefault="00A003A1" w:rsidP="00D67976">
    <w:pPr>
      <w:spacing w:after="0"/>
    </w:pPr>
  </w:p>
  <w:p w14:paraId="537997C6" w14:textId="2E1662CC" w:rsidR="00A003A1" w:rsidRDefault="00A003A1" w:rsidP="00502D80">
    <w:pPr>
      <w:pStyle w:val="Headereven"/>
    </w:pPr>
    <w:r>
      <w:fldChar w:fldCharType="begin"/>
    </w:r>
    <w:r>
      <w:instrText xml:space="preserve"> REF _Ref447870428 \r \h </w:instrText>
    </w:r>
    <w:r>
      <w:fldChar w:fldCharType="separate"/>
    </w:r>
    <w:r>
      <w:t>2</w:t>
    </w:r>
    <w:r>
      <w:fldChar w:fldCharType="end"/>
    </w:r>
    <w:r>
      <w:t xml:space="preserve"> – Regulatory objectives and the role of the Commission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1CC90" w14:textId="77777777" w:rsidR="00A003A1" w:rsidRDefault="00A003A1" w:rsidP="00D67976">
    <w:pPr>
      <w:spacing w:after="0"/>
      <w:jc w:val="right"/>
    </w:pPr>
  </w:p>
  <w:p w14:paraId="71117877" w14:textId="77777777" w:rsidR="00A003A1" w:rsidRDefault="00A003A1" w:rsidP="00D67976">
    <w:pPr>
      <w:spacing w:after="0"/>
      <w:jc w:val="right"/>
    </w:pPr>
  </w:p>
  <w:p w14:paraId="46476A5C" w14:textId="77777777" w:rsidR="00A003A1" w:rsidRDefault="00A003A1" w:rsidP="006D598E">
    <w:pPr>
      <w:pStyle w:val="Headereven"/>
      <w:ind w:left="2880"/>
      <w:jc w:val="right"/>
    </w:pPr>
    <w:r>
      <w:fldChar w:fldCharType="begin"/>
    </w:r>
    <w:r>
      <w:instrText xml:space="preserve"> REF _Ref447870428 \r \h  \* MERGEFORMAT </w:instrText>
    </w:r>
    <w:r>
      <w:fldChar w:fldCharType="separate"/>
    </w:r>
    <w:r>
      <w:t>2</w:t>
    </w:r>
    <w:r>
      <w:fldChar w:fldCharType="end"/>
    </w:r>
    <w:r>
      <w:t xml:space="preserve"> – Regulatory objectives and the role of the Commission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78E9F" w14:textId="77777777" w:rsidR="00A003A1" w:rsidRPr="00EC19F8" w:rsidRDefault="00306CBB" w:rsidP="00EF6AF3">
    <w:pPr>
      <w:jc w:val="center"/>
      <w:rPr>
        <w:sz w:val="44"/>
      </w:rPr>
    </w:pPr>
    <w:r>
      <w:rPr>
        <w:noProof/>
        <w:sz w:val="44"/>
        <w:lang w:val="en-AU" w:eastAsia="en-AU"/>
      </w:rPr>
      <w:pict w14:anchorId="745F1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8" o:spid="_x0000_s2054" type="#_x0000_t75" style="position:absolute;left:0;text-align:left;margin-left:0;margin-top:0;width:416.3pt;height:662.55pt;z-index:-251658240;mso-position-horizontal:center;mso-position-horizontal-relative:margin;mso-position-vertical:center;mso-position-vertical-relative:margin" o:allowincell="f">
          <v:imagedata r:id="rId1" o:title="ICRC_reports_cover"/>
          <w10:wrap anchorx="margin" anchory="margin"/>
        </v:shape>
      </w:pict>
    </w:r>
    <w:r w:rsidR="00A003A1" w:rsidRPr="00EC19F8">
      <w:rPr>
        <w:sz w:val="44"/>
      </w:rPr>
      <w:t>Commission-in-Confidence</w:t>
    </w:r>
  </w:p>
  <w:p w14:paraId="44F744BA" w14:textId="77777777" w:rsidR="00A003A1" w:rsidRDefault="00A003A1"/>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123D" w14:textId="77777777" w:rsidR="00A003A1" w:rsidRDefault="00A003A1" w:rsidP="00D67976">
    <w:pPr>
      <w:spacing w:after="0"/>
    </w:pPr>
  </w:p>
  <w:p w14:paraId="01E2719A" w14:textId="77777777" w:rsidR="00A003A1" w:rsidRDefault="00A003A1" w:rsidP="00D67976">
    <w:pPr>
      <w:spacing w:after="0"/>
    </w:pPr>
  </w:p>
  <w:p w14:paraId="672CC057" w14:textId="77777777" w:rsidR="00A003A1" w:rsidRDefault="00A003A1" w:rsidP="00502D80">
    <w:pPr>
      <w:pStyle w:val="Headereven"/>
    </w:pPr>
    <w:r>
      <w:fldChar w:fldCharType="begin"/>
    </w:r>
    <w:r>
      <w:instrText xml:space="preserve"> REF _Ref476908501 \r \h </w:instrText>
    </w:r>
    <w:r>
      <w:fldChar w:fldCharType="separate"/>
    </w:r>
    <w:r>
      <w:t>3</w:t>
    </w:r>
    <w:r>
      <w:fldChar w:fldCharType="end"/>
    </w:r>
    <w:r>
      <w:t>–Current regulatory model and the form of control</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84DFB" w14:textId="77777777" w:rsidR="00A003A1" w:rsidRDefault="00A003A1" w:rsidP="00D67976">
    <w:pPr>
      <w:spacing w:after="0"/>
      <w:jc w:val="right"/>
    </w:pPr>
  </w:p>
  <w:p w14:paraId="149443AB" w14:textId="77777777" w:rsidR="00A003A1" w:rsidRDefault="00A003A1" w:rsidP="00D67976">
    <w:pPr>
      <w:spacing w:after="0"/>
      <w:jc w:val="right"/>
    </w:pPr>
  </w:p>
  <w:p w14:paraId="16F4B46A" w14:textId="77777777" w:rsidR="00A003A1" w:rsidRDefault="00A003A1" w:rsidP="008F27A5">
    <w:pPr>
      <w:pStyle w:val="Headerodd"/>
    </w:pPr>
    <w:r>
      <w:fldChar w:fldCharType="begin"/>
    </w:r>
    <w:r>
      <w:instrText xml:space="preserve"> REF _Ref476908540 \r \h  \* MERGEFORMAT </w:instrText>
    </w:r>
    <w:r>
      <w:fldChar w:fldCharType="separate"/>
    </w:r>
    <w:r>
      <w:t>3</w:t>
    </w:r>
    <w:r>
      <w:fldChar w:fldCharType="end"/>
    </w:r>
    <w:r>
      <w:t xml:space="preserve"> – Current regulatory model and the form of control</w:t>
    </w:r>
  </w:p>
  <w:p w14:paraId="44BA1050" w14:textId="77777777" w:rsidR="00A003A1" w:rsidRPr="00790F62" w:rsidRDefault="00A003A1" w:rsidP="00E809D3">
    <w:pPr>
      <w:pStyle w:val="Headerod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42326" w14:textId="77777777" w:rsidR="00A003A1" w:rsidRDefault="00A003A1" w:rsidP="00ED2CCF">
    <w:pPr>
      <w:spacing w:after="0"/>
    </w:pPr>
  </w:p>
  <w:p w14:paraId="2AA559F3" w14:textId="77777777" w:rsidR="00A003A1" w:rsidRDefault="00A003A1" w:rsidP="00ED2CCF">
    <w:pPr>
      <w:spacing w:after="0"/>
    </w:pPr>
  </w:p>
  <w:p w14:paraId="24787D65" w14:textId="77777777" w:rsidR="00A003A1" w:rsidRDefault="00A003A1" w:rsidP="00A859E0">
    <w:pPr>
      <w:pStyle w:val="Headereven"/>
    </w:pPr>
    <w:r>
      <w:fldChar w:fldCharType="begin"/>
    </w:r>
    <w:r>
      <w:instrText xml:space="preserve"> REF _Ref338172668 \r \h  \* MERGEFORMAT </w:instrText>
    </w:r>
    <w:r>
      <w:fldChar w:fldCharType="separate"/>
    </w:r>
    <w:r>
      <w:rPr>
        <w:b/>
        <w:bCs/>
        <w:lang w:val="en-US"/>
      </w:rPr>
      <w:t>Error! Reference source not found.</w:t>
    </w:r>
    <w:r>
      <w:fldChar w:fldCharType="end"/>
    </w:r>
    <w:r>
      <w:t xml:space="preserve"> – </w:t>
    </w:r>
    <w:r>
      <w:fldChar w:fldCharType="begin"/>
    </w:r>
    <w:r>
      <w:instrText xml:space="preserve"> REF _Ref338172668 \h  \* MERGEFORMAT </w:instrText>
    </w:r>
    <w:r>
      <w:fldChar w:fldCharType="separate"/>
    </w:r>
    <w:r>
      <w:rPr>
        <w:b/>
        <w:bCs/>
        <w:lang w:val="en-US"/>
      </w:rPr>
      <w:t>Error! Reference source not found.</w:t>
    </w:r>
    <w:r>
      <w:fldChar w:fldCharType="end"/>
    </w:r>
  </w:p>
  <w:p w14:paraId="3D6F556C" w14:textId="77777777" w:rsidR="00A003A1" w:rsidRPr="00EF3464" w:rsidRDefault="00A003A1" w:rsidP="00A859E0">
    <w:pPr>
      <w:pStyle w:val="Headereven"/>
    </w:pPr>
    <w:r>
      <w:fldChar w:fldCharType="begin"/>
    </w:r>
    <w:r>
      <w:instrText xml:space="preserve"> REF _Ref348703089 \r \h </w:instrText>
    </w:r>
    <w:r>
      <w:fldChar w:fldCharType="separate"/>
    </w:r>
    <w:r>
      <w:rPr>
        <w:b/>
        <w:bCs/>
        <w:lang w:val="en-US"/>
      </w:rPr>
      <w:t>Error! Reference source not found.</w:t>
    </w:r>
    <w:r>
      <w:fldChar w:fldCharType="end"/>
    </w:r>
    <w:r>
      <w:t xml:space="preserve"> – </w:t>
    </w:r>
    <w:r>
      <w:fldChar w:fldCharType="begin"/>
    </w:r>
    <w:r>
      <w:instrText xml:space="preserve"> REF _Ref348703052 \h </w:instrText>
    </w:r>
    <w:r>
      <w:fldChar w:fldCharType="separate"/>
    </w:r>
    <w:r>
      <w:rPr>
        <w:b/>
        <w:bCs/>
        <w:lang w:val="en-US"/>
      </w:rPr>
      <w:t>Error! Reference source not found.</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5BE2A" w14:textId="77777777" w:rsidR="00A003A1" w:rsidRDefault="00A003A1" w:rsidP="00ED2CCF">
    <w:pPr>
      <w:spacing w:after="0"/>
      <w:jc w:val="right"/>
    </w:pPr>
  </w:p>
  <w:p w14:paraId="5AAD1BCF" w14:textId="77777777" w:rsidR="00A003A1" w:rsidRDefault="00A003A1" w:rsidP="00ED2CCF">
    <w:pPr>
      <w:spacing w:after="0"/>
      <w:jc w:val="right"/>
    </w:pPr>
  </w:p>
  <w:p w14:paraId="3E10CA23" w14:textId="77777777" w:rsidR="00A003A1" w:rsidRDefault="00A003A1" w:rsidP="00A859E0">
    <w:pPr>
      <w:pStyle w:val="Headerodd"/>
    </w:pPr>
  </w:p>
  <w:p w14:paraId="252776CF" w14:textId="77777777" w:rsidR="00A003A1" w:rsidRPr="00EF3464" w:rsidRDefault="00A003A1" w:rsidP="00A859E0">
    <w:pPr>
      <w:pStyle w:val="Headerod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FEDD5" w14:textId="39FF4F52" w:rsidR="00A003A1" w:rsidRPr="00D705BB" w:rsidRDefault="00A003A1" w:rsidP="003B6BF8">
    <w:pPr>
      <w:pStyle w:val="Header"/>
    </w:pPr>
    <w:r>
      <w:fldChar w:fldCharType="begin"/>
    </w:r>
    <w:r>
      <w:instrText xml:space="preserve"> REF _Ref476908578 \r \h </w:instrText>
    </w:r>
    <w:r>
      <w:fldChar w:fldCharType="separate"/>
    </w:r>
    <w:r>
      <w:t>4</w:t>
    </w:r>
    <w:r>
      <w:fldChar w:fldCharType="end"/>
    </w:r>
    <w:r>
      <w:t xml:space="preserve"> – </w:t>
    </w:r>
    <w:r>
      <w:fldChar w:fldCharType="begin"/>
    </w:r>
    <w:r>
      <w:instrText xml:space="preserve"> REF _Ref476908578 \h </w:instrText>
    </w:r>
    <w:r>
      <w:fldChar w:fldCharType="separate"/>
    </w:r>
    <w:r>
      <w:t>Carryover issues from the</w:t>
    </w:r>
    <w:r>
      <w:br/>
      <w:t>2014–2018 price direction</w:t>
    </w:r>
    <w:r>
      <w:fldChar w:fldCharType="end"/>
    </w:r>
    <w:r w:rsidRPr="00D705BB">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74E0C" w14:textId="77777777" w:rsidR="00A003A1" w:rsidRDefault="00A003A1" w:rsidP="00D67976">
    <w:pPr>
      <w:spacing w:after="0"/>
      <w:jc w:val="right"/>
    </w:pPr>
  </w:p>
  <w:p w14:paraId="65BA0B2F" w14:textId="77777777" w:rsidR="00A003A1" w:rsidRDefault="00A003A1" w:rsidP="002F3A80">
    <w:pPr>
      <w:pStyle w:val="Headerodd"/>
    </w:pPr>
  </w:p>
  <w:p w14:paraId="2D4BE869" w14:textId="77777777" w:rsidR="00A003A1" w:rsidRDefault="00A003A1" w:rsidP="008F27A5">
    <w:pPr>
      <w:pStyle w:val="Headerodd"/>
    </w:pPr>
    <w:r>
      <w:fldChar w:fldCharType="begin"/>
    </w:r>
    <w:r>
      <w:instrText xml:space="preserve"> REF _Ref476909088 \w \h  \* MERGEFORMAT </w:instrText>
    </w:r>
    <w:r>
      <w:fldChar w:fldCharType="separate"/>
    </w:r>
    <w:r>
      <w:t>4</w:t>
    </w:r>
    <w:r>
      <w:fldChar w:fldCharType="end"/>
    </w:r>
    <w:r>
      <w:t xml:space="preserve"> – Carryover issues from the 2014–2018 price direction</w:t>
    </w:r>
  </w:p>
  <w:p w14:paraId="541FD1EB" w14:textId="77777777" w:rsidR="00A003A1" w:rsidRDefault="00A003A1" w:rsidP="002F3A80">
    <w:pPr>
      <w:pStyle w:val="Headerod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84B57" w14:textId="77777777" w:rsidR="00A003A1" w:rsidRPr="00B379ED" w:rsidRDefault="00A003A1" w:rsidP="00B379ED">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17B06" w14:textId="77777777" w:rsidR="00A003A1" w:rsidRPr="00D26BD0" w:rsidRDefault="00A003A1" w:rsidP="00D26BD0">
    <w:pPr>
      <w:pStyle w:val="Header"/>
    </w:pPr>
    <w:r>
      <w:fldChar w:fldCharType="begin"/>
    </w:r>
    <w:r>
      <w:instrText xml:space="preserve"> REF _Ref472506984 \r \h </w:instrText>
    </w:r>
    <w:r>
      <w:fldChar w:fldCharType="separate"/>
    </w:r>
    <w:r>
      <w:t>5</w:t>
    </w:r>
    <w:r>
      <w:fldChar w:fldCharType="end"/>
    </w:r>
    <w:r>
      <w:t xml:space="preserve"> – </w:t>
    </w:r>
    <w:r>
      <w:fldChar w:fldCharType="begin"/>
    </w:r>
    <w:r>
      <w:instrText xml:space="preserve"> REF _Ref472506984 \h </w:instrText>
    </w:r>
    <w:r>
      <w:fldChar w:fldCharType="separate"/>
    </w:r>
    <w:r>
      <w:t>Issues raised in the terms of reference</w:t>
    </w:r>
    <w: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B9CFE" w14:textId="77777777" w:rsidR="00A003A1" w:rsidRPr="00E20299" w:rsidRDefault="00A003A1" w:rsidP="00E20299">
    <w:pPr>
      <w:pStyle w:val="Header"/>
      <w:jc w:val="right"/>
    </w:pPr>
    <w:r>
      <w:fldChar w:fldCharType="begin"/>
    </w:r>
    <w:r>
      <w:instrText xml:space="preserve"> REF _Ref472506984 \r \h  \* MERGEFORMAT </w:instrText>
    </w:r>
    <w:r>
      <w:fldChar w:fldCharType="separate"/>
    </w:r>
    <w:r>
      <w:t>5</w:t>
    </w:r>
    <w:r>
      <w:fldChar w:fldCharType="end"/>
    </w:r>
    <w:r>
      <w:t xml:space="preserve"> – </w:t>
    </w:r>
    <w:r>
      <w:fldChar w:fldCharType="begin"/>
    </w:r>
    <w:r>
      <w:instrText xml:space="preserve"> REF _Ref472506984 \h  \* MERGEFORMAT </w:instrText>
    </w:r>
    <w:r>
      <w:fldChar w:fldCharType="separate"/>
    </w:r>
    <w:r>
      <w:t>Issues raised in the terms of reference</w:t>
    </w:r>
    <w: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17A77" w14:textId="77777777" w:rsidR="00A003A1" w:rsidRPr="003A2068" w:rsidRDefault="00A003A1" w:rsidP="003A20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74486" w14:textId="77777777" w:rsidR="00A003A1" w:rsidRDefault="00306CBB">
    <w:r>
      <w:rPr>
        <w:noProof/>
        <w:lang w:val="en-AU" w:eastAsia="en-AU"/>
      </w:rPr>
      <w:pict w14:anchorId="4DB5D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6" o:spid="_x0000_s2053" type="#_x0000_t75" style="position:absolute;margin-left:0;margin-top:0;width:457.8pt;height:728.6pt;z-index:-251659264;mso-position-horizontal:center;mso-position-horizontal-relative:margin;mso-position-vertical:center;mso-position-vertical-relative:margin" o:allowincell="f">
          <v:imagedata r:id="rId1" o:title="ICRC_reports_cover"/>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30980" w14:textId="77777777" w:rsidR="00A003A1" w:rsidRDefault="00A003A1" w:rsidP="00ED2CCF">
    <w:pPr>
      <w:spacing w:after="0"/>
    </w:pPr>
  </w:p>
  <w:p w14:paraId="20007521" w14:textId="77777777" w:rsidR="00A003A1" w:rsidRDefault="00A003A1" w:rsidP="00ED2CCF">
    <w:pPr>
      <w:spacing w:after="0"/>
    </w:pPr>
  </w:p>
  <w:p w14:paraId="4C9A2FC1" w14:textId="5F28B0DE" w:rsidR="00A003A1" w:rsidRDefault="00A003A1" w:rsidP="00304998">
    <w:pPr>
      <w:pStyle w:val="Headereven"/>
    </w:pPr>
    <w:r>
      <w:fldChar w:fldCharType="begin"/>
    </w:r>
    <w:r>
      <w:instrText xml:space="preserve"> REF _Ref478631693 \r \h </w:instrText>
    </w:r>
    <w:r>
      <w:fldChar w:fldCharType="separate"/>
    </w:r>
    <w:r>
      <w:t>6</w:t>
    </w:r>
    <w:r>
      <w:fldChar w:fldCharType="end"/>
    </w:r>
    <w:r>
      <w:t xml:space="preserve"> – </w:t>
    </w:r>
    <w:r>
      <w:fldChar w:fldCharType="begin"/>
    </w:r>
    <w:r>
      <w:instrText xml:space="preserve"> REF _Ref478629794 \h </w:instrText>
    </w:r>
    <w:r>
      <w:fldChar w:fldCharType="separate"/>
    </w:r>
    <w:r>
      <w:t>Issues for consultation: Summary</w:t>
    </w:r>
    <w: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A8D8A" w14:textId="5579DA55" w:rsidR="00A003A1" w:rsidRDefault="00A003A1" w:rsidP="00304998">
    <w:pPr>
      <w:pStyle w:val="Header"/>
      <w:jc w:val="right"/>
    </w:pPr>
  </w:p>
  <w:p w14:paraId="2FB4CA7D" w14:textId="77777777" w:rsidR="00A003A1" w:rsidRDefault="00A003A1" w:rsidP="00304998">
    <w:pPr>
      <w:pStyle w:val="Header"/>
      <w:jc w:val="right"/>
    </w:pPr>
  </w:p>
  <w:p w14:paraId="1DA1AE88" w14:textId="77777777" w:rsidR="00A003A1" w:rsidRDefault="00A003A1" w:rsidP="007B612C">
    <w:pPr>
      <w:pStyle w:val="Header"/>
      <w:jc w:val="right"/>
    </w:pPr>
    <w:r>
      <w:fldChar w:fldCharType="begin"/>
    </w:r>
    <w:r>
      <w:instrText xml:space="preserve"> REF _Ref478631733 \r \h </w:instrText>
    </w:r>
    <w:r>
      <w:fldChar w:fldCharType="separate"/>
    </w:r>
    <w:r>
      <w:t>6</w:t>
    </w:r>
    <w:r>
      <w:fldChar w:fldCharType="end"/>
    </w:r>
    <w:r>
      <w:t xml:space="preserve"> – </w:t>
    </w:r>
    <w:r>
      <w:fldChar w:fldCharType="begin"/>
    </w:r>
    <w:r>
      <w:instrText xml:space="preserve"> REF _Ref478629833 \h </w:instrText>
    </w:r>
    <w:r>
      <w:fldChar w:fldCharType="separate"/>
    </w:r>
    <w:r>
      <w:t>Issues for consultation: Summary</w:t>
    </w:r>
    <w: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FE89C" w14:textId="77777777" w:rsidR="00A003A1" w:rsidRDefault="00A003A1" w:rsidP="00FA4133">
    <w:pPr>
      <w:spacing w:after="0"/>
      <w:jc w:val="right"/>
    </w:pPr>
  </w:p>
  <w:p w14:paraId="69BB5D92" w14:textId="77777777" w:rsidR="00A003A1" w:rsidRDefault="00A003A1" w:rsidP="00FA4133">
    <w:pPr>
      <w:spacing w:after="0"/>
      <w:jc w:val="right"/>
    </w:pPr>
  </w:p>
  <w:p w14:paraId="54018D05" w14:textId="77777777" w:rsidR="00A003A1" w:rsidRDefault="00A003A1" w:rsidP="00FA4133">
    <w:pPr>
      <w:spacing w:after="0"/>
      <w:jc w:val="right"/>
    </w:pPr>
  </w:p>
  <w:p w14:paraId="5A8BD0A2" w14:textId="77777777" w:rsidR="00A003A1" w:rsidRPr="00FA4133" w:rsidRDefault="00A003A1" w:rsidP="00FA4133">
    <w:pPr>
      <w:pStyle w:val="Headerod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DCFBB" w14:textId="77777777" w:rsidR="00A003A1" w:rsidRDefault="00A003A1" w:rsidP="003975E4">
    <w:pPr>
      <w:pStyle w:val="Headereven"/>
    </w:pPr>
  </w:p>
  <w:p w14:paraId="7EE72367" w14:textId="77777777" w:rsidR="00A003A1" w:rsidRDefault="00A003A1" w:rsidP="003975E4">
    <w:pPr>
      <w:pStyle w:val="Headereven"/>
    </w:pPr>
  </w:p>
  <w:p w14:paraId="04462AF8" w14:textId="77777777" w:rsidR="00A003A1" w:rsidRDefault="00A003A1" w:rsidP="00CF681F">
    <w:pPr>
      <w:pStyle w:val="Oddheaderauthorname"/>
      <w:jc w:val="left"/>
    </w:pPr>
    <w:r>
      <w:fldChar w:fldCharType="begin"/>
    </w:r>
    <w:r>
      <w:instrText xml:space="preserve"> REF _Ref459711230 \r \h </w:instrText>
    </w:r>
    <w:r>
      <w:fldChar w:fldCharType="separate"/>
    </w:r>
    <w:r>
      <w:t>Appendix 1</w:t>
    </w:r>
    <w:r>
      <w:fldChar w:fldCharType="end"/>
    </w:r>
    <w:r>
      <w:t>–</w:t>
    </w:r>
    <w:r>
      <w:fldChar w:fldCharType="begin"/>
    </w:r>
    <w:r>
      <w:instrText xml:space="preserve"> REF _Ref459711230 \h  \* MERGEFORMAT </w:instrText>
    </w:r>
    <w:r>
      <w:fldChar w:fldCharType="separate"/>
    </w:r>
    <w:r>
      <w:t>Terms of reference</w:t>
    </w:r>
    <w: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4203E" w14:textId="77777777" w:rsidR="00A003A1" w:rsidRDefault="00A003A1" w:rsidP="00D641A8">
    <w:pPr>
      <w:spacing w:after="0"/>
      <w:jc w:val="right"/>
    </w:pPr>
  </w:p>
  <w:p w14:paraId="3055CA5C" w14:textId="77777777" w:rsidR="00A003A1" w:rsidRDefault="00A003A1" w:rsidP="00D641A8">
    <w:pPr>
      <w:spacing w:after="0"/>
      <w:jc w:val="right"/>
    </w:pPr>
  </w:p>
  <w:p w14:paraId="6640EB1C" w14:textId="77777777" w:rsidR="00A003A1" w:rsidRDefault="00A003A1" w:rsidP="00E42FAB">
    <w:pPr>
      <w:pStyle w:val="Headerodd"/>
    </w:pPr>
    <w:r>
      <w:fldChar w:fldCharType="begin"/>
    </w:r>
    <w:r>
      <w:instrText xml:space="preserve"> REF _Ref459710150 \r \h </w:instrText>
    </w:r>
    <w:r>
      <w:fldChar w:fldCharType="separate"/>
    </w:r>
    <w:r>
      <w:rPr>
        <w:b/>
        <w:bCs/>
        <w:lang w:val="en-US"/>
      </w:rPr>
      <w:t>Error! Reference source not found.</w:t>
    </w:r>
    <w:r>
      <w:fldChar w:fldCharType="end"/>
    </w:r>
    <w:r>
      <w:t xml:space="preserve"> – </w:t>
    </w:r>
    <w:r>
      <w:fldChar w:fldCharType="begin"/>
    </w:r>
    <w:r>
      <w:instrText xml:space="preserve"> REF _Ref459710150 \h </w:instrText>
    </w:r>
    <w:r>
      <w:fldChar w:fldCharType="separate"/>
    </w:r>
    <w:r>
      <w:rPr>
        <w:b/>
        <w:bCs/>
        <w:lang w:val="en-US"/>
      </w:rPr>
      <w:t>Error! Reference source not found.</w:t>
    </w:r>
    <w: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C9A4" w14:textId="77777777" w:rsidR="00A003A1" w:rsidRDefault="00A003A1" w:rsidP="00D641A8">
    <w:pPr>
      <w:spacing w:after="0"/>
      <w:jc w:val="right"/>
    </w:pPr>
  </w:p>
  <w:p w14:paraId="1CBE5725" w14:textId="0B78BFD5" w:rsidR="00A003A1" w:rsidRDefault="00A003A1" w:rsidP="00D641A8">
    <w:pPr>
      <w:spacing w:after="0"/>
      <w:jc w:val="right"/>
    </w:pPr>
  </w:p>
  <w:p w14:paraId="2A8BD1B0" w14:textId="77777777" w:rsidR="00A003A1" w:rsidRDefault="00A003A1" w:rsidP="004D156C">
    <w:pPr>
      <w:pStyle w:val="Headerod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68ABD" w14:textId="77777777" w:rsidR="00A003A1" w:rsidRDefault="00A003A1">
    <w:pPr>
      <w:pStyle w:val="Headereven"/>
    </w:pPr>
  </w:p>
  <w:p w14:paraId="5405541E" w14:textId="77777777" w:rsidR="00A003A1" w:rsidRDefault="00A003A1">
    <w:pPr>
      <w:pStyle w:val="Headereven"/>
    </w:pPr>
  </w:p>
  <w:p w14:paraId="6B78EC78" w14:textId="77777777" w:rsidR="00A003A1" w:rsidRDefault="00A003A1">
    <w:pPr>
      <w:pStyle w:val="Headereven"/>
    </w:pPr>
    <w:r>
      <w:t>References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7434F" w14:textId="77777777" w:rsidR="00A003A1" w:rsidRDefault="00A003A1" w:rsidP="00F922F1">
    <w:pPr>
      <w:pStyle w:val="Headerodd"/>
    </w:pPr>
  </w:p>
  <w:p w14:paraId="5C5DFDDF" w14:textId="77777777" w:rsidR="00A003A1" w:rsidRDefault="00A003A1" w:rsidP="00F922F1">
    <w:pPr>
      <w:pStyle w:val="Headerodd"/>
    </w:pPr>
  </w:p>
  <w:p w14:paraId="1CE13B7D" w14:textId="77777777" w:rsidR="00A003A1" w:rsidRDefault="00A003A1" w:rsidP="00F922F1">
    <w:pPr>
      <w:pStyle w:val="Headerodd"/>
    </w:pPr>
  </w:p>
  <w:p w14:paraId="07B3FE55" w14:textId="77777777" w:rsidR="00A003A1" w:rsidRDefault="00A003A1" w:rsidP="00F922F1">
    <w:pPr>
      <w:pStyle w:val="Headerodd"/>
    </w:pPr>
    <w:r>
      <w:t>References</w:t>
    </w:r>
  </w:p>
  <w:p w14:paraId="1F30C724" w14:textId="77777777" w:rsidR="00A003A1" w:rsidRDefault="00A003A1" w:rsidP="00D641A8">
    <w:pPr>
      <w:spacing w:after="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D27F5" w14:textId="77777777" w:rsidR="00A003A1" w:rsidRDefault="00A003A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17A4D" w14:textId="77777777" w:rsidR="00A003A1" w:rsidRPr="00E42160" w:rsidRDefault="00A003A1" w:rsidP="00E4216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E0178" w14:textId="77777777" w:rsidR="00A003A1" w:rsidRDefault="00A003A1">
    <w:r>
      <w:rPr>
        <w:noProof/>
        <w:lang w:val="en-AU" w:eastAsia="en-AU"/>
      </w:rPr>
      <w:drawing>
        <wp:anchor distT="0" distB="0" distL="114300" distR="114300" simplePos="0" relativeHeight="251653120" behindDoc="1" locked="0" layoutInCell="0" allowOverlap="1" wp14:anchorId="5490C0FF" wp14:editId="5048EB60">
          <wp:simplePos x="0" y="0"/>
          <wp:positionH relativeFrom="margin">
            <wp:align>center</wp:align>
          </wp:positionH>
          <wp:positionV relativeFrom="margin">
            <wp:align>center</wp:align>
          </wp:positionV>
          <wp:extent cx="5287010" cy="8414385"/>
          <wp:effectExtent l="0" t="0" r="8890" b="5715"/>
          <wp:wrapNone/>
          <wp:docPr id="1" name="Picture 15" descr="Description: Description: ICRC_report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ICRC_reports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7010" cy="8414385"/>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89BEE" w14:textId="77777777" w:rsidR="00A003A1" w:rsidRDefault="00A003A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DF303" w14:textId="77777777" w:rsidR="00A003A1" w:rsidRPr="00E42160" w:rsidRDefault="00A003A1" w:rsidP="00E4216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7F2F7" w14:textId="77777777" w:rsidR="00A003A1" w:rsidRDefault="00A003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0E79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1F9E56BC"/>
    <w:lvl w:ilvl="0">
      <w:numFmt w:val="decimal"/>
      <w:pStyle w:val="QuoteBullet"/>
      <w:lvlText w:val="*"/>
      <w:lvlJc w:val="left"/>
      <w:rPr>
        <w:rFonts w:cs="Times New Roman"/>
      </w:rPr>
    </w:lvl>
  </w:abstractNum>
  <w:abstractNum w:abstractNumId="2" w15:restartNumberingAfterBreak="0">
    <w:nsid w:val="03434E67"/>
    <w:multiLevelType w:val="multilevel"/>
    <w:tmpl w:val="CF62576C"/>
    <w:lvl w:ilvl="0">
      <w:start w:val="1"/>
      <w:numFmt w:val="upperRoman"/>
      <w:pStyle w:val="HeadingPart"/>
      <w:lvlText w:val="Part %1"/>
      <w:lvlJc w:val="left"/>
      <w:pPr>
        <w:ind w:left="1814" w:hanging="18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3821224"/>
    <w:multiLevelType w:val="hybridMultilevel"/>
    <w:tmpl w:val="41A4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7795F"/>
    <w:multiLevelType w:val="hybridMultilevel"/>
    <w:tmpl w:val="1FEA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A357DB"/>
    <w:multiLevelType w:val="hybridMultilevel"/>
    <w:tmpl w:val="7EC8522A"/>
    <w:lvl w:ilvl="0" w:tplc="04090017">
      <w:start w:val="1"/>
      <w:numFmt w:val="lowerLetter"/>
      <w:lvlText w:val="%1)"/>
      <w:lvlJc w:val="left"/>
      <w:pPr>
        <w:ind w:left="1080" w:hanging="360"/>
      </w:pPr>
      <w:rPr>
        <w:rFonts w:hint="default"/>
        <w:b w:val="0"/>
        <w:i w:val="0"/>
        <w:color w:val="auto"/>
        <w:sz w:val="22"/>
      </w:rPr>
    </w:lvl>
    <w:lvl w:ilvl="1" w:tplc="04090003">
      <w:start w:val="1"/>
      <w:numFmt w:val="bullet"/>
      <w:lvlText w:val="o"/>
      <w:lvlJc w:val="left"/>
      <w:pPr>
        <w:tabs>
          <w:tab w:val="num" w:pos="1876"/>
        </w:tabs>
        <w:ind w:left="1876" w:hanging="360"/>
      </w:pPr>
      <w:rPr>
        <w:rFonts w:ascii="Courier New" w:hAnsi="Courier New" w:hint="default"/>
      </w:rPr>
    </w:lvl>
    <w:lvl w:ilvl="2" w:tplc="04090005" w:tentative="1">
      <w:start w:val="1"/>
      <w:numFmt w:val="bullet"/>
      <w:lvlText w:val=""/>
      <w:lvlJc w:val="left"/>
      <w:pPr>
        <w:tabs>
          <w:tab w:val="num" w:pos="2596"/>
        </w:tabs>
        <w:ind w:left="2596" w:hanging="360"/>
      </w:pPr>
      <w:rPr>
        <w:rFonts w:ascii="Wingdings" w:hAnsi="Wingdings" w:hint="default"/>
      </w:rPr>
    </w:lvl>
    <w:lvl w:ilvl="3" w:tplc="04090001" w:tentative="1">
      <w:start w:val="1"/>
      <w:numFmt w:val="bullet"/>
      <w:lvlText w:val=""/>
      <w:lvlJc w:val="left"/>
      <w:pPr>
        <w:tabs>
          <w:tab w:val="num" w:pos="3316"/>
        </w:tabs>
        <w:ind w:left="3316" w:hanging="360"/>
      </w:pPr>
      <w:rPr>
        <w:rFonts w:ascii="Symbol" w:hAnsi="Symbol" w:hint="default"/>
      </w:rPr>
    </w:lvl>
    <w:lvl w:ilvl="4" w:tplc="04090003" w:tentative="1">
      <w:start w:val="1"/>
      <w:numFmt w:val="bullet"/>
      <w:lvlText w:val="o"/>
      <w:lvlJc w:val="left"/>
      <w:pPr>
        <w:tabs>
          <w:tab w:val="num" w:pos="4036"/>
        </w:tabs>
        <w:ind w:left="4036" w:hanging="360"/>
      </w:pPr>
      <w:rPr>
        <w:rFonts w:ascii="Courier New" w:hAnsi="Courier New" w:hint="default"/>
      </w:rPr>
    </w:lvl>
    <w:lvl w:ilvl="5" w:tplc="04090005" w:tentative="1">
      <w:start w:val="1"/>
      <w:numFmt w:val="bullet"/>
      <w:lvlText w:val=""/>
      <w:lvlJc w:val="left"/>
      <w:pPr>
        <w:tabs>
          <w:tab w:val="num" w:pos="4756"/>
        </w:tabs>
        <w:ind w:left="4756" w:hanging="360"/>
      </w:pPr>
      <w:rPr>
        <w:rFonts w:ascii="Wingdings" w:hAnsi="Wingdings" w:hint="default"/>
      </w:rPr>
    </w:lvl>
    <w:lvl w:ilvl="6" w:tplc="04090001" w:tentative="1">
      <w:start w:val="1"/>
      <w:numFmt w:val="bullet"/>
      <w:lvlText w:val=""/>
      <w:lvlJc w:val="left"/>
      <w:pPr>
        <w:tabs>
          <w:tab w:val="num" w:pos="5476"/>
        </w:tabs>
        <w:ind w:left="5476" w:hanging="360"/>
      </w:pPr>
      <w:rPr>
        <w:rFonts w:ascii="Symbol" w:hAnsi="Symbol" w:hint="default"/>
      </w:rPr>
    </w:lvl>
    <w:lvl w:ilvl="7" w:tplc="04090003" w:tentative="1">
      <w:start w:val="1"/>
      <w:numFmt w:val="bullet"/>
      <w:lvlText w:val="o"/>
      <w:lvlJc w:val="left"/>
      <w:pPr>
        <w:tabs>
          <w:tab w:val="num" w:pos="6196"/>
        </w:tabs>
        <w:ind w:left="6196" w:hanging="360"/>
      </w:pPr>
      <w:rPr>
        <w:rFonts w:ascii="Courier New" w:hAnsi="Courier New" w:hint="default"/>
      </w:rPr>
    </w:lvl>
    <w:lvl w:ilvl="8" w:tplc="04090005" w:tentative="1">
      <w:start w:val="1"/>
      <w:numFmt w:val="bullet"/>
      <w:lvlText w:val=""/>
      <w:lvlJc w:val="left"/>
      <w:pPr>
        <w:tabs>
          <w:tab w:val="num" w:pos="6916"/>
        </w:tabs>
        <w:ind w:left="6916" w:hanging="360"/>
      </w:pPr>
      <w:rPr>
        <w:rFonts w:ascii="Wingdings" w:hAnsi="Wingdings" w:hint="default"/>
      </w:rPr>
    </w:lvl>
  </w:abstractNum>
  <w:abstractNum w:abstractNumId="6" w15:restartNumberingAfterBreak="0">
    <w:nsid w:val="3B6973E7"/>
    <w:multiLevelType w:val="hybridMultilevel"/>
    <w:tmpl w:val="4B9648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3C06547"/>
    <w:multiLevelType w:val="hybridMultilevel"/>
    <w:tmpl w:val="3158754E"/>
    <w:lvl w:ilvl="0" w:tplc="E5CC8A56">
      <w:start w:val="1"/>
      <w:numFmt w:val="bullet"/>
      <w:pStyle w:val="BulletLast"/>
      <w:lvlText w:val=""/>
      <w:lvlJc w:val="left"/>
      <w:pPr>
        <w:ind w:left="1083" w:hanging="360"/>
      </w:pPr>
      <w:rPr>
        <w:rFonts w:ascii="Symbol" w:hAnsi="Symbol" w:hint="default"/>
      </w:rPr>
    </w:lvl>
    <w:lvl w:ilvl="1" w:tplc="0C090003">
      <w:start w:val="1"/>
      <w:numFmt w:val="bullet"/>
      <w:lvlText w:val="o"/>
      <w:lvlJc w:val="left"/>
      <w:pPr>
        <w:ind w:left="1803" w:hanging="360"/>
      </w:pPr>
      <w:rPr>
        <w:rFonts w:ascii="Courier New" w:hAnsi="Courier New" w:cs="Courier New" w:hint="default"/>
      </w:rPr>
    </w:lvl>
    <w:lvl w:ilvl="2" w:tplc="0C090005">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8" w15:restartNumberingAfterBreak="0">
    <w:nsid w:val="4ACF2B83"/>
    <w:multiLevelType w:val="multilevel"/>
    <w:tmpl w:val="FC66995E"/>
    <w:lvl w:ilvl="0">
      <w:start w:val="1"/>
      <w:numFmt w:val="decimal"/>
      <w:pStyle w:val="Heading1"/>
      <w:lvlText w:val="%1"/>
      <w:lvlJc w:val="left"/>
      <w:pPr>
        <w:tabs>
          <w:tab w:val="num" w:pos="720"/>
        </w:tabs>
        <w:ind w:left="720" w:hanging="720"/>
      </w:pPr>
      <w:rPr>
        <w:rFonts w:cs="Times New Roman"/>
      </w:rPr>
    </w:lvl>
    <w:lvl w:ilvl="1">
      <w:start w:val="1"/>
      <w:numFmt w:val="decimal"/>
      <w:pStyle w:val="Heading2"/>
      <w:lvlText w:val="%1.%2"/>
      <w:lvlJc w:val="left"/>
      <w:pPr>
        <w:tabs>
          <w:tab w:val="num" w:pos="1222"/>
        </w:tabs>
        <w:ind w:left="862" w:hanging="720"/>
      </w:pPr>
      <w:rPr>
        <w:rFonts w:cs="Times New Roman"/>
      </w:rPr>
    </w:lvl>
    <w:lvl w:ilvl="2">
      <w:start w:val="1"/>
      <w:numFmt w:val="decimal"/>
      <w:lvlText w:val="%1.%2.%3"/>
      <w:lvlJc w:val="left"/>
      <w:pPr>
        <w:tabs>
          <w:tab w:val="num" w:pos="5125"/>
        </w:tabs>
        <w:ind w:left="4405"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569C589C"/>
    <w:multiLevelType w:val="multilevel"/>
    <w:tmpl w:val="3BA80B6C"/>
    <w:lvl w:ilvl="0">
      <w:start w:val="1"/>
      <w:numFmt w:val="decimal"/>
      <w:pStyle w:val="HeadingAppendix1"/>
      <w:lvlText w:val="Appendix %1"/>
      <w:lvlJc w:val="left"/>
      <w:pPr>
        <w:ind w:left="2693" w:hanging="2693"/>
      </w:pPr>
      <w:rPr>
        <w:rFonts w:hint="default"/>
      </w:rPr>
    </w:lvl>
    <w:lvl w:ilvl="1">
      <w:start w:val="1"/>
      <w:numFmt w:val="decimal"/>
      <w:pStyle w:val="HeadingAppendix2"/>
      <w:lvlText w:val="A%1.%2"/>
      <w:lvlJc w:val="left"/>
      <w:pPr>
        <w:ind w:left="907" w:hanging="907"/>
      </w:pPr>
      <w:rPr>
        <w:rFonts w:cs="Times New Roman"/>
        <w:bCs w:val="0"/>
        <w:i w:val="0"/>
        <w:iCs w:val="0"/>
        <w:caps w:val="0"/>
        <w:smallCaps w:val="0"/>
        <w:strike w:val="0"/>
        <w:dstrike w:val="0"/>
        <w:noProof w:val="0"/>
        <w:vanish w:val="0"/>
        <w:color w:val="000000"/>
        <w:spacing w:val="0"/>
        <w:position w:val="0"/>
        <w:u w:val="none"/>
        <w:vertAlign w:val="baseline"/>
        <w:em w:val="none"/>
      </w:rPr>
    </w:lvl>
    <w:lvl w:ilvl="2">
      <w:start w:val="1"/>
      <w:numFmt w:val="decimal"/>
      <w:lvlText w:val="A%1.%2.%3"/>
      <w:lvlJc w:val="left"/>
      <w:pPr>
        <w:ind w:left="907" w:hanging="907"/>
      </w:pPr>
      <w:rPr>
        <w:rFonts w:hint="default"/>
      </w:rPr>
    </w:lvl>
    <w:lvl w:ilvl="3">
      <w:start w:val="1"/>
      <w:numFmt w:val="decimal"/>
      <w:lvlText w:val="%4."/>
      <w:lvlJc w:val="left"/>
      <w:pPr>
        <w:ind w:left="2693" w:hanging="2693"/>
      </w:pPr>
      <w:rPr>
        <w:rFonts w:hint="default"/>
      </w:rPr>
    </w:lvl>
    <w:lvl w:ilvl="4">
      <w:start w:val="1"/>
      <w:numFmt w:val="lowerLetter"/>
      <w:lvlText w:val="%5."/>
      <w:lvlJc w:val="left"/>
      <w:pPr>
        <w:ind w:left="2693" w:hanging="2693"/>
      </w:pPr>
      <w:rPr>
        <w:rFonts w:hint="default"/>
      </w:rPr>
    </w:lvl>
    <w:lvl w:ilvl="5">
      <w:start w:val="1"/>
      <w:numFmt w:val="lowerRoman"/>
      <w:lvlText w:val="%6."/>
      <w:lvlJc w:val="right"/>
      <w:pPr>
        <w:ind w:left="2693" w:hanging="2693"/>
      </w:pPr>
      <w:rPr>
        <w:rFonts w:hint="default"/>
      </w:rPr>
    </w:lvl>
    <w:lvl w:ilvl="6">
      <w:start w:val="1"/>
      <w:numFmt w:val="decimal"/>
      <w:lvlText w:val="%7."/>
      <w:lvlJc w:val="left"/>
      <w:pPr>
        <w:ind w:left="2693" w:hanging="2693"/>
      </w:pPr>
      <w:rPr>
        <w:rFonts w:hint="default"/>
      </w:rPr>
    </w:lvl>
    <w:lvl w:ilvl="7">
      <w:start w:val="1"/>
      <w:numFmt w:val="lowerLetter"/>
      <w:lvlText w:val="%8."/>
      <w:lvlJc w:val="left"/>
      <w:pPr>
        <w:ind w:left="2693" w:hanging="2693"/>
      </w:pPr>
      <w:rPr>
        <w:rFonts w:hint="default"/>
      </w:rPr>
    </w:lvl>
    <w:lvl w:ilvl="8">
      <w:start w:val="1"/>
      <w:numFmt w:val="lowerRoman"/>
      <w:lvlText w:val="%9."/>
      <w:lvlJc w:val="right"/>
      <w:pPr>
        <w:ind w:left="2693" w:hanging="2693"/>
      </w:pPr>
      <w:rPr>
        <w:rFonts w:hint="default"/>
      </w:rPr>
    </w:lvl>
  </w:abstractNum>
  <w:abstractNum w:abstractNumId="10" w15:restartNumberingAfterBreak="0">
    <w:nsid w:val="572B5620"/>
    <w:multiLevelType w:val="hybridMultilevel"/>
    <w:tmpl w:val="C932288C"/>
    <w:lvl w:ilvl="0" w:tplc="04090017">
      <w:start w:val="1"/>
      <w:numFmt w:val="lowerLetter"/>
      <w:lvlText w:val="%1)"/>
      <w:lvlJc w:val="left"/>
      <w:pPr>
        <w:ind w:left="1440" w:hanging="360"/>
      </w:pPr>
      <w:rPr>
        <w:rFonts w:hint="default"/>
        <w:b w:val="0"/>
        <w:i w:val="0"/>
        <w:color w:val="auto"/>
        <w:sz w:val="22"/>
      </w:rPr>
    </w:lvl>
    <w:lvl w:ilvl="1" w:tplc="04090003">
      <w:start w:val="1"/>
      <w:numFmt w:val="bullet"/>
      <w:lvlText w:val="o"/>
      <w:lvlJc w:val="left"/>
      <w:pPr>
        <w:tabs>
          <w:tab w:val="num" w:pos="2236"/>
        </w:tabs>
        <w:ind w:left="2236" w:hanging="360"/>
      </w:pPr>
      <w:rPr>
        <w:rFonts w:ascii="Courier New" w:hAnsi="Courier New" w:hint="default"/>
      </w:rPr>
    </w:lvl>
    <w:lvl w:ilvl="2" w:tplc="04090005" w:tentative="1">
      <w:start w:val="1"/>
      <w:numFmt w:val="bullet"/>
      <w:lvlText w:val=""/>
      <w:lvlJc w:val="left"/>
      <w:pPr>
        <w:tabs>
          <w:tab w:val="num" w:pos="2956"/>
        </w:tabs>
        <w:ind w:left="2956" w:hanging="360"/>
      </w:pPr>
      <w:rPr>
        <w:rFonts w:ascii="Wingdings" w:hAnsi="Wingdings" w:hint="default"/>
      </w:rPr>
    </w:lvl>
    <w:lvl w:ilvl="3" w:tplc="04090001" w:tentative="1">
      <w:start w:val="1"/>
      <w:numFmt w:val="bullet"/>
      <w:lvlText w:val=""/>
      <w:lvlJc w:val="left"/>
      <w:pPr>
        <w:tabs>
          <w:tab w:val="num" w:pos="3676"/>
        </w:tabs>
        <w:ind w:left="3676" w:hanging="360"/>
      </w:pPr>
      <w:rPr>
        <w:rFonts w:ascii="Symbol" w:hAnsi="Symbol" w:hint="default"/>
      </w:rPr>
    </w:lvl>
    <w:lvl w:ilvl="4" w:tplc="04090003" w:tentative="1">
      <w:start w:val="1"/>
      <w:numFmt w:val="bullet"/>
      <w:lvlText w:val="o"/>
      <w:lvlJc w:val="left"/>
      <w:pPr>
        <w:tabs>
          <w:tab w:val="num" w:pos="4396"/>
        </w:tabs>
        <w:ind w:left="4396" w:hanging="360"/>
      </w:pPr>
      <w:rPr>
        <w:rFonts w:ascii="Courier New" w:hAnsi="Courier New" w:hint="default"/>
      </w:rPr>
    </w:lvl>
    <w:lvl w:ilvl="5" w:tplc="04090005" w:tentative="1">
      <w:start w:val="1"/>
      <w:numFmt w:val="bullet"/>
      <w:lvlText w:val=""/>
      <w:lvlJc w:val="left"/>
      <w:pPr>
        <w:tabs>
          <w:tab w:val="num" w:pos="5116"/>
        </w:tabs>
        <w:ind w:left="5116" w:hanging="360"/>
      </w:pPr>
      <w:rPr>
        <w:rFonts w:ascii="Wingdings" w:hAnsi="Wingdings" w:hint="default"/>
      </w:rPr>
    </w:lvl>
    <w:lvl w:ilvl="6" w:tplc="04090001" w:tentative="1">
      <w:start w:val="1"/>
      <w:numFmt w:val="bullet"/>
      <w:lvlText w:val=""/>
      <w:lvlJc w:val="left"/>
      <w:pPr>
        <w:tabs>
          <w:tab w:val="num" w:pos="5836"/>
        </w:tabs>
        <w:ind w:left="5836" w:hanging="360"/>
      </w:pPr>
      <w:rPr>
        <w:rFonts w:ascii="Symbol" w:hAnsi="Symbol" w:hint="default"/>
      </w:rPr>
    </w:lvl>
    <w:lvl w:ilvl="7" w:tplc="04090003" w:tentative="1">
      <w:start w:val="1"/>
      <w:numFmt w:val="bullet"/>
      <w:lvlText w:val="o"/>
      <w:lvlJc w:val="left"/>
      <w:pPr>
        <w:tabs>
          <w:tab w:val="num" w:pos="6556"/>
        </w:tabs>
        <w:ind w:left="6556" w:hanging="360"/>
      </w:pPr>
      <w:rPr>
        <w:rFonts w:ascii="Courier New" w:hAnsi="Courier New" w:hint="default"/>
      </w:rPr>
    </w:lvl>
    <w:lvl w:ilvl="8" w:tplc="04090005" w:tentative="1">
      <w:start w:val="1"/>
      <w:numFmt w:val="bullet"/>
      <w:lvlText w:val=""/>
      <w:lvlJc w:val="left"/>
      <w:pPr>
        <w:tabs>
          <w:tab w:val="num" w:pos="7276"/>
        </w:tabs>
        <w:ind w:left="7276" w:hanging="360"/>
      </w:pPr>
      <w:rPr>
        <w:rFonts w:ascii="Wingdings" w:hAnsi="Wingdings" w:hint="default"/>
      </w:rPr>
    </w:lvl>
  </w:abstractNum>
  <w:abstractNum w:abstractNumId="11" w15:restartNumberingAfterBreak="0">
    <w:nsid w:val="5A565032"/>
    <w:multiLevelType w:val="multilevel"/>
    <w:tmpl w:val="9AB6BAE4"/>
    <w:lvl w:ilvl="0">
      <w:start w:val="1"/>
      <w:numFmt w:val="lowerLetter"/>
      <w:pStyle w:val="QuoteListletter"/>
      <w:lvlText w:val="(%1)"/>
      <w:lvlJc w:val="left"/>
      <w:pPr>
        <w:ind w:left="680" w:hanging="396"/>
      </w:pPr>
      <w:rPr>
        <w:rFonts w:hint="default"/>
      </w:rPr>
    </w:lvl>
    <w:lvl w:ilvl="1">
      <w:start w:val="1"/>
      <w:numFmt w:val="lowerRoman"/>
      <w:lvlText w:val="(%2)"/>
      <w:lvlJc w:val="left"/>
      <w:pPr>
        <w:ind w:left="1701" w:hanging="624"/>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2" w15:restartNumberingAfterBreak="0">
    <w:nsid w:val="5BFC0F86"/>
    <w:multiLevelType w:val="hybridMultilevel"/>
    <w:tmpl w:val="967807A0"/>
    <w:lvl w:ilvl="0" w:tplc="080C19FA">
      <w:start w:val="1"/>
      <w:numFmt w:val="bullet"/>
      <w:pStyle w:val="TableBullet"/>
      <w:lvlText w:val=""/>
      <w:lvlJc w:val="left"/>
      <w:pPr>
        <w:tabs>
          <w:tab w:val="num" w:pos="360"/>
        </w:tabs>
        <w:ind w:left="216" w:hanging="216"/>
      </w:pPr>
      <w:rPr>
        <w:rFonts w:ascii="Symbol" w:hAnsi="Symbol" w:hint="default"/>
        <w:sz w:val="16"/>
      </w:rPr>
    </w:lvl>
    <w:lvl w:ilvl="1" w:tplc="F9E2E734" w:tentative="1">
      <w:start w:val="1"/>
      <w:numFmt w:val="bullet"/>
      <w:lvlText w:val="o"/>
      <w:lvlJc w:val="left"/>
      <w:pPr>
        <w:tabs>
          <w:tab w:val="num" w:pos="1440"/>
        </w:tabs>
        <w:ind w:left="1440" w:hanging="360"/>
      </w:pPr>
      <w:rPr>
        <w:rFonts w:ascii="Courier New" w:hAnsi="Courier New" w:hint="default"/>
      </w:rPr>
    </w:lvl>
    <w:lvl w:ilvl="2" w:tplc="6DEEAAA4" w:tentative="1">
      <w:start w:val="1"/>
      <w:numFmt w:val="bullet"/>
      <w:lvlText w:val=""/>
      <w:lvlJc w:val="left"/>
      <w:pPr>
        <w:tabs>
          <w:tab w:val="num" w:pos="2160"/>
        </w:tabs>
        <w:ind w:left="2160" w:hanging="360"/>
      </w:pPr>
      <w:rPr>
        <w:rFonts w:ascii="Wingdings" w:hAnsi="Wingdings" w:hint="default"/>
      </w:rPr>
    </w:lvl>
    <w:lvl w:ilvl="3" w:tplc="C598E346" w:tentative="1">
      <w:start w:val="1"/>
      <w:numFmt w:val="bullet"/>
      <w:lvlText w:val=""/>
      <w:lvlJc w:val="left"/>
      <w:pPr>
        <w:tabs>
          <w:tab w:val="num" w:pos="2880"/>
        </w:tabs>
        <w:ind w:left="2880" w:hanging="360"/>
      </w:pPr>
      <w:rPr>
        <w:rFonts w:ascii="Symbol" w:hAnsi="Symbol" w:hint="default"/>
      </w:rPr>
    </w:lvl>
    <w:lvl w:ilvl="4" w:tplc="790C274C" w:tentative="1">
      <w:start w:val="1"/>
      <w:numFmt w:val="bullet"/>
      <w:lvlText w:val="o"/>
      <w:lvlJc w:val="left"/>
      <w:pPr>
        <w:tabs>
          <w:tab w:val="num" w:pos="3600"/>
        </w:tabs>
        <w:ind w:left="3600" w:hanging="360"/>
      </w:pPr>
      <w:rPr>
        <w:rFonts w:ascii="Courier New" w:hAnsi="Courier New" w:hint="default"/>
      </w:rPr>
    </w:lvl>
    <w:lvl w:ilvl="5" w:tplc="D0E442FA" w:tentative="1">
      <w:start w:val="1"/>
      <w:numFmt w:val="bullet"/>
      <w:lvlText w:val=""/>
      <w:lvlJc w:val="left"/>
      <w:pPr>
        <w:tabs>
          <w:tab w:val="num" w:pos="4320"/>
        </w:tabs>
        <w:ind w:left="4320" w:hanging="360"/>
      </w:pPr>
      <w:rPr>
        <w:rFonts w:ascii="Wingdings" w:hAnsi="Wingdings" w:hint="default"/>
      </w:rPr>
    </w:lvl>
    <w:lvl w:ilvl="6" w:tplc="D24C2F38" w:tentative="1">
      <w:start w:val="1"/>
      <w:numFmt w:val="bullet"/>
      <w:lvlText w:val=""/>
      <w:lvlJc w:val="left"/>
      <w:pPr>
        <w:tabs>
          <w:tab w:val="num" w:pos="5040"/>
        </w:tabs>
        <w:ind w:left="5040" w:hanging="360"/>
      </w:pPr>
      <w:rPr>
        <w:rFonts w:ascii="Symbol" w:hAnsi="Symbol" w:hint="default"/>
      </w:rPr>
    </w:lvl>
    <w:lvl w:ilvl="7" w:tplc="D8A6F982" w:tentative="1">
      <w:start w:val="1"/>
      <w:numFmt w:val="bullet"/>
      <w:lvlText w:val="o"/>
      <w:lvlJc w:val="left"/>
      <w:pPr>
        <w:tabs>
          <w:tab w:val="num" w:pos="5760"/>
        </w:tabs>
        <w:ind w:left="5760" w:hanging="360"/>
      </w:pPr>
      <w:rPr>
        <w:rFonts w:ascii="Courier New" w:hAnsi="Courier New" w:hint="default"/>
      </w:rPr>
    </w:lvl>
    <w:lvl w:ilvl="8" w:tplc="9F1A4FD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AB11EF"/>
    <w:multiLevelType w:val="hybridMultilevel"/>
    <w:tmpl w:val="D898C958"/>
    <w:lvl w:ilvl="0" w:tplc="BF20C17A">
      <w:start w:val="1"/>
      <w:numFmt w:val="bullet"/>
      <w:pStyle w:val="Bullet"/>
      <w:lvlText w:val=""/>
      <w:lvlJc w:val="left"/>
      <w:pPr>
        <w:ind w:left="644" w:hanging="360"/>
      </w:pPr>
      <w:rPr>
        <w:rFonts w:ascii="Symbol" w:hAnsi="Symbol" w:hint="default"/>
        <w:b w:val="0"/>
        <w:i w:val="0"/>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3E139A"/>
    <w:multiLevelType w:val="hybridMultilevel"/>
    <w:tmpl w:val="5204F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7B0CC1"/>
    <w:multiLevelType w:val="hybridMultilevel"/>
    <w:tmpl w:val="00D40374"/>
    <w:lvl w:ilvl="0" w:tplc="0C090017">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15:restartNumberingAfterBreak="0">
    <w:nsid w:val="6AA5076D"/>
    <w:multiLevelType w:val="hybridMultilevel"/>
    <w:tmpl w:val="1A30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BC7145"/>
    <w:multiLevelType w:val="hybridMultilevel"/>
    <w:tmpl w:val="428C538A"/>
    <w:lvl w:ilvl="0" w:tplc="BA8C3370">
      <w:start w:val="1"/>
      <w:numFmt w:val="decimal"/>
      <w:pStyle w:val="ListNumber"/>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0C0580F"/>
    <w:multiLevelType w:val="hybridMultilevel"/>
    <w:tmpl w:val="8E4C8FFC"/>
    <w:lvl w:ilvl="0" w:tplc="61AEB950">
      <w:start w:val="1"/>
      <w:numFmt w:val="bullet"/>
      <w:pStyle w:val="Dash"/>
      <w:lvlText w:val="–"/>
      <w:lvlJc w:val="left"/>
      <w:pPr>
        <w:tabs>
          <w:tab w:val="num" w:pos="2160"/>
        </w:tabs>
        <w:ind w:left="2160" w:hanging="720"/>
      </w:pPr>
      <w:rPr>
        <w:rFonts w:ascii="Verdana" w:hAnsi="Verdana" w:hint="default"/>
      </w:rPr>
    </w:lvl>
    <w:lvl w:ilvl="1" w:tplc="0C090019" w:tentative="1">
      <w:start w:val="1"/>
      <w:numFmt w:val="bullet"/>
      <w:lvlText w:val="o"/>
      <w:lvlJc w:val="left"/>
      <w:pPr>
        <w:tabs>
          <w:tab w:val="num" w:pos="1800"/>
        </w:tabs>
        <w:ind w:left="1800" w:hanging="360"/>
      </w:pPr>
      <w:rPr>
        <w:rFonts w:ascii="Courier New" w:hAnsi="Courier New"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70C4FCC"/>
    <w:multiLevelType w:val="hybridMultilevel"/>
    <w:tmpl w:val="3BB63690"/>
    <w:lvl w:ilvl="0" w:tplc="A0660A2A">
      <w:start w:val="1"/>
      <w:numFmt w:val="decimal"/>
      <w:lvlText w:val="(%1)"/>
      <w:lvlJc w:val="left"/>
      <w:pPr>
        <w:ind w:left="720" w:hanging="360"/>
      </w:pPr>
      <w:rPr>
        <w:rFonts w:cs="Times New Roman" w:hint="default"/>
        <w:color w:val="231F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91F5B3F"/>
    <w:multiLevelType w:val="hybridMultilevel"/>
    <w:tmpl w:val="A4086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12"/>
  </w:num>
  <w:num w:numId="3">
    <w:abstractNumId w:val="1"/>
    <w:lvlOverride w:ilvl="0">
      <w:lvl w:ilvl="0">
        <w:start w:val="1"/>
        <w:numFmt w:val="bullet"/>
        <w:pStyle w:val="QuoteBullet"/>
        <w:lvlText w:val=""/>
        <w:legacy w:legacy="1" w:legacySpace="0" w:legacyIndent="360"/>
        <w:lvlJc w:val="left"/>
        <w:pPr>
          <w:ind w:left="360" w:hanging="360"/>
        </w:pPr>
        <w:rPr>
          <w:rFonts w:ascii="Symbol" w:hAnsi="Symbol" w:hint="default"/>
        </w:rPr>
      </w:lvl>
    </w:lvlOverride>
  </w:num>
  <w:num w:numId="4">
    <w:abstractNumId w:val="2"/>
  </w:num>
  <w:num w:numId="5">
    <w:abstractNumId w:val="7"/>
  </w:num>
  <w:num w:numId="6">
    <w:abstractNumId w:val="9"/>
  </w:num>
  <w:num w:numId="7">
    <w:abstractNumId w:val="8"/>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8"/>
  </w:num>
  <w:num w:numId="12">
    <w:abstractNumId w:val="17"/>
  </w:num>
  <w:num w:numId="13">
    <w:abstractNumId w:val="21"/>
  </w:num>
  <w:num w:numId="14">
    <w:abstractNumId w:val="20"/>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
  </w:num>
  <w:num w:numId="18">
    <w:abstractNumId w:val="16"/>
  </w:num>
  <w:num w:numId="19">
    <w:abstractNumId w:val="14"/>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0"/>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19"/>
  </w:num>
  <w:num w:numId="41">
    <w:abstractNumId w:val="8"/>
  </w:num>
  <w:num w:numId="42">
    <w:abstractNumId w:val="11"/>
  </w:num>
  <w:num w:numId="43">
    <w:abstractNumId w:val="11"/>
  </w:num>
  <w:num w:numId="44">
    <w:abstractNumId w:val="15"/>
  </w:num>
  <w:num w:numId="45">
    <w:abstractNumId w:val="6"/>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trackRevisions/>
  <w:documentProtection w:formatting="1" w:enforcement="0"/>
  <w:styleLockTheme/>
  <w:defaultTabStop w:val="720"/>
  <w:evenAndOddHeaders/>
  <w:drawingGridHorizontalSpacing w:val="110"/>
  <w:displayHorizontalDrawingGridEvery w:val="2"/>
  <w:characterSpacingControl w:val="doNotCompress"/>
  <w:hdrShapeDefaults>
    <o:shapedefaults v:ext="edit" spidmax="2055" fillcolor="none [3200]" strokecolor="none [3212]">
      <v:fill color="none [3200]"/>
      <v:stroke color="none [3212]" weight="0"/>
      <v:shadow type="perspective" color="none [1601]" opacity=".5" offset="1pt" offset2="-1pt"/>
      <o:colormru v:ext="edit" colors="black"/>
    </o:shapedefaults>
    <o:shapelayout v:ext="edit">
      <o:idmap v:ext="edit" data="2"/>
    </o:shapelayout>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ICRC&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xwt9zxa6r5fesevwr5xzp97r95ev9wx9zpw&quot;&gt;ICRC Endnote Library&lt;record-ids&gt;&lt;item&gt;450&lt;/item&gt;&lt;item&gt;752&lt;/item&gt;&lt;item&gt;753&lt;/item&gt;&lt;item&gt;754&lt;/item&gt;&lt;item&gt;755&lt;/item&gt;&lt;/record-ids&gt;&lt;/item&gt;&lt;/Libraries&gt;"/>
  </w:docVars>
  <w:rsids>
    <w:rsidRoot w:val="005123B8"/>
    <w:rsid w:val="0000003A"/>
    <w:rsid w:val="0000005F"/>
    <w:rsid w:val="00000086"/>
    <w:rsid w:val="0000019A"/>
    <w:rsid w:val="0000019F"/>
    <w:rsid w:val="00000594"/>
    <w:rsid w:val="00000646"/>
    <w:rsid w:val="00000798"/>
    <w:rsid w:val="000008FF"/>
    <w:rsid w:val="0000091B"/>
    <w:rsid w:val="0000092A"/>
    <w:rsid w:val="00000ABE"/>
    <w:rsid w:val="00000B8D"/>
    <w:rsid w:val="00000C99"/>
    <w:rsid w:val="00000CB8"/>
    <w:rsid w:val="00000CF1"/>
    <w:rsid w:val="00000E58"/>
    <w:rsid w:val="00000EEE"/>
    <w:rsid w:val="000010D0"/>
    <w:rsid w:val="00001196"/>
    <w:rsid w:val="00001248"/>
    <w:rsid w:val="000014DB"/>
    <w:rsid w:val="00001571"/>
    <w:rsid w:val="00001610"/>
    <w:rsid w:val="0000165D"/>
    <w:rsid w:val="00001706"/>
    <w:rsid w:val="00001719"/>
    <w:rsid w:val="00001961"/>
    <w:rsid w:val="000019D0"/>
    <w:rsid w:val="00001A64"/>
    <w:rsid w:val="00001B4C"/>
    <w:rsid w:val="00001B56"/>
    <w:rsid w:val="00001C65"/>
    <w:rsid w:val="00001DC3"/>
    <w:rsid w:val="00001E01"/>
    <w:rsid w:val="00001FB0"/>
    <w:rsid w:val="0000210F"/>
    <w:rsid w:val="00002137"/>
    <w:rsid w:val="0000220C"/>
    <w:rsid w:val="00002215"/>
    <w:rsid w:val="000023D0"/>
    <w:rsid w:val="0000240B"/>
    <w:rsid w:val="0000240F"/>
    <w:rsid w:val="000025E5"/>
    <w:rsid w:val="0000266D"/>
    <w:rsid w:val="00002767"/>
    <w:rsid w:val="000028E1"/>
    <w:rsid w:val="00002A16"/>
    <w:rsid w:val="00002C07"/>
    <w:rsid w:val="00002CE1"/>
    <w:rsid w:val="00002D86"/>
    <w:rsid w:val="00002F3E"/>
    <w:rsid w:val="00002F3F"/>
    <w:rsid w:val="000031A3"/>
    <w:rsid w:val="00003227"/>
    <w:rsid w:val="000032D2"/>
    <w:rsid w:val="00003375"/>
    <w:rsid w:val="00003449"/>
    <w:rsid w:val="0000385D"/>
    <w:rsid w:val="000039C7"/>
    <w:rsid w:val="00003AA7"/>
    <w:rsid w:val="00003AD0"/>
    <w:rsid w:val="00003C22"/>
    <w:rsid w:val="00003C3C"/>
    <w:rsid w:val="00003C6F"/>
    <w:rsid w:val="00003DDD"/>
    <w:rsid w:val="00003E12"/>
    <w:rsid w:val="000040CD"/>
    <w:rsid w:val="00004112"/>
    <w:rsid w:val="000042B1"/>
    <w:rsid w:val="00004331"/>
    <w:rsid w:val="00004345"/>
    <w:rsid w:val="000043A5"/>
    <w:rsid w:val="000044F9"/>
    <w:rsid w:val="0000455F"/>
    <w:rsid w:val="000045D1"/>
    <w:rsid w:val="0000462F"/>
    <w:rsid w:val="0000471C"/>
    <w:rsid w:val="00004B0B"/>
    <w:rsid w:val="00004B79"/>
    <w:rsid w:val="00004B81"/>
    <w:rsid w:val="00004D80"/>
    <w:rsid w:val="00004E3A"/>
    <w:rsid w:val="00004F11"/>
    <w:rsid w:val="00004F1F"/>
    <w:rsid w:val="000050AA"/>
    <w:rsid w:val="00005116"/>
    <w:rsid w:val="00005127"/>
    <w:rsid w:val="000051F1"/>
    <w:rsid w:val="000052D0"/>
    <w:rsid w:val="0000542D"/>
    <w:rsid w:val="00005543"/>
    <w:rsid w:val="00005554"/>
    <w:rsid w:val="0000567C"/>
    <w:rsid w:val="000057D1"/>
    <w:rsid w:val="00005AEE"/>
    <w:rsid w:val="00005B3D"/>
    <w:rsid w:val="00005B3E"/>
    <w:rsid w:val="00005B70"/>
    <w:rsid w:val="00005B7D"/>
    <w:rsid w:val="00005BA2"/>
    <w:rsid w:val="00005D62"/>
    <w:rsid w:val="00005E98"/>
    <w:rsid w:val="00006000"/>
    <w:rsid w:val="000061FA"/>
    <w:rsid w:val="000064A9"/>
    <w:rsid w:val="00006859"/>
    <w:rsid w:val="0000695B"/>
    <w:rsid w:val="00006A2C"/>
    <w:rsid w:val="00006A62"/>
    <w:rsid w:val="00006B34"/>
    <w:rsid w:val="00006C61"/>
    <w:rsid w:val="00006CE7"/>
    <w:rsid w:val="00006D70"/>
    <w:rsid w:val="00006EA7"/>
    <w:rsid w:val="00007041"/>
    <w:rsid w:val="000070A2"/>
    <w:rsid w:val="000070C2"/>
    <w:rsid w:val="00007198"/>
    <w:rsid w:val="0000726C"/>
    <w:rsid w:val="0000732B"/>
    <w:rsid w:val="000074E3"/>
    <w:rsid w:val="0000754E"/>
    <w:rsid w:val="00007844"/>
    <w:rsid w:val="00007880"/>
    <w:rsid w:val="00007A2C"/>
    <w:rsid w:val="00007BEA"/>
    <w:rsid w:val="00007E23"/>
    <w:rsid w:val="00007FB5"/>
    <w:rsid w:val="00010322"/>
    <w:rsid w:val="00010370"/>
    <w:rsid w:val="00010436"/>
    <w:rsid w:val="00010458"/>
    <w:rsid w:val="000106D8"/>
    <w:rsid w:val="00010857"/>
    <w:rsid w:val="0001089B"/>
    <w:rsid w:val="00010A8E"/>
    <w:rsid w:val="00010AD0"/>
    <w:rsid w:val="00010B28"/>
    <w:rsid w:val="00010EAE"/>
    <w:rsid w:val="00011266"/>
    <w:rsid w:val="000112FF"/>
    <w:rsid w:val="000113AB"/>
    <w:rsid w:val="00011457"/>
    <w:rsid w:val="00011515"/>
    <w:rsid w:val="00011611"/>
    <w:rsid w:val="000116EA"/>
    <w:rsid w:val="00011A94"/>
    <w:rsid w:val="00011B03"/>
    <w:rsid w:val="00011B91"/>
    <w:rsid w:val="00011BB5"/>
    <w:rsid w:val="00011DFB"/>
    <w:rsid w:val="00011E35"/>
    <w:rsid w:val="00012018"/>
    <w:rsid w:val="00012182"/>
    <w:rsid w:val="000125D0"/>
    <w:rsid w:val="00012870"/>
    <w:rsid w:val="00012AAB"/>
    <w:rsid w:val="00012AEE"/>
    <w:rsid w:val="00012CC1"/>
    <w:rsid w:val="00012D17"/>
    <w:rsid w:val="00012DF0"/>
    <w:rsid w:val="00012E87"/>
    <w:rsid w:val="00012EDE"/>
    <w:rsid w:val="00012F28"/>
    <w:rsid w:val="00012F43"/>
    <w:rsid w:val="00012F88"/>
    <w:rsid w:val="000130ED"/>
    <w:rsid w:val="0001321D"/>
    <w:rsid w:val="00013477"/>
    <w:rsid w:val="00013767"/>
    <w:rsid w:val="0001391F"/>
    <w:rsid w:val="00013B51"/>
    <w:rsid w:val="00013B77"/>
    <w:rsid w:val="00013BA5"/>
    <w:rsid w:val="00013CC4"/>
    <w:rsid w:val="00013E0E"/>
    <w:rsid w:val="00013EBE"/>
    <w:rsid w:val="00013F00"/>
    <w:rsid w:val="00014108"/>
    <w:rsid w:val="00014150"/>
    <w:rsid w:val="000141CA"/>
    <w:rsid w:val="0001440E"/>
    <w:rsid w:val="00014453"/>
    <w:rsid w:val="00014476"/>
    <w:rsid w:val="00014665"/>
    <w:rsid w:val="00014771"/>
    <w:rsid w:val="0001481B"/>
    <w:rsid w:val="00014B1C"/>
    <w:rsid w:val="00014D0B"/>
    <w:rsid w:val="00014D13"/>
    <w:rsid w:val="000151F3"/>
    <w:rsid w:val="0001532C"/>
    <w:rsid w:val="00015481"/>
    <w:rsid w:val="0001550D"/>
    <w:rsid w:val="0001551E"/>
    <w:rsid w:val="000155B6"/>
    <w:rsid w:val="000155EA"/>
    <w:rsid w:val="0001566A"/>
    <w:rsid w:val="000158FC"/>
    <w:rsid w:val="00015A5F"/>
    <w:rsid w:val="00015D63"/>
    <w:rsid w:val="00015EBD"/>
    <w:rsid w:val="00015F3F"/>
    <w:rsid w:val="0001603E"/>
    <w:rsid w:val="0001604F"/>
    <w:rsid w:val="00016146"/>
    <w:rsid w:val="0001644E"/>
    <w:rsid w:val="0001660A"/>
    <w:rsid w:val="00016818"/>
    <w:rsid w:val="00016A55"/>
    <w:rsid w:val="00016A76"/>
    <w:rsid w:val="00016AF3"/>
    <w:rsid w:val="00016F25"/>
    <w:rsid w:val="00016FB1"/>
    <w:rsid w:val="0001742D"/>
    <w:rsid w:val="000174D7"/>
    <w:rsid w:val="000174FE"/>
    <w:rsid w:val="0001756A"/>
    <w:rsid w:val="0001776B"/>
    <w:rsid w:val="00017944"/>
    <w:rsid w:val="00017C31"/>
    <w:rsid w:val="00017D71"/>
    <w:rsid w:val="00017EA3"/>
    <w:rsid w:val="00017F87"/>
    <w:rsid w:val="000201AB"/>
    <w:rsid w:val="0002044A"/>
    <w:rsid w:val="00020545"/>
    <w:rsid w:val="00020689"/>
    <w:rsid w:val="000206F9"/>
    <w:rsid w:val="00020C52"/>
    <w:rsid w:val="00020D0B"/>
    <w:rsid w:val="00020E71"/>
    <w:rsid w:val="00020F0D"/>
    <w:rsid w:val="00020FF9"/>
    <w:rsid w:val="000210DB"/>
    <w:rsid w:val="000210E3"/>
    <w:rsid w:val="00021228"/>
    <w:rsid w:val="000212A6"/>
    <w:rsid w:val="0002137B"/>
    <w:rsid w:val="000214AA"/>
    <w:rsid w:val="000218ED"/>
    <w:rsid w:val="00021984"/>
    <w:rsid w:val="00021CB1"/>
    <w:rsid w:val="00022038"/>
    <w:rsid w:val="000220A9"/>
    <w:rsid w:val="00022261"/>
    <w:rsid w:val="0002235D"/>
    <w:rsid w:val="00022533"/>
    <w:rsid w:val="00022567"/>
    <w:rsid w:val="00022594"/>
    <w:rsid w:val="0002271B"/>
    <w:rsid w:val="0002280B"/>
    <w:rsid w:val="0002290B"/>
    <w:rsid w:val="00022960"/>
    <w:rsid w:val="000229DE"/>
    <w:rsid w:val="000229E6"/>
    <w:rsid w:val="00022CFE"/>
    <w:rsid w:val="00022D23"/>
    <w:rsid w:val="00022DBD"/>
    <w:rsid w:val="0002312F"/>
    <w:rsid w:val="00023202"/>
    <w:rsid w:val="00023211"/>
    <w:rsid w:val="0002322E"/>
    <w:rsid w:val="00023244"/>
    <w:rsid w:val="0002326B"/>
    <w:rsid w:val="000232DD"/>
    <w:rsid w:val="000232FB"/>
    <w:rsid w:val="0002347A"/>
    <w:rsid w:val="000234C6"/>
    <w:rsid w:val="000235DB"/>
    <w:rsid w:val="000236CD"/>
    <w:rsid w:val="00023AC7"/>
    <w:rsid w:val="00023D8C"/>
    <w:rsid w:val="00023EDB"/>
    <w:rsid w:val="00023FD6"/>
    <w:rsid w:val="000240B7"/>
    <w:rsid w:val="000240C2"/>
    <w:rsid w:val="0002426C"/>
    <w:rsid w:val="0002438D"/>
    <w:rsid w:val="00024454"/>
    <w:rsid w:val="00024566"/>
    <w:rsid w:val="0002459B"/>
    <w:rsid w:val="000248C9"/>
    <w:rsid w:val="00024A76"/>
    <w:rsid w:val="00024B1B"/>
    <w:rsid w:val="00024B97"/>
    <w:rsid w:val="00024C2B"/>
    <w:rsid w:val="00024CED"/>
    <w:rsid w:val="00024F42"/>
    <w:rsid w:val="0002512A"/>
    <w:rsid w:val="000253E1"/>
    <w:rsid w:val="000254AE"/>
    <w:rsid w:val="00025534"/>
    <w:rsid w:val="00025809"/>
    <w:rsid w:val="000258A3"/>
    <w:rsid w:val="00025B1F"/>
    <w:rsid w:val="00025EDE"/>
    <w:rsid w:val="00025F2C"/>
    <w:rsid w:val="0002603C"/>
    <w:rsid w:val="000261BB"/>
    <w:rsid w:val="00026318"/>
    <w:rsid w:val="00026426"/>
    <w:rsid w:val="0002648B"/>
    <w:rsid w:val="000264A8"/>
    <w:rsid w:val="000264FD"/>
    <w:rsid w:val="0002673A"/>
    <w:rsid w:val="000267A9"/>
    <w:rsid w:val="00026BC5"/>
    <w:rsid w:val="00026FE8"/>
    <w:rsid w:val="000270F3"/>
    <w:rsid w:val="000271A9"/>
    <w:rsid w:val="000271FD"/>
    <w:rsid w:val="000273BF"/>
    <w:rsid w:val="000274CD"/>
    <w:rsid w:val="000275EF"/>
    <w:rsid w:val="0002766E"/>
    <w:rsid w:val="00027784"/>
    <w:rsid w:val="000277A0"/>
    <w:rsid w:val="00027A14"/>
    <w:rsid w:val="00027C8D"/>
    <w:rsid w:val="00027D28"/>
    <w:rsid w:val="00027DFB"/>
    <w:rsid w:val="00027F53"/>
    <w:rsid w:val="000302BE"/>
    <w:rsid w:val="00030428"/>
    <w:rsid w:val="00030474"/>
    <w:rsid w:val="0003052F"/>
    <w:rsid w:val="00030590"/>
    <w:rsid w:val="0003062E"/>
    <w:rsid w:val="000307A1"/>
    <w:rsid w:val="00030A9B"/>
    <w:rsid w:val="00030BAA"/>
    <w:rsid w:val="00030D19"/>
    <w:rsid w:val="00030D9D"/>
    <w:rsid w:val="00030F2C"/>
    <w:rsid w:val="00030F4B"/>
    <w:rsid w:val="0003101E"/>
    <w:rsid w:val="000310EA"/>
    <w:rsid w:val="0003115F"/>
    <w:rsid w:val="000313D6"/>
    <w:rsid w:val="000314DD"/>
    <w:rsid w:val="00031730"/>
    <w:rsid w:val="000318F8"/>
    <w:rsid w:val="00031B28"/>
    <w:rsid w:val="00031BCC"/>
    <w:rsid w:val="00031D64"/>
    <w:rsid w:val="00031E16"/>
    <w:rsid w:val="00031ECB"/>
    <w:rsid w:val="00032001"/>
    <w:rsid w:val="000320B2"/>
    <w:rsid w:val="000323F1"/>
    <w:rsid w:val="00032439"/>
    <w:rsid w:val="0003262B"/>
    <w:rsid w:val="0003269D"/>
    <w:rsid w:val="0003276A"/>
    <w:rsid w:val="000328D8"/>
    <w:rsid w:val="00032A42"/>
    <w:rsid w:val="00032AA1"/>
    <w:rsid w:val="00032CED"/>
    <w:rsid w:val="00032DDF"/>
    <w:rsid w:val="00032E4A"/>
    <w:rsid w:val="00032E68"/>
    <w:rsid w:val="00032FB5"/>
    <w:rsid w:val="00033398"/>
    <w:rsid w:val="00033592"/>
    <w:rsid w:val="000335EC"/>
    <w:rsid w:val="0003377C"/>
    <w:rsid w:val="000337FD"/>
    <w:rsid w:val="0003386F"/>
    <w:rsid w:val="000339C1"/>
    <w:rsid w:val="000339CA"/>
    <w:rsid w:val="00033C37"/>
    <w:rsid w:val="00033E03"/>
    <w:rsid w:val="0003406A"/>
    <w:rsid w:val="000341B1"/>
    <w:rsid w:val="0003426C"/>
    <w:rsid w:val="000344C0"/>
    <w:rsid w:val="0003463D"/>
    <w:rsid w:val="00034649"/>
    <w:rsid w:val="000346B8"/>
    <w:rsid w:val="00034876"/>
    <w:rsid w:val="000348BC"/>
    <w:rsid w:val="00034CF7"/>
    <w:rsid w:val="00034E32"/>
    <w:rsid w:val="00034E5E"/>
    <w:rsid w:val="00034FC4"/>
    <w:rsid w:val="000350BB"/>
    <w:rsid w:val="00035499"/>
    <w:rsid w:val="0003560C"/>
    <w:rsid w:val="00035A44"/>
    <w:rsid w:val="00035A6B"/>
    <w:rsid w:val="00035A9E"/>
    <w:rsid w:val="00035C19"/>
    <w:rsid w:val="00035C2A"/>
    <w:rsid w:val="00035C38"/>
    <w:rsid w:val="00035CE5"/>
    <w:rsid w:val="00035F3F"/>
    <w:rsid w:val="00035FB2"/>
    <w:rsid w:val="0003608F"/>
    <w:rsid w:val="000360DB"/>
    <w:rsid w:val="0003626B"/>
    <w:rsid w:val="00036289"/>
    <w:rsid w:val="00036312"/>
    <w:rsid w:val="000364A1"/>
    <w:rsid w:val="000368C5"/>
    <w:rsid w:val="00036920"/>
    <w:rsid w:val="00036988"/>
    <w:rsid w:val="000369E5"/>
    <w:rsid w:val="00036CB6"/>
    <w:rsid w:val="0003706E"/>
    <w:rsid w:val="000372BB"/>
    <w:rsid w:val="000372FE"/>
    <w:rsid w:val="000373A1"/>
    <w:rsid w:val="000373B0"/>
    <w:rsid w:val="0003745D"/>
    <w:rsid w:val="000374B1"/>
    <w:rsid w:val="0003760E"/>
    <w:rsid w:val="00037624"/>
    <w:rsid w:val="00037640"/>
    <w:rsid w:val="000376F6"/>
    <w:rsid w:val="000377B5"/>
    <w:rsid w:val="000377BF"/>
    <w:rsid w:val="000377E3"/>
    <w:rsid w:val="00037820"/>
    <w:rsid w:val="000378E3"/>
    <w:rsid w:val="0003796A"/>
    <w:rsid w:val="0003799E"/>
    <w:rsid w:val="00037D3C"/>
    <w:rsid w:val="00037D50"/>
    <w:rsid w:val="00037E18"/>
    <w:rsid w:val="00037E55"/>
    <w:rsid w:val="00037E8B"/>
    <w:rsid w:val="00037EB4"/>
    <w:rsid w:val="00037FB0"/>
    <w:rsid w:val="00040071"/>
    <w:rsid w:val="00040097"/>
    <w:rsid w:val="0004055B"/>
    <w:rsid w:val="00040609"/>
    <w:rsid w:val="00040852"/>
    <w:rsid w:val="000408DB"/>
    <w:rsid w:val="00040925"/>
    <w:rsid w:val="00040943"/>
    <w:rsid w:val="00040C1F"/>
    <w:rsid w:val="00040DC1"/>
    <w:rsid w:val="00040E42"/>
    <w:rsid w:val="0004104A"/>
    <w:rsid w:val="00041065"/>
    <w:rsid w:val="000412E8"/>
    <w:rsid w:val="00041660"/>
    <w:rsid w:val="000416F6"/>
    <w:rsid w:val="000418F1"/>
    <w:rsid w:val="00041988"/>
    <w:rsid w:val="00041A2B"/>
    <w:rsid w:val="00041B48"/>
    <w:rsid w:val="00041E43"/>
    <w:rsid w:val="00041EA2"/>
    <w:rsid w:val="00041ED4"/>
    <w:rsid w:val="000421E6"/>
    <w:rsid w:val="000422FB"/>
    <w:rsid w:val="00042330"/>
    <w:rsid w:val="000423E2"/>
    <w:rsid w:val="00042495"/>
    <w:rsid w:val="0004260D"/>
    <w:rsid w:val="0004260E"/>
    <w:rsid w:val="00042859"/>
    <w:rsid w:val="00042896"/>
    <w:rsid w:val="000428A8"/>
    <w:rsid w:val="00042ACE"/>
    <w:rsid w:val="00042D97"/>
    <w:rsid w:val="00042FA7"/>
    <w:rsid w:val="0004306D"/>
    <w:rsid w:val="000430DF"/>
    <w:rsid w:val="00043249"/>
    <w:rsid w:val="00043276"/>
    <w:rsid w:val="000432EC"/>
    <w:rsid w:val="00043481"/>
    <w:rsid w:val="000435B7"/>
    <w:rsid w:val="00043897"/>
    <w:rsid w:val="00043929"/>
    <w:rsid w:val="00043AC6"/>
    <w:rsid w:val="00043BA3"/>
    <w:rsid w:val="00043BCD"/>
    <w:rsid w:val="00043D38"/>
    <w:rsid w:val="00044122"/>
    <w:rsid w:val="00044333"/>
    <w:rsid w:val="0004440A"/>
    <w:rsid w:val="00044476"/>
    <w:rsid w:val="0004450B"/>
    <w:rsid w:val="000449A5"/>
    <w:rsid w:val="00044DD2"/>
    <w:rsid w:val="00044DEB"/>
    <w:rsid w:val="00044F7D"/>
    <w:rsid w:val="00045002"/>
    <w:rsid w:val="00045065"/>
    <w:rsid w:val="000450AE"/>
    <w:rsid w:val="00045325"/>
    <w:rsid w:val="0004554D"/>
    <w:rsid w:val="00045718"/>
    <w:rsid w:val="000457F4"/>
    <w:rsid w:val="00045809"/>
    <w:rsid w:val="00045924"/>
    <w:rsid w:val="00045942"/>
    <w:rsid w:val="00045D9E"/>
    <w:rsid w:val="00045E9B"/>
    <w:rsid w:val="00045F1E"/>
    <w:rsid w:val="000464FC"/>
    <w:rsid w:val="000465BA"/>
    <w:rsid w:val="000465EC"/>
    <w:rsid w:val="000466E7"/>
    <w:rsid w:val="00046A2E"/>
    <w:rsid w:val="00046B0F"/>
    <w:rsid w:val="00046B64"/>
    <w:rsid w:val="00046C59"/>
    <w:rsid w:val="00046CFC"/>
    <w:rsid w:val="00046E5C"/>
    <w:rsid w:val="00046E6A"/>
    <w:rsid w:val="00046E75"/>
    <w:rsid w:val="00046F16"/>
    <w:rsid w:val="00046FFE"/>
    <w:rsid w:val="00047330"/>
    <w:rsid w:val="000473E6"/>
    <w:rsid w:val="00047570"/>
    <w:rsid w:val="00047710"/>
    <w:rsid w:val="0004783F"/>
    <w:rsid w:val="000478B4"/>
    <w:rsid w:val="000479E8"/>
    <w:rsid w:val="00047A02"/>
    <w:rsid w:val="00047A76"/>
    <w:rsid w:val="00047CB1"/>
    <w:rsid w:val="00047D2C"/>
    <w:rsid w:val="00047F67"/>
    <w:rsid w:val="00050032"/>
    <w:rsid w:val="00050146"/>
    <w:rsid w:val="000501AB"/>
    <w:rsid w:val="000501B8"/>
    <w:rsid w:val="000504D2"/>
    <w:rsid w:val="000506C5"/>
    <w:rsid w:val="000506E8"/>
    <w:rsid w:val="00050803"/>
    <w:rsid w:val="0005090D"/>
    <w:rsid w:val="00050A26"/>
    <w:rsid w:val="00050AFF"/>
    <w:rsid w:val="00050CDE"/>
    <w:rsid w:val="00050F70"/>
    <w:rsid w:val="000510E1"/>
    <w:rsid w:val="0005118B"/>
    <w:rsid w:val="00051325"/>
    <w:rsid w:val="000514BB"/>
    <w:rsid w:val="000514CF"/>
    <w:rsid w:val="0005174A"/>
    <w:rsid w:val="000518A0"/>
    <w:rsid w:val="00051A80"/>
    <w:rsid w:val="00051B01"/>
    <w:rsid w:val="0005211F"/>
    <w:rsid w:val="0005234F"/>
    <w:rsid w:val="00052350"/>
    <w:rsid w:val="00052383"/>
    <w:rsid w:val="00052646"/>
    <w:rsid w:val="000526C9"/>
    <w:rsid w:val="000527F9"/>
    <w:rsid w:val="00052910"/>
    <w:rsid w:val="00052B34"/>
    <w:rsid w:val="00052D6E"/>
    <w:rsid w:val="00052E19"/>
    <w:rsid w:val="0005326C"/>
    <w:rsid w:val="000532AA"/>
    <w:rsid w:val="000533B0"/>
    <w:rsid w:val="00053458"/>
    <w:rsid w:val="00053694"/>
    <w:rsid w:val="00053733"/>
    <w:rsid w:val="000537D0"/>
    <w:rsid w:val="0005383A"/>
    <w:rsid w:val="000538EC"/>
    <w:rsid w:val="000539BF"/>
    <w:rsid w:val="00053A51"/>
    <w:rsid w:val="00053B10"/>
    <w:rsid w:val="00053B4C"/>
    <w:rsid w:val="00053CC9"/>
    <w:rsid w:val="00053D5C"/>
    <w:rsid w:val="00053D9F"/>
    <w:rsid w:val="00053E26"/>
    <w:rsid w:val="00053F82"/>
    <w:rsid w:val="00054007"/>
    <w:rsid w:val="0005414A"/>
    <w:rsid w:val="0005437B"/>
    <w:rsid w:val="00054709"/>
    <w:rsid w:val="000549A4"/>
    <w:rsid w:val="00054BE2"/>
    <w:rsid w:val="00054C1D"/>
    <w:rsid w:val="00054E41"/>
    <w:rsid w:val="00054E6C"/>
    <w:rsid w:val="00054EED"/>
    <w:rsid w:val="00054EF0"/>
    <w:rsid w:val="00054F1A"/>
    <w:rsid w:val="00054F5F"/>
    <w:rsid w:val="00054FB4"/>
    <w:rsid w:val="0005510A"/>
    <w:rsid w:val="00055110"/>
    <w:rsid w:val="0005553E"/>
    <w:rsid w:val="0005569B"/>
    <w:rsid w:val="00055DE3"/>
    <w:rsid w:val="00055E25"/>
    <w:rsid w:val="0005609F"/>
    <w:rsid w:val="00056526"/>
    <w:rsid w:val="0005682F"/>
    <w:rsid w:val="00056A97"/>
    <w:rsid w:val="00056C52"/>
    <w:rsid w:val="00056C65"/>
    <w:rsid w:val="00056D90"/>
    <w:rsid w:val="00056FF5"/>
    <w:rsid w:val="0005708E"/>
    <w:rsid w:val="0005714B"/>
    <w:rsid w:val="0005714C"/>
    <w:rsid w:val="000571A7"/>
    <w:rsid w:val="000575D4"/>
    <w:rsid w:val="00057644"/>
    <w:rsid w:val="000576DE"/>
    <w:rsid w:val="00057FCF"/>
    <w:rsid w:val="0006029A"/>
    <w:rsid w:val="00060305"/>
    <w:rsid w:val="0006051B"/>
    <w:rsid w:val="000605E7"/>
    <w:rsid w:val="000608A0"/>
    <w:rsid w:val="000608F8"/>
    <w:rsid w:val="00060A00"/>
    <w:rsid w:val="00060A67"/>
    <w:rsid w:val="00060B08"/>
    <w:rsid w:val="00060D25"/>
    <w:rsid w:val="00060F70"/>
    <w:rsid w:val="00060F87"/>
    <w:rsid w:val="0006101F"/>
    <w:rsid w:val="00061066"/>
    <w:rsid w:val="0006109E"/>
    <w:rsid w:val="0006118A"/>
    <w:rsid w:val="0006133B"/>
    <w:rsid w:val="000613A8"/>
    <w:rsid w:val="00061542"/>
    <w:rsid w:val="00061566"/>
    <w:rsid w:val="000615C7"/>
    <w:rsid w:val="00061817"/>
    <w:rsid w:val="000618E9"/>
    <w:rsid w:val="00061A43"/>
    <w:rsid w:val="00061AA5"/>
    <w:rsid w:val="00061B28"/>
    <w:rsid w:val="00061B34"/>
    <w:rsid w:val="00061B7F"/>
    <w:rsid w:val="00061B83"/>
    <w:rsid w:val="00061C62"/>
    <w:rsid w:val="00061C88"/>
    <w:rsid w:val="00061D30"/>
    <w:rsid w:val="00061E47"/>
    <w:rsid w:val="00061F43"/>
    <w:rsid w:val="0006229D"/>
    <w:rsid w:val="000623CC"/>
    <w:rsid w:val="000623ED"/>
    <w:rsid w:val="000626C4"/>
    <w:rsid w:val="0006273E"/>
    <w:rsid w:val="000627FD"/>
    <w:rsid w:val="00062A15"/>
    <w:rsid w:val="00062AC5"/>
    <w:rsid w:val="00062B04"/>
    <w:rsid w:val="00062FAE"/>
    <w:rsid w:val="0006302B"/>
    <w:rsid w:val="0006309C"/>
    <w:rsid w:val="00063108"/>
    <w:rsid w:val="00063283"/>
    <w:rsid w:val="00063330"/>
    <w:rsid w:val="000633C3"/>
    <w:rsid w:val="00063627"/>
    <w:rsid w:val="0006376F"/>
    <w:rsid w:val="000638D2"/>
    <w:rsid w:val="0006394A"/>
    <w:rsid w:val="00063A1F"/>
    <w:rsid w:val="00063A81"/>
    <w:rsid w:val="00063BB7"/>
    <w:rsid w:val="00063D9D"/>
    <w:rsid w:val="00063E32"/>
    <w:rsid w:val="00063EA4"/>
    <w:rsid w:val="00063EB5"/>
    <w:rsid w:val="0006421A"/>
    <w:rsid w:val="00064291"/>
    <w:rsid w:val="00064460"/>
    <w:rsid w:val="000644CB"/>
    <w:rsid w:val="0006452C"/>
    <w:rsid w:val="00064678"/>
    <w:rsid w:val="0006477D"/>
    <w:rsid w:val="000648FD"/>
    <w:rsid w:val="00064C82"/>
    <w:rsid w:val="00064D43"/>
    <w:rsid w:val="00064F13"/>
    <w:rsid w:val="00065183"/>
    <w:rsid w:val="0006522C"/>
    <w:rsid w:val="00065578"/>
    <w:rsid w:val="0006558A"/>
    <w:rsid w:val="00065609"/>
    <w:rsid w:val="00065628"/>
    <w:rsid w:val="00065A86"/>
    <w:rsid w:val="00065B3F"/>
    <w:rsid w:val="00065CA6"/>
    <w:rsid w:val="00065D6E"/>
    <w:rsid w:val="00066052"/>
    <w:rsid w:val="0006609B"/>
    <w:rsid w:val="00066191"/>
    <w:rsid w:val="0006630E"/>
    <w:rsid w:val="0006662B"/>
    <w:rsid w:val="00066679"/>
    <w:rsid w:val="000667D7"/>
    <w:rsid w:val="000668F0"/>
    <w:rsid w:val="0006698E"/>
    <w:rsid w:val="00066C6B"/>
    <w:rsid w:val="00066CEA"/>
    <w:rsid w:val="00066DC4"/>
    <w:rsid w:val="00066E53"/>
    <w:rsid w:val="00066F06"/>
    <w:rsid w:val="00066F0E"/>
    <w:rsid w:val="00066FB3"/>
    <w:rsid w:val="0006718D"/>
    <w:rsid w:val="0006723A"/>
    <w:rsid w:val="00067A3A"/>
    <w:rsid w:val="00067AAB"/>
    <w:rsid w:val="00067AF0"/>
    <w:rsid w:val="00067C5F"/>
    <w:rsid w:val="00067CF8"/>
    <w:rsid w:val="00067DD4"/>
    <w:rsid w:val="00067F52"/>
    <w:rsid w:val="0007003E"/>
    <w:rsid w:val="00070125"/>
    <w:rsid w:val="0007046B"/>
    <w:rsid w:val="00070530"/>
    <w:rsid w:val="0007054E"/>
    <w:rsid w:val="0007055A"/>
    <w:rsid w:val="00070640"/>
    <w:rsid w:val="00070729"/>
    <w:rsid w:val="0007080F"/>
    <w:rsid w:val="0007082C"/>
    <w:rsid w:val="0007087A"/>
    <w:rsid w:val="00070A90"/>
    <w:rsid w:val="00070B08"/>
    <w:rsid w:val="00070E61"/>
    <w:rsid w:val="00071030"/>
    <w:rsid w:val="00071222"/>
    <w:rsid w:val="0007127B"/>
    <w:rsid w:val="0007138E"/>
    <w:rsid w:val="0007142E"/>
    <w:rsid w:val="00071656"/>
    <w:rsid w:val="000716D9"/>
    <w:rsid w:val="000716E8"/>
    <w:rsid w:val="0007192C"/>
    <w:rsid w:val="0007194E"/>
    <w:rsid w:val="00071A1D"/>
    <w:rsid w:val="00071A9F"/>
    <w:rsid w:val="00071AC1"/>
    <w:rsid w:val="00071D3A"/>
    <w:rsid w:val="00071E33"/>
    <w:rsid w:val="00071EA3"/>
    <w:rsid w:val="00072029"/>
    <w:rsid w:val="0007209F"/>
    <w:rsid w:val="000721C4"/>
    <w:rsid w:val="00072257"/>
    <w:rsid w:val="00072281"/>
    <w:rsid w:val="000723C6"/>
    <w:rsid w:val="000726A0"/>
    <w:rsid w:val="00072736"/>
    <w:rsid w:val="000728BE"/>
    <w:rsid w:val="000728D6"/>
    <w:rsid w:val="00072997"/>
    <w:rsid w:val="00072A8C"/>
    <w:rsid w:val="00072C3A"/>
    <w:rsid w:val="00073142"/>
    <w:rsid w:val="00073593"/>
    <w:rsid w:val="0007370F"/>
    <w:rsid w:val="00073991"/>
    <w:rsid w:val="000739AE"/>
    <w:rsid w:val="00073A5B"/>
    <w:rsid w:val="00073B88"/>
    <w:rsid w:val="00073CC2"/>
    <w:rsid w:val="00073D58"/>
    <w:rsid w:val="00073E37"/>
    <w:rsid w:val="00073E45"/>
    <w:rsid w:val="00073F73"/>
    <w:rsid w:val="0007406C"/>
    <w:rsid w:val="000740A5"/>
    <w:rsid w:val="0007426A"/>
    <w:rsid w:val="000743D8"/>
    <w:rsid w:val="00074439"/>
    <w:rsid w:val="0007446D"/>
    <w:rsid w:val="00074647"/>
    <w:rsid w:val="00074738"/>
    <w:rsid w:val="00074796"/>
    <w:rsid w:val="00074925"/>
    <w:rsid w:val="00074AC4"/>
    <w:rsid w:val="00074B05"/>
    <w:rsid w:val="00074C26"/>
    <w:rsid w:val="00074CA0"/>
    <w:rsid w:val="00074CD8"/>
    <w:rsid w:val="00074E24"/>
    <w:rsid w:val="00074F10"/>
    <w:rsid w:val="0007522A"/>
    <w:rsid w:val="000752C0"/>
    <w:rsid w:val="000754BA"/>
    <w:rsid w:val="000754D9"/>
    <w:rsid w:val="000754DD"/>
    <w:rsid w:val="000755AA"/>
    <w:rsid w:val="000755E9"/>
    <w:rsid w:val="00075617"/>
    <w:rsid w:val="00075765"/>
    <w:rsid w:val="00075868"/>
    <w:rsid w:val="00075FA9"/>
    <w:rsid w:val="000761DA"/>
    <w:rsid w:val="0007632E"/>
    <w:rsid w:val="00076556"/>
    <w:rsid w:val="00076601"/>
    <w:rsid w:val="00076638"/>
    <w:rsid w:val="0007686C"/>
    <w:rsid w:val="00076875"/>
    <w:rsid w:val="00076C6B"/>
    <w:rsid w:val="00076C7B"/>
    <w:rsid w:val="00076CBA"/>
    <w:rsid w:val="00076D22"/>
    <w:rsid w:val="00076DAA"/>
    <w:rsid w:val="00076F86"/>
    <w:rsid w:val="00076FAB"/>
    <w:rsid w:val="00076FDF"/>
    <w:rsid w:val="00077215"/>
    <w:rsid w:val="0007730C"/>
    <w:rsid w:val="000775F7"/>
    <w:rsid w:val="00077792"/>
    <w:rsid w:val="00077BA3"/>
    <w:rsid w:val="00077DFC"/>
    <w:rsid w:val="00077E77"/>
    <w:rsid w:val="00077F0A"/>
    <w:rsid w:val="00080161"/>
    <w:rsid w:val="00080197"/>
    <w:rsid w:val="00080284"/>
    <w:rsid w:val="00080677"/>
    <w:rsid w:val="0008076B"/>
    <w:rsid w:val="00080822"/>
    <w:rsid w:val="0008098F"/>
    <w:rsid w:val="000809BA"/>
    <w:rsid w:val="00080C73"/>
    <w:rsid w:val="00080ECD"/>
    <w:rsid w:val="00080F18"/>
    <w:rsid w:val="00081014"/>
    <w:rsid w:val="00081155"/>
    <w:rsid w:val="00081712"/>
    <w:rsid w:val="00081716"/>
    <w:rsid w:val="000817D7"/>
    <w:rsid w:val="0008183F"/>
    <w:rsid w:val="00081D0E"/>
    <w:rsid w:val="00081E66"/>
    <w:rsid w:val="00081EAB"/>
    <w:rsid w:val="00081F46"/>
    <w:rsid w:val="000820D5"/>
    <w:rsid w:val="0008210C"/>
    <w:rsid w:val="00082211"/>
    <w:rsid w:val="000823D4"/>
    <w:rsid w:val="000824F6"/>
    <w:rsid w:val="000825E1"/>
    <w:rsid w:val="00082606"/>
    <w:rsid w:val="000826F9"/>
    <w:rsid w:val="00082895"/>
    <w:rsid w:val="000828CD"/>
    <w:rsid w:val="00082974"/>
    <w:rsid w:val="000829A4"/>
    <w:rsid w:val="000829FA"/>
    <w:rsid w:val="00082ACC"/>
    <w:rsid w:val="00082B1A"/>
    <w:rsid w:val="00082D1C"/>
    <w:rsid w:val="00082DD2"/>
    <w:rsid w:val="00082DFE"/>
    <w:rsid w:val="00082F80"/>
    <w:rsid w:val="000830BB"/>
    <w:rsid w:val="0008315B"/>
    <w:rsid w:val="00083224"/>
    <w:rsid w:val="00083390"/>
    <w:rsid w:val="0008339A"/>
    <w:rsid w:val="000835B9"/>
    <w:rsid w:val="000835F4"/>
    <w:rsid w:val="00083659"/>
    <w:rsid w:val="00083753"/>
    <w:rsid w:val="00083ACC"/>
    <w:rsid w:val="00083B10"/>
    <w:rsid w:val="00083B8E"/>
    <w:rsid w:val="00083E72"/>
    <w:rsid w:val="00083F05"/>
    <w:rsid w:val="00083F81"/>
    <w:rsid w:val="00083FCB"/>
    <w:rsid w:val="000840A0"/>
    <w:rsid w:val="000840EB"/>
    <w:rsid w:val="00084204"/>
    <w:rsid w:val="000843BE"/>
    <w:rsid w:val="000843C4"/>
    <w:rsid w:val="00084586"/>
    <w:rsid w:val="00084632"/>
    <w:rsid w:val="000846AB"/>
    <w:rsid w:val="00084703"/>
    <w:rsid w:val="0008472C"/>
    <w:rsid w:val="00084C95"/>
    <w:rsid w:val="00084D5B"/>
    <w:rsid w:val="00084E09"/>
    <w:rsid w:val="0008501B"/>
    <w:rsid w:val="00085151"/>
    <w:rsid w:val="0008527C"/>
    <w:rsid w:val="000853F5"/>
    <w:rsid w:val="00085490"/>
    <w:rsid w:val="0008579A"/>
    <w:rsid w:val="000857AF"/>
    <w:rsid w:val="00085860"/>
    <w:rsid w:val="00085A03"/>
    <w:rsid w:val="00085A41"/>
    <w:rsid w:val="00085AB6"/>
    <w:rsid w:val="00085ACC"/>
    <w:rsid w:val="00085B78"/>
    <w:rsid w:val="00085BC5"/>
    <w:rsid w:val="00085D96"/>
    <w:rsid w:val="00085E55"/>
    <w:rsid w:val="00086185"/>
    <w:rsid w:val="000863AD"/>
    <w:rsid w:val="0008673F"/>
    <w:rsid w:val="00086755"/>
    <w:rsid w:val="0008683B"/>
    <w:rsid w:val="000868E4"/>
    <w:rsid w:val="000868ED"/>
    <w:rsid w:val="00086900"/>
    <w:rsid w:val="00086934"/>
    <w:rsid w:val="000869DB"/>
    <w:rsid w:val="00086CB0"/>
    <w:rsid w:val="00087096"/>
    <w:rsid w:val="00087176"/>
    <w:rsid w:val="0008753B"/>
    <w:rsid w:val="000875AD"/>
    <w:rsid w:val="00087679"/>
    <w:rsid w:val="0008773A"/>
    <w:rsid w:val="000878D9"/>
    <w:rsid w:val="000879DA"/>
    <w:rsid w:val="00087A6B"/>
    <w:rsid w:val="00087AA5"/>
    <w:rsid w:val="00087ABE"/>
    <w:rsid w:val="00087B9F"/>
    <w:rsid w:val="00087C54"/>
    <w:rsid w:val="00087D65"/>
    <w:rsid w:val="00087F95"/>
    <w:rsid w:val="00087FDB"/>
    <w:rsid w:val="0009007F"/>
    <w:rsid w:val="0009025C"/>
    <w:rsid w:val="0009032A"/>
    <w:rsid w:val="000903F2"/>
    <w:rsid w:val="000909C3"/>
    <w:rsid w:val="00090BF3"/>
    <w:rsid w:val="00090D3B"/>
    <w:rsid w:val="00090D8C"/>
    <w:rsid w:val="00090E77"/>
    <w:rsid w:val="00090F60"/>
    <w:rsid w:val="0009116B"/>
    <w:rsid w:val="00091331"/>
    <w:rsid w:val="000914F3"/>
    <w:rsid w:val="00091621"/>
    <w:rsid w:val="000916B1"/>
    <w:rsid w:val="0009193A"/>
    <w:rsid w:val="0009197B"/>
    <w:rsid w:val="000919AD"/>
    <w:rsid w:val="00091A04"/>
    <w:rsid w:val="00091A1D"/>
    <w:rsid w:val="00091A4A"/>
    <w:rsid w:val="00091AC6"/>
    <w:rsid w:val="00091DF5"/>
    <w:rsid w:val="00091FF2"/>
    <w:rsid w:val="0009202C"/>
    <w:rsid w:val="00092349"/>
    <w:rsid w:val="000923F0"/>
    <w:rsid w:val="00092694"/>
    <w:rsid w:val="000926A4"/>
    <w:rsid w:val="00092756"/>
    <w:rsid w:val="000927E1"/>
    <w:rsid w:val="00092930"/>
    <w:rsid w:val="00092B5C"/>
    <w:rsid w:val="00092CC5"/>
    <w:rsid w:val="00092D0D"/>
    <w:rsid w:val="00092D12"/>
    <w:rsid w:val="00092D73"/>
    <w:rsid w:val="00092E37"/>
    <w:rsid w:val="00092E49"/>
    <w:rsid w:val="00093078"/>
    <w:rsid w:val="0009307D"/>
    <w:rsid w:val="0009308C"/>
    <w:rsid w:val="000930DA"/>
    <w:rsid w:val="000931EB"/>
    <w:rsid w:val="00093382"/>
    <w:rsid w:val="000933C9"/>
    <w:rsid w:val="00093550"/>
    <w:rsid w:val="00093985"/>
    <w:rsid w:val="000939A7"/>
    <w:rsid w:val="00093C27"/>
    <w:rsid w:val="00093EDE"/>
    <w:rsid w:val="00093FF4"/>
    <w:rsid w:val="0009408D"/>
    <w:rsid w:val="000941B8"/>
    <w:rsid w:val="00094280"/>
    <w:rsid w:val="0009441A"/>
    <w:rsid w:val="00094450"/>
    <w:rsid w:val="000945C6"/>
    <w:rsid w:val="00094733"/>
    <w:rsid w:val="0009491A"/>
    <w:rsid w:val="00094AC3"/>
    <w:rsid w:val="00094D5F"/>
    <w:rsid w:val="00094EE2"/>
    <w:rsid w:val="00094F74"/>
    <w:rsid w:val="000950C9"/>
    <w:rsid w:val="00095611"/>
    <w:rsid w:val="00095839"/>
    <w:rsid w:val="000958D1"/>
    <w:rsid w:val="0009593B"/>
    <w:rsid w:val="000959DE"/>
    <w:rsid w:val="00095A92"/>
    <w:rsid w:val="00095D94"/>
    <w:rsid w:val="00095EC1"/>
    <w:rsid w:val="00095FC6"/>
    <w:rsid w:val="00095FED"/>
    <w:rsid w:val="00096110"/>
    <w:rsid w:val="0009621D"/>
    <w:rsid w:val="000962AE"/>
    <w:rsid w:val="000963B8"/>
    <w:rsid w:val="00096430"/>
    <w:rsid w:val="0009677E"/>
    <w:rsid w:val="00096977"/>
    <w:rsid w:val="00096B95"/>
    <w:rsid w:val="00096C0A"/>
    <w:rsid w:val="00096C1B"/>
    <w:rsid w:val="00096CDC"/>
    <w:rsid w:val="00096EE9"/>
    <w:rsid w:val="00096F84"/>
    <w:rsid w:val="00096FC7"/>
    <w:rsid w:val="000975D0"/>
    <w:rsid w:val="000976F3"/>
    <w:rsid w:val="000976FD"/>
    <w:rsid w:val="0009770D"/>
    <w:rsid w:val="0009777B"/>
    <w:rsid w:val="0009782A"/>
    <w:rsid w:val="000978A4"/>
    <w:rsid w:val="00097B40"/>
    <w:rsid w:val="00097D6D"/>
    <w:rsid w:val="00097FEB"/>
    <w:rsid w:val="000A0093"/>
    <w:rsid w:val="000A013B"/>
    <w:rsid w:val="000A01BD"/>
    <w:rsid w:val="000A01E9"/>
    <w:rsid w:val="000A04E8"/>
    <w:rsid w:val="000A073E"/>
    <w:rsid w:val="000A07CE"/>
    <w:rsid w:val="000A080B"/>
    <w:rsid w:val="000A080C"/>
    <w:rsid w:val="000A098B"/>
    <w:rsid w:val="000A0A38"/>
    <w:rsid w:val="000A0B9C"/>
    <w:rsid w:val="000A0CAD"/>
    <w:rsid w:val="000A0CBD"/>
    <w:rsid w:val="000A0D18"/>
    <w:rsid w:val="000A0EC5"/>
    <w:rsid w:val="000A0F17"/>
    <w:rsid w:val="000A148C"/>
    <w:rsid w:val="000A14EF"/>
    <w:rsid w:val="000A1523"/>
    <w:rsid w:val="000A1951"/>
    <w:rsid w:val="000A1E29"/>
    <w:rsid w:val="000A1F1A"/>
    <w:rsid w:val="000A207C"/>
    <w:rsid w:val="000A209F"/>
    <w:rsid w:val="000A20CA"/>
    <w:rsid w:val="000A22BD"/>
    <w:rsid w:val="000A231E"/>
    <w:rsid w:val="000A24A5"/>
    <w:rsid w:val="000A2525"/>
    <w:rsid w:val="000A25DD"/>
    <w:rsid w:val="000A260E"/>
    <w:rsid w:val="000A26BD"/>
    <w:rsid w:val="000A28EE"/>
    <w:rsid w:val="000A290D"/>
    <w:rsid w:val="000A29A8"/>
    <w:rsid w:val="000A2A37"/>
    <w:rsid w:val="000A2BC7"/>
    <w:rsid w:val="000A2CEA"/>
    <w:rsid w:val="000A2E0D"/>
    <w:rsid w:val="000A3738"/>
    <w:rsid w:val="000A39D5"/>
    <w:rsid w:val="000A3BAF"/>
    <w:rsid w:val="000A3C5E"/>
    <w:rsid w:val="000A3D3E"/>
    <w:rsid w:val="000A3F9C"/>
    <w:rsid w:val="000A402F"/>
    <w:rsid w:val="000A4145"/>
    <w:rsid w:val="000A4241"/>
    <w:rsid w:val="000A4392"/>
    <w:rsid w:val="000A4433"/>
    <w:rsid w:val="000A444E"/>
    <w:rsid w:val="000A45CE"/>
    <w:rsid w:val="000A480A"/>
    <w:rsid w:val="000A48D1"/>
    <w:rsid w:val="000A495D"/>
    <w:rsid w:val="000A4AC8"/>
    <w:rsid w:val="000A4C61"/>
    <w:rsid w:val="000A4D58"/>
    <w:rsid w:val="000A4F54"/>
    <w:rsid w:val="000A4F89"/>
    <w:rsid w:val="000A514F"/>
    <w:rsid w:val="000A5153"/>
    <w:rsid w:val="000A5309"/>
    <w:rsid w:val="000A5313"/>
    <w:rsid w:val="000A5332"/>
    <w:rsid w:val="000A555F"/>
    <w:rsid w:val="000A55C5"/>
    <w:rsid w:val="000A5802"/>
    <w:rsid w:val="000A580C"/>
    <w:rsid w:val="000A596A"/>
    <w:rsid w:val="000A5B8E"/>
    <w:rsid w:val="000A5CE0"/>
    <w:rsid w:val="000A6017"/>
    <w:rsid w:val="000A616F"/>
    <w:rsid w:val="000A64DD"/>
    <w:rsid w:val="000A661C"/>
    <w:rsid w:val="000A674B"/>
    <w:rsid w:val="000A677D"/>
    <w:rsid w:val="000A679F"/>
    <w:rsid w:val="000A67A2"/>
    <w:rsid w:val="000A694F"/>
    <w:rsid w:val="000A6990"/>
    <w:rsid w:val="000A6C73"/>
    <w:rsid w:val="000A6E61"/>
    <w:rsid w:val="000A6E89"/>
    <w:rsid w:val="000A7099"/>
    <w:rsid w:val="000A709B"/>
    <w:rsid w:val="000A71A5"/>
    <w:rsid w:val="000A71DF"/>
    <w:rsid w:val="000A72D7"/>
    <w:rsid w:val="000A7502"/>
    <w:rsid w:val="000A750C"/>
    <w:rsid w:val="000A76D0"/>
    <w:rsid w:val="000A778F"/>
    <w:rsid w:val="000A7837"/>
    <w:rsid w:val="000A787C"/>
    <w:rsid w:val="000A799F"/>
    <w:rsid w:val="000A7AB4"/>
    <w:rsid w:val="000A7ADF"/>
    <w:rsid w:val="000A7B37"/>
    <w:rsid w:val="000A7E5E"/>
    <w:rsid w:val="000A7FEA"/>
    <w:rsid w:val="000B0027"/>
    <w:rsid w:val="000B0064"/>
    <w:rsid w:val="000B00AF"/>
    <w:rsid w:val="000B02A7"/>
    <w:rsid w:val="000B04F3"/>
    <w:rsid w:val="000B05DB"/>
    <w:rsid w:val="000B07D1"/>
    <w:rsid w:val="000B088A"/>
    <w:rsid w:val="000B09E4"/>
    <w:rsid w:val="000B0A57"/>
    <w:rsid w:val="000B0B0D"/>
    <w:rsid w:val="000B0B8E"/>
    <w:rsid w:val="000B0B93"/>
    <w:rsid w:val="000B0CF4"/>
    <w:rsid w:val="000B1106"/>
    <w:rsid w:val="000B11AA"/>
    <w:rsid w:val="000B1253"/>
    <w:rsid w:val="000B127F"/>
    <w:rsid w:val="000B144B"/>
    <w:rsid w:val="000B158F"/>
    <w:rsid w:val="000B1616"/>
    <w:rsid w:val="000B161D"/>
    <w:rsid w:val="000B179B"/>
    <w:rsid w:val="000B1ADD"/>
    <w:rsid w:val="000B1B5A"/>
    <w:rsid w:val="000B1CBD"/>
    <w:rsid w:val="000B1E1B"/>
    <w:rsid w:val="000B1E48"/>
    <w:rsid w:val="000B20B1"/>
    <w:rsid w:val="000B2101"/>
    <w:rsid w:val="000B237D"/>
    <w:rsid w:val="000B23B6"/>
    <w:rsid w:val="000B23BA"/>
    <w:rsid w:val="000B2402"/>
    <w:rsid w:val="000B261E"/>
    <w:rsid w:val="000B27AE"/>
    <w:rsid w:val="000B27CA"/>
    <w:rsid w:val="000B2969"/>
    <w:rsid w:val="000B2ADF"/>
    <w:rsid w:val="000B2BF1"/>
    <w:rsid w:val="000B2EB9"/>
    <w:rsid w:val="000B2ED4"/>
    <w:rsid w:val="000B31A2"/>
    <w:rsid w:val="000B328C"/>
    <w:rsid w:val="000B32F2"/>
    <w:rsid w:val="000B3689"/>
    <w:rsid w:val="000B36B8"/>
    <w:rsid w:val="000B36C4"/>
    <w:rsid w:val="000B374B"/>
    <w:rsid w:val="000B3A75"/>
    <w:rsid w:val="000B3AF9"/>
    <w:rsid w:val="000B3B16"/>
    <w:rsid w:val="000B3DB8"/>
    <w:rsid w:val="000B3EB4"/>
    <w:rsid w:val="000B4015"/>
    <w:rsid w:val="000B4206"/>
    <w:rsid w:val="000B42A2"/>
    <w:rsid w:val="000B4394"/>
    <w:rsid w:val="000B4613"/>
    <w:rsid w:val="000B46DF"/>
    <w:rsid w:val="000B4AB0"/>
    <w:rsid w:val="000B4B69"/>
    <w:rsid w:val="000B4DB1"/>
    <w:rsid w:val="000B4DF6"/>
    <w:rsid w:val="000B4FA8"/>
    <w:rsid w:val="000B4FC4"/>
    <w:rsid w:val="000B50AE"/>
    <w:rsid w:val="000B50F4"/>
    <w:rsid w:val="000B515A"/>
    <w:rsid w:val="000B5302"/>
    <w:rsid w:val="000B5332"/>
    <w:rsid w:val="000B57C6"/>
    <w:rsid w:val="000B5995"/>
    <w:rsid w:val="000B5C90"/>
    <w:rsid w:val="000B5E06"/>
    <w:rsid w:val="000B5E6B"/>
    <w:rsid w:val="000B5ED4"/>
    <w:rsid w:val="000B6339"/>
    <w:rsid w:val="000B66A7"/>
    <w:rsid w:val="000B680A"/>
    <w:rsid w:val="000B6826"/>
    <w:rsid w:val="000B68F4"/>
    <w:rsid w:val="000B69A3"/>
    <w:rsid w:val="000B6A70"/>
    <w:rsid w:val="000B6AE0"/>
    <w:rsid w:val="000B6B37"/>
    <w:rsid w:val="000B6DC3"/>
    <w:rsid w:val="000B7103"/>
    <w:rsid w:val="000B7187"/>
    <w:rsid w:val="000B719B"/>
    <w:rsid w:val="000B7429"/>
    <w:rsid w:val="000B74A3"/>
    <w:rsid w:val="000B77E2"/>
    <w:rsid w:val="000B791F"/>
    <w:rsid w:val="000B7982"/>
    <w:rsid w:val="000B7C10"/>
    <w:rsid w:val="000B7CA4"/>
    <w:rsid w:val="000B7DA0"/>
    <w:rsid w:val="000B7DB9"/>
    <w:rsid w:val="000B7ED5"/>
    <w:rsid w:val="000B7EE9"/>
    <w:rsid w:val="000C019D"/>
    <w:rsid w:val="000C01FB"/>
    <w:rsid w:val="000C0356"/>
    <w:rsid w:val="000C03EE"/>
    <w:rsid w:val="000C042D"/>
    <w:rsid w:val="000C0475"/>
    <w:rsid w:val="000C04B3"/>
    <w:rsid w:val="000C04F5"/>
    <w:rsid w:val="000C05B0"/>
    <w:rsid w:val="000C0609"/>
    <w:rsid w:val="000C060F"/>
    <w:rsid w:val="000C065C"/>
    <w:rsid w:val="000C068F"/>
    <w:rsid w:val="000C08B4"/>
    <w:rsid w:val="000C0902"/>
    <w:rsid w:val="000C0C6A"/>
    <w:rsid w:val="000C0DD5"/>
    <w:rsid w:val="000C10FA"/>
    <w:rsid w:val="000C112D"/>
    <w:rsid w:val="000C1148"/>
    <w:rsid w:val="000C11EC"/>
    <w:rsid w:val="000C13A4"/>
    <w:rsid w:val="000C159B"/>
    <w:rsid w:val="000C163B"/>
    <w:rsid w:val="000C170C"/>
    <w:rsid w:val="000C18AB"/>
    <w:rsid w:val="000C1A0D"/>
    <w:rsid w:val="000C1AEF"/>
    <w:rsid w:val="000C1AF8"/>
    <w:rsid w:val="000C1B86"/>
    <w:rsid w:val="000C1D30"/>
    <w:rsid w:val="000C1ED6"/>
    <w:rsid w:val="000C201B"/>
    <w:rsid w:val="000C2056"/>
    <w:rsid w:val="000C20ED"/>
    <w:rsid w:val="000C2162"/>
    <w:rsid w:val="000C21D1"/>
    <w:rsid w:val="000C2260"/>
    <w:rsid w:val="000C2383"/>
    <w:rsid w:val="000C2504"/>
    <w:rsid w:val="000C2A16"/>
    <w:rsid w:val="000C2AA4"/>
    <w:rsid w:val="000C2C11"/>
    <w:rsid w:val="000C2F54"/>
    <w:rsid w:val="000C2FDE"/>
    <w:rsid w:val="000C30A8"/>
    <w:rsid w:val="000C3119"/>
    <w:rsid w:val="000C33DA"/>
    <w:rsid w:val="000C34B8"/>
    <w:rsid w:val="000C3567"/>
    <w:rsid w:val="000C369B"/>
    <w:rsid w:val="000C36DA"/>
    <w:rsid w:val="000C3881"/>
    <w:rsid w:val="000C39C3"/>
    <w:rsid w:val="000C3A1E"/>
    <w:rsid w:val="000C3C51"/>
    <w:rsid w:val="000C3DB1"/>
    <w:rsid w:val="000C4344"/>
    <w:rsid w:val="000C43F2"/>
    <w:rsid w:val="000C4410"/>
    <w:rsid w:val="000C445B"/>
    <w:rsid w:val="000C4516"/>
    <w:rsid w:val="000C477C"/>
    <w:rsid w:val="000C4956"/>
    <w:rsid w:val="000C49DA"/>
    <w:rsid w:val="000C4A8B"/>
    <w:rsid w:val="000C4C86"/>
    <w:rsid w:val="000C54A6"/>
    <w:rsid w:val="000C560D"/>
    <w:rsid w:val="000C561B"/>
    <w:rsid w:val="000C5639"/>
    <w:rsid w:val="000C57DE"/>
    <w:rsid w:val="000C5A3D"/>
    <w:rsid w:val="000C5C51"/>
    <w:rsid w:val="000C5CB6"/>
    <w:rsid w:val="000C5D93"/>
    <w:rsid w:val="000C5DB0"/>
    <w:rsid w:val="000C5E97"/>
    <w:rsid w:val="000C606B"/>
    <w:rsid w:val="000C60EB"/>
    <w:rsid w:val="000C60FF"/>
    <w:rsid w:val="000C61AD"/>
    <w:rsid w:val="000C61D8"/>
    <w:rsid w:val="000C63EF"/>
    <w:rsid w:val="000C6436"/>
    <w:rsid w:val="000C65B4"/>
    <w:rsid w:val="000C66FB"/>
    <w:rsid w:val="000C672B"/>
    <w:rsid w:val="000C677C"/>
    <w:rsid w:val="000C68CF"/>
    <w:rsid w:val="000C6AAB"/>
    <w:rsid w:val="000C6BF1"/>
    <w:rsid w:val="000C6D9B"/>
    <w:rsid w:val="000C6FAB"/>
    <w:rsid w:val="000C724F"/>
    <w:rsid w:val="000C72C0"/>
    <w:rsid w:val="000C73BC"/>
    <w:rsid w:val="000C73C0"/>
    <w:rsid w:val="000C76FD"/>
    <w:rsid w:val="000C7805"/>
    <w:rsid w:val="000C7A10"/>
    <w:rsid w:val="000C7AB0"/>
    <w:rsid w:val="000C7CE2"/>
    <w:rsid w:val="000C7E62"/>
    <w:rsid w:val="000C7EBB"/>
    <w:rsid w:val="000C7EC8"/>
    <w:rsid w:val="000D00F9"/>
    <w:rsid w:val="000D0222"/>
    <w:rsid w:val="000D0290"/>
    <w:rsid w:val="000D040E"/>
    <w:rsid w:val="000D044E"/>
    <w:rsid w:val="000D061D"/>
    <w:rsid w:val="000D063C"/>
    <w:rsid w:val="000D071D"/>
    <w:rsid w:val="000D0BBA"/>
    <w:rsid w:val="000D0BC4"/>
    <w:rsid w:val="000D0CA3"/>
    <w:rsid w:val="000D0DC6"/>
    <w:rsid w:val="000D0DC9"/>
    <w:rsid w:val="000D0EAC"/>
    <w:rsid w:val="000D0EF2"/>
    <w:rsid w:val="000D0EF7"/>
    <w:rsid w:val="000D10F1"/>
    <w:rsid w:val="000D11C3"/>
    <w:rsid w:val="000D13F7"/>
    <w:rsid w:val="000D1693"/>
    <w:rsid w:val="000D178C"/>
    <w:rsid w:val="000D1843"/>
    <w:rsid w:val="000D1883"/>
    <w:rsid w:val="000D1982"/>
    <w:rsid w:val="000D1A63"/>
    <w:rsid w:val="000D1D2C"/>
    <w:rsid w:val="000D1D6E"/>
    <w:rsid w:val="000D1F51"/>
    <w:rsid w:val="000D2000"/>
    <w:rsid w:val="000D20C2"/>
    <w:rsid w:val="000D2183"/>
    <w:rsid w:val="000D220A"/>
    <w:rsid w:val="000D2261"/>
    <w:rsid w:val="000D24D1"/>
    <w:rsid w:val="000D286F"/>
    <w:rsid w:val="000D2972"/>
    <w:rsid w:val="000D2AB1"/>
    <w:rsid w:val="000D2B1E"/>
    <w:rsid w:val="000D2B3B"/>
    <w:rsid w:val="000D2C19"/>
    <w:rsid w:val="000D2CFF"/>
    <w:rsid w:val="000D2DA7"/>
    <w:rsid w:val="000D303F"/>
    <w:rsid w:val="000D3084"/>
    <w:rsid w:val="000D310E"/>
    <w:rsid w:val="000D3290"/>
    <w:rsid w:val="000D32DE"/>
    <w:rsid w:val="000D32EB"/>
    <w:rsid w:val="000D3430"/>
    <w:rsid w:val="000D3461"/>
    <w:rsid w:val="000D3501"/>
    <w:rsid w:val="000D3593"/>
    <w:rsid w:val="000D365A"/>
    <w:rsid w:val="000D383B"/>
    <w:rsid w:val="000D3B00"/>
    <w:rsid w:val="000D3B0A"/>
    <w:rsid w:val="000D3EA1"/>
    <w:rsid w:val="000D3F62"/>
    <w:rsid w:val="000D4250"/>
    <w:rsid w:val="000D42EA"/>
    <w:rsid w:val="000D4435"/>
    <w:rsid w:val="000D451E"/>
    <w:rsid w:val="000D46DB"/>
    <w:rsid w:val="000D4892"/>
    <w:rsid w:val="000D48E9"/>
    <w:rsid w:val="000D4900"/>
    <w:rsid w:val="000D4958"/>
    <w:rsid w:val="000D4B25"/>
    <w:rsid w:val="000D4C9D"/>
    <w:rsid w:val="000D4D4C"/>
    <w:rsid w:val="000D4DB9"/>
    <w:rsid w:val="000D4EE5"/>
    <w:rsid w:val="000D4F8A"/>
    <w:rsid w:val="000D4FFD"/>
    <w:rsid w:val="000D5256"/>
    <w:rsid w:val="000D527F"/>
    <w:rsid w:val="000D532B"/>
    <w:rsid w:val="000D537B"/>
    <w:rsid w:val="000D54E9"/>
    <w:rsid w:val="000D55FE"/>
    <w:rsid w:val="000D56D0"/>
    <w:rsid w:val="000D583B"/>
    <w:rsid w:val="000D598B"/>
    <w:rsid w:val="000D5BAE"/>
    <w:rsid w:val="000D5FEC"/>
    <w:rsid w:val="000D6030"/>
    <w:rsid w:val="000D6082"/>
    <w:rsid w:val="000D60EB"/>
    <w:rsid w:val="000D6161"/>
    <w:rsid w:val="000D61A4"/>
    <w:rsid w:val="000D61AB"/>
    <w:rsid w:val="000D637A"/>
    <w:rsid w:val="000D6385"/>
    <w:rsid w:val="000D63A4"/>
    <w:rsid w:val="000D63CD"/>
    <w:rsid w:val="000D64B6"/>
    <w:rsid w:val="000D6645"/>
    <w:rsid w:val="000D6685"/>
    <w:rsid w:val="000D6782"/>
    <w:rsid w:val="000D68A5"/>
    <w:rsid w:val="000D69EE"/>
    <w:rsid w:val="000D6AF3"/>
    <w:rsid w:val="000D6C5E"/>
    <w:rsid w:val="000D6D2B"/>
    <w:rsid w:val="000D6DA7"/>
    <w:rsid w:val="000D7251"/>
    <w:rsid w:val="000D7374"/>
    <w:rsid w:val="000D739E"/>
    <w:rsid w:val="000D7611"/>
    <w:rsid w:val="000D76E7"/>
    <w:rsid w:val="000D78DA"/>
    <w:rsid w:val="000D7901"/>
    <w:rsid w:val="000D7B01"/>
    <w:rsid w:val="000D7DED"/>
    <w:rsid w:val="000D7FBE"/>
    <w:rsid w:val="000E0304"/>
    <w:rsid w:val="000E034E"/>
    <w:rsid w:val="000E03DF"/>
    <w:rsid w:val="000E06BB"/>
    <w:rsid w:val="000E0802"/>
    <w:rsid w:val="000E0899"/>
    <w:rsid w:val="000E0910"/>
    <w:rsid w:val="000E09A2"/>
    <w:rsid w:val="000E0B74"/>
    <w:rsid w:val="000E0B8E"/>
    <w:rsid w:val="000E0D09"/>
    <w:rsid w:val="000E0DC5"/>
    <w:rsid w:val="000E0F04"/>
    <w:rsid w:val="000E1078"/>
    <w:rsid w:val="000E11E9"/>
    <w:rsid w:val="000E120B"/>
    <w:rsid w:val="000E130A"/>
    <w:rsid w:val="000E1471"/>
    <w:rsid w:val="000E14AF"/>
    <w:rsid w:val="000E16F7"/>
    <w:rsid w:val="000E177C"/>
    <w:rsid w:val="000E18C8"/>
    <w:rsid w:val="000E1C02"/>
    <w:rsid w:val="000E1C59"/>
    <w:rsid w:val="000E1CB7"/>
    <w:rsid w:val="000E1EE4"/>
    <w:rsid w:val="000E200A"/>
    <w:rsid w:val="000E203A"/>
    <w:rsid w:val="000E2111"/>
    <w:rsid w:val="000E2134"/>
    <w:rsid w:val="000E2137"/>
    <w:rsid w:val="000E2151"/>
    <w:rsid w:val="000E21B2"/>
    <w:rsid w:val="000E21D4"/>
    <w:rsid w:val="000E22CA"/>
    <w:rsid w:val="000E22D5"/>
    <w:rsid w:val="000E23D7"/>
    <w:rsid w:val="000E267B"/>
    <w:rsid w:val="000E26B9"/>
    <w:rsid w:val="000E2893"/>
    <w:rsid w:val="000E2A5D"/>
    <w:rsid w:val="000E2D24"/>
    <w:rsid w:val="000E2E75"/>
    <w:rsid w:val="000E2FF3"/>
    <w:rsid w:val="000E30DF"/>
    <w:rsid w:val="000E32C9"/>
    <w:rsid w:val="000E337E"/>
    <w:rsid w:val="000E3412"/>
    <w:rsid w:val="000E3612"/>
    <w:rsid w:val="000E3634"/>
    <w:rsid w:val="000E374E"/>
    <w:rsid w:val="000E387B"/>
    <w:rsid w:val="000E38FB"/>
    <w:rsid w:val="000E3A23"/>
    <w:rsid w:val="000E3CAF"/>
    <w:rsid w:val="000E3CF9"/>
    <w:rsid w:val="000E3D27"/>
    <w:rsid w:val="000E3DE4"/>
    <w:rsid w:val="000E3F75"/>
    <w:rsid w:val="000E4053"/>
    <w:rsid w:val="000E40BE"/>
    <w:rsid w:val="000E42A5"/>
    <w:rsid w:val="000E4351"/>
    <w:rsid w:val="000E43CA"/>
    <w:rsid w:val="000E443C"/>
    <w:rsid w:val="000E453E"/>
    <w:rsid w:val="000E4550"/>
    <w:rsid w:val="000E4554"/>
    <w:rsid w:val="000E45F0"/>
    <w:rsid w:val="000E4697"/>
    <w:rsid w:val="000E470A"/>
    <w:rsid w:val="000E4AB8"/>
    <w:rsid w:val="000E4C2D"/>
    <w:rsid w:val="000E4FCB"/>
    <w:rsid w:val="000E501B"/>
    <w:rsid w:val="000E5311"/>
    <w:rsid w:val="000E55C8"/>
    <w:rsid w:val="000E5647"/>
    <w:rsid w:val="000E573D"/>
    <w:rsid w:val="000E5819"/>
    <w:rsid w:val="000E599D"/>
    <w:rsid w:val="000E5A27"/>
    <w:rsid w:val="000E5A54"/>
    <w:rsid w:val="000E5B9A"/>
    <w:rsid w:val="000E5C56"/>
    <w:rsid w:val="000E6017"/>
    <w:rsid w:val="000E6222"/>
    <w:rsid w:val="000E6530"/>
    <w:rsid w:val="000E661B"/>
    <w:rsid w:val="000E66E6"/>
    <w:rsid w:val="000E67D8"/>
    <w:rsid w:val="000E6852"/>
    <w:rsid w:val="000E69F1"/>
    <w:rsid w:val="000E6B59"/>
    <w:rsid w:val="000E6E97"/>
    <w:rsid w:val="000E70D0"/>
    <w:rsid w:val="000E72C0"/>
    <w:rsid w:val="000E75A0"/>
    <w:rsid w:val="000E76CB"/>
    <w:rsid w:val="000E76D9"/>
    <w:rsid w:val="000E781D"/>
    <w:rsid w:val="000E7BC1"/>
    <w:rsid w:val="000E7C32"/>
    <w:rsid w:val="000E7CEA"/>
    <w:rsid w:val="000E7E43"/>
    <w:rsid w:val="000E7F21"/>
    <w:rsid w:val="000E7F42"/>
    <w:rsid w:val="000E7F71"/>
    <w:rsid w:val="000F03C3"/>
    <w:rsid w:val="000F0590"/>
    <w:rsid w:val="000F085C"/>
    <w:rsid w:val="000F0B02"/>
    <w:rsid w:val="000F0C68"/>
    <w:rsid w:val="000F0CB7"/>
    <w:rsid w:val="000F0D08"/>
    <w:rsid w:val="000F0FA9"/>
    <w:rsid w:val="000F10AC"/>
    <w:rsid w:val="000F1160"/>
    <w:rsid w:val="000F11EC"/>
    <w:rsid w:val="000F13F8"/>
    <w:rsid w:val="000F17AD"/>
    <w:rsid w:val="000F19DF"/>
    <w:rsid w:val="000F1A56"/>
    <w:rsid w:val="000F1A69"/>
    <w:rsid w:val="000F1AF1"/>
    <w:rsid w:val="000F1BAB"/>
    <w:rsid w:val="000F1CB7"/>
    <w:rsid w:val="000F1D1D"/>
    <w:rsid w:val="000F1F57"/>
    <w:rsid w:val="000F2107"/>
    <w:rsid w:val="000F2271"/>
    <w:rsid w:val="000F2329"/>
    <w:rsid w:val="000F27F2"/>
    <w:rsid w:val="000F282F"/>
    <w:rsid w:val="000F297C"/>
    <w:rsid w:val="000F2A81"/>
    <w:rsid w:val="000F2ABB"/>
    <w:rsid w:val="000F2AF1"/>
    <w:rsid w:val="000F2BBD"/>
    <w:rsid w:val="000F2CCD"/>
    <w:rsid w:val="000F2D4F"/>
    <w:rsid w:val="000F2DBF"/>
    <w:rsid w:val="000F2E31"/>
    <w:rsid w:val="000F2EE3"/>
    <w:rsid w:val="000F2FE7"/>
    <w:rsid w:val="000F2FEB"/>
    <w:rsid w:val="000F3097"/>
    <w:rsid w:val="000F316A"/>
    <w:rsid w:val="000F32B7"/>
    <w:rsid w:val="000F3424"/>
    <w:rsid w:val="000F3457"/>
    <w:rsid w:val="000F35B1"/>
    <w:rsid w:val="000F3653"/>
    <w:rsid w:val="000F397E"/>
    <w:rsid w:val="000F3B93"/>
    <w:rsid w:val="000F3BE3"/>
    <w:rsid w:val="000F3D46"/>
    <w:rsid w:val="000F3DE3"/>
    <w:rsid w:val="000F3DE8"/>
    <w:rsid w:val="000F3E2B"/>
    <w:rsid w:val="000F3ED5"/>
    <w:rsid w:val="000F4085"/>
    <w:rsid w:val="000F410A"/>
    <w:rsid w:val="000F417D"/>
    <w:rsid w:val="000F4181"/>
    <w:rsid w:val="000F4193"/>
    <w:rsid w:val="000F4213"/>
    <w:rsid w:val="000F434E"/>
    <w:rsid w:val="000F43AE"/>
    <w:rsid w:val="000F4530"/>
    <w:rsid w:val="000F47E5"/>
    <w:rsid w:val="000F4845"/>
    <w:rsid w:val="000F49B9"/>
    <w:rsid w:val="000F4A80"/>
    <w:rsid w:val="000F4ABB"/>
    <w:rsid w:val="000F4ADE"/>
    <w:rsid w:val="000F4C0A"/>
    <w:rsid w:val="000F4C81"/>
    <w:rsid w:val="000F4CD0"/>
    <w:rsid w:val="000F4DAA"/>
    <w:rsid w:val="000F4FC1"/>
    <w:rsid w:val="000F507F"/>
    <w:rsid w:val="000F509F"/>
    <w:rsid w:val="000F51C4"/>
    <w:rsid w:val="000F51F2"/>
    <w:rsid w:val="000F525B"/>
    <w:rsid w:val="000F53E8"/>
    <w:rsid w:val="000F544D"/>
    <w:rsid w:val="000F5505"/>
    <w:rsid w:val="000F575F"/>
    <w:rsid w:val="000F5764"/>
    <w:rsid w:val="000F578B"/>
    <w:rsid w:val="000F57CB"/>
    <w:rsid w:val="000F5858"/>
    <w:rsid w:val="000F5B3F"/>
    <w:rsid w:val="000F5B95"/>
    <w:rsid w:val="000F5BB5"/>
    <w:rsid w:val="000F5C4C"/>
    <w:rsid w:val="000F5D46"/>
    <w:rsid w:val="000F5DDA"/>
    <w:rsid w:val="000F60A0"/>
    <w:rsid w:val="000F6138"/>
    <w:rsid w:val="000F6161"/>
    <w:rsid w:val="000F61C1"/>
    <w:rsid w:val="000F625F"/>
    <w:rsid w:val="000F6349"/>
    <w:rsid w:val="000F6539"/>
    <w:rsid w:val="000F671D"/>
    <w:rsid w:val="000F684A"/>
    <w:rsid w:val="000F6B5F"/>
    <w:rsid w:val="000F6BB3"/>
    <w:rsid w:val="000F6BC3"/>
    <w:rsid w:val="000F6C11"/>
    <w:rsid w:val="000F6D2F"/>
    <w:rsid w:val="000F6F0B"/>
    <w:rsid w:val="000F7212"/>
    <w:rsid w:val="000F74A9"/>
    <w:rsid w:val="000F760E"/>
    <w:rsid w:val="000F76CF"/>
    <w:rsid w:val="000F76DA"/>
    <w:rsid w:val="000F7AB5"/>
    <w:rsid w:val="000F7AEC"/>
    <w:rsid w:val="000F7C87"/>
    <w:rsid w:val="000F7E06"/>
    <w:rsid w:val="000F7F7E"/>
    <w:rsid w:val="0010007A"/>
    <w:rsid w:val="001001F2"/>
    <w:rsid w:val="0010024A"/>
    <w:rsid w:val="001002A3"/>
    <w:rsid w:val="001002DA"/>
    <w:rsid w:val="001003CB"/>
    <w:rsid w:val="0010061F"/>
    <w:rsid w:val="0010062A"/>
    <w:rsid w:val="00100667"/>
    <w:rsid w:val="001006A7"/>
    <w:rsid w:val="001006FD"/>
    <w:rsid w:val="001008D2"/>
    <w:rsid w:val="00100A2D"/>
    <w:rsid w:val="00100A79"/>
    <w:rsid w:val="00100B9A"/>
    <w:rsid w:val="00100D2E"/>
    <w:rsid w:val="00100D42"/>
    <w:rsid w:val="00100FD5"/>
    <w:rsid w:val="0010109A"/>
    <w:rsid w:val="0010111A"/>
    <w:rsid w:val="001012E7"/>
    <w:rsid w:val="0010143F"/>
    <w:rsid w:val="00101524"/>
    <w:rsid w:val="00101601"/>
    <w:rsid w:val="001016FB"/>
    <w:rsid w:val="00101792"/>
    <w:rsid w:val="001017F3"/>
    <w:rsid w:val="0010192A"/>
    <w:rsid w:val="00101AB8"/>
    <w:rsid w:val="00101B44"/>
    <w:rsid w:val="00101BCC"/>
    <w:rsid w:val="00101C00"/>
    <w:rsid w:val="00101D4B"/>
    <w:rsid w:val="00102214"/>
    <w:rsid w:val="001024AE"/>
    <w:rsid w:val="00102589"/>
    <w:rsid w:val="00102698"/>
    <w:rsid w:val="00102733"/>
    <w:rsid w:val="00102806"/>
    <w:rsid w:val="0010284C"/>
    <w:rsid w:val="001028E2"/>
    <w:rsid w:val="00102B33"/>
    <w:rsid w:val="00102D33"/>
    <w:rsid w:val="00102E55"/>
    <w:rsid w:val="00103090"/>
    <w:rsid w:val="00103188"/>
    <w:rsid w:val="0010327D"/>
    <w:rsid w:val="0010341D"/>
    <w:rsid w:val="0010347B"/>
    <w:rsid w:val="0010357E"/>
    <w:rsid w:val="00103677"/>
    <w:rsid w:val="00103877"/>
    <w:rsid w:val="00103B7F"/>
    <w:rsid w:val="00103D01"/>
    <w:rsid w:val="00103E5C"/>
    <w:rsid w:val="00103E5D"/>
    <w:rsid w:val="00103E99"/>
    <w:rsid w:val="00103F47"/>
    <w:rsid w:val="00103F5A"/>
    <w:rsid w:val="00103F8F"/>
    <w:rsid w:val="001040BF"/>
    <w:rsid w:val="00104147"/>
    <w:rsid w:val="0010423D"/>
    <w:rsid w:val="001044F5"/>
    <w:rsid w:val="00104528"/>
    <w:rsid w:val="0010453B"/>
    <w:rsid w:val="001046DD"/>
    <w:rsid w:val="0010472E"/>
    <w:rsid w:val="00104738"/>
    <w:rsid w:val="00104ACC"/>
    <w:rsid w:val="00104CA5"/>
    <w:rsid w:val="00104E77"/>
    <w:rsid w:val="00104F77"/>
    <w:rsid w:val="0010510E"/>
    <w:rsid w:val="00105273"/>
    <w:rsid w:val="00105380"/>
    <w:rsid w:val="001053C6"/>
    <w:rsid w:val="001057FE"/>
    <w:rsid w:val="00105855"/>
    <w:rsid w:val="0010591F"/>
    <w:rsid w:val="00105D45"/>
    <w:rsid w:val="00105D96"/>
    <w:rsid w:val="00106052"/>
    <w:rsid w:val="00106136"/>
    <w:rsid w:val="0010627D"/>
    <w:rsid w:val="001062AF"/>
    <w:rsid w:val="00106A08"/>
    <w:rsid w:val="00106B5D"/>
    <w:rsid w:val="00106BC9"/>
    <w:rsid w:val="00106BCE"/>
    <w:rsid w:val="00106E21"/>
    <w:rsid w:val="00106E2A"/>
    <w:rsid w:val="00107073"/>
    <w:rsid w:val="00107264"/>
    <w:rsid w:val="0010740E"/>
    <w:rsid w:val="0010747B"/>
    <w:rsid w:val="001074A0"/>
    <w:rsid w:val="00107A5A"/>
    <w:rsid w:val="00107B43"/>
    <w:rsid w:val="00107E9C"/>
    <w:rsid w:val="00107F26"/>
    <w:rsid w:val="00107F4E"/>
    <w:rsid w:val="00110529"/>
    <w:rsid w:val="00110666"/>
    <w:rsid w:val="001106C8"/>
    <w:rsid w:val="001109CC"/>
    <w:rsid w:val="001109D6"/>
    <w:rsid w:val="00110A13"/>
    <w:rsid w:val="00110AEF"/>
    <w:rsid w:val="00110BEC"/>
    <w:rsid w:val="00110BFE"/>
    <w:rsid w:val="00110C9A"/>
    <w:rsid w:val="00110CFA"/>
    <w:rsid w:val="00110D1C"/>
    <w:rsid w:val="00110D21"/>
    <w:rsid w:val="00111069"/>
    <w:rsid w:val="00111081"/>
    <w:rsid w:val="00111099"/>
    <w:rsid w:val="00111120"/>
    <w:rsid w:val="00111421"/>
    <w:rsid w:val="001115B4"/>
    <w:rsid w:val="001117BA"/>
    <w:rsid w:val="00111803"/>
    <w:rsid w:val="0011181C"/>
    <w:rsid w:val="00111A0A"/>
    <w:rsid w:val="00111A7E"/>
    <w:rsid w:val="00111AD9"/>
    <w:rsid w:val="00111B37"/>
    <w:rsid w:val="00111CAD"/>
    <w:rsid w:val="00111D73"/>
    <w:rsid w:val="00111DAC"/>
    <w:rsid w:val="00111E00"/>
    <w:rsid w:val="00111E94"/>
    <w:rsid w:val="00111FD5"/>
    <w:rsid w:val="0011206E"/>
    <w:rsid w:val="00112195"/>
    <w:rsid w:val="00112254"/>
    <w:rsid w:val="0011237D"/>
    <w:rsid w:val="001123B1"/>
    <w:rsid w:val="00112666"/>
    <w:rsid w:val="0011298B"/>
    <w:rsid w:val="00112BA6"/>
    <w:rsid w:val="00112BCB"/>
    <w:rsid w:val="00112BE4"/>
    <w:rsid w:val="00112E94"/>
    <w:rsid w:val="0011313E"/>
    <w:rsid w:val="0011333A"/>
    <w:rsid w:val="001133C6"/>
    <w:rsid w:val="001133D1"/>
    <w:rsid w:val="00113408"/>
    <w:rsid w:val="00113791"/>
    <w:rsid w:val="001138A7"/>
    <w:rsid w:val="001138AA"/>
    <w:rsid w:val="00113AE8"/>
    <w:rsid w:val="00113B25"/>
    <w:rsid w:val="00113E28"/>
    <w:rsid w:val="00114000"/>
    <w:rsid w:val="001140DE"/>
    <w:rsid w:val="0011431F"/>
    <w:rsid w:val="00114372"/>
    <w:rsid w:val="00114470"/>
    <w:rsid w:val="0011474E"/>
    <w:rsid w:val="0011475E"/>
    <w:rsid w:val="0011481F"/>
    <w:rsid w:val="00114885"/>
    <w:rsid w:val="00114A63"/>
    <w:rsid w:val="00114C30"/>
    <w:rsid w:val="0011530A"/>
    <w:rsid w:val="00115323"/>
    <w:rsid w:val="00115425"/>
    <w:rsid w:val="0011557A"/>
    <w:rsid w:val="00115922"/>
    <w:rsid w:val="001159FF"/>
    <w:rsid w:val="00115B6D"/>
    <w:rsid w:val="00115C0B"/>
    <w:rsid w:val="00115DBC"/>
    <w:rsid w:val="00115DDF"/>
    <w:rsid w:val="00116155"/>
    <w:rsid w:val="00116408"/>
    <w:rsid w:val="0011640A"/>
    <w:rsid w:val="001168E4"/>
    <w:rsid w:val="00116BE4"/>
    <w:rsid w:val="00116E97"/>
    <w:rsid w:val="00117042"/>
    <w:rsid w:val="00117061"/>
    <w:rsid w:val="00117078"/>
    <w:rsid w:val="00117131"/>
    <w:rsid w:val="001173F1"/>
    <w:rsid w:val="0011745A"/>
    <w:rsid w:val="00117474"/>
    <w:rsid w:val="00117497"/>
    <w:rsid w:val="001174D1"/>
    <w:rsid w:val="001175D3"/>
    <w:rsid w:val="0011778F"/>
    <w:rsid w:val="00117B03"/>
    <w:rsid w:val="00117C40"/>
    <w:rsid w:val="00117F08"/>
    <w:rsid w:val="00117F38"/>
    <w:rsid w:val="00117F9A"/>
    <w:rsid w:val="00120085"/>
    <w:rsid w:val="001203E4"/>
    <w:rsid w:val="00120491"/>
    <w:rsid w:val="00120672"/>
    <w:rsid w:val="001207BB"/>
    <w:rsid w:val="001207EA"/>
    <w:rsid w:val="0012088E"/>
    <w:rsid w:val="00120A8E"/>
    <w:rsid w:val="00120BB3"/>
    <w:rsid w:val="00120D19"/>
    <w:rsid w:val="00120D7A"/>
    <w:rsid w:val="00120DEC"/>
    <w:rsid w:val="00120E55"/>
    <w:rsid w:val="00120F77"/>
    <w:rsid w:val="00121060"/>
    <w:rsid w:val="0012107E"/>
    <w:rsid w:val="00121233"/>
    <w:rsid w:val="00121458"/>
    <w:rsid w:val="00121552"/>
    <w:rsid w:val="001217A2"/>
    <w:rsid w:val="00121A83"/>
    <w:rsid w:val="00121EE2"/>
    <w:rsid w:val="001220DB"/>
    <w:rsid w:val="001222FD"/>
    <w:rsid w:val="0012237C"/>
    <w:rsid w:val="00122442"/>
    <w:rsid w:val="001225BD"/>
    <w:rsid w:val="00122816"/>
    <w:rsid w:val="001228B8"/>
    <w:rsid w:val="00122AA5"/>
    <w:rsid w:val="00122B17"/>
    <w:rsid w:val="00122B33"/>
    <w:rsid w:val="00122B7E"/>
    <w:rsid w:val="00122C8C"/>
    <w:rsid w:val="00122C8F"/>
    <w:rsid w:val="00122EB2"/>
    <w:rsid w:val="00122F2D"/>
    <w:rsid w:val="00122FA2"/>
    <w:rsid w:val="001233BA"/>
    <w:rsid w:val="0012350D"/>
    <w:rsid w:val="00123604"/>
    <w:rsid w:val="001236BF"/>
    <w:rsid w:val="0012381F"/>
    <w:rsid w:val="00123832"/>
    <w:rsid w:val="00123962"/>
    <w:rsid w:val="00123AB0"/>
    <w:rsid w:val="00123AC4"/>
    <w:rsid w:val="00123D02"/>
    <w:rsid w:val="00123D4D"/>
    <w:rsid w:val="00123D6E"/>
    <w:rsid w:val="00123EE7"/>
    <w:rsid w:val="00123F58"/>
    <w:rsid w:val="001241DC"/>
    <w:rsid w:val="00124349"/>
    <w:rsid w:val="001243AE"/>
    <w:rsid w:val="001243B7"/>
    <w:rsid w:val="001244AA"/>
    <w:rsid w:val="0012460E"/>
    <w:rsid w:val="001247E3"/>
    <w:rsid w:val="0012485E"/>
    <w:rsid w:val="00124972"/>
    <w:rsid w:val="001249EF"/>
    <w:rsid w:val="00124A6D"/>
    <w:rsid w:val="00124C54"/>
    <w:rsid w:val="00124DB6"/>
    <w:rsid w:val="00124E51"/>
    <w:rsid w:val="00124ED1"/>
    <w:rsid w:val="00124FD0"/>
    <w:rsid w:val="001251F1"/>
    <w:rsid w:val="001252B0"/>
    <w:rsid w:val="00125383"/>
    <w:rsid w:val="0012570D"/>
    <w:rsid w:val="00125783"/>
    <w:rsid w:val="001257E9"/>
    <w:rsid w:val="0012587E"/>
    <w:rsid w:val="001259B6"/>
    <w:rsid w:val="00125A79"/>
    <w:rsid w:val="00125AF9"/>
    <w:rsid w:val="00125C2F"/>
    <w:rsid w:val="00125C39"/>
    <w:rsid w:val="00125DDC"/>
    <w:rsid w:val="00125ECD"/>
    <w:rsid w:val="00125EF6"/>
    <w:rsid w:val="00126049"/>
    <w:rsid w:val="00126091"/>
    <w:rsid w:val="0012620E"/>
    <w:rsid w:val="001262AE"/>
    <w:rsid w:val="0012632C"/>
    <w:rsid w:val="00126612"/>
    <w:rsid w:val="00126644"/>
    <w:rsid w:val="00126A1F"/>
    <w:rsid w:val="00126A95"/>
    <w:rsid w:val="00126A97"/>
    <w:rsid w:val="001270C6"/>
    <w:rsid w:val="00127175"/>
    <w:rsid w:val="00127206"/>
    <w:rsid w:val="00127640"/>
    <w:rsid w:val="001277D2"/>
    <w:rsid w:val="0012787E"/>
    <w:rsid w:val="0012795E"/>
    <w:rsid w:val="00127B14"/>
    <w:rsid w:val="00127B54"/>
    <w:rsid w:val="00127D57"/>
    <w:rsid w:val="00127D67"/>
    <w:rsid w:val="00127EA2"/>
    <w:rsid w:val="00127EA7"/>
    <w:rsid w:val="00127F9F"/>
    <w:rsid w:val="00130025"/>
    <w:rsid w:val="0013003C"/>
    <w:rsid w:val="0013030D"/>
    <w:rsid w:val="00130347"/>
    <w:rsid w:val="001303DC"/>
    <w:rsid w:val="00130422"/>
    <w:rsid w:val="001304C1"/>
    <w:rsid w:val="0013058E"/>
    <w:rsid w:val="001307EC"/>
    <w:rsid w:val="001308BA"/>
    <w:rsid w:val="001308E2"/>
    <w:rsid w:val="001308FC"/>
    <w:rsid w:val="00130A36"/>
    <w:rsid w:val="00130B1F"/>
    <w:rsid w:val="0013119C"/>
    <w:rsid w:val="00131768"/>
    <w:rsid w:val="001319F5"/>
    <w:rsid w:val="00131D22"/>
    <w:rsid w:val="001321A7"/>
    <w:rsid w:val="00132206"/>
    <w:rsid w:val="0013223F"/>
    <w:rsid w:val="0013234F"/>
    <w:rsid w:val="0013254D"/>
    <w:rsid w:val="00132785"/>
    <w:rsid w:val="00132913"/>
    <w:rsid w:val="00132A5A"/>
    <w:rsid w:val="00132B17"/>
    <w:rsid w:val="00132B67"/>
    <w:rsid w:val="00132BA4"/>
    <w:rsid w:val="00132D37"/>
    <w:rsid w:val="00132DE4"/>
    <w:rsid w:val="00132DFB"/>
    <w:rsid w:val="00132EA2"/>
    <w:rsid w:val="00132F0C"/>
    <w:rsid w:val="00132FC7"/>
    <w:rsid w:val="00133026"/>
    <w:rsid w:val="00133089"/>
    <w:rsid w:val="0013310F"/>
    <w:rsid w:val="00133157"/>
    <w:rsid w:val="001331B0"/>
    <w:rsid w:val="001331F9"/>
    <w:rsid w:val="001332D9"/>
    <w:rsid w:val="001333E8"/>
    <w:rsid w:val="0013344F"/>
    <w:rsid w:val="001334CE"/>
    <w:rsid w:val="00133665"/>
    <w:rsid w:val="0013377C"/>
    <w:rsid w:val="00133C63"/>
    <w:rsid w:val="00133C7B"/>
    <w:rsid w:val="00133D16"/>
    <w:rsid w:val="00133D41"/>
    <w:rsid w:val="00133E1A"/>
    <w:rsid w:val="00133E43"/>
    <w:rsid w:val="00133F69"/>
    <w:rsid w:val="00133F8F"/>
    <w:rsid w:val="0013413B"/>
    <w:rsid w:val="00134395"/>
    <w:rsid w:val="00134440"/>
    <w:rsid w:val="001344CF"/>
    <w:rsid w:val="0013457C"/>
    <w:rsid w:val="0013462B"/>
    <w:rsid w:val="001346C6"/>
    <w:rsid w:val="0013476F"/>
    <w:rsid w:val="001347A1"/>
    <w:rsid w:val="001348A2"/>
    <w:rsid w:val="0013495E"/>
    <w:rsid w:val="00134BDD"/>
    <w:rsid w:val="00134C2D"/>
    <w:rsid w:val="00134DDD"/>
    <w:rsid w:val="00134F95"/>
    <w:rsid w:val="0013505D"/>
    <w:rsid w:val="00135080"/>
    <w:rsid w:val="001351BF"/>
    <w:rsid w:val="00135247"/>
    <w:rsid w:val="00135343"/>
    <w:rsid w:val="0013565B"/>
    <w:rsid w:val="001356C9"/>
    <w:rsid w:val="001357B2"/>
    <w:rsid w:val="001359E9"/>
    <w:rsid w:val="00135A16"/>
    <w:rsid w:val="00135CE7"/>
    <w:rsid w:val="00135EDD"/>
    <w:rsid w:val="00136048"/>
    <w:rsid w:val="00136276"/>
    <w:rsid w:val="001362F7"/>
    <w:rsid w:val="0013651C"/>
    <w:rsid w:val="00136611"/>
    <w:rsid w:val="0013686A"/>
    <w:rsid w:val="001368A6"/>
    <w:rsid w:val="00136900"/>
    <w:rsid w:val="00136958"/>
    <w:rsid w:val="001369C9"/>
    <w:rsid w:val="00136A9C"/>
    <w:rsid w:val="00136B89"/>
    <w:rsid w:val="00137082"/>
    <w:rsid w:val="00137159"/>
    <w:rsid w:val="001371F9"/>
    <w:rsid w:val="0013756B"/>
    <w:rsid w:val="00137590"/>
    <w:rsid w:val="00137676"/>
    <w:rsid w:val="001378FE"/>
    <w:rsid w:val="00137969"/>
    <w:rsid w:val="00137AF4"/>
    <w:rsid w:val="00137C07"/>
    <w:rsid w:val="00137C8E"/>
    <w:rsid w:val="00137EE9"/>
    <w:rsid w:val="00140061"/>
    <w:rsid w:val="00140213"/>
    <w:rsid w:val="001402D1"/>
    <w:rsid w:val="001402DF"/>
    <w:rsid w:val="001403A2"/>
    <w:rsid w:val="0014047D"/>
    <w:rsid w:val="00140489"/>
    <w:rsid w:val="001407A0"/>
    <w:rsid w:val="001407ED"/>
    <w:rsid w:val="00140886"/>
    <w:rsid w:val="0014088B"/>
    <w:rsid w:val="001409D6"/>
    <w:rsid w:val="00140ABF"/>
    <w:rsid w:val="00140D7B"/>
    <w:rsid w:val="00140E68"/>
    <w:rsid w:val="00140EA0"/>
    <w:rsid w:val="00140FA2"/>
    <w:rsid w:val="001410AD"/>
    <w:rsid w:val="0014110B"/>
    <w:rsid w:val="001411B4"/>
    <w:rsid w:val="001411DB"/>
    <w:rsid w:val="0014136D"/>
    <w:rsid w:val="001415DB"/>
    <w:rsid w:val="00141643"/>
    <w:rsid w:val="0014168A"/>
    <w:rsid w:val="001416A0"/>
    <w:rsid w:val="00141728"/>
    <w:rsid w:val="00141855"/>
    <w:rsid w:val="001418E8"/>
    <w:rsid w:val="001419E9"/>
    <w:rsid w:val="00141A32"/>
    <w:rsid w:val="00141AF6"/>
    <w:rsid w:val="00141DD0"/>
    <w:rsid w:val="00141E51"/>
    <w:rsid w:val="00141E92"/>
    <w:rsid w:val="00142021"/>
    <w:rsid w:val="00142246"/>
    <w:rsid w:val="0014233C"/>
    <w:rsid w:val="00142670"/>
    <w:rsid w:val="001427B7"/>
    <w:rsid w:val="001427E3"/>
    <w:rsid w:val="00142B67"/>
    <w:rsid w:val="00142C09"/>
    <w:rsid w:val="00142DA7"/>
    <w:rsid w:val="00142E0A"/>
    <w:rsid w:val="00142FA3"/>
    <w:rsid w:val="0014303E"/>
    <w:rsid w:val="00143138"/>
    <w:rsid w:val="0014314A"/>
    <w:rsid w:val="001432C1"/>
    <w:rsid w:val="001433A9"/>
    <w:rsid w:val="001433DD"/>
    <w:rsid w:val="001433F6"/>
    <w:rsid w:val="001434DB"/>
    <w:rsid w:val="00143509"/>
    <w:rsid w:val="0014355E"/>
    <w:rsid w:val="00143DF2"/>
    <w:rsid w:val="00143E02"/>
    <w:rsid w:val="00143E18"/>
    <w:rsid w:val="00143F61"/>
    <w:rsid w:val="00143FEF"/>
    <w:rsid w:val="001440A4"/>
    <w:rsid w:val="00144238"/>
    <w:rsid w:val="0014439A"/>
    <w:rsid w:val="001443E5"/>
    <w:rsid w:val="00144711"/>
    <w:rsid w:val="00144964"/>
    <w:rsid w:val="00144B7B"/>
    <w:rsid w:val="00144BC3"/>
    <w:rsid w:val="00144C8A"/>
    <w:rsid w:val="00144D07"/>
    <w:rsid w:val="0014500B"/>
    <w:rsid w:val="00145027"/>
    <w:rsid w:val="001450F3"/>
    <w:rsid w:val="00145296"/>
    <w:rsid w:val="001452C0"/>
    <w:rsid w:val="001452C5"/>
    <w:rsid w:val="0014542D"/>
    <w:rsid w:val="0014552A"/>
    <w:rsid w:val="00145664"/>
    <w:rsid w:val="001457B3"/>
    <w:rsid w:val="001457C0"/>
    <w:rsid w:val="0014599D"/>
    <w:rsid w:val="00145A41"/>
    <w:rsid w:val="00145A5F"/>
    <w:rsid w:val="00145D48"/>
    <w:rsid w:val="001463D0"/>
    <w:rsid w:val="001463E2"/>
    <w:rsid w:val="00146478"/>
    <w:rsid w:val="0014674C"/>
    <w:rsid w:val="00146819"/>
    <w:rsid w:val="00146871"/>
    <w:rsid w:val="00146ABA"/>
    <w:rsid w:val="00146AC9"/>
    <w:rsid w:val="00146B34"/>
    <w:rsid w:val="00146B8C"/>
    <w:rsid w:val="00146CAC"/>
    <w:rsid w:val="00146E6D"/>
    <w:rsid w:val="00146EB8"/>
    <w:rsid w:val="0014719E"/>
    <w:rsid w:val="0014727A"/>
    <w:rsid w:val="0014729B"/>
    <w:rsid w:val="001472A0"/>
    <w:rsid w:val="00147499"/>
    <w:rsid w:val="001476C8"/>
    <w:rsid w:val="00147754"/>
    <w:rsid w:val="00147829"/>
    <w:rsid w:val="001479D4"/>
    <w:rsid w:val="00147B85"/>
    <w:rsid w:val="00147BB3"/>
    <w:rsid w:val="00147BE1"/>
    <w:rsid w:val="00147D83"/>
    <w:rsid w:val="00150004"/>
    <w:rsid w:val="0015008C"/>
    <w:rsid w:val="001500D0"/>
    <w:rsid w:val="0015012B"/>
    <w:rsid w:val="001505C5"/>
    <w:rsid w:val="001507E6"/>
    <w:rsid w:val="00150925"/>
    <w:rsid w:val="00150AE3"/>
    <w:rsid w:val="00150C5D"/>
    <w:rsid w:val="00150EAD"/>
    <w:rsid w:val="00150F46"/>
    <w:rsid w:val="00150F82"/>
    <w:rsid w:val="00151022"/>
    <w:rsid w:val="0015118E"/>
    <w:rsid w:val="0015127C"/>
    <w:rsid w:val="0015130A"/>
    <w:rsid w:val="0015135E"/>
    <w:rsid w:val="00151399"/>
    <w:rsid w:val="0015142E"/>
    <w:rsid w:val="00151510"/>
    <w:rsid w:val="0015153F"/>
    <w:rsid w:val="001515C0"/>
    <w:rsid w:val="0015174A"/>
    <w:rsid w:val="001517FC"/>
    <w:rsid w:val="00151989"/>
    <w:rsid w:val="00151A14"/>
    <w:rsid w:val="00151A4C"/>
    <w:rsid w:val="00151AC6"/>
    <w:rsid w:val="00151D20"/>
    <w:rsid w:val="00151D21"/>
    <w:rsid w:val="00151DDF"/>
    <w:rsid w:val="00152032"/>
    <w:rsid w:val="001523D2"/>
    <w:rsid w:val="001523F3"/>
    <w:rsid w:val="0015291E"/>
    <w:rsid w:val="00152AB0"/>
    <w:rsid w:val="00152C56"/>
    <w:rsid w:val="00152C6D"/>
    <w:rsid w:val="00152CCC"/>
    <w:rsid w:val="00152D05"/>
    <w:rsid w:val="00152D53"/>
    <w:rsid w:val="00152ED1"/>
    <w:rsid w:val="00153061"/>
    <w:rsid w:val="001530A5"/>
    <w:rsid w:val="001533EC"/>
    <w:rsid w:val="00153431"/>
    <w:rsid w:val="001534C3"/>
    <w:rsid w:val="001534E5"/>
    <w:rsid w:val="00153703"/>
    <w:rsid w:val="00153877"/>
    <w:rsid w:val="00153C4A"/>
    <w:rsid w:val="00153CB8"/>
    <w:rsid w:val="00153FA9"/>
    <w:rsid w:val="0015417B"/>
    <w:rsid w:val="001543A0"/>
    <w:rsid w:val="00154560"/>
    <w:rsid w:val="00154747"/>
    <w:rsid w:val="001547AF"/>
    <w:rsid w:val="001547B1"/>
    <w:rsid w:val="0015484B"/>
    <w:rsid w:val="00154966"/>
    <w:rsid w:val="0015498F"/>
    <w:rsid w:val="001549A8"/>
    <w:rsid w:val="00154C26"/>
    <w:rsid w:val="00154CA4"/>
    <w:rsid w:val="00154DB5"/>
    <w:rsid w:val="00154F4E"/>
    <w:rsid w:val="00155032"/>
    <w:rsid w:val="001550EE"/>
    <w:rsid w:val="001551B7"/>
    <w:rsid w:val="001551F1"/>
    <w:rsid w:val="00155273"/>
    <w:rsid w:val="001552E9"/>
    <w:rsid w:val="001553C6"/>
    <w:rsid w:val="0015544F"/>
    <w:rsid w:val="001555EF"/>
    <w:rsid w:val="0015573A"/>
    <w:rsid w:val="0015588C"/>
    <w:rsid w:val="00155AA3"/>
    <w:rsid w:val="00155C33"/>
    <w:rsid w:val="00155C98"/>
    <w:rsid w:val="00155D0B"/>
    <w:rsid w:val="00155D3C"/>
    <w:rsid w:val="00155DAD"/>
    <w:rsid w:val="00155DCB"/>
    <w:rsid w:val="00155F67"/>
    <w:rsid w:val="00156009"/>
    <w:rsid w:val="00156031"/>
    <w:rsid w:val="00156142"/>
    <w:rsid w:val="00156354"/>
    <w:rsid w:val="001563AA"/>
    <w:rsid w:val="00156510"/>
    <w:rsid w:val="00156556"/>
    <w:rsid w:val="00156678"/>
    <w:rsid w:val="0015668E"/>
    <w:rsid w:val="00156B50"/>
    <w:rsid w:val="00156F18"/>
    <w:rsid w:val="00156FF7"/>
    <w:rsid w:val="001572EF"/>
    <w:rsid w:val="00157499"/>
    <w:rsid w:val="00157510"/>
    <w:rsid w:val="001575CD"/>
    <w:rsid w:val="0015767D"/>
    <w:rsid w:val="001576D7"/>
    <w:rsid w:val="00157B42"/>
    <w:rsid w:val="00157E59"/>
    <w:rsid w:val="001600A9"/>
    <w:rsid w:val="001601BE"/>
    <w:rsid w:val="001601C7"/>
    <w:rsid w:val="001601CB"/>
    <w:rsid w:val="0016023A"/>
    <w:rsid w:val="00160514"/>
    <w:rsid w:val="0016085E"/>
    <w:rsid w:val="001608AB"/>
    <w:rsid w:val="00160930"/>
    <w:rsid w:val="001609AB"/>
    <w:rsid w:val="001609BA"/>
    <w:rsid w:val="001609C8"/>
    <w:rsid w:val="00160ADA"/>
    <w:rsid w:val="00160BC0"/>
    <w:rsid w:val="00160C00"/>
    <w:rsid w:val="00160C87"/>
    <w:rsid w:val="00160CFE"/>
    <w:rsid w:val="00161025"/>
    <w:rsid w:val="00161319"/>
    <w:rsid w:val="001615ED"/>
    <w:rsid w:val="00161683"/>
    <w:rsid w:val="001618A8"/>
    <w:rsid w:val="001619A8"/>
    <w:rsid w:val="00161B77"/>
    <w:rsid w:val="00161BD1"/>
    <w:rsid w:val="00161CB1"/>
    <w:rsid w:val="00161CD1"/>
    <w:rsid w:val="001620C1"/>
    <w:rsid w:val="0016218F"/>
    <w:rsid w:val="00162202"/>
    <w:rsid w:val="001624E2"/>
    <w:rsid w:val="001626BE"/>
    <w:rsid w:val="0016282D"/>
    <w:rsid w:val="001629E4"/>
    <w:rsid w:val="00162A6C"/>
    <w:rsid w:val="00162BDC"/>
    <w:rsid w:val="00163364"/>
    <w:rsid w:val="001634B7"/>
    <w:rsid w:val="001634E0"/>
    <w:rsid w:val="001634E4"/>
    <w:rsid w:val="00163558"/>
    <w:rsid w:val="00163636"/>
    <w:rsid w:val="001636B7"/>
    <w:rsid w:val="00163BA2"/>
    <w:rsid w:val="00163CD7"/>
    <w:rsid w:val="00163D59"/>
    <w:rsid w:val="00163DE6"/>
    <w:rsid w:val="001640B1"/>
    <w:rsid w:val="00164238"/>
    <w:rsid w:val="00164261"/>
    <w:rsid w:val="001644FD"/>
    <w:rsid w:val="001645AD"/>
    <w:rsid w:val="001645F1"/>
    <w:rsid w:val="00164655"/>
    <w:rsid w:val="0016479D"/>
    <w:rsid w:val="0016495B"/>
    <w:rsid w:val="00164F24"/>
    <w:rsid w:val="00165131"/>
    <w:rsid w:val="0016528A"/>
    <w:rsid w:val="001653AB"/>
    <w:rsid w:val="001653F7"/>
    <w:rsid w:val="00165659"/>
    <w:rsid w:val="00165699"/>
    <w:rsid w:val="001656C6"/>
    <w:rsid w:val="0016580F"/>
    <w:rsid w:val="001658D4"/>
    <w:rsid w:val="00165960"/>
    <w:rsid w:val="00165BC6"/>
    <w:rsid w:val="00165DCD"/>
    <w:rsid w:val="00165EAE"/>
    <w:rsid w:val="00166016"/>
    <w:rsid w:val="001660E5"/>
    <w:rsid w:val="001661B7"/>
    <w:rsid w:val="0016635B"/>
    <w:rsid w:val="001663B1"/>
    <w:rsid w:val="00166419"/>
    <w:rsid w:val="001668ED"/>
    <w:rsid w:val="0016690D"/>
    <w:rsid w:val="0016694D"/>
    <w:rsid w:val="00166AFE"/>
    <w:rsid w:val="00166B18"/>
    <w:rsid w:val="00166C87"/>
    <w:rsid w:val="00166EB8"/>
    <w:rsid w:val="00166EEE"/>
    <w:rsid w:val="00166FF9"/>
    <w:rsid w:val="0016742B"/>
    <w:rsid w:val="00167521"/>
    <w:rsid w:val="001675AB"/>
    <w:rsid w:val="0016768F"/>
    <w:rsid w:val="001676D9"/>
    <w:rsid w:val="001677D0"/>
    <w:rsid w:val="0016783F"/>
    <w:rsid w:val="001679D5"/>
    <w:rsid w:val="00167AD9"/>
    <w:rsid w:val="00167B8B"/>
    <w:rsid w:val="00167BE8"/>
    <w:rsid w:val="00167CE2"/>
    <w:rsid w:val="00167E12"/>
    <w:rsid w:val="00167E43"/>
    <w:rsid w:val="00167E53"/>
    <w:rsid w:val="00167E7E"/>
    <w:rsid w:val="0017005A"/>
    <w:rsid w:val="001700E5"/>
    <w:rsid w:val="0017022E"/>
    <w:rsid w:val="001702FD"/>
    <w:rsid w:val="001703F7"/>
    <w:rsid w:val="001705C7"/>
    <w:rsid w:val="00170614"/>
    <w:rsid w:val="00170748"/>
    <w:rsid w:val="00170B10"/>
    <w:rsid w:val="00170B63"/>
    <w:rsid w:val="00170B78"/>
    <w:rsid w:val="00170DD0"/>
    <w:rsid w:val="00170DDB"/>
    <w:rsid w:val="00170E09"/>
    <w:rsid w:val="00170FE2"/>
    <w:rsid w:val="0017111C"/>
    <w:rsid w:val="0017118F"/>
    <w:rsid w:val="001711C9"/>
    <w:rsid w:val="001711E8"/>
    <w:rsid w:val="0017147C"/>
    <w:rsid w:val="001714C4"/>
    <w:rsid w:val="001717E2"/>
    <w:rsid w:val="00171A2F"/>
    <w:rsid w:val="00171A41"/>
    <w:rsid w:val="00171B06"/>
    <w:rsid w:val="00171CE8"/>
    <w:rsid w:val="00171F1C"/>
    <w:rsid w:val="00172056"/>
    <w:rsid w:val="0017227B"/>
    <w:rsid w:val="0017236D"/>
    <w:rsid w:val="00172539"/>
    <w:rsid w:val="001725F1"/>
    <w:rsid w:val="001725FD"/>
    <w:rsid w:val="00172686"/>
    <w:rsid w:val="0017279D"/>
    <w:rsid w:val="001729C8"/>
    <w:rsid w:val="00172A20"/>
    <w:rsid w:val="00172A90"/>
    <w:rsid w:val="00172AE8"/>
    <w:rsid w:val="00172B06"/>
    <w:rsid w:val="00172B31"/>
    <w:rsid w:val="00172BCF"/>
    <w:rsid w:val="00172ED7"/>
    <w:rsid w:val="0017321D"/>
    <w:rsid w:val="001733F9"/>
    <w:rsid w:val="00173418"/>
    <w:rsid w:val="001735B3"/>
    <w:rsid w:val="001735EB"/>
    <w:rsid w:val="00173676"/>
    <w:rsid w:val="001736E2"/>
    <w:rsid w:val="00173957"/>
    <w:rsid w:val="001739E7"/>
    <w:rsid w:val="00173A27"/>
    <w:rsid w:val="00173C0E"/>
    <w:rsid w:val="00173C4D"/>
    <w:rsid w:val="00173CDB"/>
    <w:rsid w:val="001741A2"/>
    <w:rsid w:val="001742AF"/>
    <w:rsid w:val="0017432D"/>
    <w:rsid w:val="00174390"/>
    <w:rsid w:val="0017442F"/>
    <w:rsid w:val="0017447D"/>
    <w:rsid w:val="00174506"/>
    <w:rsid w:val="0017451B"/>
    <w:rsid w:val="00174668"/>
    <w:rsid w:val="001746CC"/>
    <w:rsid w:val="00174A3A"/>
    <w:rsid w:val="00174C9B"/>
    <w:rsid w:val="00174DD6"/>
    <w:rsid w:val="00174F9C"/>
    <w:rsid w:val="00175205"/>
    <w:rsid w:val="0017537A"/>
    <w:rsid w:val="00175395"/>
    <w:rsid w:val="0017539A"/>
    <w:rsid w:val="001753DE"/>
    <w:rsid w:val="00175605"/>
    <w:rsid w:val="001757BA"/>
    <w:rsid w:val="001757D3"/>
    <w:rsid w:val="0017590F"/>
    <w:rsid w:val="00175AD4"/>
    <w:rsid w:val="00175D54"/>
    <w:rsid w:val="00175DAE"/>
    <w:rsid w:val="00175F35"/>
    <w:rsid w:val="001760A3"/>
    <w:rsid w:val="00176905"/>
    <w:rsid w:val="00176907"/>
    <w:rsid w:val="001769BC"/>
    <w:rsid w:val="00176AB3"/>
    <w:rsid w:val="00176BE0"/>
    <w:rsid w:val="00176C47"/>
    <w:rsid w:val="00176DE7"/>
    <w:rsid w:val="00176E0E"/>
    <w:rsid w:val="001770BC"/>
    <w:rsid w:val="001771E0"/>
    <w:rsid w:val="0017729B"/>
    <w:rsid w:val="0017734E"/>
    <w:rsid w:val="0017765C"/>
    <w:rsid w:val="00177781"/>
    <w:rsid w:val="00177900"/>
    <w:rsid w:val="0017792E"/>
    <w:rsid w:val="001779E1"/>
    <w:rsid w:val="001779F5"/>
    <w:rsid w:val="00177A3F"/>
    <w:rsid w:val="00177A51"/>
    <w:rsid w:val="00177B91"/>
    <w:rsid w:val="00177C55"/>
    <w:rsid w:val="00177DB5"/>
    <w:rsid w:val="00177E32"/>
    <w:rsid w:val="00177ED5"/>
    <w:rsid w:val="00177ED9"/>
    <w:rsid w:val="0018001A"/>
    <w:rsid w:val="001802E5"/>
    <w:rsid w:val="001804AD"/>
    <w:rsid w:val="00180535"/>
    <w:rsid w:val="00180541"/>
    <w:rsid w:val="00180624"/>
    <w:rsid w:val="00180637"/>
    <w:rsid w:val="00180709"/>
    <w:rsid w:val="00180766"/>
    <w:rsid w:val="00180902"/>
    <w:rsid w:val="00180A18"/>
    <w:rsid w:val="00180B1C"/>
    <w:rsid w:val="00180C3C"/>
    <w:rsid w:val="00180CAE"/>
    <w:rsid w:val="00180D3D"/>
    <w:rsid w:val="00180DDD"/>
    <w:rsid w:val="00180EB8"/>
    <w:rsid w:val="0018111C"/>
    <w:rsid w:val="00181322"/>
    <w:rsid w:val="0018132C"/>
    <w:rsid w:val="001814DF"/>
    <w:rsid w:val="0018159D"/>
    <w:rsid w:val="001816BF"/>
    <w:rsid w:val="00181717"/>
    <w:rsid w:val="0018176B"/>
    <w:rsid w:val="001817F4"/>
    <w:rsid w:val="00181816"/>
    <w:rsid w:val="001818AD"/>
    <w:rsid w:val="001818B6"/>
    <w:rsid w:val="0018191E"/>
    <w:rsid w:val="001819BA"/>
    <w:rsid w:val="00181AF3"/>
    <w:rsid w:val="00181C2A"/>
    <w:rsid w:val="00181DE5"/>
    <w:rsid w:val="00182010"/>
    <w:rsid w:val="0018219D"/>
    <w:rsid w:val="001822B6"/>
    <w:rsid w:val="001822C4"/>
    <w:rsid w:val="00182863"/>
    <w:rsid w:val="00182A40"/>
    <w:rsid w:val="00182C88"/>
    <w:rsid w:val="00182CB4"/>
    <w:rsid w:val="00182D19"/>
    <w:rsid w:val="00182E39"/>
    <w:rsid w:val="0018300E"/>
    <w:rsid w:val="0018305F"/>
    <w:rsid w:val="00183318"/>
    <w:rsid w:val="00183327"/>
    <w:rsid w:val="00183384"/>
    <w:rsid w:val="001833E0"/>
    <w:rsid w:val="001835BF"/>
    <w:rsid w:val="0018371E"/>
    <w:rsid w:val="00183763"/>
    <w:rsid w:val="00183984"/>
    <w:rsid w:val="001839CD"/>
    <w:rsid w:val="00183BA5"/>
    <w:rsid w:val="00183C1B"/>
    <w:rsid w:val="00183E58"/>
    <w:rsid w:val="00183F27"/>
    <w:rsid w:val="00183FFE"/>
    <w:rsid w:val="0018402E"/>
    <w:rsid w:val="001840E8"/>
    <w:rsid w:val="00184176"/>
    <w:rsid w:val="00184193"/>
    <w:rsid w:val="00184353"/>
    <w:rsid w:val="0018467B"/>
    <w:rsid w:val="001846D2"/>
    <w:rsid w:val="0018478B"/>
    <w:rsid w:val="0018497E"/>
    <w:rsid w:val="001849AD"/>
    <w:rsid w:val="00184C47"/>
    <w:rsid w:val="00184D28"/>
    <w:rsid w:val="00184DE9"/>
    <w:rsid w:val="00184E93"/>
    <w:rsid w:val="00185034"/>
    <w:rsid w:val="001852F1"/>
    <w:rsid w:val="00185327"/>
    <w:rsid w:val="00185372"/>
    <w:rsid w:val="001855F5"/>
    <w:rsid w:val="001856C4"/>
    <w:rsid w:val="0018574C"/>
    <w:rsid w:val="0018585C"/>
    <w:rsid w:val="00185861"/>
    <w:rsid w:val="00185872"/>
    <w:rsid w:val="0018593A"/>
    <w:rsid w:val="00185A07"/>
    <w:rsid w:val="00185A20"/>
    <w:rsid w:val="00185AC6"/>
    <w:rsid w:val="00185B19"/>
    <w:rsid w:val="00185E1A"/>
    <w:rsid w:val="00185E1D"/>
    <w:rsid w:val="00185F9D"/>
    <w:rsid w:val="00186227"/>
    <w:rsid w:val="00186228"/>
    <w:rsid w:val="00186255"/>
    <w:rsid w:val="00186573"/>
    <w:rsid w:val="001865F7"/>
    <w:rsid w:val="001867FD"/>
    <w:rsid w:val="00186AD0"/>
    <w:rsid w:val="00186B93"/>
    <w:rsid w:val="00186C4D"/>
    <w:rsid w:val="001870D4"/>
    <w:rsid w:val="001870D8"/>
    <w:rsid w:val="00187138"/>
    <w:rsid w:val="001871C6"/>
    <w:rsid w:val="00187235"/>
    <w:rsid w:val="00187599"/>
    <w:rsid w:val="00187731"/>
    <w:rsid w:val="00187784"/>
    <w:rsid w:val="001878D8"/>
    <w:rsid w:val="00187961"/>
    <w:rsid w:val="00187A8F"/>
    <w:rsid w:val="00187CF5"/>
    <w:rsid w:val="00187E13"/>
    <w:rsid w:val="0019000F"/>
    <w:rsid w:val="00190015"/>
    <w:rsid w:val="00190268"/>
    <w:rsid w:val="0019040B"/>
    <w:rsid w:val="0019046E"/>
    <w:rsid w:val="00190552"/>
    <w:rsid w:val="00190580"/>
    <w:rsid w:val="001905EC"/>
    <w:rsid w:val="001907B6"/>
    <w:rsid w:val="00190836"/>
    <w:rsid w:val="0019083F"/>
    <w:rsid w:val="00190862"/>
    <w:rsid w:val="001908D6"/>
    <w:rsid w:val="00190956"/>
    <w:rsid w:val="00190CC1"/>
    <w:rsid w:val="00190E84"/>
    <w:rsid w:val="0019103A"/>
    <w:rsid w:val="001910C1"/>
    <w:rsid w:val="001911FC"/>
    <w:rsid w:val="001912CE"/>
    <w:rsid w:val="001913EA"/>
    <w:rsid w:val="001914DB"/>
    <w:rsid w:val="0019173D"/>
    <w:rsid w:val="001917BC"/>
    <w:rsid w:val="001917CE"/>
    <w:rsid w:val="001918A3"/>
    <w:rsid w:val="00191D8F"/>
    <w:rsid w:val="00191E39"/>
    <w:rsid w:val="00191E6D"/>
    <w:rsid w:val="00191F95"/>
    <w:rsid w:val="00192061"/>
    <w:rsid w:val="00192096"/>
    <w:rsid w:val="00192119"/>
    <w:rsid w:val="001922BD"/>
    <w:rsid w:val="00192452"/>
    <w:rsid w:val="00192453"/>
    <w:rsid w:val="0019273A"/>
    <w:rsid w:val="001927A6"/>
    <w:rsid w:val="00192A20"/>
    <w:rsid w:val="00192A9D"/>
    <w:rsid w:val="00192C08"/>
    <w:rsid w:val="00192D07"/>
    <w:rsid w:val="00192DAE"/>
    <w:rsid w:val="00192DD2"/>
    <w:rsid w:val="00192E10"/>
    <w:rsid w:val="00192E7B"/>
    <w:rsid w:val="00192F6C"/>
    <w:rsid w:val="00192F9F"/>
    <w:rsid w:val="001930F5"/>
    <w:rsid w:val="001931E7"/>
    <w:rsid w:val="0019327B"/>
    <w:rsid w:val="001934BD"/>
    <w:rsid w:val="001935D5"/>
    <w:rsid w:val="00193825"/>
    <w:rsid w:val="001938DC"/>
    <w:rsid w:val="00193ABA"/>
    <w:rsid w:val="00193BE5"/>
    <w:rsid w:val="00193C3D"/>
    <w:rsid w:val="00193C6D"/>
    <w:rsid w:val="00193CFA"/>
    <w:rsid w:val="00193D16"/>
    <w:rsid w:val="00193D1B"/>
    <w:rsid w:val="0019410C"/>
    <w:rsid w:val="00194236"/>
    <w:rsid w:val="001942B4"/>
    <w:rsid w:val="00194384"/>
    <w:rsid w:val="00194746"/>
    <w:rsid w:val="00194769"/>
    <w:rsid w:val="00194BB6"/>
    <w:rsid w:val="00194E28"/>
    <w:rsid w:val="00194E45"/>
    <w:rsid w:val="00194E96"/>
    <w:rsid w:val="00194F2D"/>
    <w:rsid w:val="00194FE6"/>
    <w:rsid w:val="001950AE"/>
    <w:rsid w:val="00195302"/>
    <w:rsid w:val="00195318"/>
    <w:rsid w:val="00195605"/>
    <w:rsid w:val="00195680"/>
    <w:rsid w:val="0019568A"/>
    <w:rsid w:val="001956F8"/>
    <w:rsid w:val="00195981"/>
    <w:rsid w:val="00195BDA"/>
    <w:rsid w:val="00195BE9"/>
    <w:rsid w:val="00195CA0"/>
    <w:rsid w:val="00195D7C"/>
    <w:rsid w:val="00195EBE"/>
    <w:rsid w:val="00195F19"/>
    <w:rsid w:val="00195F46"/>
    <w:rsid w:val="00196101"/>
    <w:rsid w:val="001961A5"/>
    <w:rsid w:val="001962C7"/>
    <w:rsid w:val="00196696"/>
    <w:rsid w:val="0019674F"/>
    <w:rsid w:val="0019686E"/>
    <w:rsid w:val="001968E3"/>
    <w:rsid w:val="00196967"/>
    <w:rsid w:val="001969B9"/>
    <w:rsid w:val="001969CB"/>
    <w:rsid w:val="00196A28"/>
    <w:rsid w:val="00196B16"/>
    <w:rsid w:val="00196BF6"/>
    <w:rsid w:val="00196D0B"/>
    <w:rsid w:val="00196E4F"/>
    <w:rsid w:val="001972BE"/>
    <w:rsid w:val="00197382"/>
    <w:rsid w:val="0019768F"/>
    <w:rsid w:val="00197728"/>
    <w:rsid w:val="001977AE"/>
    <w:rsid w:val="0019781A"/>
    <w:rsid w:val="00197A98"/>
    <w:rsid w:val="00197D46"/>
    <w:rsid w:val="001A001B"/>
    <w:rsid w:val="001A00B0"/>
    <w:rsid w:val="001A0127"/>
    <w:rsid w:val="001A0165"/>
    <w:rsid w:val="001A0346"/>
    <w:rsid w:val="001A040D"/>
    <w:rsid w:val="001A043D"/>
    <w:rsid w:val="001A0506"/>
    <w:rsid w:val="001A05C6"/>
    <w:rsid w:val="001A06A1"/>
    <w:rsid w:val="001A06CD"/>
    <w:rsid w:val="001A07B2"/>
    <w:rsid w:val="001A0900"/>
    <w:rsid w:val="001A0A7F"/>
    <w:rsid w:val="001A0AD6"/>
    <w:rsid w:val="001A0BA3"/>
    <w:rsid w:val="001A0C30"/>
    <w:rsid w:val="001A0C3A"/>
    <w:rsid w:val="001A0DB5"/>
    <w:rsid w:val="001A0E2D"/>
    <w:rsid w:val="001A0E4B"/>
    <w:rsid w:val="001A0EBC"/>
    <w:rsid w:val="001A0F67"/>
    <w:rsid w:val="001A13D8"/>
    <w:rsid w:val="001A13F1"/>
    <w:rsid w:val="001A14CD"/>
    <w:rsid w:val="001A14FB"/>
    <w:rsid w:val="001A1504"/>
    <w:rsid w:val="001A153D"/>
    <w:rsid w:val="001A15AE"/>
    <w:rsid w:val="001A1624"/>
    <w:rsid w:val="001A17B5"/>
    <w:rsid w:val="001A17DF"/>
    <w:rsid w:val="001A1B78"/>
    <w:rsid w:val="001A1B9C"/>
    <w:rsid w:val="001A1CD4"/>
    <w:rsid w:val="001A1E13"/>
    <w:rsid w:val="001A1FB7"/>
    <w:rsid w:val="001A1FBD"/>
    <w:rsid w:val="001A20F4"/>
    <w:rsid w:val="001A229E"/>
    <w:rsid w:val="001A22CA"/>
    <w:rsid w:val="001A255C"/>
    <w:rsid w:val="001A2731"/>
    <w:rsid w:val="001A278A"/>
    <w:rsid w:val="001A2A54"/>
    <w:rsid w:val="001A2D17"/>
    <w:rsid w:val="001A2DA7"/>
    <w:rsid w:val="001A2DDF"/>
    <w:rsid w:val="001A301B"/>
    <w:rsid w:val="001A31AF"/>
    <w:rsid w:val="001A3303"/>
    <w:rsid w:val="001A3464"/>
    <w:rsid w:val="001A3563"/>
    <w:rsid w:val="001A39EF"/>
    <w:rsid w:val="001A3B0E"/>
    <w:rsid w:val="001A3C05"/>
    <w:rsid w:val="001A3C87"/>
    <w:rsid w:val="001A3DBB"/>
    <w:rsid w:val="001A3F7C"/>
    <w:rsid w:val="001A4068"/>
    <w:rsid w:val="001A4137"/>
    <w:rsid w:val="001A4200"/>
    <w:rsid w:val="001A42E4"/>
    <w:rsid w:val="001A438A"/>
    <w:rsid w:val="001A43EA"/>
    <w:rsid w:val="001A46C1"/>
    <w:rsid w:val="001A4825"/>
    <w:rsid w:val="001A4C30"/>
    <w:rsid w:val="001A4DE7"/>
    <w:rsid w:val="001A4EBD"/>
    <w:rsid w:val="001A504A"/>
    <w:rsid w:val="001A5127"/>
    <w:rsid w:val="001A535B"/>
    <w:rsid w:val="001A5377"/>
    <w:rsid w:val="001A540C"/>
    <w:rsid w:val="001A5777"/>
    <w:rsid w:val="001A5979"/>
    <w:rsid w:val="001A5A03"/>
    <w:rsid w:val="001A5B03"/>
    <w:rsid w:val="001A5B2A"/>
    <w:rsid w:val="001A5B40"/>
    <w:rsid w:val="001A5C5A"/>
    <w:rsid w:val="001A5E76"/>
    <w:rsid w:val="001A6192"/>
    <w:rsid w:val="001A61BC"/>
    <w:rsid w:val="001A63D1"/>
    <w:rsid w:val="001A6426"/>
    <w:rsid w:val="001A64B1"/>
    <w:rsid w:val="001A6B26"/>
    <w:rsid w:val="001A6D2E"/>
    <w:rsid w:val="001A6E51"/>
    <w:rsid w:val="001A6E63"/>
    <w:rsid w:val="001A6F80"/>
    <w:rsid w:val="001A70D0"/>
    <w:rsid w:val="001A71BC"/>
    <w:rsid w:val="001A7705"/>
    <w:rsid w:val="001A773E"/>
    <w:rsid w:val="001A7C1E"/>
    <w:rsid w:val="001A7C26"/>
    <w:rsid w:val="001A7C60"/>
    <w:rsid w:val="001A7D05"/>
    <w:rsid w:val="001A7F72"/>
    <w:rsid w:val="001B0019"/>
    <w:rsid w:val="001B018F"/>
    <w:rsid w:val="001B01D5"/>
    <w:rsid w:val="001B0346"/>
    <w:rsid w:val="001B03CC"/>
    <w:rsid w:val="001B0454"/>
    <w:rsid w:val="001B04E4"/>
    <w:rsid w:val="001B0507"/>
    <w:rsid w:val="001B056D"/>
    <w:rsid w:val="001B079C"/>
    <w:rsid w:val="001B08A1"/>
    <w:rsid w:val="001B08EC"/>
    <w:rsid w:val="001B0E13"/>
    <w:rsid w:val="001B0EA1"/>
    <w:rsid w:val="001B105A"/>
    <w:rsid w:val="001B116C"/>
    <w:rsid w:val="001B1322"/>
    <w:rsid w:val="001B13A4"/>
    <w:rsid w:val="001B14FA"/>
    <w:rsid w:val="001B1646"/>
    <w:rsid w:val="001B1677"/>
    <w:rsid w:val="001B1D4B"/>
    <w:rsid w:val="001B1D63"/>
    <w:rsid w:val="001B1E70"/>
    <w:rsid w:val="001B1FAF"/>
    <w:rsid w:val="001B20C6"/>
    <w:rsid w:val="001B20E2"/>
    <w:rsid w:val="001B22F0"/>
    <w:rsid w:val="001B244F"/>
    <w:rsid w:val="001B266A"/>
    <w:rsid w:val="001B2674"/>
    <w:rsid w:val="001B26F5"/>
    <w:rsid w:val="001B2891"/>
    <w:rsid w:val="001B2988"/>
    <w:rsid w:val="001B29A0"/>
    <w:rsid w:val="001B2B98"/>
    <w:rsid w:val="001B2BD0"/>
    <w:rsid w:val="001B2DC2"/>
    <w:rsid w:val="001B2DE1"/>
    <w:rsid w:val="001B2F92"/>
    <w:rsid w:val="001B3495"/>
    <w:rsid w:val="001B351C"/>
    <w:rsid w:val="001B35A0"/>
    <w:rsid w:val="001B37A3"/>
    <w:rsid w:val="001B3979"/>
    <w:rsid w:val="001B3A17"/>
    <w:rsid w:val="001B3ACB"/>
    <w:rsid w:val="001B3B90"/>
    <w:rsid w:val="001B3BF7"/>
    <w:rsid w:val="001B3CCD"/>
    <w:rsid w:val="001B3DDF"/>
    <w:rsid w:val="001B3F25"/>
    <w:rsid w:val="001B3F4E"/>
    <w:rsid w:val="001B3FF5"/>
    <w:rsid w:val="001B4066"/>
    <w:rsid w:val="001B41D6"/>
    <w:rsid w:val="001B42E4"/>
    <w:rsid w:val="001B4B36"/>
    <w:rsid w:val="001B4E70"/>
    <w:rsid w:val="001B4FEA"/>
    <w:rsid w:val="001B53C0"/>
    <w:rsid w:val="001B544F"/>
    <w:rsid w:val="001B55C5"/>
    <w:rsid w:val="001B5682"/>
    <w:rsid w:val="001B56EA"/>
    <w:rsid w:val="001B5798"/>
    <w:rsid w:val="001B57F7"/>
    <w:rsid w:val="001B58F8"/>
    <w:rsid w:val="001B5D3D"/>
    <w:rsid w:val="001B5F85"/>
    <w:rsid w:val="001B61E3"/>
    <w:rsid w:val="001B6248"/>
    <w:rsid w:val="001B6430"/>
    <w:rsid w:val="001B6500"/>
    <w:rsid w:val="001B6594"/>
    <w:rsid w:val="001B659D"/>
    <w:rsid w:val="001B6609"/>
    <w:rsid w:val="001B663E"/>
    <w:rsid w:val="001B67CC"/>
    <w:rsid w:val="001B6AA1"/>
    <w:rsid w:val="001B6ACC"/>
    <w:rsid w:val="001B6AEC"/>
    <w:rsid w:val="001B6B0C"/>
    <w:rsid w:val="001B6CD3"/>
    <w:rsid w:val="001B6E32"/>
    <w:rsid w:val="001B70F0"/>
    <w:rsid w:val="001B7170"/>
    <w:rsid w:val="001B7233"/>
    <w:rsid w:val="001B726D"/>
    <w:rsid w:val="001B72B3"/>
    <w:rsid w:val="001B73BE"/>
    <w:rsid w:val="001B748D"/>
    <w:rsid w:val="001B749F"/>
    <w:rsid w:val="001B7589"/>
    <w:rsid w:val="001B769C"/>
    <w:rsid w:val="001B77FE"/>
    <w:rsid w:val="001B78E7"/>
    <w:rsid w:val="001B7CCE"/>
    <w:rsid w:val="001B7E38"/>
    <w:rsid w:val="001B7E3B"/>
    <w:rsid w:val="001B7F1F"/>
    <w:rsid w:val="001B7F45"/>
    <w:rsid w:val="001B7F4E"/>
    <w:rsid w:val="001C00BE"/>
    <w:rsid w:val="001C0233"/>
    <w:rsid w:val="001C02B1"/>
    <w:rsid w:val="001C035D"/>
    <w:rsid w:val="001C04CA"/>
    <w:rsid w:val="001C05F4"/>
    <w:rsid w:val="001C06E8"/>
    <w:rsid w:val="001C08E7"/>
    <w:rsid w:val="001C0A7C"/>
    <w:rsid w:val="001C0BF6"/>
    <w:rsid w:val="001C0D39"/>
    <w:rsid w:val="001C0E25"/>
    <w:rsid w:val="001C0E53"/>
    <w:rsid w:val="001C116A"/>
    <w:rsid w:val="001C11EC"/>
    <w:rsid w:val="001C128E"/>
    <w:rsid w:val="001C12EB"/>
    <w:rsid w:val="001C132C"/>
    <w:rsid w:val="001C13BC"/>
    <w:rsid w:val="001C13BE"/>
    <w:rsid w:val="001C142D"/>
    <w:rsid w:val="001C1440"/>
    <w:rsid w:val="001C14D0"/>
    <w:rsid w:val="001C15BD"/>
    <w:rsid w:val="001C1636"/>
    <w:rsid w:val="001C1681"/>
    <w:rsid w:val="001C1773"/>
    <w:rsid w:val="001C1BF9"/>
    <w:rsid w:val="001C1E20"/>
    <w:rsid w:val="001C1EDD"/>
    <w:rsid w:val="001C1EF9"/>
    <w:rsid w:val="001C1F31"/>
    <w:rsid w:val="001C20C0"/>
    <w:rsid w:val="001C210D"/>
    <w:rsid w:val="001C26BB"/>
    <w:rsid w:val="001C26DB"/>
    <w:rsid w:val="001C2707"/>
    <w:rsid w:val="001C2736"/>
    <w:rsid w:val="001C283F"/>
    <w:rsid w:val="001C287A"/>
    <w:rsid w:val="001C2A7D"/>
    <w:rsid w:val="001C2BC5"/>
    <w:rsid w:val="001C2D7C"/>
    <w:rsid w:val="001C3519"/>
    <w:rsid w:val="001C3580"/>
    <w:rsid w:val="001C38FB"/>
    <w:rsid w:val="001C39EC"/>
    <w:rsid w:val="001C3ABD"/>
    <w:rsid w:val="001C3C2B"/>
    <w:rsid w:val="001C3E2A"/>
    <w:rsid w:val="001C3F4F"/>
    <w:rsid w:val="001C4070"/>
    <w:rsid w:val="001C4261"/>
    <w:rsid w:val="001C428C"/>
    <w:rsid w:val="001C4295"/>
    <w:rsid w:val="001C4320"/>
    <w:rsid w:val="001C46D9"/>
    <w:rsid w:val="001C47F0"/>
    <w:rsid w:val="001C47F5"/>
    <w:rsid w:val="001C485E"/>
    <w:rsid w:val="001C486C"/>
    <w:rsid w:val="001C496E"/>
    <w:rsid w:val="001C4A8E"/>
    <w:rsid w:val="001C4D9A"/>
    <w:rsid w:val="001C4FA4"/>
    <w:rsid w:val="001C4FFB"/>
    <w:rsid w:val="001C50D7"/>
    <w:rsid w:val="001C5336"/>
    <w:rsid w:val="001C5517"/>
    <w:rsid w:val="001C5553"/>
    <w:rsid w:val="001C5568"/>
    <w:rsid w:val="001C55D3"/>
    <w:rsid w:val="001C5629"/>
    <w:rsid w:val="001C5754"/>
    <w:rsid w:val="001C58DE"/>
    <w:rsid w:val="001C5AAF"/>
    <w:rsid w:val="001C5B08"/>
    <w:rsid w:val="001C5C6E"/>
    <w:rsid w:val="001C5D02"/>
    <w:rsid w:val="001C5E00"/>
    <w:rsid w:val="001C5E66"/>
    <w:rsid w:val="001C5E8F"/>
    <w:rsid w:val="001C60BB"/>
    <w:rsid w:val="001C61CF"/>
    <w:rsid w:val="001C6404"/>
    <w:rsid w:val="001C645A"/>
    <w:rsid w:val="001C6967"/>
    <w:rsid w:val="001C6B55"/>
    <w:rsid w:val="001C6C4D"/>
    <w:rsid w:val="001C6D2D"/>
    <w:rsid w:val="001C6EDC"/>
    <w:rsid w:val="001C6FBD"/>
    <w:rsid w:val="001C7064"/>
    <w:rsid w:val="001C720D"/>
    <w:rsid w:val="001C726A"/>
    <w:rsid w:val="001C737A"/>
    <w:rsid w:val="001C7465"/>
    <w:rsid w:val="001C762E"/>
    <w:rsid w:val="001C7882"/>
    <w:rsid w:val="001C78D9"/>
    <w:rsid w:val="001C7946"/>
    <w:rsid w:val="001C7995"/>
    <w:rsid w:val="001C7F2A"/>
    <w:rsid w:val="001D00F7"/>
    <w:rsid w:val="001D0404"/>
    <w:rsid w:val="001D0AF9"/>
    <w:rsid w:val="001D0C24"/>
    <w:rsid w:val="001D0E5D"/>
    <w:rsid w:val="001D0F02"/>
    <w:rsid w:val="001D104B"/>
    <w:rsid w:val="001D115F"/>
    <w:rsid w:val="001D120E"/>
    <w:rsid w:val="001D12BB"/>
    <w:rsid w:val="001D1317"/>
    <w:rsid w:val="001D140E"/>
    <w:rsid w:val="001D1520"/>
    <w:rsid w:val="001D174B"/>
    <w:rsid w:val="001D18C8"/>
    <w:rsid w:val="001D1BE7"/>
    <w:rsid w:val="001D1D9B"/>
    <w:rsid w:val="001D1DC1"/>
    <w:rsid w:val="001D2088"/>
    <w:rsid w:val="001D20BE"/>
    <w:rsid w:val="001D20D0"/>
    <w:rsid w:val="001D266E"/>
    <w:rsid w:val="001D291A"/>
    <w:rsid w:val="001D2973"/>
    <w:rsid w:val="001D2CBB"/>
    <w:rsid w:val="001D2D9D"/>
    <w:rsid w:val="001D2F2A"/>
    <w:rsid w:val="001D2FB6"/>
    <w:rsid w:val="001D300C"/>
    <w:rsid w:val="001D30CA"/>
    <w:rsid w:val="001D30CC"/>
    <w:rsid w:val="001D31A4"/>
    <w:rsid w:val="001D33FD"/>
    <w:rsid w:val="001D34A1"/>
    <w:rsid w:val="001D35E6"/>
    <w:rsid w:val="001D369C"/>
    <w:rsid w:val="001D36B8"/>
    <w:rsid w:val="001D36C6"/>
    <w:rsid w:val="001D3741"/>
    <w:rsid w:val="001D3795"/>
    <w:rsid w:val="001D37C5"/>
    <w:rsid w:val="001D3995"/>
    <w:rsid w:val="001D3A61"/>
    <w:rsid w:val="001D3A79"/>
    <w:rsid w:val="001D3C37"/>
    <w:rsid w:val="001D3CDD"/>
    <w:rsid w:val="001D3FFA"/>
    <w:rsid w:val="001D43C1"/>
    <w:rsid w:val="001D4459"/>
    <w:rsid w:val="001D4539"/>
    <w:rsid w:val="001D463B"/>
    <w:rsid w:val="001D46FC"/>
    <w:rsid w:val="001D4719"/>
    <w:rsid w:val="001D47A8"/>
    <w:rsid w:val="001D483E"/>
    <w:rsid w:val="001D48BA"/>
    <w:rsid w:val="001D49A4"/>
    <w:rsid w:val="001D4A81"/>
    <w:rsid w:val="001D4D43"/>
    <w:rsid w:val="001D4E1D"/>
    <w:rsid w:val="001D4F1D"/>
    <w:rsid w:val="001D4F87"/>
    <w:rsid w:val="001D5238"/>
    <w:rsid w:val="001D525C"/>
    <w:rsid w:val="001D52F3"/>
    <w:rsid w:val="001D5360"/>
    <w:rsid w:val="001D53B3"/>
    <w:rsid w:val="001D5470"/>
    <w:rsid w:val="001D566A"/>
    <w:rsid w:val="001D568F"/>
    <w:rsid w:val="001D5690"/>
    <w:rsid w:val="001D5752"/>
    <w:rsid w:val="001D57A3"/>
    <w:rsid w:val="001D57CD"/>
    <w:rsid w:val="001D5879"/>
    <w:rsid w:val="001D5947"/>
    <w:rsid w:val="001D5B0B"/>
    <w:rsid w:val="001D5D3D"/>
    <w:rsid w:val="001D5DB6"/>
    <w:rsid w:val="001D5E1C"/>
    <w:rsid w:val="001D5FB2"/>
    <w:rsid w:val="001D61BB"/>
    <w:rsid w:val="001D6206"/>
    <w:rsid w:val="001D620D"/>
    <w:rsid w:val="001D64D5"/>
    <w:rsid w:val="001D65B4"/>
    <w:rsid w:val="001D67CC"/>
    <w:rsid w:val="001D67CF"/>
    <w:rsid w:val="001D67DA"/>
    <w:rsid w:val="001D69BB"/>
    <w:rsid w:val="001D6B56"/>
    <w:rsid w:val="001D6D0A"/>
    <w:rsid w:val="001D6D6A"/>
    <w:rsid w:val="001D706E"/>
    <w:rsid w:val="001D70C9"/>
    <w:rsid w:val="001D7151"/>
    <w:rsid w:val="001D71B8"/>
    <w:rsid w:val="001D7355"/>
    <w:rsid w:val="001D755E"/>
    <w:rsid w:val="001D7846"/>
    <w:rsid w:val="001D7B3C"/>
    <w:rsid w:val="001D7CD3"/>
    <w:rsid w:val="001D7DC5"/>
    <w:rsid w:val="001E0068"/>
    <w:rsid w:val="001E00B6"/>
    <w:rsid w:val="001E0114"/>
    <w:rsid w:val="001E0166"/>
    <w:rsid w:val="001E02E8"/>
    <w:rsid w:val="001E0350"/>
    <w:rsid w:val="001E03C9"/>
    <w:rsid w:val="001E0507"/>
    <w:rsid w:val="001E081B"/>
    <w:rsid w:val="001E0959"/>
    <w:rsid w:val="001E0C0A"/>
    <w:rsid w:val="001E0E42"/>
    <w:rsid w:val="001E124B"/>
    <w:rsid w:val="001E12A6"/>
    <w:rsid w:val="001E1305"/>
    <w:rsid w:val="001E13CE"/>
    <w:rsid w:val="001E15A5"/>
    <w:rsid w:val="001E1839"/>
    <w:rsid w:val="001E19CA"/>
    <w:rsid w:val="001E1A17"/>
    <w:rsid w:val="001E1CFE"/>
    <w:rsid w:val="001E1D74"/>
    <w:rsid w:val="001E1F8C"/>
    <w:rsid w:val="001E1FBB"/>
    <w:rsid w:val="001E22F2"/>
    <w:rsid w:val="001E231B"/>
    <w:rsid w:val="001E2386"/>
    <w:rsid w:val="001E258F"/>
    <w:rsid w:val="001E2608"/>
    <w:rsid w:val="001E2722"/>
    <w:rsid w:val="001E2B8B"/>
    <w:rsid w:val="001E2BF6"/>
    <w:rsid w:val="001E2C1C"/>
    <w:rsid w:val="001E2C70"/>
    <w:rsid w:val="001E2C7D"/>
    <w:rsid w:val="001E2CBE"/>
    <w:rsid w:val="001E2D3D"/>
    <w:rsid w:val="001E2DA4"/>
    <w:rsid w:val="001E2DC9"/>
    <w:rsid w:val="001E2EEE"/>
    <w:rsid w:val="001E2EF1"/>
    <w:rsid w:val="001E2F34"/>
    <w:rsid w:val="001E2F5D"/>
    <w:rsid w:val="001E3246"/>
    <w:rsid w:val="001E32CE"/>
    <w:rsid w:val="001E33EE"/>
    <w:rsid w:val="001E3700"/>
    <w:rsid w:val="001E3780"/>
    <w:rsid w:val="001E39AC"/>
    <w:rsid w:val="001E39B8"/>
    <w:rsid w:val="001E3B01"/>
    <w:rsid w:val="001E3C2C"/>
    <w:rsid w:val="001E3C89"/>
    <w:rsid w:val="001E3E55"/>
    <w:rsid w:val="001E3EA5"/>
    <w:rsid w:val="001E3FE6"/>
    <w:rsid w:val="001E412E"/>
    <w:rsid w:val="001E4197"/>
    <w:rsid w:val="001E436C"/>
    <w:rsid w:val="001E456E"/>
    <w:rsid w:val="001E45D0"/>
    <w:rsid w:val="001E4A72"/>
    <w:rsid w:val="001E4AAA"/>
    <w:rsid w:val="001E4AF3"/>
    <w:rsid w:val="001E4BF3"/>
    <w:rsid w:val="001E4C29"/>
    <w:rsid w:val="001E4C81"/>
    <w:rsid w:val="001E4D73"/>
    <w:rsid w:val="001E4ED4"/>
    <w:rsid w:val="001E4F21"/>
    <w:rsid w:val="001E4FE9"/>
    <w:rsid w:val="001E53E2"/>
    <w:rsid w:val="001E54A8"/>
    <w:rsid w:val="001E55CE"/>
    <w:rsid w:val="001E5A4D"/>
    <w:rsid w:val="001E5B49"/>
    <w:rsid w:val="001E5DD8"/>
    <w:rsid w:val="001E613D"/>
    <w:rsid w:val="001E6780"/>
    <w:rsid w:val="001E6818"/>
    <w:rsid w:val="001E6AE1"/>
    <w:rsid w:val="001E6B59"/>
    <w:rsid w:val="001E6E3F"/>
    <w:rsid w:val="001E6E48"/>
    <w:rsid w:val="001E6FA1"/>
    <w:rsid w:val="001E702F"/>
    <w:rsid w:val="001E7174"/>
    <w:rsid w:val="001E7355"/>
    <w:rsid w:val="001E75EF"/>
    <w:rsid w:val="001E7A2D"/>
    <w:rsid w:val="001E7C14"/>
    <w:rsid w:val="001E7E4C"/>
    <w:rsid w:val="001E7E94"/>
    <w:rsid w:val="001E7FAE"/>
    <w:rsid w:val="001E7FC6"/>
    <w:rsid w:val="001F014B"/>
    <w:rsid w:val="001F0390"/>
    <w:rsid w:val="001F039F"/>
    <w:rsid w:val="001F03B4"/>
    <w:rsid w:val="001F049C"/>
    <w:rsid w:val="001F049F"/>
    <w:rsid w:val="001F0888"/>
    <w:rsid w:val="001F08F2"/>
    <w:rsid w:val="001F0980"/>
    <w:rsid w:val="001F0D0F"/>
    <w:rsid w:val="001F0DFC"/>
    <w:rsid w:val="001F12C3"/>
    <w:rsid w:val="001F1657"/>
    <w:rsid w:val="001F16E0"/>
    <w:rsid w:val="001F17B6"/>
    <w:rsid w:val="001F17BB"/>
    <w:rsid w:val="001F186A"/>
    <w:rsid w:val="001F18BB"/>
    <w:rsid w:val="001F19EB"/>
    <w:rsid w:val="001F1A95"/>
    <w:rsid w:val="001F1B7C"/>
    <w:rsid w:val="001F1EB3"/>
    <w:rsid w:val="001F1EEC"/>
    <w:rsid w:val="001F1EF3"/>
    <w:rsid w:val="001F1FDD"/>
    <w:rsid w:val="001F208D"/>
    <w:rsid w:val="001F22BC"/>
    <w:rsid w:val="001F230C"/>
    <w:rsid w:val="001F2414"/>
    <w:rsid w:val="001F2539"/>
    <w:rsid w:val="001F2579"/>
    <w:rsid w:val="001F262F"/>
    <w:rsid w:val="001F26CD"/>
    <w:rsid w:val="001F291B"/>
    <w:rsid w:val="001F2A33"/>
    <w:rsid w:val="001F2A34"/>
    <w:rsid w:val="001F2ACE"/>
    <w:rsid w:val="001F2B10"/>
    <w:rsid w:val="001F2D79"/>
    <w:rsid w:val="001F2E7C"/>
    <w:rsid w:val="001F3198"/>
    <w:rsid w:val="001F3321"/>
    <w:rsid w:val="001F34AA"/>
    <w:rsid w:val="001F3578"/>
    <w:rsid w:val="001F360E"/>
    <w:rsid w:val="001F3656"/>
    <w:rsid w:val="001F36B0"/>
    <w:rsid w:val="001F37E2"/>
    <w:rsid w:val="001F3824"/>
    <w:rsid w:val="001F38AE"/>
    <w:rsid w:val="001F3A54"/>
    <w:rsid w:val="001F3BED"/>
    <w:rsid w:val="001F3CC9"/>
    <w:rsid w:val="001F3D6A"/>
    <w:rsid w:val="001F3F4F"/>
    <w:rsid w:val="001F4048"/>
    <w:rsid w:val="001F40E3"/>
    <w:rsid w:val="001F4654"/>
    <w:rsid w:val="001F4690"/>
    <w:rsid w:val="001F471E"/>
    <w:rsid w:val="001F47A0"/>
    <w:rsid w:val="001F4885"/>
    <w:rsid w:val="001F48E7"/>
    <w:rsid w:val="001F4B0B"/>
    <w:rsid w:val="001F4BFD"/>
    <w:rsid w:val="001F4E2A"/>
    <w:rsid w:val="001F4EBE"/>
    <w:rsid w:val="001F5115"/>
    <w:rsid w:val="001F5143"/>
    <w:rsid w:val="001F5212"/>
    <w:rsid w:val="001F52EB"/>
    <w:rsid w:val="001F54B3"/>
    <w:rsid w:val="001F5A1E"/>
    <w:rsid w:val="001F5AAF"/>
    <w:rsid w:val="001F5AC1"/>
    <w:rsid w:val="001F5AEC"/>
    <w:rsid w:val="001F5D1C"/>
    <w:rsid w:val="001F5DDF"/>
    <w:rsid w:val="001F5DF4"/>
    <w:rsid w:val="001F5F27"/>
    <w:rsid w:val="001F5F78"/>
    <w:rsid w:val="001F606A"/>
    <w:rsid w:val="001F6092"/>
    <w:rsid w:val="001F60EA"/>
    <w:rsid w:val="001F61C1"/>
    <w:rsid w:val="001F61FC"/>
    <w:rsid w:val="001F62EF"/>
    <w:rsid w:val="001F6318"/>
    <w:rsid w:val="001F63CA"/>
    <w:rsid w:val="001F6673"/>
    <w:rsid w:val="001F67F8"/>
    <w:rsid w:val="001F68EC"/>
    <w:rsid w:val="001F6988"/>
    <w:rsid w:val="001F6B2B"/>
    <w:rsid w:val="001F6CBF"/>
    <w:rsid w:val="001F6D9D"/>
    <w:rsid w:val="001F6DD1"/>
    <w:rsid w:val="001F6E3B"/>
    <w:rsid w:val="001F6E9D"/>
    <w:rsid w:val="001F6F7F"/>
    <w:rsid w:val="001F7045"/>
    <w:rsid w:val="001F7528"/>
    <w:rsid w:val="001F75E3"/>
    <w:rsid w:val="001F782C"/>
    <w:rsid w:val="001F78CD"/>
    <w:rsid w:val="001F79D4"/>
    <w:rsid w:val="001F79D9"/>
    <w:rsid w:val="001F7A67"/>
    <w:rsid w:val="001F7B10"/>
    <w:rsid w:val="001F7D6B"/>
    <w:rsid w:val="0020022F"/>
    <w:rsid w:val="002002A4"/>
    <w:rsid w:val="00200358"/>
    <w:rsid w:val="002003BF"/>
    <w:rsid w:val="002003C4"/>
    <w:rsid w:val="002007C4"/>
    <w:rsid w:val="002008AD"/>
    <w:rsid w:val="0020094E"/>
    <w:rsid w:val="002009CA"/>
    <w:rsid w:val="00200B9C"/>
    <w:rsid w:val="00200CD1"/>
    <w:rsid w:val="00200DDF"/>
    <w:rsid w:val="00201038"/>
    <w:rsid w:val="002010A5"/>
    <w:rsid w:val="002010FB"/>
    <w:rsid w:val="002012DD"/>
    <w:rsid w:val="00201419"/>
    <w:rsid w:val="0020196D"/>
    <w:rsid w:val="0020199F"/>
    <w:rsid w:val="002019FD"/>
    <w:rsid w:val="00201A12"/>
    <w:rsid w:val="00201C0B"/>
    <w:rsid w:val="00201C57"/>
    <w:rsid w:val="00201E53"/>
    <w:rsid w:val="00201E94"/>
    <w:rsid w:val="00201EC8"/>
    <w:rsid w:val="002021BD"/>
    <w:rsid w:val="00202293"/>
    <w:rsid w:val="00202446"/>
    <w:rsid w:val="00202507"/>
    <w:rsid w:val="00202A97"/>
    <w:rsid w:val="00202AE3"/>
    <w:rsid w:val="00202B4A"/>
    <w:rsid w:val="00202BEA"/>
    <w:rsid w:val="00202C9D"/>
    <w:rsid w:val="00202D89"/>
    <w:rsid w:val="00202E56"/>
    <w:rsid w:val="00202EC1"/>
    <w:rsid w:val="00202F0C"/>
    <w:rsid w:val="00202F8B"/>
    <w:rsid w:val="0020307A"/>
    <w:rsid w:val="0020322C"/>
    <w:rsid w:val="00203236"/>
    <w:rsid w:val="002037AF"/>
    <w:rsid w:val="00203866"/>
    <w:rsid w:val="002038D6"/>
    <w:rsid w:val="002038FC"/>
    <w:rsid w:val="00203995"/>
    <w:rsid w:val="00203B9C"/>
    <w:rsid w:val="00203BE9"/>
    <w:rsid w:val="00203D8B"/>
    <w:rsid w:val="00203DD7"/>
    <w:rsid w:val="00203E7F"/>
    <w:rsid w:val="00204037"/>
    <w:rsid w:val="002040AB"/>
    <w:rsid w:val="00204102"/>
    <w:rsid w:val="002041B5"/>
    <w:rsid w:val="002046B6"/>
    <w:rsid w:val="00204A3B"/>
    <w:rsid w:val="00205220"/>
    <w:rsid w:val="00205248"/>
    <w:rsid w:val="00205457"/>
    <w:rsid w:val="00205485"/>
    <w:rsid w:val="00205504"/>
    <w:rsid w:val="0020573F"/>
    <w:rsid w:val="00205BE5"/>
    <w:rsid w:val="00205C9F"/>
    <w:rsid w:val="00205CA0"/>
    <w:rsid w:val="00205DBA"/>
    <w:rsid w:val="00205ED4"/>
    <w:rsid w:val="00205F4D"/>
    <w:rsid w:val="00206127"/>
    <w:rsid w:val="00206219"/>
    <w:rsid w:val="0020622B"/>
    <w:rsid w:val="00206261"/>
    <w:rsid w:val="002062DF"/>
    <w:rsid w:val="00206427"/>
    <w:rsid w:val="00206469"/>
    <w:rsid w:val="002065BA"/>
    <w:rsid w:val="002066EA"/>
    <w:rsid w:val="00206766"/>
    <w:rsid w:val="00206871"/>
    <w:rsid w:val="00206886"/>
    <w:rsid w:val="00206C3F"/>
    <w:rsid w:val="00206C60"/>
    <w:rsid w:val="00206F60"/>
    <w:rsid w:val="00206FB4"/>
    <w:rsid w:val="0020700A"/>
    <w:rsid w:val="002072DB"/>
    <w:rsid w:val="0020730B"/>
    <w:rsid w:val="0020758D"/>
    <w:rsid w:val="0020763A"/>
    <w:rsid w:val="002076E2"/>
    <w:rsid w:val="00207BE0"/>
    <w:rsid w:val="00207C1A"/>
    <w:rsid w:val="00207DFD"/>
    <w:rsid w:val="00207F22"/>
    <w:rsid w:val="002101E2"/>
    <w:rsid w:val="00210202"/>
    <w:rsid w:val="0021058E"/>
    <w:rsid w:val="002107B9"/>
    <w:rsid w:val="002107CA"/>
    <w:rsid w:val="002107FB"/>
    <w:rsid w:val="00210849"/>
    <w:rsid w:val="00210942"/>
    <w:rsid w:val="00210B1B"/>
    <w:rsid w:val="00210B71"/>
    <w:rsid w:val="00210E42"/>
    <w:rsid w:val="00210E5C"/>
    <w:rsid w:val="00210EA2"/>
    <w:rsid w:val="0021105B"/>
    <w:rsid w:val="0021120D"/>
    <w:rsid w:val="002113D9"/>
    <w:rsid w:val="002113F5"/>
    <w:rsid w:val="002115CF"/>
    <w:rsid w:val="0021168E"/>
    <w:rsid w:val="00211964"/>
    <w:rsid w:val="00211A23"/>
    <w:rsid w:val="00211B2B"/>
    <w:rsid w:val="00211D7F"/>
    <w:rsid w:val="00211EE6"/>
    <w:rsid w:val="00211FF5"/>
    <w:rsid w:val="0021209D"/>
    <w:rsid w:val="002127B0"/>
    <w:rsid w:val="002127BE"/>
    <w:rsid w:val="0021282C"/>
    <w:rsid w:val="00212879"/>
    <w:rsid w:val="002128BA"/>
    <w:rsid w:val="0021292A"/>
    <w:rsid w:val="00212943"/>
    <w:rsid w:val="00212A90"/>
    <w:rsid w:val="00212B9B"/>
    <w:rsid w:val="00212BC7"/>
    <w:rsid w:val="00212CBD"/>
    <w:rsid w:val="00212CE9"/>
    <w:rsid w:val="00212D5A"/>
    <w:rsid w:val="00212DBA"/>
    <w:rsid w:val="00212DF7"/>
    <w:rsid w:val="00212E06"/>
    <w:rsid w:val="002131AC"/>
    <w:rsid w:val="0021353B"/>
    <w:rsid w:val="002135F4"/>
    <w:rsid w:val="002139CC"/>
    <w:rsid w:val="00213BEC"/>
    <w:rsid w:val="00214096"/>
    <w:rsid w:val="002141CE"/>
    <w:rsid w:val="002142A4"/>
    <w:rsid w:val="002142FF"/>
    <w:rsid w:val="0021438F"/>
    <w:rsid w:val="0021453E"/>
    <w:rsid w:val="002145A8"/>
    <w:rsid w:val="00214D39"/>
    <w:rsid w:val="00214DD3"/>
    <w:rsid w:val="002150AD"/>
    <w:rsid w:val="00215160"/>
    <w:rsid w:val="00215239"/>
    <w:rsid w:val="00215298"/>
    <w:rsid w:val="00215522"/>
    <w:rsid w:val="0021560F"/>
    <w:rsid w:val="00215A9B"/>
    <w:rsid w:val="00215B0A"/>
    <w:rsid w:val="00215D37"/>
    <w:rsid w:val="00215DB2"/>
    <w:rsid w:val="00215DF7"/>
    <w:rsid w:val="00215E7E"/>
    <w:rsid w:val="00215FF7"/>
    <w:rsid w:val="00216063"/>
    <w:rsid w:val="00216100"/>
    <w:rsid w:val="002161AF"/>
    <w:rsid w:val="002161CD"/>
    <w:rsid w:val="0021646E"/>
    <w:rsid w:val="0021653A"/>
    <w:rsid w:val="002166F8"/>
    <w:rsid w:val="0021678B"/>
    <w:rsid w:val="00216807"/>
    <w:rsid w:val="00216A2E"/>
    <w:rsid w:val="00216F07"/>
    <w:rsid w:val="00216FEA"/>
    <w:rsid w:val="00217054"/>
    <w:rsid w:val="0021723F"/>
    <w:rsid w:val="0021738E"/>
    <w:rsid w:val="002175B1"/>
    <w:rsid w:val="0021761F"/>
    <w:rsid w:val="002177E6"/>
    <w:rsid w:val="00217904"/>
    <w:rsid w:val="0021791B"/>
    <w:rsid w:val="0021792D"/>
    <w:rsid w:val="00217968"/>
    <w:rsid w:val="00217A60"/>
    <w:rsid w:val="00217B87"/>
    <w:rsid w:val="00217BC8"/>
    <w:rsid w:val="00220302"/>
    <w:rsid w:val="0022078D"/>
    <w:rsid w:val="002209AE"/>
    <w:rsid w:val="00220A04"/>
    <w:rsid w:val="00220BAD"/>
    <w:rsid w:val="00220C85"/>
    <w:rsid w:val="00220CBC"/>
    <w:rsid w:val="00220EE7"/>
    <w:rsid w:val="00221039"/>
    <w:rsid w:val="0022116A"/>
    <w:rsid w:val="002212C3"/>
    <w:rsid w:val="0022147A"/>
    <w:rsid w:val="00221493"/>
    <w:rsid w:val="0022149B"/>
    <w:rsid w:val="002215AF"/>
    <w:rsid w:val="00221640"/>
    <w:rsid w:val="002216A4"/>
    <w:rsid w:val="002217D0"/>
    <w:rsid w:val="00221B7D"/>
    <w:rsid w:val="00221BAD"/>
    <w:rsid w:val="00221BFA"/>
    <w:rsid w:val="00221E9F"/>
    <w:rsid w:val="00222132"/>
    <w:rsid w:val="002221EB"/>
    <w:rsid w:val="0022241D"/>
    <w:rsid w:val="00222497"/>
    <w:rsid w:val="002228E8"/>
    <w:rsid w:val="002228F6"/>
    <w:rsid w:val="00222B97"/>
    <w:rsid w:val="00222BB2"/>
    <w:rsid w:val="00222C82"/>
    <w:rsid w:val="00222D32"/>
    <w:rsid w:val="00222E69"/>
    <w:rsid w:val="00222ED3"/>
    <w:rsid w:val="00223172"/>
    <w:rsid w:val="00223188"/>
    <w:rsid w:val="002233CA"/>
    <w:rsid w:val="0022351F"/>
    <w:rsid w:val="0022356E"/>
    <w:rsid w:val="002235B6"/>
    <w:rsid w:val="002235D9"/>
    <w:rsid w:val="00223601"/>
    <w:rsid w:val="00223621"/>
    <w:rsid w:val="00223890"/>
    <w:rsid w:val="002239F2"/>
    <w:rsid w:val="00223A92"/>
    <w:rsid w:val="00223AC3"/>
    <w:rsid w:val="00223CF1"/>
    <w:rsid w:val="00223D2F"/>
    <w:rsid w:val="00223D84"/>
    <w:rsid w:val="00223FDE"/>
    <w:rsid w:val="0022401D"/>
    <w:rsid w:val="002240D3"/>
    <w:rsid w:val="002245B1"/>
    <w:rsid w:val="002245F4"/>
    <w:rsid w:val="00224626"/>
    <w:rsid w:val="00224754"/>
    <w:rsid w:val="0022493A"/>
    <w:rsid w:val="00224C97"/>
    <w:rsid w:val="00224CFC"/>
    <w:rsid w:val="00224F15"/>
    <w:rsid w:val="00225507"/>
    <w:rsid w:val="0022560D"/>
    <w:rsid w:val="00225793"/>
    <w:rsid w:val="00225B20"/>
    <w:rsid w:val="00225B97"/>
    <w:rsid w:val="00225C2D"/>
    <w:rsid w:val="00225D58"/>
    <w:rsid w:val="00225E52"/>
    <w:rsid w:val="00225FCC"/>
    <w:rsid w:val="0022607D"/>
    <w:rsid w:val="0022623A"/>
    <w:rsid w:val="0022644F"/>
    <w:rsid w:val="002265AC"/>
    <w:rsid w:val="00226A9C"/>
    <w:rsid w:val="00226C30"/>
    <w:rsid w:val="00226E32"/>
    <w:rsid w:val="002270C3"/>
    <w:rsid w:val="0022710F"/>
    <w:rsid w:val="00227195"/>
    <w:rsid w:val="002271DE"/>
    <w:rsid w:val="00227210"/>
    <w:rsid w:val="00227221"/>
    <w:rsid w:val="00227244"/>
    <w:rsid w:val="0022729F"/>
    <w:rsid w:val="0022733A"/>
    <w:rsid w:val="002278EF"/>
    <w:rsid w:val="002279BD"/>
    <w:rsid w:val="00227C37"/>
    <w:rsid w:val="00227D58"/>
    <w:rsid w:val="00227E18"/>
    <w:rsid w:val="00227E2D"/>
    <w:rsid w:val="00227ED0"/>
    <w:rsid w:val="00227F23"/>
    <w:rsid w:val="00227F41"/>
    <w:rsid w:val="00227F51"/>
    <w:rsid w:val="00230038"/>
    <w:rsid w:val="002302FE"/>
    <w:rsid w:val="0023031E"/>
    <w:rsid w:val="00230356"/>
    <w:rsid w:val="00230458"/>
    <w:rsid w:val="002304BD"/>
    <w:rsid w:val="002305F5"/>
    <w:rsid w:val="0023092E"/>
    <w:rsid w:val="00230988"/>
    <w:rsid w:val="00230B78"/>
    <w:rsid w:val="00230B8C"/>
    <w:rsid w:val="00230D04"/>
    <w:rsid w:val="00230D51"/>
    <w:rsid w:val="00230EB7"/>
    <w:rsid w:val="00230EBD"/>
    <w:rsid w:val="00231051"/>
    <w:rsid w:val="00231100"/>
    <w:rsid w:val="002311DE"/>
    <w:rsid w:val="0023135B"/>
    <w:rsid w:val="0023146E"/>
    <w:rsid w:val="002315DA"/>
    <w:rsid w:val="00231686"/>
    <w:rsid w:val="002316F6"/>
    <w:rsid w:val="002317C7"/>
    <w:rsid w:val="00231851"/>
    <w:rsid w:val="0023189E"/>
    <w:rsid w:val="00231950"/>
    <w:rsid w:val="00231A27"/>
    <w:rsid w:val="00231A8B"/>
    <w:rsid w:val="00231BB8"/>
    <w:rsid w:val="00231D5C"/>
    <w:rsid w:val="00232002"/>
    <w:rsid w:val="0023200A"/>
    <w:rsid w:val="0023223E"/>
    <w:rsid w:val="00232466"/>
    <w:rsid w:val="00232490"/>
    <w:rsid w:val="00232626"/>
    <w:rsid w:val="0023271D"/>
    <w:rsid w:val="0023282B"/>
    <w:rsid w:val="002328E3"/>
    <w:rsid w:val="002329CB"/>
    <w:rsid w:val="00232AE4"/>
    <w:rsid w:val="00232CFD"/>
    <w:rsid w:val="00232F05"/>
    <w:rsid w:val="00233062"/>
    <w:rsid w:val="0023321E"/>
    <w:rsid w:val="002332AE"/>
    <w:rsid w:val="0023343A"/>
    <w:rsid w:val="002336EB"/>
    <w:rsid w:val="00233761"/>
    <w:rsid w:val="00233798"/>
    <w:rsid w:val="002337F2"/>
    <w:rsid w:val="002338AA"/>
    <w:rsid w:val="00233AB1"/>
    <w:rsid w:val="00233DCA"/>
    <w:rsid w:val="00233DED"/>
    <w:rsid w:val="00233E79"/>
    <w:rsid w:val="00233EBF"/>
    <w:rsid w:val="00234015"/>
    <w:rsid w:val="00234223"/>
    <w:rsid w:val="002343B6"/>
    <w:rsid w:val="002344C5"/>
    <w:rsid w:val="00234618"/>
    <w:rsid w:val="00234645"/>
    <w:rsid w:val="00234701"/>
    <w:rsid w:val="00234821"/>
    <w:rsid w:val="00234860"/>
    <w:rsid w:val="00234CE8"/>
    <w:rsid w:val="00234E09"/>
    <w:rsid w:val="002351B6"/>
    <w:rsid w:val="002353F3"/>
    <w:rsid w:val="0023559C"/>
    <w:rsid w:val="00235743"/>
    <w:rsid w:val="00235862"/>
    <w:rsid w:val="00235954"/>
    <w:rsid w:val="00235968"/>
    <w:rsid w:val="0023598D"/>
    <w:rsid w:val="00235A45"/>
    <w:rsid w:val="00235AF2"/>
    <w:rsid w:val="00235DFE"/>
    <w:rsid w:val="00235F0B"/>
    <w:rsid w:val="00235F5C"/>
    <w:rsid w:val="00235F9C"/>
    <w:rsid w:val="00235FCF"/>
    <w:rsid w:val="00235FEF"/>
    <w:rsid w:val="00235FFD"/>
    <w:rsid w:val="00236203"/>
    <w:rsid w:val="0023672B"/>
    <w:rsid w:val="00236777"/>
    <w:rsid w:val="00236981"/>
    <w:rsid w:val="002369DC"/>
    <w:rsid w:val="00236A66"/>
    <w:rsid w:val="00236B54"/>
    <w:rsid w:val="00236C95"/>
    <w:rsid w:val="00236CB4"/>
    <w:rsid w:val="002370E6"/>
    <w:rsid w:val="0023732B"/>
    <w:rsid w:val="00237560"/>
    <w:rsid w:val="00237604"/>
    <w:rsid w:val="002378DC"/>
    <w:rsid w:val="0023792D"/>
    <w:rsid w:val="00237945"/>
    <w:rsid w:val="00237C2B"/>
    <w:rsid w:val="00237FE6"/>
    <w:rsid w:val="00240095"/>
    <w:rsid w:val="002403AB"/>
    <w:rsid w:val="0024051F"/>
    <w:rsid w:val="00240660"/>
    <w:rsid w:val="00240729"/>
    <w:rsid w:val="00240AE4"/>
    <w:rsid w:val="00240B3D"/>
    <w:rsid w:val="00240B4D"/>
    <w:rsid w:val="00240BA9"/>
    <w:rsid w:val="00240BD3"/>
    <w:rsid w:val="002410BD"/>
    <w:rsid w:val="0024113F"/>
    <w:rsid w:val="002412BC"/>
    <w:rsid w:val="002412BD"/>
    <w:rsid w:val="00241446"/>
    <w:rsid w:val="0024179C"/>
    <w:rsid w:val="002418A0"/>
    <w:rsid w:val="00241ADB"/>
    <w:rsid w:val="00241D1C"/>
    <w:rsid w:val="00241F37"/>
    <w:rsid w:val="0024240C"/>
    <w:rsid w:val="0024254F"/>
    <w:rsid w:val="002425F1"/>
    <w:rsid w:val="00242741"/>
    <w:rsid w:val="0024289E"/>
    <w:rsid w:val="00242937"/>
    <w:rsid w:val="00242EEA"/>
    <w:rsid w:val="00242F20"/>
    <w:rsid w:val="00242F99"/>
    <w:rsid w:val="00242FF8"/>
    <w:rsid w:val="0024303D"/>
    <w:rsid w:val="0024309E"/>
    <w:rsid w:val="0024315E"/>
    <w:rsid w:val="002431BD"/>
    <w:rsid w:val="002431C1"/>
    <w:rsid w:val="002431EB"/>
    <w:rsid w:val="00243289"/>
    <w:rsid w:val="002432E6"/>
    <w:rsid w:val="00243352"/>
    <w:rsid w:val="00243649"/>
    <w:rsid w:val="00243746"/>
    <w:rsid w:val="0024384D"/>
    <w:rsid w:val="0024388B"/>
    <w:rsid w:val="002439C7"/>
    <w:rsid w:val="00243A55"/>
    <w:rsid w:val="00243D4C"/>
    <w:rsid w:val="00243EFD"/>
    <w:rsid w:val="00243F53"/>
    <w:rsid w:val="00244339"/>
    <w:rsid w:val="00244356"/>
    <w:rsid w:val="00244396"/>
    <w:rsid w:val="002443C6"/>
    <w:rsid w:val="0024457E"/>
    <w:rsid w:val="00244634"/>
    <w:rsid w:val="002446E5"/>
    <w:rsid w:val="00244811"/>
    <w:rsid w:val="002448F7"/>
    <w:rsid w:val="00244B46"/>
    <w:rsid w:val="00244D45"/>
    <w:rsid w:val="00244EE4"/>
    <w:rsid w:val="00244F43"/>
    <w:rsid w:val="00244FC1"/>
    <w:rsid w:val="0024535A"/>
    <w:rsid w:val="002453B3"/>
    <w:rsid w:val="00245425"/>
    <w:rsid w:val="002457BC"/>
    <w:rsid w:val="00245833"/>
    <w:rsid w:val="0024585B"/>
    <w:rsid w:val="00245C4C"/>
    <w:rsid w:val="00245C76"/>
    <w:rsid w:val="00245E18"/>
    <w:rsid w:val="00245E25"/>
    <w:rsid w:val="00245EFF"/>
    <w:rsid w:val="00246035"/>
    <w:rsid w:val="002460CD"/>
    <w:rsid w:val="00246129"/>
    <w:rsid w:val="002462E9"/>
    <w:rsid w:val="00246463"/>
    <w:rsid w:val="00246473"/>
    <w:rsid w:val="0024650C"/>
    <w:rsid w:val="002465C1"/>
    <w:rsid w:val="002466F6"/>
    <w:rsid w:val="00246740"/>
    <w:rsid w:val="00246775"/>
    <w:rsid w:val="0024681B"/>
    <w:rsid w:val="00246AB2"/>
    <w:rsid w:val="00246DB3"/>
    <w:rsid w:val="00246DD2"/>
    <w:rsid w:val="00246E1F"/>
    <w:rsid w:val="00246FD5"/>
    <w:rsid w:val="002473AB"/>
    <w:rsid w:val="002476A7"/>
    <w:rsid w:val="0024777E"/>
    <w:rsid w:val="00247A4C"/>
    <w:rsid w:val="00247B04"/>
    <w:rsid w:val="00247B10"/>
    <w:rsid w:val="00247B55"/>
    <w:rsid w:val="00247B56"/>
    <w:rsid w:val="00247BA8"/>
    <w:rsid w:val="00247CAF"/>
    <w:rsid w:val="00247D78"/>
    <w:rsid w:val="00247E55"/>
    <w:rsid w:val="00247E60"/>
    <w:rsid w:val="002501CD"/>
    <w:rsid w:val="002503E4"/>
    <w:rsid w:val="0025043B"/>
    <w:rsid w:val="002504CA"/>
    <w:rsid w:val="00250667"/>
    <w:rsid w:val="002506D6"/>
    <w:rsid w:val="00250A7D"/>
    <w:rsid w:val="00250BB6"/>
    <w:rsid w:val="00250C2E"/>
    <w:rsid w:val="00250D7E"/>
    <w:rsid w:val="00250F78"/>
    <w:rsid w:val="00250F95"/>
    <w:rsid w:val="0025119B"/>
    <w:rsid w:val="00251353"/>
    <w:rsid w:val="002515CE"/>
    <w:rsid w:val="002516E1"/>
    <w:rsid w:val="002517AC"/>
    <w:rsid w:val="00251890"/>
    <w:rsid w:val="002519AA"/>
    <w:rsid w:val="00251AE3"/>
    <w:rsid w:val="00251B29"/>
    <w:rsid w:val="00251BD3"/>
    <w:rsid w:val="00251BF1"/>
    <w:rsid w:val="00251D3D"/>
    <w:rsid w:val="00251EED"/>
    <w:rsid w:val="00252079"/>
    <w:rsid w:val="002520C0"/>
    <w:rsid w:val="002520E2"/>
    <w:rsid w:val="0025211B"/>
    <w:rsid w:val="0025211D"/>
    <w:rsid w:val="002524FF"/>
    <w:rsid w:val="00252538"/>
    <w:rsid w:val="00252890"/>
    <w:rsid w:val="00252CF3"/>
    <w:rsid w:val="00252E00"/>
    <w:rsid w:val="00253028"/>
    <w:rsid w:val="002532FB"/>
    <w:rsid w:val="002534A5"/>
    <w:rsid w:val="00253748"/>
    <w:rsid w:val="00253A2F"/>
    <w:rsid w:val="00253B56"/>
    <w:rsid w:val="00253E4D"/>
    <w:rsid w:val="00253E67"/>
    <w:rsid w:val="00253F7A"/>
    <w:rsid w:val="00253FD2"/>
    <w:rsid w:val="00254020"/>
    <w:rsid w:val="00254167"/>
    <w:rsid w:val="00254337"/>
    <w:rsid w:val="0025434B"/>
    <w:rsid w:val="00254565"/>
    <w:rsid w:val="00254661"/>
    <w:rsid w:val="0025489F"/>
    <w:rsid w:val="002548BA"/>
    <w:rsid w:val="00254919"/>
    <w:rsid w:val="002549D9"/>
    <w:rsid w:val="002549FF"/>
    <w:rsid w:val="00254AB1"/>
    <w:rsid w:val="00254CE2"/>
    <w:rsid w:val="00254FD7"/>
    <w:rsid w:val="00255391"/>
    <w:rsid w:val="002553DF"/>
    <w:rsid w:val="002555E0"/>
    <w:rsid w:val="002557AE"/>
    <w:rsid w:val="002557C2"/>
    <w:rsid w:val="00255844"/>
    <w:rsid w:val="00255A6C"/>
    <w:rsid w:val="00255A86"/>
    <w:rsid w:val="00255C85"/>
    <w:rsid w:val="00255CDC"/>
    <w:rsid w:val="00255D0B"/>
    <w:rsid w:val="00255DD8"/>
    <w:rsid w:val="00255E60"/>
    <w:rsid w:val="00255F06"/>
    <w:rsid w:val="00256127"/>
    <w:rsid w:val="00256163"/>
    <w:rsid w:val="00256397"/>
    <w:rsid w:val="002564DB"/>
    <w:rsid w:val="002564F5"/>
    <w:rsid w:val="002565A3"/>
    <w:rsid w:val="00256899"/>
    <w:rsid w:val="00256E31"/>
    <w:rsid w:val="002571BD"/>
    <w:rsid w:val="0025721D"/>
    <w:rsid w:val="00257246"/>
    <w:rsid w:val="00257254"/>
    <w:rsid w:val="0025742D"/>
    <w:rsid w:val="00257489"/>
    <w:rsid w:val="0025760B"/>
    <w:rsid w:val="00257749"/>
    <w:rsid w:val="002577ED"/>
    <w:rsid w:val="002579CA"/>
    <w:rsid w:val="00257B34"/>
    <w:rsid w:val="00257C27"/>
    <w:rsid w:val="00257C40"/>
    <w:rsid w:val="00257D79"/>
    <w:rsid w:val="00257EE1"/>
    <w:rsid w:val="00260050"/>
    <w:rsid w:val="002602DA"/>
    <w:rsid w:val="00260418"/>
    <w:rsid w:val="00260456"/>
    <w:rsid w:val="002604AA"/>
    <w:rsid w:val="0026053F"/>
    <w:rsid w:val="00260744"/>
    <w:rsid w:val="00260A3A"/>
    <w:rsid w:val="00260A8B"/>
    <w:rsid w:val="00260B2D"/>
    <w:rsid w:val="00260FAB"/>
    <w:rsid w:val="0026108B"/>
    <w:rsid w:val="00261228"/>
    <w:rsid w:val="00261392"/>
    <w:rsid w:val="00261404"/>
    <w:rsid w:val="002615FB"/>
    <w:rsid w:val="00261620"/>
    <w:rsid w:val="0026164C"/>
    <w:rsid w:val="0026168E"/>
    <w:rsid w:val="002616ED"/>
    <w:rsid w:val="002619E4"/>
    <w:rsid w:val="00261DA7"/>
    <w:rsid w:val="00261DF1"/>
    <w:rsid w:val="00261DF5"/>
    <w:rsid w:val="00261E72"/>
    <w:rsid w:val="00261ECC"/>
    <w:rsid w:val="00261EFB"/>
    <w:rsid w:val="00262069"/>
    <w:rsid w:val="002622CE"/>
    <w:rsid w:val="002623AB"/>
    <w:rsid w:val="00262527"/>
    <w:rsid w:val="002626E2"/>
    <w:rsid w:val="0026270B"/>
    <w:rsid w:val="00262899"/>
    <w:rsid w:val="00262A6D"/>
    <w:rsid w:val="00262A6F"/>
    <w:rsid w:val="00262AA7"/>
    <w:rsid w:val="00262DB6"/>
    <w:rsid w:val="00262EC9"/>
    <w:rsid w:val="00262FB2"/>
    <w:rsid w:val="002630A5"/>
    <w:rsid w:val="002631F0"/>
    <w:rsid w:val="002634EE"/>
    <w:rsid w:val="002635C9"/>
    <w:rsid w:val="00263651"/>
    <w:rsid w:val="002636D7"/>
    <w:rsid w:val="002636EF"/>
    <w:rsid w:val="0026370B"/>
    <w:rsid w:val="00263720"/>
    <w:rsid w:val="002637F9"/>
    <w:rsid w:val="002638E9"/>
    <w:rsid w:val="0026391A"/>
    <w:rsid w:val="00263C15"/>
    <w:rsid w:val="00263EE8"/>
    <w:rsid w:val="00264335"/>
    <w:rsid w:val="002645CC"/>
    <w:rsid w:val="00264877"/>
    <w:rsid w:val="002648D4"/>
    <w:rsid w:val="00264A5C"/>
    <w:rsid w:val="00264B33"/>
    <w:rsid w:val="00264B66"/>
    <w:rsid w:val="00264BCE"/>
    <w:rsid w:val="00264C2F"/>
    <w:rsid w:val="00264C3E"/>
    <w:rsid w:val="00264E1E"/>
    <w:rsid w:val="00265070"/>
    <w:rsid w:val="00265121"/>
    <w:rsid w:val="00265184"/>
    <w:rsid w:val="00265220"/>
    <w:rsid w:val="00265369"/>
    <w:rsid w:val="00265691"/>
    <w:rsid w:val="002656C7"/>
    <w:rsid w:val="00265945"/>
    <w:rsid w:val="0026597A"/>
    <w:rsid w:val="00265998"/>
    <w:rsid w:val="002659A3"/>
    <w:rsid w:val="002659C4"/>
    <w:rsid w:val="00265B21"/>
    <w:rsid w:val="00265B2D"/>
    <w:rsid w:val="00265BC7"/>
    <w:rsid w:val="00265C78"/>
    <w:rsid w:val="00265CD6"/>
    <w:rsid w:val="00265CE4"/>
    <w:rsid w:val="00265D45"/>
    <w:rsid w:val="00265DFC"/>
    <w:rsid w:val="00265E76"/>
    <w:rsid w:val="00265E7D"/>
    <w:rsid w:val="00265F49"/>
    <w:rsid w:val="002661C6"/>
    <w:rsid w:val="0026624B"/>
    <w:rsid w:val="00266698"/>
    <w:rsid w:val="002667EB"/>
    <w:rsid w:val="00266888"/>
    <w:rsid w:val="00266978"/>
    <w:rsid w:val="00266C2B"/>
    <w:rsid w:val="00266D2C"/>
    <w:rsid w:val="00266E54"/>
    <w:rsid w:val="00266F5A"/>
    <w:rsid w:val="00267097"/>
    <w:rsid w:val="00267168"/>
    <w:rsid w:val="00267209"/>
    <w:rsid w:val="00267482"/>
    <w:rsid w:val="002675AA"/>
    <w:rsid w:val="002675D7"/>
    <w:rsid w:val="00267888"/>
    <w:rsid w:val="002678B3"/>
    <w:rsid w:val="00267982"/>
    <w:rsid w:val="002679E9"/>
    <w:rsid w:val="00267E22"/>
    <w:rsid w:val="0027005C"/>
    <w:rsid w:val="002705CC"/>
    <w:rsid w:val="002706F8"/>
    <w:rsid w:val="002707B2"/>
    <w:rsid w:val="0027083D"/>
    <w:rsid w:val="00270A30"/>
    <w:rsid w:val="00270A38"/>
    <w:rsid w:val="00270C58"/>
    <w:rsid w:val="00270D46"/>
    <w:rsid w:val="00270DD5"/>
    <w:rsid w:val="00270E97"/>
    <w:rsid w:val="00271169"/>
    <w:rsid w:val="002711B7"/>
    <w:rsid w:val="002711D2"/>
    <w:rsid w:val="002711F2"/>
    <w:rsid w:val="00271271"/>
    <w:rsid w:val="002714B3"/>
    <w:rsid w:val="00271598"/>
    <w:rsid w:val="00271690"/>
    <w:rsid w:val="002716AA"/>
    <w:rsid w:val="002716DF"/>
    <w:rsid w:val="002718DF"/>
    <w:rsid w:val="00271946"/>
    <w:rsid w:val="00271A77"/>
    <w:rsid w:val="00271BD7"/>
    <w:rsid w:val="00271CE7"/>
    <w:rsid w:val="00271D4B"/>
    <w:rsid w:val="00271DAF"/>
    <w:rsid w:val="00271DD9"/>
    <w:rsid w:val="00271DFF"/>
    <w:rsid w:val="00271FDA"/>
    <w:rsid w:val="0027203C"/>
    <w:rsid w:val="00272155"/>
    <w:rsid w:val="0027227F"/>
    <w:rsid w:val="00272326"/>
    <w:rsid w:val="0027237B"/>
    <w:rsid w:val="0027239C"/>
    <w:rsid w:val="002723AB"/>
    <w:rsid w:val="002723F9"/>
    <w:rsid w:val="00272519"/>
    <w:rsid w:val="00272660"/>
    <w:rsid w:val="002726B9"/>
    <w:rsid w:val="00272744"/>
    <w:rsid w:val="0027276A"/>
    <w:rsid w:val="00272891"/>
    <w:rsid w:val="0027289E"/>
    <w:rsid w:val="0027292E"/>
    <w:rsid w:val="0027299A"/>
    <w:rsid w:val="00272A9C"/>
    <w:rsid w:val="00272B45"/>
    <w:rsid w:val="00272B9E"/>
    <w:rsid w:val="00272C5D"/>
    <w:rsid w:val="00272D13"/>
    <w:rsid w:val="00272EBE"/>
    <w:rsid w:val="00273397"/>
    <w:rsid w:val="00273475"/>
    <w:rsid w:val="00273571"/>
    <w:rsid w:val="00273680"/>
    <w:rsid w:val="00273780"/>
    <w:rsid w:val="002739A4"/>
    <w:rsid w:val="00273BAB"/>
    <w:rsid w:val="00273C6C"/>
    <w:rsid w:val="00273E60"/>
    <w:rsid w:val="002741AE"/>
    <w:rsid w:val="0027420E"/>
    <w:rsid w:val="002743D0"/>
    <w:rsid w:val="00274690"/>
    <w:rsid w:val="00274887"/>
    <w:rsid w:val="002749C2"/>
    <w:rsid w:val="00274ADD"/>
    <w:rsid w:val="00274C39"/>
    <w:rsid w:val="00274C53"/>
    <w:rsid w:val="00274DE5"/>
    <w:rsid w:val="00274E38"/>
    <w:rsid w:val="00274E54"/>
    <w:rsid w:val="0027528E"/>
    <w:rsid w:val="0027529A"/>
    <w:rsid w:val="00275338"/>
    <w:rsid w:val="002753D4"/>
    <w:rsid w:val="0027542B"/>
    <w:rsid w:val="00275571"/>
    <w:rsid w:val="00275A62"/>
    <w:rsid w:val="00275AC3"/>
    <w:rsid w:val="00275C05"/>
    <w:rsid w:val="00275C3B"/>
    <w:rsid w:val="00275C7E"/>
    <w:rsid w:val="00275CC1"/>
    <w:rsid w:val="00275D93"/>
    <w:rsid w:val="0027615C"/>
    <w:rsid w:val="00276191"/>
    <w:rsid w:val="002762AA"/>
    <w:rsid w:val="002762D1"/>
    <w:rsid w:val="002763D9"/>
    <w:rsid w:val="00276458"/>
    <w:rsid w:val="00276525"/>
    <w:rsid w:val="002767C6"/>
    <w:rsid w:val="0027688F"/>
    <w:rsid w:val="00276A76"/>
    <w:rsid w:val="00276AFF"/>
    <w:rsid w:val="00276D3E"/>
    <w:rsid w:val="00276ED8"/>
    <w:rsid w:val="002771A7"/>
    <w:rsid w:val="002773C1"/>
    <w:rsid w:val="0027766D"/>
    <w:rsid w:val="002777BF"/>
    <w:rsid w:val="00277883"/>
    <w:rsid w:val="002778A8"/>
    <w:rsid w:val="00277A0E"/>
    <w:rsid w:val="00277B0F"/>
    <w:rsid w:val="00277B4E"/>
    <w:rsid w:val="00277B7C"/>
    <w:rsid w:val="00277E61"/>
    <w:rsid w:val="00277E91"/>
    <w:rsid w:val="00277ED3"/>
    <w:rsid w:val="0028001C"/>
    <w:rsid w:val="0028033F"/>
    <w:rsid w:val="00280368"/>
    <w:rsid w:val="002804B7"/>
    <w:rsid w:val="002804D3"/>
    <w:rsid w:val="00280518"/>
    <w:rsid w:val="002805D5"/>
    <w:rsid w:val="002806E6"/>
    <w:rsid w:val="00280832"/>
    <w:rsid w:val="002808A9"/>
    <w:rsid w:val="00280A0F"/>
    <w:rsid w:val="00280AFD"/>
    <w:rsid w:val="00280C4A"/>
    <w:rsid w:val="00280C85"/>
    <w:rsid w:val="00280DA6"/>
    <w:rsid w:val="00280E0F"/>
    <w:rsid w:val="00280EB4"/>
    <w:rsid w:val="00280FEB"/>
    <w:rsid w:val="002810D2"/>
    <w:rsid w:val="00281135"/>
    <w:rsid w:val="00281155"/>
    <w:rsid w:val="002811A0"/>
    <w:rsid w:val="002811DD"/>
    <w:rsid w:val="00281202"/>
    <w:rsid w:val="002815D8"/>
    <w:rsid w:val="002817D6"/>
    <w:rsid w:val="0028189F"/>
    <w:rsid w:val="002819A5"/>
    <w:rsid w:val="00281BBD"/>
    <w:rsid w:val="00281CCC"/>
    <w:rsid w:val="00281DE7"/>
    <w:rsid w:val="00281E60"/>
    <w:rsid w:val="002822FA"/>
    <w:rsid w:val="0028238A"/>
    <w:rsid w:val="00282982"/>
    <w:rsid w:val="00282B29"/>
    <w:rsid w:val="00282C04"/>
    <w:rsid w:val="00282F79"/>
    <w:rsid w:val="00282FDC"/>
    <w:rsid w:val="00283056"/>
    <w:rsid w:val="00283197"/>
    <w:rsid w:val="0028329F"/>
    <w:rsid w:val="00283652"/>
    <w:rsid w:val="0028381B"/>
    <w:rsid w:val="002838D1"/>
    <w:rsid w:val="0028396C"/>
    <w:rsid w:val="00283A10"/>
    <w:rsid w:val="00283C79"/>
    <w:rsid w:val="00283D17"/>
    <w:rsid w:val="00283D68"/>
    <w:rsid w:val="00284404"/>
    <w:rsid w:val="002848C0"/>
    <w:rsid w:val="002849BD"/>
    <w:rsid w:val="00284AC1"/>
    <w:rsid w:val="00284AEB"/>
    <w:rsid w:val="00284BF8"/>
    <w:rsid w:val="00284C3E"/>
    <w:rsid w:val="00284CE4"/>
    <w:rsid w:val="00285085"/>
    <w:rsid w:val="0028513C"/>
    <w:rsid w:val="002852A5"/>
    <w:rsid w:val="002852E9"/>
    <w:rsid w:val="002853D3"/>
    <w:rsid w:val="002854FD"/>
    <w:rsid w:val="00285508"/>
    <w:rsid w:val="002857F7"/>
    <w:rsid w:val="00285BDB"/>
    <w:rsid w:val="00285C57"/>
    <w:rsid w:val="00285CD6"/>
    <w:rsid w:val="00285F65"/>
    <w:rsid w:val="002860A4"/>
    <w:rsid w:val="002860EA"/>
    <w:rsid w:val="0028623F"/>
    <w:rsid w:val="002862BB"/>
    <w:rsid w:val="002866E3"/>
    <w:rsid w:val="002867A6"/>
    <w:rsid w:val="002867BE"/>
    <w:rsid w:val="00286817"/>
    <w:rsid w:val="0028685C"/>
    <w:rsid w:val="002869BE"/>
    <w:rsid w:val="002869E5"/>
    <w:rsid w:val="00286D81"/>
    <w:rsid w:val="00286E77"/>
    <w:rsid w:val="00286E9E"/>
    <w:rsid w:val="00286F17"/>
    <w:rsid w:val="00286FA6"/>
    <w:rsid w:val="00286FB4"/>
    <w:rsid w:val="00286FC2"/>
    <w:rsid w:val="00286FD6"/>
    <w:rsid w:val="00287094"/>
    <w:rsid w:val="002871A7"/>
    <w:rsid w:val="0028725F"/>
    <w:rsid w:val="002874B4"/>
    <w:rsid w:val="0028751F"/>
    <w:rsid w:val="00287569"/>
    <w:rsid w:val="00287744"/>
    <w:rsid w:val="00287869"/>
    <w:rsid w:val="002878E6"/>
    <w:rsid w:val="00287980"/>
    <w:rsid w:val="00287A40"/>
    <w:rsid w:val="00287BB3"/>
    <w:rsid w:val="00287E3A"/>
    <w:rsid w:val="00290072"/>
    <w:rsid w:val="002900A3"/>
    <w:rsid w:val="00290240"/>
    <w:rsid w:val="0029042F"/>
    <w:rsid w:val="0029069C"/>
    <w:rsid w:val="002906DF"/>
    <w:rsid w:val="002906EB"/>
    <w:rsid w:val="0029070A"/>
    <w:rsid w:val="00290845"/>
    <w:rsid w:val="00290A2D"/>
    <w:rsid w:val="00290A5B"/>
    <w:rsid w:val="00290AB2"/>
    <w:rsid w:val="00290B90"/>
    <w:rsid w:val="00290C8E"/>
    <w:rsid w:val="00290EE8"/>
    <w:rsid w:val="00290F79"/>
    <w:rsid w:val="00290FE5"/>
    <w:rsid w:val="00290FE9"/>
    <w:rsid w:val="00291193"/>
    <w:rsid w:val="00291417"/>
    <w:rsid w:val="0029141B"/>
    <w:rsid w:val="0029145B"/>
    <w:rsid w:val="0029159E"/>
    <w:rsid w:val="002915CE"/>
    <w:rsid w:val="00291724"/>
    <w:rsid w:val="00291975"/>
    <w:rsid w:val="00291991"/>
    <w:rsid w:val="00291A74"/>
    <w:rsid w:val="00291BE7"/>
    <w:rsid w:val="00291CB4"/>
    <w:rsid w:val="00291E35"/>
    <w:rsid w:val="00291F3E"/>
    <w:rsid w:val="00292029"/>
    <w:rsid w:val="00292106"/>
    <w:rsid w:val="0029251A"/>
    <w:rsid w:val="0029261D"/>
    <w:rsid w:val="0029264B"/>
    <w:rsid w:val="002926D8"/>
    <w:rsid w:val="00292703"/>
    <w:rsid w:val="00292738"/>
    <w:rsid w:val="00292930"/>
    <w:rsid w:val="00292A67"/>
    <w:rsid w:val="00292B97"/>
    <w:rsid w:val="00292C7C"/>
    <w:rsid w:val="00292D26"/>
    <w:rsid w:val="00292F03"/>
    <w:rsid w:val="00292F36"/>
    <w:rsid w:val="00292F98"/>
    <w:rsid w:val="00292F9F"/>
    <w:rsid w:val="0029309D"/>
    <w:rsid w:val="002930AC"/>
    <w:rsid w:val="0029317E"/>
    <w:rsid w:val="00293268"/>
    <w:rsid w:val="0029363E"/>
    <w:rsid w:val="00293677"/>
    <w:rsid w:val="002937C2"/>
    <w:rsid w:val="0029384C"/>
    <w:rsid w:val="00293854"/>
    <w:rsid w:val="00293A5D"/>
    <w:rsid w:val="00293AEA"/>
    <w:rsid w:val="00293B00"/>
    <w:rsid w:val="00293F70"/>
    <w:rsid w:val="00294079"/>
    <w:rsid w:val="002941BF"/>
    <w:rsid w:val="00294365"/>
    <w:rsid w:val="00294472"/>
    <w:rsid w:val="0029460B"/>
    <w:rsid w:val="002946A9"/>
    <w:rsid w:val="002947C1"/>
    <w:rsid w:val="00294871"/>
    <w:rsid w:val="00294993"/>
    <w:rsid w:val="00294994"/>
    <w:rsid w:val="00294998"/>
    <w:rsid w:val="00294A95"/>
    <w:rsid w:val="00294B56"/>
    <w:rsid w:val="00294F3F"/>
    <w:rsid w:val="0029502D"/>
    <w:rsid w:val="002950CD"/>
    <w:rsid w:val="002950E3"/>
    <w:rsid w:val="0029535A"/>
    <w:rsid w:val="0029537F"/>
    <w:rsid w:val="002953AA"/>
    <w:rsid w:val="002953BF"/>
    <w:rsid w:val="0029560C"/>
    <w:rsid w:val="0029561B"/>
    <w:rsid w:val="002958CC"/>
    <w:rsid w:val="00295922"/>
    <w:rsid w:val="00295A6E"/>
    <w:rsid w:val="00295E5C"/>
    <w:rsid w:val="00295E7F"/>
    <w:rsid w:val="00296232"/>
    <w:rsid w:val="002962E1"/>
    <w:rsid w:val="002963FF"/>
    <w:rsid w:val="0029674A"/>
    <w:rsid w:val="0029676D"/>
    <w:rsid w:val="0029680B"/>
    <w:rsid w:val="00296A43"/>
    <w:rsid w:val="00296ACC"/>
    <w:rsid w:val="00296AD8"/>
    <w:rsid w:val="00296BDE"/>
    <w:rsid w:val="00296C63"/>
    <w:rsid w:val="00296C6F"/>
    <w:rsid w:val="00296D28"/>
    <w:rsid w:val="00296D52"/>
    <w:rsid w:val="00296E22"/>
    <w:rsid w:val="00296E36"/>
    <w:rsid w:val="002970D4"/>
    <w:rsid w:val="00297366"/>
    <w:rsid w:val="0029737C"/>
    <w:rsid w:val="0029751F"/>
    <w:rsid w:val="00297725"/>
    <w:rsid w:val="00297B37"/>
    <w:rsid w:val="00297F9E"/>
    <w:rsid w:val="00297FB0"/>
    <w:rsid w:val="002A007F"/>
    <w:rsid w:val="002A0080"/>
    <w:rsid w:val="002A00F9"/>
    <w:rsid w:val="002A0232"/>
    <w:rsid w:val="002A025F"/>
    <w:rsid w:val="002A0331"/>
    <w:rsid w:val="002A044D"/>
    <w:rsid w:val="002A05FB"/>
    <w:rsid w:val="002A06BC"/>
    <w:rsid w:val="002A073C"/>
    <w:rsid w:val="002A0891"/>
    <w:rsid w:val="002A09F5"/>
    <w:rsid w:val="002A0A55"/>
    <w:rsid w:val="002A0A58"/>
    <w:rsid w:val="002A0C04"/>
    <w:rsid w:val="002A0C0E"/>
    <w:rsid w:val="002A0D4A"/>
    <w:rsid w:val="002A0E98"/>
    <w:rsid w:val="002A0EB7"/>
    <w:rsid w:val="002A1143"/>
    <w:rsid w:val="002A11EE"/>
    <w:rsid w:val="002A1371"/>
    <w:rsid w:val="002A1573"/>
    <w:rsid w:val="002A158C"/>
    <w:rsid w:val="002A1619"/>
    <w:rsid w:val="002A16CC"/>
    <w:rsid w:val="002A16E7"/>
    <w:rsid w:val="002A17E3"/>
    <w:rsid w:val="002A17F4"/>
    <w:rsid w:val="002A1912"/>
    <w:rsid w:val="002A1A68"/>
    <w:rsid w:val="002A1C7C"/>
    <w:rsid w:val="002A1D03"/>
    <w:rsid w:val="002A1D20"/>
    <w:rsid w:val="002A1EF7"/>
    <w:rsid w:val="002A1F50"/>
    <w:rsid w:val="002A2025"/>
    <w:rsid w:val="002A221F"/>
    <w:rsid w:val="002A2548"/>
    <w:rsid w:val="002A277C"/>
    <w:rsid w:val="002A29AA"/>
    <w:rsid w:val="002A2D5E"/>
    <w:rsid w:val="002A2D96"/>
    <w:rsid w:val="002A2F1E"/>
    <w:rsid w:val="002A2F90"/>
    <w:rsid w:val="002A30F4"/>
    <w:rsid w:val="002A323E"/>
    <w:rsid w:val="002A3270"/>
    <w:rsid w:val="002A33DC"/>
    <w:rsid w:val="002A39C7"/>
    <w:rsid w:val="002A3ABE"/>
    <w:rsid w:val="002A3C7F"/>
    <w:rsid w:val="002A3E53"/>
    <w:rsid w:val="002A3E58"/>
    <w:rsid w:val="002A3E5F"/>
    <w:rsid w:val="002A4072"/>
    <w:rsid w:val="002A4467"/>
    <w:rsid w:val="002A44B9"/>
    <w:rsid w:val="002A45C7"/>
    <w:rsid w:val="002A4743"/>
    <w:rsid w:val="002A49DF"/>
    <w:rsid w:val="002A4A1C"/>
    <w:rsid w:val="002A4A57"/>
    <w:rsid w:val="002A4C21"/>
    <w:rsid w:val="002A4F74"/>
    <w:rsid w:val="002A50C3"/>
    <w:rsid w:val="002A50D0"/>
    <w:rsid w:val="002A52A4"/>
    <w:rsid w:val="002A52AD"/>
    <w:rsid w:val="002A5500"/>
    <w:rsid w:val="002A572E"/>
    <w:rsid w:val="002A59B3"/>
    <w:rsid w:val="002A59E0"/>
    <w:rsid w:val="002A59E2"/>
    <w:rsid w:val="002A5B38"/>
    <w:rsid w:val="002A5D35"/>
    <w:rsid w:val="002A5F0E"/>
    <w:rsid w:val="002A5F39"/>
    <w:rsid w:val="002A5F47"/>
    <w:rsid w:val="002A60DD"/>
    <w:rsid w:val="002A6570"/>
    <w:rsid w:val="002A66F4"/>
    <w:rsid w:val="002A6760"/>
    <w:rsid w:val="002A6854"/>
    <w:rsid w:val="002A686B"/>
    <w:rsid w:val="002A68D3"/>
    <w:rsid w:val="002A6955"/>
    <w:rsid w:val="002A6981"/>
    <w:rsid w:val="002A6B23"/>
    <w:rsid w:val="002A6DE0"/>
    <w:rsid w:val="002A6E51"/>
    <w:rsid w:val="002A700F"/>
    <w:rsid w:val="002A73A6"/>
    <w:rsid w:val="002A7763"/>
    <w:rsid w:val="002A79B9"/>
    <w:rsid w:val="002A7A00"/>
    <w:rsid w:val="002A7A13"/>
    <w:rsid w:val="002A7A18"/>
    <w:rsid w:val="002A7AB3"/>
    <w:rsid w:val="002A7AD9"/>
    <w:rsid w:val="002A7CD8"/>
    <w:rsid w:val="002A7DAB"/>
    <w:rsid w:val="002A7DB0"/>
    <w:rsid w:val="002A7F43"/>
    <w:rsid w:val="002A7F90"/>
    <w:rsid w:val="002A7F9E"/>
    <w:rsid w:val="002B00D1"/>
    <w:rsid w:val="002B02CF"/>
    <w:rsid w:val="002B041B"/>
    <w:rsid w:val="002B0422"/>
    <w:rsid w:val="002B042D"/>
    <w:rsid w:val="002B05C7"/>
    <w:rsid w:val="002B0651"/>
    <w:rsid w:val="002B0752"/>
    <w:rsid w:val="002B08FD"/>
    <w:rsid w:val="002B0A16"/>
    <w:rsid w:val="002B0AC1"/>
    <w:rsid w:val="002B0AD8"/>
    <w:rsid w:val="002B0CB9"/>
    <w:rsid w:val="002B0D4A"/>
    <w:rsid w:val="002B0D5D"/>
    <w:rsid w:val="002B0E2D"/>
    <w:rsid w:val="002B0EBF"/>
    <w:rsid w:val="002B0FD9"/>
    <w:rsid w:val="002B106D"/>
    <w:rsid w:val="002B11C0"/>
    <w:rsid w:val="002B1521"/>
    <w:rsid w:val="002B15AE"/>
    <w:rsid w:val="002B1732"/>
    <w:rsid w:val="002B176D"/>
    <w:rsid w:val="002B189D"/>
    <w:rsid w:val="002B18C9"/>
    <w:rsid w:val="002B1D72"/>
    <w:rsid w:val="002B1E6B"/>
    <w:rsid w:val="002B1F0E"/>
    <w:rsid w:val="002B2171"/>
    <w:rsid w:val="002B21DA"/>
    <w:rsid w:val="002B2224"/>
    <w:rsid w:val="002B2257"/>
    <w:rsid w:val="002B2309"/>
    <w:rsid w:val="002B2433"/>
    <w:rsid w:val="002B24F4"/>
    <w:rsid w:val="002B2533"/>
    <w:rsid w:val="002B25B7"/>
    <w:rsid w:val="002B2699"/>
    <w:rsid w:val="002B298F"/>
    <w:rsid w:val="002B29CE"/>
    <w:rsid w:val="002B2A31"/>
    <w:rsid w:val="002B2A74"/>
    <w:rsid w:val="002B2C9E"/>
    <w:rsid w:val="002B2D49"/>
    <w:rsid w:val="002B2D69"/>
    <w:rsid w:val="002B2DA8"/>
    <w:rsid w:val="002B2E4D"/>
    <w:rsid w:val="002B2F2F"/>
    <w:rsid w:val="002B3037"/>
    <w:rsid w:val="002B3134"/>
    <w:rsid w:val="002B314C"/>
    <w:rsid w:val="002B35CF"/>
    <w:rsid w:val="002B35F6"/>
    <w:rsid w:val="002B370A"/>
    <w:rsid w:val="002B37E0"/>
    <w:rsid w:val="002B386F"/>
    <w:rsid w:val="002B38A7"/>
    <w:rsid w:val="002B3CB6"/>
    <w:rsid w:val="002B3CE5"/>
    <w:rsid w:val="002B3D16"/>
    <w:rsid w:val="002B3D54"/>
    <w:rsid w:val="002B3EE7"/>
    <w:rsid w:val="002B40DB"/>
    <w:rsid w:val="002B4120"/>
    <w:rsid w:val="002B42E9"/>
    <w:rsid w:val="002B4348"/>
    <w:rsid w:val="002B43F0"/>
    <w:rsid w:val="002B440F"/>
    <w:rsid w:val="002B47AA"/>
    <w:rsid w:val="002B4900"/>
    <w:rsid w:val="002B4E09"/>
    <w:rsid w:val="002B4F85"/>
    <w:rsid w:val="002B501D"/>
    <w:rsid w:val="002B50EC"/>
    <w:rsid w:val="002B5184"/>
    <w:rsid w:val="002B51BC"/>
    <w:rsid w:val="002B51EC"/>
    <w:rsid w:val="002B527A"/>
    <w:rsid w:val="002B535F"/>
    <w:rsid w:val="002B53CE"/>
    <w:rsid w:val="002B54AB"/>
    <w:rsid w:val="002B5527"/>
    <w:rsid w:val="002B553A"/>
    <w:rsid w:val="002B56C1"/>
    <w:rsid w:val="002B5842"/>
    <w:rsid w:val="002B5A6A"/>
    <w:rsid w:val="002B5D07"/>
    <w:rsid w:val="002B5D10"/>
    <w:rsid w:val="002B5D87"/>
    <w:rsid w:val="002B5D98"/>
    <w:rsid w:val="002B5DA4"/>
    <w:rsid w:val="002B5E29"/>
    <w:rsid w:val="002B5E76"/>
    <w:rsid w:val="002B5FB6"/>
    <w:rsid w:val="002B6072"/>
    <w:rsid w:val="002B6136"/>
    <w:rsid w:val="002B6167"/>
    <w:rsid w:val="002B6327"/>
    <w:rsid w:val="002B6426"/>
    <w:rsid w:val="002B6478"/>
    <w:rsid w:val="002B6510"/>
    <w:rsid w:val="002B6543"/>
    <w:rsid w:val="002B6640"/>
    <w:rsid w:val="002B6655"/>
    <w:rsid w:val="002B66A6"/>
    <w:rsid w:val="002B6726"/>
    <w:rsid w:val="002B689C"/>
    <w:rsid w:val="002B6982"/>
    <w:rsid w:val="002B6B76"/>
    <w:rsid w:val="002B6B91"/>
    <w:rsid w:val="002B6DA8"/>
    <w:rsid w:val="002B6E54"/>
    <w:rsid w:val="002B725D"/>
    <w:rsid w:val="002B7454"/>
    <w:rsid w:val="002B74FF"/>
    <w:rsid w:val="002B76CB"/>
    <w:rsid w:val="002B7770"/>
    <w:rsid w:val="002B783D"/>
    <w:rsid w:val="002B79D1"/>
    <w:rsid w:val="002B7CBD"/>
    <w:rsid w:val="002B7CFB"/>
    <w:rsid w:val="002B7DDE"/>
    <w:rsid w:val="002B7E7E"/>
    <w:rsid w:val="002C00F8"/>
    <w:rsid w:val="002C023B"/>
    <w:rsid w:val="002C027F"/>
    <w:rsid w:val="002C0757"/>
    <w:rsid w:val="002C0907"/>
    <w:rsid w:val="002C0939"/>
    <w:rsid w:val="002C0985"/>
    <w:rsid w:val="002C0B27"/>
    <w:rsid w:val="002C0C52"/>
    <w:rsid w:val="002C0C7C"/>
    <w:rsid w:val="002C0E61"/>
    <w:rsid w:val="002C0EDC"/>
    <w:rsid w:val="002C0EEC"/>
    <w:rsid w:val="002C1096"/>
    <w:rsid w:val="002C10C7"/>
    <w:rsid w:val="002C110E"/>
    <w:rsid w:val="002C1128"/>
    <w:rsid w:val="002C139E"/>
    <w:rsid w:val="002C13B6"/>
    <w:rsid w:val="002C17B6"/>
    <w:rsid w:val="002C1863"/>
    <w:rsid w:val="002C1C47"/>
    <w:rsid w:val="002C1E0D"/>
    <w:rsid w:val="002C1FD4"/>
    <w:rsid w:val="002C20D8"/>
    <w:rsid w:val="002C2111"/>
    <w:rsid w:val="002C228B"/>
    <w:rsid w:val="002C2367"/>
    <w:rsid w:val="002C23B4"/>
    <w:rsid w:val="002C245C"/>
    <w:rsid w:val="002C258A"/>
    <w:rsid w:val="002C26D2"/>
    <w:rsid w:val="002C2761"/>
    <w:rsid w:val="002C27C2"/>
    <w:rsid w:val="002C2879"/>
    <w:rsid w:val="002C2A7F"/>
    <w:rsid w:val="002C2BD5"/>
    <w:rsid w:val="002C2BE2"/>
    <w:rsid w:val="002C2C82"/>
    <w:rsid w:val="002C355B"/>
    <w:rsid w:val="002C36C8"/>
    <w:rsid w:val="002C385C"/>
    <w:rsid w:val="002C38DD"/>
    <w:rsid w:val="002C38E5"/>
    <w:rsid w:val="002C3ADA"/>
    <w:rsid w:val="002C3CAB"/>
    <w:rsid w:val="002C3CB8"/>
    <w:rsid w:val="002C3D6B"/>
    <w:rsid w:val="002C3E4F"/>
    <w:rsid w:val="002C3F39"/>
    <w:rsid w:val="002C3F73"/>
    <w:rsid w:val="002C3FE9"/>
    <w:rsid w:val="002C4112"/>
    <w:rsid w:val="002C43A2"/>
    <w:rsid w:val="002C46CB"/>
    <w:rsid w:val="002C471C"/>
    <w:rsid w:val="002C486A"/>
    <w:rsid w:val="002C4984"/>
    <w:rsid w:val="002C4A8D"/>
    <w:rsid w:val="002C4BA8"/>
    <w:rsid w:val="002C4CAB"/>
    <w:rsid w:val="002C4DA2"/>
    <w:rsid w:val="002C51F7"/>
    <w:rsid w:val="002C523C"/>
    <w:rsid w:val="002C54BB"/>
    <w:rsid w:val="002C54C4"/>
    <w:rsid w:val="002C54CA"/>
    <w:rsid w:val="002C56F2"/>
    <w:rsid w:val="002C5707"/>
    <w:rsid w:val="002C576B"/>
    <w:rsid w:val="002C5A28"/>
    <w:rsid w:val="002C5DC4"/>
    <w:rsid w:val="002C5DD1"/>
    <w:rsid w:val="002C605A"/>
    <w:rsid w:val="002C61D1"/>
    <w:rsid w:val="002C635F"/>
    <w:rsid w:val="002C63D5"/>
    <w:rsid w:val="002C64A9"/>
    <w:rsid w:val="002C64D1"/>
    <w:rsid w:val="002C64D6"/>
    <w:rsid w:val="002C6834"/>
    <w:rsid w:val="002C6C0E"/>
    <w:rsid w:val="002C6D00"/>
    <w:rsid w:val="002C6D65"/>
    <w:rsid w:val="002C6F3D"/>
    <w:rsid w:val="002C6F8A"/>
    <w:rsid w:val="002C7067"/>
    <w:rsid w:val="002C7542"/>
    <w:rsid w:val="002C769B"/>
    <w:rsid w:val="002C7781"/>
    <w:rsid w:val="002C7854"/>
    <w:rsid w:val="002C7934"/>
    <w:rsid w:val="002C7B4B"/>
    <w:rsid w:val="002C7DFA"/>
    <w:rsid w:val="002C7E34"/>
    <w:rsid w:val="002C7EE2"/>
    <w:rsid w:val="002C7FD8"/>
    <w:rsid w:val="002D01E7"/>
    <w:rsid w:val="002D0232"/>
    <w:rsid w:val="002D0327"/>
    <w:rsid w:val="002D0395"/>
    <w:rsid w:val="002D07E4"/>
    <w:rsid w:val="002D0864"/>
    <w:rsid w:val="002D08F7"/>
    <w:rsid w:val="002D08FB"/>
    <w:rsid w:val="002D0934"/>
    <w:rsid w:val="002D0938"/>
    <w:rsid w:val="002D095C"/>
    <w:rsid w:val="002D09E3"/>
    <w:rsid w:val="002D0A31"/>
    <w:rsid w:val="002D0AE5"/>
    <w:rsid w:val="002D0B84"/>
    <w:rsid w:val="002D0BD8"/>
    <w:rsid w:val="002D0C64"/>
    <w:rsid w:val="002D0C65"/>
    <w:rsid w:val="002D0CCE"/>
    <w:rsid w:val="002D0DC6"/>
    <w:rsid w:val="002D0EBF"/>
    <w:rsid w:val="002D112A"/>
    <w:rsid w:val="002D1202"/>
    <w:rsid w:val="002D1308"/>
    <w:rsid w:val="002D14B9"/>
    <w:rsid w:val="002D15E1"/>
    <w:rsid w:val="002D16A9"/>
    <w:rsid w:val="002D1703"/>
    <w:rsid w:val="002D186B"/>
    <w:rsid w:val="002D1941"/>
    <w:rsid w:val="002D1956"/>
    <w:rsid w:val="002D1AF5"/>
    <w:rsid w:val="002D1BEB"/>
    <w:rsid w:val="002D1E69"/>
    <w:rsid w:val="002D1FDB"/>
    <w:rsid w:val="002D2021"/>
    <w:rsid w:val="002D20FD"/>
    <w:rsid w:val="002D22AA"/>
    <w:rsid w:val="002D234A"/>
    <w:rsid w:val="002D23D9"/>
    <w:rsid w:val="002D24E8"/>
    <w:rsid w:val="002D257A"/>
    <w:rsid w:val="002D2589"/>
    <w:rsid w:val="002D25F0"/>
    <w:rsid w:val="002D2611"/>
    <w:rsid w:val="002D264C"/>
    <w:rsid w:val="002D26F5"/>
    <w:rsid w:val="002D29A8"/>
    <w:rsid w:val="002D29F1"/>
    <w:rsid w:val="002D29FF"/>
    <w:rsid w:val="002D2A46"/>
    <w:rsid w:val="002D2A6F"/>
    <w:rsid w:val="002D2CB8"/>
    <w:rsid w:val="002D2CE2"/>
    <w:rsid w:val="002D2D52"/>
    <w:rsid w:val="002D2D7B"/>
    <w:rsid w:val="002D2D7E"/>
    <w:rsid w:val="002D2DDE"/>
    <w:rsid w:val="002D2E04"/>
    <w:rsid w:val="002D2E4C"/>
    <w:rsid w:val="002D301C"/>
    <w:rsid w:val="002D34C4"/>
    <w:rsid w:val="002D35D9"/>
    <w:rsid w:val="002D3672"/>
    <w:rsid w:val="002D36CD"/>
    <w:rsid w:val="002D3916"/>
    <w:rsid w:val="002D3BF2"/>
    <w:rsid w:val="002D3D91"/>
    <w:rsid w:val="002D3DC4"/>
    <w:rsid w:val="002D3F0C"/>
    <w:rsid w:val="002D3F3F"/>
    <w:rsid w:val="002D3FA4"/>
    <w:rsid w:val="002D4002"/>
    <w:rsid w:val="002D422F"/>
    <w:rsid w:val="002D438A"/>
    <w:rsid w:val="002D4447"/>
    <w:rsid w:val="002D4499"/>
    <w:rsid w:val="002D4697"/>
    <w:rsid w:val="002D4701"/>
    <w:rsid w:val="002D4824"/>
    <w:rsid w:val="002D499A"/>
    <w:rsid w:val="002D4A68"/>
    <w:rsid w:val="002D4A89"/>
    <w:rsid w:val="002D4B8D"/>
    <w:rsid w:val="002D4B8F"/>
    <w:rsid w:val="002D4C70"/>
    <w:rsid w:val="002D4E07"/>
    <w:rsid w:val="002D4E15"/>
    <w:rsid w:val="002D4EB5"/>
    <w:rsid w:val="002D5014"/>
    <w:rsid w:val="002D5017"/>
    <w:rsid w:val="002D501F"/>
    <w:rsid w:val="002D51E4"/>
    <w:rsid w:val="002D5209"/>
    <w:rsid w:val="002D5269"/>
    <w:rsid w:val="002D5297"/>
    <w:rsid w:val="002D52C1"/>
    <w:rsid w:val="002D5464"/>
    <w:rsid w:val="002D55CE"/>
    <w:rsid w:val="002D5646"/>
    <w:rsid w:val="002D568A"/>
    <w:rsid w:val="002D5AB7"/>
    <w:rsid w:val="002D5B5E"/>
    <w:rsid w:val="002D5DAA"/>
    <w:rsid w:val="002D5DE5"/>
    <w:rsid w:val="002D6037"/>
    <w:rsid w:val="002D6086"/>
    <w:rsid w:val="002D6297"/>
    <w:rsid w:val="002D631A"/>
    <w:rsid w:val="002D633F"/>
    <w:rsid w:val="002D6392"/>
    <w:rsid w:val="002D64D2"/>
    <w:rsid w:val="002D66B8"/>
    <w:rsid w:val="002D66C7"/>
    <w:rsid w:val="002D6D19"/>
    <w:rsid w:val="002D6E01"/>
    <w:rsid w:val="002D6EF8"/>
    <w:rsid w:val="002D710D"/>
    <w:rsid w:val="002D7239"/>
    <w:rsid w:val="002D7340"/>
    <w:rsid w:val="002D73DE"/>
    <w:rsid w:val="002D76EA"/>
    <w:rsid w:val="002D7766"/>
    <w:rsid w:val="002D7A9A"/>
    <w:rsid w:val="002D7DED"/>
    <w:rsid w:val="002D7E3D"/>
    <w:rsid w:val="002D7F1D"/>
    <w:rsid w:val="002E0024"/>
    <w:rsid w:val="002E022B"/>
    <w:rsid w:val="002E02AB"/>
    <w:rsid w:val="002E04EA"/>
    <w:rsid w:val="002E0524"/>
    <w:rsid w:val="002E052A"/>
    <w:rsid w:val="002E0584"/>
    <w:rsid w:val="002E05F2"/>
    <w:rsid w:val="002E06A9"/>
    <w:rsid w:val="002E071D"/>
    <w:rsid w:val="002E07E5"/>
    <w:rsid w:val="002E08C3"/>
    <w:rsid w:val="002E08F6"/>
    <w:rsid w:val="002E0B15"/>
    <w:rsid w:val="002E0C03"/>
    <w:rsid w:val="002E0EDA"/>
    <w:rsid w:val="002E0F2F"/>
    <w:rsid w:val="002E1090"/>
    <w:rsid w:val="002E10A9"/>
    <w:rsid w:val="002E1269"/>
    <w:rsid w:val="002E138A"/>
    <w:rsid w:val="002E13F1"/>
    <w:rsid w:val="002E140B"/>
    <w:rsid w:val="002E14DA"/>
    <w:rsid w:val="002E1783"/>
    <w:rsid w:val="002E1966"/>
    <w:rsid w:val="002E1AC6"/>
    <w:rsid w:val="002E1C91"/>
    <w:rsid w:val="002E1DF1"/>
    <w:rsid w:val="002E24F1"/>
    <w:rsid w:val="002E25FB"/>
    <w:rsid w:val="002E26E7"/>
    <w:rsid w:val="002E276D"/>
    <w:rsid w:val="002E2BA5"/>
    <w:rsid w:val="002E2BE7"/>
    <w:rsid w:val="002E2BF0"/>
    <w:rsid w:val="002E2D10"/>
    <w:rsid w:val="002E2FD3"/>
    <w:rsid w:val="002E30F4"/>
    <w:rsid w:val="002E3578"/>
    <w:rsid w:val="002E35B8"/>
    <w:rsid w:val="002E3721"/>
    <w:rsid w:val="002E37A8"/>
    <w:rsid w:val="002E383B"/>
    <w:rsid w:val="002E3997"/>
    <w:rsid w:val="002E3A8A"/>
    <w:rsid w:val="002E3B58"/>
    <w:rsid w:val="002E3C1F"/>
    <w:rsid w:val="002E3D01"/>
    <w:rsid w:val="002E401D"/>
    <w:rsid w:val="002E4083"/>
    <w:rsid w:val="002E417F"/>
    <w:rsid w:val="002E432A"/>
    <w:rsid w:val="002E44EC"/>
    <w:rsid w:val="002E4592"/>
    <w:rsid w:val="002E4678"/>
    <w:rsid w:val="002E4856"/>
    <w:rsid w:val="002E49CD"/>
    <w:rsid w:val="002E4A3E"/>
    <w:rsid w:val="002E4A61"/>
    <w:rsid w:val="002E4B2E"/>
    <w:rsid w:val="002E4B6A"/>
    <w:rsid w:val="002E4B82"/>
    <w:rsid w:val="002E4C7C"/>
    <w:rsid w:val="002E4FA9"/>
    <w:rsid w:val="002E5189"/>
    <w:rsid w:val="002E52CD"/>
    <w:rsid w:val="002E52D2"/>
    <w:rsid w:val="002E5349"/>
    <w:rsid w:val="002E540B"/>
    <w:rsid w:val="002E56B1"/>
    <w:rsid w:val="002E57A6"/>
    <w:rsid w:val="002E5C0C"/>
    <w:rsid w:val="002E5C89"/>
    <w:rsid w:val="002E5EE4"/>
    <w:rsid w:val="002E5F11"/>
    <w:rsid w:val="002E6083"/>
    <w:rsid w:val="002E61D8"/>
    <w:rsid w:val="002E6337"/>
    <w:rsid w:val="002E6343"/>
    <w:rsid w:val="002E6441"/>
    <w:rsid w:val="002E64DA"/>
    <w:rsid w:val="002E691E"/>
    <w:rsid w:val="002E695B"/>
    <w:rsid w:val="002E6ACE"/>
    <w:rsid w:val="002E6D83"/>
    <w:rsid w:val="002E6E01"/>
    <w:rsid w:val="002E6FEA"/>
    <w:rsid w:val="002E72CE"/>
    <w:rsid w:val="002E73B9"/>
    <w:rsid w:val="002E73F4"/>
    <w:rsid w:val="002E746C"/>
    <w:rsid w:val="002E74AE"/>
    <w:rsid w:val="002E7588"/>
    <w:rsid w:val="002E7606"/>
    <w:rsid w:val="002E7696"/>
    <w:rsid w:val="002E7840"/>
    <w:rsid w:val="002E7857"/>
    <w:rsid w:val="002E78E5"/>
    <w:rsid w:val="002E793D"/>
    <w:rsid w:val="002E7C85"/>
    <w:rsid w:val="002E7CB8"/>
    <w:rsid w:val="002E7DBB"/>
    <w:rsid w:val="002E7DBF"/>
    <w:rsid w:val="002E7E16"/>
    <w:rsid w:val="002E7EE2"/>
    <w:rsid w:val="002E7F11"/>
    <w:rsid w:val="002E7F46"/>
    <w:rsid w:val="002F0044"/>
    <w:rsid w:val="002F008A"/>
    <w:rsid w:val="002F06BC"/>
    <w:rsid w:val="002F07D7"/>
    <w:rsid w:val="002F07E6"/>
    <w:rsid w:val="002F0840"/>
    <w:rsid w:val="002F08B7"/>
    <w:rsid w:val="002F08BF"/>
    <w:rsid w:val="002F08D4"/>
    <w:rsid w:val="002F091E"/>
    <w:rsid w:val="002F0949"/>
    <w:rsid w:val="002F0AD3"/>
    <w:rsid w:val="002F0B58"/>
    <w:rsid w:val="002F0D1B"/>
    <w:rsid w:val="002F0D81"/>
    <w:rsid w:val="002F0E61"/>
    <w:rsid w:val="002F1040"/>
    <w:rsid w:val="002F1251"/>
    <w:rsid w:val="002F12AA"/>
    <w:rsid w:val="002F142E"/>
    <w:rsid w:val="002F152E"/>
    <w:rsid w:val="002F1749"/>
    <w:rsid w:val="002F18DF"/>
    <w:rsid w:val="002F1931"/>
    <w:rsid w:val="002F1ACE"/>
    <w:rsid w:val="002F1C9A"/>
    <w:rsid w:val="002F1EB3"/>
    <w:rsid w:val="002F1EBF"/>
    <w:rsid w:val="002F1F65"/>
    <w:rsid w:val="002F2181"/>
    <w:rsid w:val="002F221E"/>
    <w:rsid w:val="002F22B0"/>
    <w:rsid w:val="002F270C"/>
    <w:rsid w:val="002F27B2"/>
    <w:rsid w:val="002F2A32"/>
    <w:rsid w:val="002F2C89"/>
    <w:rsid w:val="002F30CF"/>
    <w:rsid w:val="002F31A6"/>
    <w:rsid w:val="002F3203"/>
    <w:rsid w:val="002F33FE"/>
    <w:rsid w:val="002F3469"/>
    <w:rsid w:val="002F3577"/>
    <w:rsid w:val="002F358F"/>
    <w:rsid w:val="002F3748"/>
    <w:rsid w:val="002F38B2"/>
    <w:rsid w:val="002F3968"/>
    <w:rsid w:val="002F3A80"/>
    <w:rsid w:val="002F3AF4"/>
    <w:rsid w:val="002F3C0D"/>
    <w:rsid w:val="002F3C8A"/>
    <w:rsid w:val="002F3D03"/>
    <w:rsid w:val="002F3DB2"/>
    <w:rsid w:val="002F3F41"/>
    <w:rsid w:val="002F4252"/>
    <w:rsid w:val="002F426F"/>
    <w:rsid w:val="002F4518"/>
    <w:rsid w:val="002F4553"/>
    <w:rsid w:val="002F45C1"/>
    <w:rsid w:val="002F45FD"/>
    <w:rsid w:val="002F48C4"/>
    <w:rsid w:val="002F4B26"/>
    <w:rsid w:val="002F4EF6"/>
    <w:rsid w:val="002F4F2B"/>
    <w:rsid w:val="002F4FD9"/>
    <w:rsid w:val="002F4FE2"/>
    <w:rsid w:val="002F5198"/>
    <w:rsid w:val="002F5228"/>
    <w:rsid w:val="002F528A"/>
    <w:rsid w:val="002F5322"/>
    <w:rsid w:val="002F54EF"/>
    <w:rsid w:val="002F55FE"/>
    <w:rsid w:val="002F5A3F"/>
    <w:rsid w:val="002F5C5B"/>
    <w:rsid w:val="002F5CFD"/>
    <w:rsid w:val="002F5D64"/>
    <w:rsid w:val="002F5D6F"/>
    <w:rsid w:val="002F5F55"/>
    <w:rsid w:val="002F60EB"/>
    <w:rsid w:val="002F6168"/>
    <w:rsid w:val="002F620E"/>
    <w:rsid w:val="002F6301"/>
    <w:rsid w:val="002F63EE"/>
    <w:rsid w:val="002F640B"/>
    <w:rsid w:val="002F6619"/>
    <w:rsid w:val="002F6697"/>
    <w:rsid w:val="002F670F"/>
    <w:rsid w:val="002F674B"/>
    <w:rsid w:val="002F6865"/>
    <w:rsid w:val="002F6889"/>
    <w:rsid w:val="002F69E4"/>
    <w:rsid w:val="002F6A9B"/>
    <w:rsid w:val="002F6BE6"/>
    <w:rsid w:val="002F6E22"/>
    <w:rsid w:val="002F6E7D"/>
    <w:rsid w:val="002F6F49"/>
    <w:rsid w:val="002F721E"/>
    <w:rsid w:val="002F726C"/>
    <w:rsid w:val="002F7299"/>
    <w:rsid w:val="002F73D1"/>
    <w:rsid w:val="002F7671"/>
    <w:rsid w:val="002F76A9"/>
    <w:rsid w:val="002F7810"/>
    <w:rsid w:val="002F7B4D"/>
    <w:rsid w:val="002F7B93"/>
    <w:rsid w:val="002F7D2B"/>
    <w:rsid w:val="002F7F07"/>
    <w:rsid w:val="002F7F30"/>
    <w:rsid w:val="002F7F32"/>
    <w:rsid w:val="00300156"/>
    <w:rsid w:val="00300318"/>
    <w:rsid w:val="003006F3"/>
    <w:rsid w:val="00300733"/>
    <w:rsid w:val="00300ACE"/>
    <w:rsid w:val="00300C26"/>
    <w:rsid w:val="00300CC0"/>
    <w:rsid w:val="00300E0B"/>
    <w:rsid w:val="00300E6B"/>
    <w:rsid w:val="00301079"/>
    <w:rsid w:val="00301259"/>
    <w:rsid w:val="0030168D"/>
    <w:rsid w:val="003016D7"/>
    <w:rsid w:val="0030171B"/>
    <w:rsid w:val="00301875"/>
    <w:rsid w:val="00301A7C"/>
    <w:rsid w:val="00301AE1"/>
    <w:rsid w:val="00301B9A"/>
    <w:rsid w:val="00301C30"/>
    <w:rsid w:val="00301E4F"/>
    <w:rsid w:val="00302002"/>
    <w:rsid w:val="00302065"/>
    <w:rsid w:val="00302131"/>
    <w:rsid w:val="0030236E"/>
    <w:rsid w:val="00302383"/>
    <w:rsid w:val="00302647"/>
    <w:rsid w:val="00302A33"/>
    <w:rsid w:val="00302A8D"/>
    <w:rsid w:val="00302A95"/>
    <w:rsid w:val="00302AE8"/>
    <w:rsid w:val="00302D13"/>
    <w:rsid w:val="00302FA4"/>
    <w:rsid w:val="00302FA7"/>
    <w:rsid w:val="00303073"/>
    <w:rsid w:val="00303096"/>
    <w:rsid w:val="0030328C"/>
    <w:rsid w:val="003036D5"/>
    <w:rsid w:val="0030370F"/>
    <w:rsid w:val="00303AA2"/>
    <w:rsid w:val="00303AC8"/>
    <w:rsid w:val="00303C35"/>
    <w:rsid w:val="00303D03"/>
    <w:rsid w:val="00303DC4"/>
    <w:rsid w:val="00303E02"/>
    <w:rsid w:val="00303F05"/>
    <w:rsid w:val="00304120"/>
    <w:rsid w:val="003042C2"/>
    <w:rsid w:val="003043AB"/>
    <w:rsid w:val="003046B9"/>
    <w:rsid w:val="003046E5"/>
    <w:rsid w:val="003047E6"/>
    <w:rsid w:val="00304998"/>
    <w:rsid w:val="00304DC2"/>
    <w:rsid w:val="00304DDD"/>
    <w:rsid w:val="0030504B"/>
    <w:rsid w:val="003050B0"/>
    <w:rsid w:val="00305294"/>
    <w:rsid w:val="00305348"/>
    <w:rsid w:val="00305375"/>
    <w:rsid w:val="00305478"/>
    <w:rsid w:val="00305649"/>
    <w:rsid w:val="00305672"/>
    <w:rsid w:val="003056DA"/>
    <w:rsid w:val="00305853"/>
    <w:rsid w:val="003058F4"/>
    <w:rsid w:val="00305906"/>
    <w:rsid w:val="00305938"/>
    <w:rsid w:val="00305A91"/>
    <w:rsid w:val="00305B2A"/>
    <w:rsid w:val="00305BDB"/>
    <w:rsid w:val="00305C6F"/>
    <w:rsid w:val="00305D67"/>
    <w:rsid w:val="00305F0B"/>
    <w:rsid w:val="00305F3E"/>
    <w:rsid w:val="00305F6D"/>
    <w:rsid w:val="00306610"/>
    <w:rsid w:val="0030670D"/>
    <w:rsid w:val="00306743"/>
    <w:rsid w:val="00306A12"/>
    <w:rsid w:val="00306CBB"/>
    <w:rsid w:val="00306DD9"/>
    <w:rsid w:val="00307131"/>
    <w:rsid w:val="003071C6"/>
    <w:rsid w:val="0030754E"/>
    <w:rsid w:val="003075D0"/>
    <w:rsid w:val="00307821"/>
    <w:rsid w:val="00307A63"/>
    <w:rsid w:val="00307B3D"/>
    <w:rsid w:val="00307BC2"/>
    <w:rsid w:val="00307C75"/>
    <w:rsid w:val="00307E0B"/>
    <w:rsid w:val="00307ECB"/>
    <w:rsid w:val="003100A3"/>
    <w:rsid w:val="003101C5"/>
    <w:rsid w:val="0031048E"/>
    <w:rsid w:val="00310652"/>
    <w:rsid w:val="0031068D"/>
    <w:rsid w:val="00310698"/>
    <w:rsid w:val="00310773"/>
    <w:rsid w:val="003107ED"/>
    <w:rsid w:val="00310821"/>
    <w:rsid w:val="00310834"/>
    <w:rsid w:val="00310A84"/>
    <w:rsid w:val="00310ADC"/>
    <w:rsid w:val="00310B0D"/>
    <w:rsid w:val="00310C19"/>
    <w:rsid w:val="00310CC2"/>
    <w:rsid w:val="00310D5A"/>
    <w:rsid w:val="00310F43"/>
    <w:rsid w:val="003110ED"/>
    <w:rsid w:val="0031124D"/>
    <w:rsid w:val="00311455"/>
    <w:rsid w:val="003114F0"/>
    <w:rsid w:val="00311654"/>
    <w:rsid w:val="00311705"/>
    <w:rsid w:val="00311769"/>
    <w:rsid w:val="003117C9"/>
    <w:rsid w:val="003119B2"/>
    <w:rsid w:val="00311AAD"/>
    <w:rsid w:val="00311C1E"/>
    <w:rsid w:val="00311CC0"/>
    <w:rsid w:val="00311D40"/>
    <w:rsid w:val="00311D44"/>
    <w:rsid w:val="00311D5F"/>
    <w:rsid w:val="00311F69"/>
    <w:rsid w:val="003125AE"/>
    <w:rsid w:val="003125BD"/>
    <w:rsid w:val="00312714"/>
    <w:rsid w:val="003127C1"/>
    <w:rsid w:val="003128C5"/>
    <w:rsid w:val="00312ADC"/>
    <w:rsid w:val="00312B51"/>
    <w:rsid w:val="00312BC6"/>
    <w:rsid w:val="00312C68"/>
    <w:rsid w:val="00312CB0"/>
    <w:rsid w:val="00312CFB"/>
    <w:rsid w:val="00312DC4"/>
    <w:rsid w:val="00312ECB"/>
    <w:rsid w:val="00313482"/>
    <w:rsid w:val="003135A9"/>
    <w:rsid w:val="0031381F"/>
    <w:rsid w:val="00313A98"/>
    <w:rsid w:val="00313C59"/>
    <w:rsid w:val="00313C73"/>
    <w:rsid w:val="0031409F"/>
    <w:rsid w:val="0031426B"/>
    <w:rsid w:val="00314297"/>
    <w:rsid w:val="003144CF"/>
    <w:rsid w:val="0031462D"/>
    <w:rsid w:val="0031476F"/>
    <w:rsid w:val="00314A3B"/>
    <w:rsid w:val="00314CA7"/>
    <w:rsid w:val="00314DB0"/>
    <w:rsid w:val="00314DFB"/>
    <w:rsid w:val="0031506B"/>
    <w:rsid w:val="003150D0"/>
    <w:rsid w:val="003150EE"/>
    <w:rsid w:val="003151D5"/>
    <w:rsid w:val="00315228"/>
    <w:rsid w:val="00315307"/>
    <w:rsid w:val="00315408"/>
    <w:rsid w:val="00315443"/>
    <w:rsid w:val="00315452"/>
    <w:rsid w:val="0031563D"/>
    <w:rsid w:val="00315672"/>
    <w:rsid w:val="0031586A"/>
    <w:rsid w:val="00315B44"/>
    <w:rsid w:val="00315DBC"/>
    <w:rsid w:val="00315DF4"/>
    <w:rsid w:val="0031604C"/>
    <w:rsid w:val="00316084"/>
    <w:rsid w:val="003162A0"/>
    <w:rsid w:val="003163EF"/>
    <w:rsid w:val="00316549"/>
    <w:rsid w:val="0031657D"/>
    <w:rsid w:val="003166CB"/>
    <w:rsid w:val="003167AC"/>
    <w:rsid w:val="00316811"/>
    <w:rsid w:val="00316AA5"/>
    <w:rsid w:val="00316C7C"/>
    <w:rsid w:val="00316D5A"/>
    <w:rsid w:val="00316EB5"/>
    <w:rsid w:val="0031720E"/>
    <w:rsid w:val="00317210"/>
    <w:rsid w:val="003172D1"/>
    <w:rsid w:val="00317402"/>
    <w:rsid w:val="0031750B"/>
    <w:rsid w:val="00317586"/>
    <w:rsid w:val="003176B5"/>
    <w:rsid w:val="003178D0"/>
    <w:rsid w:val="00317B65"/>
    <w:rsid w:val="00317B8F"/>
    <w:rsid w:val="00317D53"/>
    <w:rsid w:val="00317D85"/>
    <w:rsid w:val="00317FF9"/>
    <w:rsid w:val="003202D0"/>
    <w:rsid w:val="00320401"/>
    <w:rsid w:val="00320550"/>
    <w:rsid w:val="00320731"/>
    <w:rsid w:val="00320A6C"/>
    <w:rsid w:val="00320C98"/>
    <w:rsid w:val="00320D56"/>
    <w:rsid w:val="00320F0B"/>
    <w:rsid w:val="00320F85"/>
    <w:rsid w:val="00321031"/>
    <w:rsid w:val="0032127C"/>
    <w:rsid w:val="003214DA"/>
    <w:rsid w:val="003215EB"/>
    <w:rsid w:val="003216B4"/>
    <w:rsid w:val="003216C5"/>
    <w:rsid w:val="003217ED"/>
    <w:rsid w:val="00321823"/>
    <w:rsid w:val="003218A9"/>
    <w:rsid w:val="00321960"/>
    <w:rsid w:val="00321B94"/>
    <w:rsid w:val="00321DFB"/>
    <w:rsid w:val="00321E3F"/>
    <w:rsid w:val="00321E6D"/>
    <w:rsid w:val="00321F15"/>
    <w:rsid w:val="00321FF0"/>
    <w:rsid w:val="0032217D"/>
    <w:rsid w:val="003221A5"/>
    <w:rsid w:val="00322262"/>
    <w:rsid w:val="003222E8"/>
    <w:rsid w:val="003224D2"/>
    <w:rsid w:val="0032259D"/>
    <w:rsid w:val="003225C4"/>
    <w:rsid w:val="00322656"/>
    <w:rsid w:val="00322709"/>
    <w:rsid w:val="00322A8F"/>
    <w:rsid w:val="00322A98"/>
    <w:rsid w:val="00322C8E"/>
    <w:rsid w:val="00322CB1"/>
    <w:rsid w:val="00322D3E"/>
    <w:rsid w:val="003230D3"/>
    <w:rsid w:val="003230E6"/>
    <w:rsid w:val="003231E5"/>
    <w:rsid w:val="003232E2"/>
    <w:rsid w:val="003233D5"/>
    <w:rsid w:val="003234CF"/>
    <w:rsid w:val="003234DE"/>
    <w:rsid w:val="00323738"/>
    <w:rsid w:val="00323745"/>
    <w:rsid w:val="00323946"/>
    <w:rsid w:val="003239A6"/>
    <w:rsid w:val="003239DD"/>
    <w:rsid w:val="00323A40"/>
    <w:rsid w:val="00323AF0"/>
    <w:rsid w:val="00323BBD"/>
    <w:rsid w:val="00323BD7"/>
    <w:rsid w:val="00323CE0"/>
    <w:rsid w:val="00323DC5"/>
    <w:rsid w:val="00323EAC"/>
    <w:rsid w:val="00323EBE"/>
    <w:rsid w:val="00323F1A"/>
    <w:rsid w:val="00323F2B"/>
    <w:rsid w:val="00323F8E"/>
    <w:rsid w:val="00323FEF"/>
    <w:rsid w:val="0032401B"/>
    <w:rsid w:val="003241D3"/>
    <w:rsid w:val="0032440B"/>
    <w:rsid w:val="00324761"/>
    <w:rsid w:val="00324890"/>
    <w:rsid w:val="00324923"/>
    <w:rsid w:val="00324C75"/>
    <w:rsid w:val="00324CE2"/>
    <w:rsid w:val="00324D1E"/>
    <w:rsid w:val="00324ECA"/>
    <w:rsid w:val="00324FA4"/>
    <w:rsid w:val="00325291"/>
    <w:rsid w:val="003253F2"/>
    <w:rsid w:val="00325647"/>
    <w:rsid w:val="00325794"/>
    <w:rsid w:val="0032587B"/>
    <w:rsid w:val="00325B60"/>
    <w:rsid w:val="00325C60"/>
    <w:rsid w:val="00325D07"/>
    <w:rsid w:val="00326028"/>
    <w:rsid w:val="00326137"/>
    <w:rsid w:val="00326288"/>
    <w:rsid w:val="00326303"/>
    <w:rsid w:val="00326382"/>
    <w:rsid w:val="003263BD"/>
    <w:rsid w:val="003263F5"/>
    <w:rsid w:val="003264B4"/>
    <w:rsid w:val="003265A2"/>
    <w:rsid w:val="00326608"/>
    <w:rsid w:val="0032664E"/>
    <w:rsid w:val="0032664F"/>
    <w:rsid w:val="0032672E"/>
    <w:rsid w:val="00326747"/>
    <w:rsid w:val="00326A54"/>
    <w:rsid w:val="00326A91"/>
    <w:rsid w:val="00326B41"/>
    <w:rsid w:val="00326BA5"/>
    <w:rsid w:val="00326CEA"/>
    <w:rsid w:val="00326F85"/>
    <w:rsid w:val="00326FE2"/>
    <w:rsid w:val="003271F5"/>
    <w:rsid w:val="003274AC"/>
    <w:rsid w:val="003276A2"/>
    <w:rsid w:val="003277E1"/>
    <w:rsid w:val="00327867"/>
    <w:rsid w:val="003278AC"/>
    <w:rsid w:val="003278D3"/>
    <w:rsid w:val="00327A78"/>
    <w:rsid w:val="00327C46"/>
    <w:rsid w:val="00327D65"/>
    <w:rsid w:val="00327DA4"/>
    <w:rsid w:val="00327E6F"/>
    <w:rsid w:val="00330086"/>
    <w:rsid w:val="003300D3"/>
    <w:rsid w:val="003301A9"/>
    <w:rsid w:val="003301EB"/>
    <w:rsid w:val="00330269"/>
    <w:rsid w:val="003302A2"/>
    <w:rsid w:val="003303B4"/>
    <w:rsid w:val="003303F7"/>
    <w:rsid w:val="00330748"/>
    <w:rsid w:val="0033081E"/>
    <w:rsid w:val="00330981"/>
    <w:rsid w:val="00330A05"/>
    <w:rsid w:val="00330AA0"/>
    <w:rsid w:val="00330B78"/>
    <w:rsid w:val="00330BED"/>
    <w:rsid w:val="00330CCD"/>
    <w:rsid w:val="00330DFB"/>
    <w:rsid w:val="00330F28"/>
    <w:rsid w:val="00330F68"/>
    <w:rsid w:val="00331070"/>
    <w:rsid w:val="0033108E"/>
    <w:rsid w:val="00331264"/>
    <w:rsid w:val="003312BE"/>
    <w:rsid w:val="00331417"/>
    <w:rsid w:val="003314C5"/>
    <w:rsid w:val="003315E4"/>
    <w:rsid w:val="003315EE"/>
    <w:rsid w:val="00331625"/>
    <w:rsid w:val="0033179F"/>
    <w:rsid w:val="00331913"/>
    <w:rsid w:val="003319F8"/>
    <w:rsid w:val="00331A4B"/>
    <w:rsid w:val="00331AB9"/>
    <w:rsid w:val="00331E28"/>
    <w:rsid w:val="00331F0D"/>
    <w:rsid w:val="00332008"/>
    <w:rsid w:val="0033211F"/>
    <w:rsid w:val="0033216F"/>
    <w:rsid w:val="003323F1"/>
    <w:rsid w:val="00332445"/>
    <w:rsid w:val="0033254C"/>
    <w:rsid w:val="0033262D"/>
    <w:rsid w:val="003327AB"/>
    <w:rsid w:val="00332A5F"/>
    <w:rsid w:val="00332B16"/>
    <w:rsid w:val="00332D22"/>
    <w:rsid w:val="00332EF7"/>
    <w:rsid w:val="003330F8"/>
    <w:rsid w:val="00333168"/>
    <w:rsid w:val="0033318C"/>
    <w:rsid w:val="003331F2"/>
    <w:rsid w:val="0033356D"/>
    <w:rsid w:val="003335FF"/>
    <w:rsid w:val="0033374C"/>
    <w:rsid w:val="00333850"/>
    <w:rsid w:val="0033388A"/>
    <w:rsid w:val="003338F6"/>
    <w:rsid w:val="00333C15"/>
    <w:rsid w:val="00333C7F"/>
    <w:rsid w:val="00333DA2"/>
    <w:rsid w:val="00334032"/>
    <w:rsid w:val="003340F0"/>
    <w:rsid w:val="00334151"/>
    <w:rsid w:val="003341C4"/>
    <w:rsid w:val="0033423C"/>
    <w:rsid w:val="00334276"/>
    <w:rsid w:val="003344C6"/>
    <w:rsid w:val="003345F1"/>
    <w:rsid w:val="003347B6"/>
    <w:rsid w:val="00334863"/>
    <w:rsid w:val="00334DD0"/>
    <w:rsid w:val="00334DF5"/>
    <w:rsid w:val="00334DF8"/>
    <w:rsid w:val="0033509A"/>
    <w:rsid w:val="00335104"/>
    <w:rsid w:val="00335258"/>
    <w:rsid w:val="003352E4"/>
    <w:rsid w:val="0033530F"/>
    <w:rsid w:val="0033533E"/>
    <w:rsid w:val="003353C5"/>
    <w:rsid w:val="003354EA"/>
    <w:rsid w:val="003354EE"/>
    <w:rsid w:val="0033578A"/>
    <w:rsid w:val="00335887"/>
    <w:rsid w:val="00335B24"/>
    <w:rsid w:val="00335BBD"/>
    <w:rsid w:val="00336207"/>
    <w:rsid w:val="00336248"/>
    <w:rsid w:val="00336481"/>
    <w:rsid w:val="003364EE"/>
    <w:rsid w:val="003364F9"/>
    <w:rsid w:val="003367F0"/>
    <w:rsid w:val="003367FF"/>
    <w:rsid w:val="00336BF0"/>
    <w:rsid w:val="00336D23"/>
    <w:rsid w:val="00336D32"/>
    <w:rsid w:val="00336D5C"/>
    <w:rsid w:val="00336D87"/>
    <w:rsid w:val="00336DEC"/>
    <w:rsid w:val="003370EE"/>
    <w:rsid w:val="003371EA"/>
    <w:rsid w:val="003373E1"/>
    <w:rsid w:val="003373E3"/>
    <w:rsid w:val="003376AA"/>
    <w:rsid w:val="00337791"/>
    <w:rsid w:val="003379DF"/>
    <w:rsid w:val="00337A16"/>
    <w:rsid w:val="00337DAE"/>
    <w:rsid w:val="00337DB0"/>
    <w:rsid w:val="00337E1A"/>
    <w:rsid w:val="00337E3A"/>
    <w:rsid w:val="00337EF0"/>
    <w:rsid w:val="00337FFB"/>
    <w:rsid w:val="00340083"/>
    <w:rsid w:val="00340111"/>
    <w:rsid w:val="00340183"/>
    <w:rsid w:val="003402BD"/>
    <w:rsid w:val="0034039D"/>
    <w:rsid w:val="00340413"/>
    <w:rsid w:val="00340462"/>
    <w:rsid w:val="00340922"/>
    <w:rsid w:val="00340B9A"/>
    <w:rsid w:val="00340D22"/>
    <w:rsid w:val="00340D8B"/>
    <w:rsid w:val="00340F55"/>
    <w:rsid w:val="00341008"/>
    <w:rsid w:val="0034109D"/>
    <w:rsid w:val="003411AC"/>
    <w:rsid w:val="00341230"/>
    <w:rsid w:val="00341242"/>
    <w:rsid w:val="003412B8"/>
    <w:rsid w:val="00341367"/>
    <w:rsid w:val="0034138A"/>
    <w:rsid w:val="003414A8"/>
    <w:rsid w:val="003415AF"/>
    <w:rsid w:val="00341899"/>
    <w:rsid w:val="00341B2C"/>
    <w:rsid w:val="00341BA6"/>
    <w:rsid w:val="00341D59"/>
    <w:rsid w:val="00341DD9"/>
    <w:rsid w:val="00341FB1"/>
    <w:rsid w:val="00342344"/>
    <w:rsid w:val="003423F2"/>
    <w:rsid w:val="00342450"/>
    <w:rsid w:val="003426B7"/>
    <w:rsid w:val="003427D4"/>
    <w:rsid w:val="003429FB"/>
    <w:rsid w:val="00342A3B"/>
    <w:rsid w:val="00342DFF"/>
    <w:rsid w:val="00342E06"/>
    <w:rsid w:val="00342E5B"/>
    <w:rsid w:val="0034303C"/>
    <w:rsid w:val="0034306A"/>
    <w:rsid w:val="0034311C"/>
    <w:rsid w:val="00343232"/>
    <w:rsid w:val="0034330C"/>
    <w:rsid w:val="00343397"/>
    <w:rsid w:val="003434F2"/>
    <w:rsid w:val="003436A4"/>
    <w:rsid w:val="00343719"/>
    <w:rsid w:val="0034391A"/>
    <w:rsid w:val="00343BB2"/>
    <w:rsid w:val="00343E41"/>
    <w:rsid w:val="00343E55"/>
    <w:rsid w:val="00343EA9"/>
    <w:rsid w:val="00344069"/>
    <w:rsid w:val="003443A2"/>
    <w:rsid w:val="003443A8"/>
    <w:rsid w:val="00344494"/>
    <w:rsid w:val="003444F7"/>
    <w:rsid w:val="0034453A"/>
    <w:rsid w:val="003446DD"/>
    <w:rsid w:val="0034484A"/>
    <w:rsid w:val="003448AA"/>
    <w:rsid w:val="003448E9"/>
    <w:rsid w:val="00344B34"/>
    <w:rsid w:val="00344BE2"/>
    <w:rsid w:val="00344ED5"/>
    <w:rsid w:val="00344ED6"/>
    <w:rsid w:val="00344FAC"/>
    <w:rsid w:val="003450C1"/>
    <w:rsid w:val="003453ED"/>
    <w:rsid w:val="003454F4"/>
    <w:rsid w:val="00345645"/>
    <w:rsid w:val="00345771"/>
    <w:rsid w:val="00345B13"/>
    <w:rsid w:val="00345B21"/>
    <w:rsid w:val="00345CA2"/>
    <w:rsid w:val="00345CC9"/>
    <w:rsid w:val="00345E27"/>
    <w:rsid w:val="00345E47"/>
    <w:rsid w:val="003460A3"/>
    <w:rsid w:val="0034618C"/>
    <w:rsid w:val="003461E9"/>
    <w:rsid w:val="003462AB"/>
    <w:rsid w:val="00346411"/>
    <w:rsid w:val="0034654F"/>
    <w:rsid w:val="00346789"/>
    <w:rsid w:val="003467FF"/>
    <w:rsid w:val="003468D5"/>
    <w:rsid w:val="003468DE"/>
    <w:rsid w:val="0034696A"/>
    <w:rsid w:val="00346A11"/>
    <w:rsid w:val="00346B41"/>
    <w:rsid w:val="00346B42"/>
    <w:rsid w:val="00346B7C"/>
    <w:rsid w:val="00346B97"/>
    <w:rsid w:val="00346D27"/>
    <w:rsid w:val="00346D91"/>
    <w:rsid w:val="0034700A"/>
    <w:rsid w:val="00347314"/>
    <w:rsid w:val="003474D0"/>
    <w:rsid w:val="003475E2"/>
    <w:rsid w:val="003475EC"/>
    <w:rsid w:val="0034760A"/>
    <w:rsid w:val="00347831"/>
    <w:rsid w:val="00347885"/>
    <w:rsid w:val="003478C5"/>
    <w:rsid w:val="0034792F"/>
    <w:rsid w:val="00347A04"/>
    <w:rsid w:val="00347ABF"/>
    <w:rsid w:val="00347B08"/>
    <w:rsid w:val="00347B43"/>
    <w:rsid w:val="00347CE3"/>
    <w:rsid w:val="00347EC1"/>
    <w:rsid w:val="003500B8"/>
    <w:rsid w:val="003500EE"/>
    <w:rsid w:val="0035019D"/>
    <w:rsid w:val="00350244"/>
    <w:rsid w:val="0035038D"/>
    <w:rsid w:val="00350401"/>
    <w:rsid w:val="003504A4"/>
    <w:rsid w:val="00350523"/>
    <w:rsid w:val="00350768"/>
    <w:rsid w:val="0035078A"/>
    <w:rsid w:val="003507E8"/>
    <w:rsid w:val="00350A5D"/>
    <w:rsid w:val="00350B53"/>
    <w:rsid w:val="00350B88"/>
    <w:rsid w:val="00350C16"/>
    <w:rsid w:val="00350C73"/>
    <w:rsid w:val="00350F79"/>
    <w:rsid w:val="00350FCE"/>
    <w:rsid w:val="00351027"/>
    <w:rsid w:val="00351190"/>
    <w:rsid w:val="00351225"/>
    <w:rsid w:val="003513BA"/>
    <w:rsid w:val="00351401"/>
    <w:rsid w:val="0035141D"/>
    <w:rsid w:val="00351580"/>
    <w:rsid w:val="00351751"/>
    <w:rsid w:val="00351B59"/>
    <w:rsid w:val="00351C08"/>
    <w:rsid w:val="00351C5C"/>
    <w:rsid w:val="00351CD6"/>
    <w:rsid w:val="00351DA3"/>
    <w:rsid w:val="00351FD3"/>
    <w:rsid w:val="0035206A"/>
    <w:rsid w:val="00352121"/>
    <w:rsid w:val="0035258D"/>
    <w:rsid w:val="00352648"/>
    <w:rsid w:val="0035279C"/>
    <w:rsid w:val="003528CD"/>
    <w:rsid w:val="0035290C"/>
    <w:rsid w:val="00352C16"/>
    <w:rsid w:val="00352DB4"/>
    <w:rsid w:val="00353001"/>
    <w:rsid w:val="00353175"/>
    <w:rsid w:val="0035328B"/>
    <w:rsid w:val="003533FC"/>
    <w:rsid w:val="0035350D"/>
    <w:rsid w:val="003538A1"/>
    <w:rsid w:val="00353908"/>
    <w:rsid w:val="00353CF2"/>
    <w:rsid w:val="00353D2C"/>
    <w:rsid w:val="00353DA1"/>
    <w:rsid w:val="00353DCC"/>
    <w:rsid w:val="00353DCD"/>
    <w:rsid w:val="00353E5E"/>
    <w:rsid w:val="00354131"/>
    <w:rsid w:val="00354136"/>
    <w:rsid w:val="00354191"/>
    <w:rsid w:val="00354192"/>
    <w:rsid w:val="00354231"/>
    <w:rsid w:val="00354369"/>
    <w:rsid w:val="00354428"/>
    <w:rsid w:val="00354575"/>
    <w:rsid w:val="003545D2"/>
    <w:rsid w:val="003547C6"/>
    <w:rsid w:val="00354BB5"/>
    <w:rsid w:val="00354DBD"/>
    <w:rsid w:val="003551A7"/>
    <w:rsid w:val="0035521A"/>
    <w:rsid w:val="0035523A"/>
    <w:rsid w:val="00355538"/>
    <w:rsid w:val="0035553A"/>
    <w:rsid w:val="00355554"/>
    <w:rsid w:val="0035555B"/>
    <w:rsid w:val="0035566D"/>
    <w:rsid w:val="00355935"/>
    <w:rsid w:val="00355AB2"/>
    <w:rsid w:val="00355CE5"/>
    <w:rsid w:val="00355F61"/>
    <w:rsid w:val="00355F62"/>
    <w:rsid w:val="00356032"/>
    <w:rsid w:val="0035623B"/>
    <w:rsid w:val="003562AE"/>
    <w:rsid w:val="00356571"/>
    <w:rsid w:val="00356699"/>
    <w:rsid w:val="0035676F"/>
    <w:rsid w:val="00356C53"/>
    <w:rsid w:val="00356C81"/>
    <w:rsid w:val="00356CA5"/>
    <w:rsid w:val="00356CA9"/>
    <w:rsid w:val="00356CEE"/>
    <w:rsid w:val="00356D88"/>
    <w:rsid w:val="00356E9E"/>
    <w:rsid w:val="00356EC1"/>
    <w:rsid w:val="00356ECB"/>
    <w:rsid w:val="00356F29"/>
    <w:rsid w:val="00356FB5"/>
    <w:rsid w:val="00356FD2"/>
    <w:rsid w:val="003571AA"/>
    <w:rsid w:val="00357211"/>
    <w:rsid w:val="0035728F"/>
    <w:rsid w:val="003573F0"/>
    <w:rsid w:val="00357527"/>
    <w:rsid w:val="003575C5"/>
    <w:rsid w:val="003575C7"/>
    <w:rsid w:val="00357674"/>
    <w:rsid w:val="003579F5"/>
    <w:rsid w:val="00357A17"/>
    <w:rsid w:val="00357AE6"/>
    <w:rsid w:val="00357B04"/>
    <w:rsid w:val="00357B65"/>
    <w:rsid w:val="00357C0B"/>
    <w:rsid w:val="00357C56"/>
    <w:rsid w:val="00357DEA"/>
    <w:rsid w:val="00360098"/>
    <w:rsid w:val="00360186"/>
    <w:rsid w:val="00360398"/>
    <w:rsid w:val="003603C5"/>
    <w:rsid w:val="003605FF"/>
    <w:rsid w:val="00360AB8"/>
    <w:rsid w:val="00360ADD"/>
    <w:rsid w:val="00360C33"/>
    <w:rsid w:val="00361276"/>
    <w:rsid w:val="00361493"/>
    <w:rsid w:val="003619B3"/>
    <w:rsid w:val="00361A95"/>
    <w:rsid w:val="00361ADA"/>
    <w:rsid w:val="00361B2D"/>
    <w:rsid w:val="00361D44"/>
    <w:rsid w:val="00361D7B"/>
    <w:rsid w:val="00361E31"/>
    <w:rsid w:val="00361FC0"/>
    <w:rsid w:val="003621A2"/>
    <w:rsid w:val="003621A5"/>
    <w:rsid w:val="0036248C"/>
    <w:rsid w:val="0036296D"/>
    <w:rsid w:val="0036298B"/>
    <w:rsid w:val="00362A11"/>
    <w:rsid w:val="00362A2E"/>
    <w:rsid w:val="00362CDB"/>
    <w:rsid w:val="00362CE6"/>
    <w:rsid w:val="00362EA9"/>
    <w:rsid w:val="00362EDF"/>
    <w:rsid w:val="00363443"/>
    <w:rsid w:val="003637B1"/>
    <w:rsid w:val="003637B7"/>
    <w:rsid w:val="003637C0"/>
    <w:rsid w:val="003637E0"/>
    <w:rsid w:val="003638F9"/>
    <w:rsid w:val="00363A77"/>
    <w:rsid w:val="00363ACA"/>
    <w:rsid w:val="00363B05"/>
    <w:rsid w:val="00363BD0"/>
    <w:rsid w:val="00363BEA"/>
    <w:rsid w:val="00363C34"/>
    <w:rsid w:val="003641C9"/>
    <w:rsid w:val="0036424F"/>
    <w:rsid w:val="00364304"/>
    <w:rsid w:val="0036447D"/>
    <w:rsid w:val="003644BE"/>
    <w:rsid w:val="00364608"/>
    <w:rsid w:val="0036468B"/>
    <w:rsid w:val="00364849"/>
    <w:rsid w:val="00364886"/>
    <w:rsid w:val="003648AE"/>
    <w:rsid w:val="00364926"/>
    <w:rsid w:val="00364969"/>
    <w:rsid w:val="00365087"/>
    <w:rsid w:val="0036518A"/>
    <w:rsid w:val="003655CC"/>
    <w:rsid w:val="0036568B"/>
    <w:rsid w:val="00365817"/>
    <w:rsid w:val="00365975"/>
    <w:rsid w:val="00365A81"/>
    <w:rsid w:val="00365B09"/>
    <w:rsid w:val="00365C35"/>
    <w:rsid w:val="00365D70"/>
    <w:rsid w:val="00365E29"/>
    <w:rsid w:val="00365F02"/>
    <w:rsid w:val="00365F34"/>
    <w:rsid w:val="00365F38"/>
    <w:rsid w:val="0036606B"/>
    <w:rsid w:val="0036622B"/>
    <w:rsid w:val="003663F3"/>
    <w:rsid w:val="003664C9"/>
    <w:rsid w:val="003665D7"/>
    <w:rsid w:val="003665FB"/>
    <w:rsid w:val="0036682F"/>
    <w:rsid w:val="00366A15"/>
    <w:rsid w:val="00366D65"/>
    <w:rsid w:val="00366E08"/>
    <w:rsid w:val="00366ED9"/>
    <w:rsid w:val="003670FD"/>
    <w:rsid w:val="003671CF"/>
    <w:rsid w:val="00367440"/>
    <w:rsid w:val="0036756A"/>
    <w:rsid w:val="003675D6"/>
    <w:rsid w:val="00367698"/>
    <w:rsid w:val="0036790F"/>
    <w:rsid w:val="003679A9"/>
    <w:rsid w:val="00367A87"/>
    <w:rsid w:val="00367BDB"/>
    <w:rsid w:val="00367BDC"/>
    <w:rsid w:val="00370132"/>
    <w:rsid w:val="0037014D"/>
    <w:rsid w:val="003702F8"/>
    <w:rsid w:val="00370304"/>
    <w:rsid w:val="0037036D"/>
    <w:rsid w:val="00370523"/>
    <w:rsid w:val="00370531"/>
    <w:rsid w:val="0037054D"/>
    <w:rsid w:val="003705D4"/>
    <w:rsid w:val="003706C9"/>
    <w:rsid w:val="00370734"/>
    <w:rsid w:val="003707E6"/>
    <w:rsid w:val="003707FA"/>
    <w:rsid w:val="00370C12"/>
    <w:rsid w:val="00370D1A"/>
    <w:rsid w:val="00370DF7"/>
    <w:rsid w:val="00370F3B"/>
    <w:rsid w:val="00371266"/>
    <w:rsid w:val="003715D6"/>
    <w:rsid w:val="0037166D"/>
    <w:rsid w:val="00371A70"/>
    <w:rsid w:val="00371B22"/>
    <w:rsid w:val="00371BB6"/>
    <w:rsid w:val="00371DBB"/>
    <w:rsid w:val="003721B4"/>
    <w:rsid w:val="0037220F"/>
    <w:rsid w:val="003723D4"/>
    <w:rsid w:val="003724C5"/>
    <w:rsid w:val="0037255F"/>
    <w:rsid w:val="0037258B"/>
    <w:rsid w:val="0037269A"/>
    <w:rsid w:val="0037279C"/>
    <w:rsid w:val="00372808"/>
    <w:rsid w:val="0037296B"/>
    <w:rsid w:val="003729B6"/>
    <w:rsid w:val="00372A06"/>
    <w:rsid w:val="00372CCC"/>
    <w:rsid w:val="00372FE8"/>
    <w:rsid w:val="0037301B"/>
    <w:rsid w:val="00373061"/>
    <w:rsid w:val="00373125"/>
    <w:rsid w:val="00373268"/>
    <w:rsid w:val="003732F3"/>
    <w:rsid w:val="0037332A"/>
    <w:rsid w:val="003733CC"/>
    <w:rsid w:val="003734F0"/>
    <w:rsid w:val="00373966"/>
    <w:rsid w:val="00373BFA"/>
    <w:rsid w:val="00373E59"/>
    <w:rsid w:val="00373F6F"/>
    <w:rsid w:val="00373F85"/>
    <w:rsid w:val="00374200"/>
    <w:rsid w:val="0037421C"/>
    <w:rsid w:val="00374314"/>
    <w:rsid w:val="00374532"/>
    <w:rsid w:val="0037467B"/>
    <w:rsid w:val="00374869"/>
    <w:rsid w:val="003748E2"/>
    <w:rsid w:val="003748FA"/>
    <w:rsid w:val="00374941"/>
    <w:rsid w:val="003749B1"/>
    <w:rsid w:val="00374AC0"/>
    <w:rsid w:val="00374AC9"/>
    <w:rsid w:val="00374B27"/>
    <w:rsid w:val="00374CAF"/>
    <w:rsid w:val="00374DFE"/>
    <w:rsid w:val="00374FCA"/>
    <w:rsid w:val="00374FD3"/>
    <w:rsid w:val="003752A5"/>
    <w:rsid w:val="00375354"/>
    <w:rsid w:val="00375361"/>
    <w:rsid w:val="003753C0"/>
    <w:rsid w:val="0037548D"/>
    <w:rsid w:val="00375570"/>
    <w:rsid w:val="0037568B"/>
    <w:rsid w:val="00375824"/>
    <w:rsid w:val="00375871"/>
    <w:rsid w:val="003758A6"/>
    <w:rsid w:val="00375A3E"/>
    <w:rsid w:val="00375B41"/>
    <w:rsid w:val="00375C23"/>
    <w:rsid w:val="00375D67"/>
    <w:rsid w:val="00375E68"/>
    <w:rsid w:val="00375EEB"/>
    <w:rsid w:val="00375F2D"/>
    <w:rsid w:val="00375FCC"/>
    <w:rsid w:val="00376154"/>
    <w:rsid w:val="00376258"/>
    <w:rsid w:val="003762B1"/>
    <w:rsid w:val="00376390"/>
    <w:rsid w:val="00376391"/>
    <w:rsid w:val="00376596"/>
    <w:rsid w:val="00376709"/>
    <w:rsid w:val="00376887"/>
    <w:rsid w:val="00376B82"/>
    <w:rsid w:val="00376D47"/>
    <w:rsid w:val="00376E8E"/>
    <w:rsid w:val="00376F2F"/>
    <w:rsid w:val="00377291"/>
    <w:rsid w:val="003772BC"/>
    <w:rsid w:val="0037769F"/>
    <w:rsid w:val="00377838"/>
    <w:rsid w:val="00377B69"/>
    <w:rsid w:val="00377D0D"/>
    <w:rsid w:val="00377E36"/>
    <w:rsid w:val="00377EE8"/>
    <w:rsid w:val="00377F8E"/>
    <w:rsid w:val="00377FB2"/>
    <w:rsid w:val="00380067"/>
    <w:rsid w:val="003800AB"/>
    <w:rsid w:val="003803B4"/>
    <w:rsid w:val="0038045E"/>
    <w:rsid w:val="003805CE"/>
    <w:rsid w:val="003805D2"/>
    <w:rsid w:val="003805FC"/>
    <w:rsid w:val="003807CD"/>
    <w:rsid w:val="00380ABE"/>
    <w:rsid w:val="00380C02"/>
    <w:rsid w:val="00380C7A"/>
    <w:rsid w:val="00380D5D"/>
    <w:rsid w:val="00380E71"/>
    <w:rsid w:val="003810F1"/>
    <w:rsid w:val="00381185"/>
    <w:rsid w:val="00381331"/>
    <w:rsid w:val="0038136E"/>
    <w:rsid w:val="00381532"/>
    <w:rsid w:val="003816FC"/>
    <w:rsid w:val="00381760"/>
    <w:rsid w:val="003819A2"/>
    <w:rsid w:val="003819B5"/>
    <w:rsid w:val="00381AB5"/>
    <w:rsid w:val="00381D70"/>
    <w:rsid w:val="00381DBD"/>
    <w:rsid w:val="00381EEC"/>
    <w:rsid w:val="00381F79"/>
    <w:rsid w:val="0038219F"/>
    <w:rsid w:val="00382613"/>
    <w:rsid w:val="0038261C"/>
    <w:rsid w:val="003827FA"/>
    <w:rsid w:val="00382871"/>
    <w:rsid w:val="003828AE"/>
    <w:rsid w:val="003829ED"/>
    <w:rsid w:val="003829F6"/>
    <w:rsid w:val="00382A17"/>
    <w:rsid w:val="00382A5A"/>
    <w:rsid w:val="00382C3B"/>
    <w:rsid w:val="00382DE4"/>
    <w:rsid w:val="00382F8F"/>
    <w:rsid w:val="00382FD1"/>
    <w:rsid w:val="00382FE3"/>
    <w:rsid w:val="00382FE4"/>
    <w:rsid w:val="00383059"/>
    <w:rsid w:val="00383114"/>
    <w:rsid w:val="0038311C"/>
    <w:rsid w:val="003831E0"/>
    <w:rsid w:val="0038321C"/>
    <w:rsid w:val="003832AF"/>
    <w:rsid w:val="003833A1"/>
    <w:rsid w:val="003836D1"/>
    <w:rsid w:val="003837D5"/>
    <w:rsid w:val="00383AD0"/>
    <w:rsid w:val="00383AFF"/>
    <w:rsid w:val="00383CD9"/>
    <w:rsid w:val="00383D43"/>
    <w:rsid w:val="00383DA1"/>
    <w:rsid w:val="00383DD1"/>
    <w:rsid w:val="00383E33"/>
    <w:rsid w:val="0038402F"/>
    <w:rsid w:val="003840AD"/>
    <w:rsid w:val="00384301"/>
    <w:rsid w:val="0038441B"/>
    <w:rsid w:val="00384537"/>
    <w:rsid w:val="00384568"/>
    <w:rsid w:val="003846F6"/>
    <w:rsid w:val="003848EE"/>
    <w:rsid w:val="003849B6"/>
    <w:rsid w:val="00384DCF"/>
    <w:rsid w:val="00384FC4"/>
    <w:rsid w:val="00385016"/>
    <w:rsid w:val="00385199"/>
    <w:rsid w:val="00385301"/>
    <w:rsid w:val="003853A0"/>
    <w:rsid w:val="003855EC"/>
    <w:rsid w:val="003856E3"/>
    <w:rsid w:val="0038574E"/>
    <w:rsid w:val="00385782"/>
    <w:rsid w:val="00385861"/>
    <w:rsid w:val="00385B04"/>
    <w:rsid w:val="00385D0E"/>
    <w:rsid w:val="00385D6D"/>
    <w:rsid w:val="00386056"/>
    <w:rsid w:val="003860BE"/>
    <w:rsid w:val="00386247"/>
    <w:rsid w:val="00386426"/>
    <w:rsid w:val="003864EB"/>
    <w:rsid w:val="003864F5"/>
    <w:rsid w:val="003865A5"/>
    <w:rsid w:val="003865AA"/>
    <w:rsid w:val="00386600"/>
    <w:rsid w:val="0038670A"/>
    <w:rsid w:val="0038692A"/>
    <w:rsid w:val="00386956"/>
    <w:rsid w:val="00386DF9"/>
    <w:rsid w:val="00386EAF"/>
    <w:rsid w:val="00386F20"/>
    <w:rsid w:val="00386FDF"/>
    <w:rsid w:val="00386FE5"/>
    <w:rsid w:val="00387033"/>
    <w:rsid w:val="00387132"/>
    <w:rsid w:val="00387215"/>
    <w:rsid w:val="00387230"/>
    <w:rsid w:val="00387282"/>
    <w:rsid w:val="003875C5"/>
    <w:rsid w:val="00387671"/>
    <w:rsid w:val="00387739"/>
    <w:rsid w:val="00387765"/>
    <w:rsid w:val="0038790C"/>
    <w:rsid w:val="00387980"/>
    <w:rsid w:val="00387AAF"/>
    <w:rsid w:val="00387C36"/>
    <w:rsid w:val="00387C44"/>
    <w:rsid w:val="00387C53"/>
    <w:rsid w:val="00387D04"/>
    <w:rsid w:val="00387D93"/>
    <w:rsid w:val="0039003D"/>
    <w:rsid w:val="00390332"/>
    <w:rsid w:val="0039042E"/>
    <w:rsid w:val="0039048E"/>
    <w:rsid w:val="003905F8"/>
    <w:rsid w:val="00390899"/>
    <w:rsid w:val="00390965"/>
    <w:rsid w:val="003909E9"/>
    <w:rsid w:val="00390ADD"/>
    <w:rsid w:val="00390C1A"/>
    <w:rsid w:val="00390CC8"/>
    <w:rsid w:val="00390DD7"/>
    <w:rsid w:val="00390F11"/>
    <w:rsid w:val="00391215"/>
    <w:rsid w:val="00391232"/>
    <w:rsid w:val="0039128C"/>
    <w:rsid w:val="00391311"/>
    <w:rsid w:val="0039136C"/>
    <w:rsid w:val="00391395"/>
    <w:rsid w:val="003913E5"/>
    <w:rsid w:val="0039188B"/>
    <w:rsid w:val="003918F3"/>
    <w:rsid w:val="0039191C"/>
    <w:rsid w:val="0039193F"/>
    <w:rsid w:val="00391AE0"/>
    <w:rsid w:val="00391E55"/>
    <w:rsid w:val="00392031"/>
    <w:rsid w:val="00392034"/>
    <w:rsid w:val="0039221E"/>
    <w:rsid w:val="003922DA"/>
    <w:rsid w:val="0039238E"/>
    <w:rsid w:val="00392750"/>
    <w:rsid w:val="003927EE"/>
    <w:rsid w:val="00392A47"/>
    <w:rsid w:val="00392A4D"/>
    <w:rsid w:val="00392A9B"/>
    <w:rsid w:val="00392C83"/>
    <w:rsid w:val="00392C92"/>
    <w:rsid w:val="00392DF2"/>
    <w:rsid w:val="00392EAC"/>
    <w:rsid w:val="00392ED1"/>
    <w:rsid w:val="00392EE5"/>
    <w:rsid w:val="00392FE7"/>
    <w:rsid w:val="003930F9"/>
    <w:rsid w:val="00393109"/>
    <w:rsid w:val="00393131"/>
    <w:rsid w:val="00393275"/>
    <w:rsid w:val="00393493"/>
    <w:rsid w:val="00393680"/>
    <w:rsid w:val="00393813"/>
    <w:rsid w:val="00393824"/>
    <w:rsid w:val="00393BCC"/>
    <w:rsid w:val="00393D58"/>
    <w:rsid w:val="00393DCD"/>
    <w:rsid w:val="00393E26"/>
    <w:rsid w:val="00393FD5"/>
    <w:rsid w:val="00393FEF"/>
    <w:rsid w:val="00394109"/>
    <w:rsid w:val="0039464D"/>
    <w:rsid w:val="00394732"/>
    <w:rsid w:val="0039473C"/>
    <w:rsid w:val="0039478A"/>
    <w:rsid w:val="003949E2"/>
    <w:rsid w:val="00394B46"/>
    <w:rsid w:val="00394C45"/>
    <w:rsid w:val="00394F69"/>
    <w:rsid w:val="00395078"/>
    <w:rsid w:val="00395119"/>
    <w:rsid w:val="00395164"/>
    <w:rsid w:val="003951EF"/>
    <w:rsid w:val="00395282"/>
    <w:rsid w:val="00395328"/>
    <w:rsid w:val="003953C1"/>
    <w:rsid w:val="00395443"/>
    <w:rsid w:val="0039557E"/>
    <w:rsid w:val="003955F6"/>
    <w:rsid w:val="0039574F"/>
    <w:rsid w:val="003959DD"/>
    <w:rsid w:val="00395C56"/>
    <w:rsid w:val="00395CD5"/>
    <w:rsid w:val="00395F5C"/>
    <w:rsid w:val="00395F91"/>
    <w:rsid w:val="00395FE8"/>
    <w:rsid w:val="00396726"/>
    <w:rsid w:val="00396905"/>
    <w:rsid w:val="003969BE"/>
    <w:rsid w:val="003969F9"/>
    <w:rsid w:val="00396CF4"/>
    <w:rsid w:val="00396D06"/>
    <w:rsid w:val="00397072"/>
    <w:rsid w:val="00397168"/>
    <w:rsid w:val="00397336"/>
    <w:rsid w:val="00397497"/>
    <w:rsid w:val="003974F5"/>
    <w:rsid w:val="003975E4"/>
    <w:rsid w:val="00397748"/>
    <w:rsid w:val="0039788E"/>
    <w:rsid w:val="003978BE"/>
    <w:rsid w:val="003979D3"/>
    <w:rsid w:val="00397CC1"/>
    <w:rsid w:val="00397D20"/>
    <w:rsid w:val="00397E73"/>
    <w:rsid w:val="00397E96"/>
    <w:rsid w:val="00397EAE"/>
    <w:rsid w:val="00397F1C"/>
    <w:rsid w:val="003A013F"/>
    <w:rsid w:val="003A037D"/>
    <w:rsid w:val="003A049B"/>
    <w:rsid w:val="003A0860"/>
    <w:rsid w:val="003A0B93"/>
    <w:rsid w:val="003A0C6A"/>
    <w:rsid w:val="003A0D97"/>
    <w:rsid w:val="003A0DCA"/>
    <w:rsid w:val="003A0DCC"/>
    <w:rsid w:val="003A0F87"/>
    <w:rsid w:val="003A0FCD"/>
    <w:rsid w:val="003A1070"/>
    <w:rsid w:val="003A10CB"/>
    <w:rsid w:val="003A10DE"/>
    <w:rsid w:val="003A1231"/>
    <w:rsid w:val="003A1288"/>
    <w:rsid w:val="003A16A1"/>
    <w:rsid w:val="003A16CB"/>
    <w:rsid w:val="003A16CD"/>
    <w:rsid w:val="003A1C18"/>
    <w:rsid w:val="003A2068"/>
    <w:rsid w:val="003A2290"/>
    <w:rsid w:val="003A27B9"/>
    <w:rsid w:val="003A2926"/>
    <w:rsid w:val="003A2A71"/>
    <w:rsid w:val="003A2BDB"/>
    <w:rsid w:val="003A2F5B"/>
    <w:rsid w:val="003A310A"/>
    <w:rsid w:val="003A31E3"/>
    <w:rsid w:val="003A3535"/>
    <w:rsid w:val="003A37DA"/>
    <w:rsid w:val="003A38E5"/>
    <w:rsid w:val="003A3ACD"/>
    <w:rsid w:val="003A3AEE"/>
    <w:rsid w:val="003A3D91"/>
    <w:rsid w:val="003A3E8A"/>
    <w:rsid w:val="003A3EB7"/>
    <w:rsid w:val="003A406E"/>
    <w:rsid w:val="003A4199"/>
    <w:rsid w:val="003A43ED"/>
    <w:rsid w:val="003A458F"/>
    <w:rsid w:val="003A459E"/>
    <w:rsid w:val="003A46EA"/>
    <w:rsid w:val="003A4836"/>
    <w:rsid w:val="003A4924"/>
    <w:rsid w:val="003A4A1A"/>
    <w:rsid w:val="003A4A41"/>
    <w:rsid w:val="003A4AFA"/>
    <w:rsid w:val="003A4DBC"/>
    <w:rsid w:val="003A4E49"/>
    <w:rsid w:val="003A4F96"/>
    <w:rsid w:val="003A507E"/>
    <w:rsid w:val="003A5099"/>
    <w:rsid w:val="003A5199"/>
    <w:rsid w:val="003A52BD"/>
    <w:rsid w:val="003A5505"/>
    <w:rsid w:val="003A56A7"/>
    <w:rsid w:val="003A56E4"/>
    <w:rsid w:val="003A587F"/>
    <w:rsid w:val="003A58C6"/>
    <w:rsid w:val="003A592A"/>
    <w:rsid w:val="003A598C"/>
    <w:rsid w:val="003A5A85"/>
    <w:rsid w:val="003A5B09"/>
    <w:rsid w:val="003A5BEE"/>
    <w:rsid w:val="003A5E23"/>
    <w:rsid w:val="003A6070"/>
    <w:rsid w:val="003A6235"/>
    <w:rsid w:val="003A62C5"/>
    <w:rsid w:val="003A63AD"/>
    <w:rsid w:val="003A63CD"/>
    <w:rsid w:val="003A63F7"/>
    <w:rsid w:val="003A6486"/>
    <w:rsid w:val="003A66B1"/>
    <w:rsid w:val="003A6AFC"/>
    <w:rsid w:val="003A6E66"/>
    <w:rsid w:val="003A6EA7"/>
    <w:rsid w:val="003A6F8E"/>
    <w:rsid w:val="003A72E3"/>
    <w:rsid w:val="003A73C3"/>
    <w:rsid w:val="003A740F"/>
    <w:rsid w:val="003A758E"/>
    <w:rsid w:val="003A75D3"/>
    <w:rsid w:val="003A76B1"/>
    <w:rsid w:val="003A7B12"/>
    <w:rsid w:val="003A7BC5"/>
    <w:rsid w:val="003A7BE2"/>
    <w:rsid w:val="003A7CE5"/>
    <w:rsid w:val="003A7D92"/>
    <w:rsid w:val="003A7E52"/>
    <w:rsid w:val="003A7F9C"/>
    <w:rsid w:val="003B00A7"/>
    <w:rsid w:val="003B0149"/>
    <w:rsid w:val="003B0296"/>
    <w:rsid w:val="003B0559"/>
    <w:rsid w:val="003B06E0"/>
    <w:rsid w:val="003B09BD"/>
    <w:rsid w:val="003B0BCB"/>
    <w:rsid w:val="003B0D96"/>
    <w:rsid w:val="003B0DD8"/>
    <w:rsid w:val="003B0EC0"/>
    <w:rsid w:val="003B0EC5"/>
    <w:rsid w:val="003B1052"/>
    <w:rsid w:val="003B1397"/>
    <w:rsid w:val="003B13A8"/>
    <w:rsid w:val="003B141C"/>
    <w:rsid w:val="003B1488"/>
    <w:rsid w:val="003B16D1"/>
    <w:rsid w:val="003B1909"/>
    <w:rsid w:val="003B190C"/>
    <w:rsid w:val="003B1C7C"/>
    <w:rsid w:val="003B1D19"/>
    <w:rsid w:val="003B1EC0"/>
    <w:rsid w:val="003B2630"/>
    <w:rsid w:val="003B2701"/>
    <w:rsid w:val="003B2A06"/>
    <w:rsid w:val="003B2A91"/>
    <w:rsid w:val="003B2C22"/>
    <w:rsid w:val="003B2CA1"/>
    <w:rsid w:val="003B2D3E"/>
    <w:rsid w:val="003B2D6C"/>
    <w:rsid w:val="003B2E4E"/>
    <w:rsid w:val="003B2E8C"/>
    <w:rsid w:val="003B2ED4"/>
    <w:rsid w:val="003B2FF8"/>
    <w:rsid w:val="003B30FB"/>
    <w:rsid w:val="003B314C"/>
    <w:rsid w:val="003B329F"/>
    <w:rsid w:val="003B33D2"/>
    <w:rsid w:val="003B3496"/>
    <w:rsid w:val="003B35AC"/>
    <w:rsid w:val="003B3606"/>
    <w:rsid w:val="003B3787"/>
    <w:rsid w:val="003B37CF"/>
    <w:rsid w:val="003B38FA"/>
    <w:rsid w:val="003B395F"/>
    <w:rsid w:val="003B3A14"/>
    <w:rsid w:val="003B3B14"/>
    <w:rsid w:val="003B3BC7"/>
    <w:rsid w:val="003B3C7E"/>
    <w:rsid w:val="003B3CE8"/>
    <w:rsid w:val="003B4041"/>
    <w:rsid w:val="003B4277"/>
    <w:rsid w:val="003B4492"/>
    <w:rsid w:val="003B45EC"/>
    <w:rsid w:val="003B4601"/>
    <w:rsid w:val="003B4981"/>
    <w:rsid w:val="003B49C7"/>
    <w:rsid w:val="003B4A05"/>
    <w:rsid w:val="003B4A6C"/>
    <w:rsid w:val="003B5024"/>
    <w:rsid w:val="003B5185"/>
    <w:rsid w:val="003B51F9"/>
    <w:rsid w:val="003B5207"/>
    <w:rsid w:val="003B5256"/>
    <w:rsid w:val="003B53F7"/>
    <w:rsid w:val="003B5606"/>
    <w:rsid w:val="003B5651"/>
    <w:rsid w:val="003B5688"/>
    <w:rsid w:val="003B5B6F"/>
    <w:rsid w:val="003B5B98"/>
    <w:rsid w:val="003B5C14"/>
    <w:rsid w:val="003B5DA4"/>
    <w:rsid w:val="003B607A"/>
    <w:rsid w:val="003B612A"/>
    <w:rsid w:val="003B6178"/>
    <w:rsid w:val="003B61FA"/>
    <w:rsid w:val="003B6286"/>
    <w:rsid w:val="003B635D"/>
    <w:rsid w:val="003B636D"/>
    <w:rsid w:val="003B6385"/>
    <w:rsid w:val="003B66FF"/>
    <w:rsid w:val="003B6A61"/>
    <w:rsid w:val="003B6A7F"/>
    <w:rsid w:val="003B6BF8"/>
    <w:rsid w:val="003B6C33"/>
    <w:rsid w:val="003B6E26"/>
    <w:rsid w:val="003B6E4B"/>
    <w:rsid w:val="003B6EAD"/>
    <w:rsid w:val="003B6ED7"/>
    <w:rsid w:val="003B716A"/>
    <w:rsid w:val="003B734E"/>
    <w:rsid w:val="003B73A8"/>
    <w:rsid w:val="003B76A9"/>
    <w:rsid w:val="003B76C4"/>
    <w:rsid w:val="003B784B"/>
    <w:rsid w:val="003B78AC"/>
    <w:rsid w:val="003B7947"/>
    <w:rsid w:val="003B7AC5"/>
    <w:rsid w:val="003B7B7C"/>
    <w:rsid w:val="003B7CE0"/>
    <w:rsid w:val="003B7DFF"/>
    <w:rsid w:val="003B7F0E"/>
    <w:rsid w:val="003C00DF"/>
    <w:rsid w:val="003C0271"/>
    <w:rsid w:val="003C03B8"/>
    <w:rsid w:val="003C05AF"/>
    <w:rsid w:val="003C0657"/>
    <w:rsid w:val="003C081B"/>
    <w:rsid w:val="003C08A2"/>
    <w:rsid w:val="003C08BA"/>
    <w:rsid w:val="003C0AF4"/>
    <w:rsid w:val="003C0B05"/>
    <w:rsid w:val="003C0B23"/>
    <w:rsid w:val="003C0C3D"/>
    <w:rsid w:val="003C0C74"/>
    <w:rsid w:val="003C0C82"/>
    <w:rsid w:val="003C0D76"/>
    <w:rsid w:val="003C1047"/>
    <w:rsid w:val="003C113C"/>
    <w:rsid w:val="003C11E4"/>
    <w:rsid w:val="003C15D0"/>
    <w:rsid w:val="003C174C"/>
    <w:rsid w:val="003C17AB"/>
    <w:rsid w:val="003C187D"/>
    <w:rsid w:val="003C1911"/>
    <w:rsid w:val="003C19B3"/>
    <w:rsid w:val="003C1B24"/>
    <w:rsid w:val="003C1B3D"/>
    <w:rsid w:val="003C1D23"/>
    <w:rsid w:val="003C1E2A"/>
    <w:rsid w:val="003C1F54"/>
    <w:rsid w:val="003C231E"/>
    <w:rsid w:val="003C23BE"/>
    <w:rsid w:val="003C2432"/>
    <w:rsid w:val="003C2451"/>
    <w:rsid w:val="003C2465"/>
    <w:rsid w:val="003C2537"/>
    <w:rsid w:val="003C26F0"/>
    <w:rsid w:val="003C297A"/>
    <w:rsid w:val="003C299A"/>
    <w:rsid w:val="003C2A86"/>
    <w:rsid w:val="003C2AE7"/>
    <w:rsid w:val="003C2CB7"/>
    <w:rsid w:val="003C2D18"/>
    <w:rsid w:val="003C2DB8"/>
    <w:rsid w:val="003C2E44"/>
    <w:rsid w:val="003C2F63"/>
    <w:rsid w:val="003C2F74"/>
    <w:rsid w:val="003C306C"/>
    <w:rsid w:val="003C307E"/>
    <w:rsid w:val="003C31BD"/>
    <w:rsid w:val="003C322D"/>
    <w:rsid w:val="003C33CE"/>
    <w:rsid w:val="003C34E8"/>
    <w:rsid w:val="003C3622"/>
    <w:rsid w:val="003C368B"/>
    <w:rsid w:val="003C37E2"/>
    <w:rsid w:val="003C382C"/>
    <w:rsid w:val="003C3B57"/>
    <w:rsid w:val="003C3BCB"/>
    <w:rsid w:val="003C3C58"/>
    <w:rsid w:val="003C3D33"/>
    <w:rsid w:val="003C3DB3"/>
    <w:rsid w:val="003C3E1C"/>
    <w:rsid w:val="003C3EA1"/>
    <w:rsid w:val="003C3F7C"/>
    <w:rsid w:val="003C3F9A"/>
    <w:rsid w:val="003C443D"/>
    <w:rsid w:val="003C4672"/>
    <w:rsid w:val="003C47A6"/>
    <w:rsid w:val="003C47DE"/>
    <w:rsid w:val="003C47FB"/>
    <w:rsid w:val="003C4862"/>
    <w:rsid w:val="003C4870"/>
    <w:rsid w:val="003C48FB"/>
    <w:rsid w:val="003C49C5"/>
    <w:rsid w:val="003C4A22"/>
    <w:rsid w:val="003C4C63"/>
    <w:rsid w:val="003C4D05"/>
    <w:rsid w:val="003C4D68"/>
    <w:rsid w:val="003C4F32"/>
    <w:rsid w:val="003C5150"/>
    <w:rsid w:val="003C51C9"/>
    <w:rsid w:val="003C52DA"/>
    <w:rsid w:val="003C53CD"/>
    <w:rsid w:val="003C5403"/>
    <w:rsid w:val="003C544E"/>
    <w:rsid w:val="003C5621"/>
    <w:rsid w:val="003C5849"/>
    <w:rsid w:val="003C58AE"/>
    <w:rsid w:val="003C58E0"/>
    <w:rsid w:val="003C595B"/>
    <w:rsid w:val="003C59EE"/>
    <w:rsid w:val="003C5A4F"/>
    <w:rsid w:val="003C5C62"/>
    <w:rsid w:val="003C5CB7"/>
    <w:rsid w:val="003C5D06"/>
    <w:rsid w:val="003C5DC9"/>
    <w:rsid w:val="003C6084"/>
    <w:rsid w:val="003C612A"/>
    <w:rsid w:val="003C6249"/>
    <w:rsid w:val="003C636E"/>
    <w:rsid w:val="003C63F6"/>
    <w:rsid w:val="003C64EF"/>
    <w:rsid w:val="003C662B"/>
    <w:rsid w:val="003C68CE"/>
    <w:rsid w:val="003C68F8"/>
    <w:rsid w:val="003C6A15"/>
    <w:rsid w:val="003C6A7D"/>
    <w:rsid w:val="003C6D82"/>
    <w:rsid w:val="003C6EC9"/>
    <w:rsid w:val="003C6F6F"/>
    <w:rsid w:val="003C6F98"/>
    <w:rsid w:val="003C7050"/>
    <w:rsid w:val="003C73AD"/>
    <w:rsid w:val="003C740B"/>
    <w:rsid w:val="003C743E"/>
    <w:rsid w:val="003C7632"/>
    <w:rsid w:val="003C77EA"/>
    <w:rsid w:val="003C7A3A"/>
    <w:rsid w:val="003C7B93"/>
    <w:rsid w:val="003C7C3B"/>
    <w:rsid w:val="003C7C79"/>
    <w:rsid w:val="003C7CE7"/>
    <w:rsid w:val="003C7CF7"/>
    <w:rsid w:val="003C7D1C"/>
    <w:rsid w:val="003C7D32"/>
    <w:rsid w:val="003C7D4D"/>
    <w:rsid w:val="003D0125"/>
    <w:rsid w:val="003D024D"/>
    <w:rsid w:val="003D0470"/>
    <w:rsid w:val="003D07DA"/>
    <w:rsid w:val="003D07F1"/>
    <w:rsid w:val="003D08E2"/>
    <w:rsid w:val="003D0936"/>
    <w:rsid w:val="003D097E"/>
    <w:rsid w:val="003D0A57"/>
    <w:rsid w:val="003D0AFD"/>
    <w:rsid w:val="003D0C9B"/>
    <w:rsid w:val="003D0D99"/>
    <w:rsid w:val="003D0DF0"/>
    <w:rsid w:val="003D0E67"/>
    <w:rsid w:val="003D1024"/>
    <w:rsid w:val="003D1059"/>
    <w:rsid w:val="003D10BD"/>
    <w:rsid w:val="003D10CA"/>
    <w:rsid w:val="003D1147"/>
    <w:rsid w:val="003D142E"/>
    <w:rsid w:val="003D1754"/>
    <w:rsid w:val="003D193F"/>
    <w:rsid w:val="003D1B8B"/>
    <w:rsid w:val="003D1CF7"/>
    <w:rsid w:val="003D1D7D"/>
    <w:rsid w:val="003D1DB5"/>
    <w:rsid w:val="003D1F63"/>
    <w:rsid w:val="003D22B6"/>
    <w:rsid w:val="003D22CF"/>
    <w:rsid w:val="003D23E3"/>
    <w:rsid w:val="003D24AD"/>
    <w:rsid w:val="003D25B1"/>
    <w:rsid w:val="003D271D"/>
    <w:rsid w:val="003D29CF"/>
    <w:rsid w:val="003D29FC"/>
    <w:rsid w:val="003D2A3C"/>
    <w:rsid w:val="003D2B3A"/>
    <w:rsid w:val="003D2BD9"/>
    <w:rsid w:val="003D2D93"/>
    <w:rsid w:val="003D2F9E"/>
    <w:rsid w:val="003D3136"/>
    <w:rsid w:val="003D3193"/>
    <w:rsid w:val="003D321F"/>
    <w:rsid w:val="003D3225"/>
    <w:rsid w:val="003D323B"/>
    <w:rsid w:val="003D33D8"/>
    <w:rsid w:val="003D347A"/>
    <w:rsid w:val="003D3718"/>
    <w:rsid w:val="003D3823"/>
    <w:rsid w:val="003D3877"/>
    <w:rsid w:val="003D388B"/>
    <w:rsid w:val="003D3B35"/>
    <w:rsid w:val="003D3B84"/>
    <w:rsid w:val="003D3BD2"/>
    <w:rsid w:val="003D3CD8"/>
    <w:rsid w:val="003D3E9F"/>
    <w:rsid w:val="003D3FE1"/>
    <w:rsid w:val="003D4075"/>
    <w:rsid w:val="003D4194"/>
    <w:rsid w:val="003D428A"/>
    <w:rsid w:val="003D430F"/>
    <w:rsid w:val="003D43A6"/>
    <w:rsid w:val="003D43DE"/>
    <w:rsid w:val="003D4498"/>
    <w:rsid w:val="003D482C"/>
    <w:rsid w:val="003D4886"/>
    <w:rsid w:val="003D4A2F"/>
    <w:rsid w:val="003D4A6B"/>
    <w:rsid w:val="003D4B9D"/>
    <w:rsid w:val="003D4CD1"/>
    <w:rsid w:val="003D4CE2"/>
    <w:rsid w:val="003D4D59"/>
    <w:rsid w:val="003D5110"/>
    <w:rsid w:val="003D549B"/>
    <w:rsid w:val="003D55A0"/>
    <w:rsid w:val="003D55C7"/>
    <w:rsid w:val="003D57AF"/>
    <w:rsid w:val="003D5A82"/>
    <w:rsid w:val="003D5B9B"/>
    <w:rsid w:val="003D5D5F"/>
    <w:rsid w:val="003D5DC1"/>
    <w:rsid w:val="003D609B"/>
    <w:rsid w:val="003D6291"/>
    <w:rsid w:val="003D6341"/>
    <w:rsid w:val="003D63A0"/>
    <w:rsid w:val="003D6406"/>
    <w:rsid w:val="003D65FF"/>
    <w:rsid w:val="003D662C"/>
    <w:rsid w:val="003D697A"/>
    <w:rsid w:val="003D6A30"/>
    <w:rsid w:val="003D6DC5"/>
    <w:rsid w:val="003D704E"/>
    <w:rsid w:val="003D70C4"/>
    <w:rsid w:val="003D714C"/>
    <w:rsid w:val="003D7533"/>
    <w:rsid w:val="003D75D2"/>
    <w:rsid w:val="003D7633"/>
    <w:rsid w:val="003D7710"/>
    <w:rsid w:val="003D79E3"/>
    <w:rsid w:val="003D7A42"/>
    <w:rsid w:val="003D7A68"/>
    <w:rsid w:val="003D7B29"/>
    <w:rsid w:val="003D7D47"/>
    <w:rsid w:val="003D7D5D"/>
    <w:rsid w:val="003D7D8D"/>
    <w:rsid w:val="003D7F17"/>
    <w:rsid w:val="003E0071"/>
    <w:rsid w:val="003E00AE"/>
    <w:rsid w:val="003E0204"/>
    <w:rsid w:val="003E024D"/>
    <w:rsid w:val="003E04FB"/>
    <w:rsid w:val="003E08EC"/>
    <w:rsid w:val="003E08EE"/>
    <w:rsid w:val="003E0918"/>
    <w:rsid w:val="003E0A1A"/>
    <w:rsid w:val="003E0A53"/>
    <w:rsid w:val="003E0BA4"/>
    <w:rsid w:val="003E0D0E"/>
    <w:rsid w:val="003E0D11"/>
    <w:rsid w:val="003E0E1A"/>
    <w:rsid w:val="003E1165"/>
    <w:rsid w:val="003E11F0"/>
    <w:rsid w:val="003E1362"/>
    <w:rsid w:val="003E14F2"/>
    <w:rsid w:val="003E152E"/>
    <w:rsid w:val="003E16A3"/>
    <w:rsid w:val="003E16D3"/>
    <w:rsid w:val="003E1786"/>
    <w:rsid w:val="003E1800"/>
    <w:rsid w:val="003E18C9"/>
    <w:rsid w:val="003E197C"/>
    <w:rsid w:val="003E19BE"/>
    <w:rsid w:val="003E19C6"/>
    <w:rsid w:val="003E1B01"/>
    <w:rsid w:val="003E1B3D"/>
    <w:rsid w:val="003E1B4F"/>
    <w:rsid w:val="003E1C8B"/>
    <w:rsid w:val="003E1EBF"/>
    <w:rsid w:val="003E2026"/>
    <w:rsid w:val="003E20EB"/>
    <w:rsid w:val="003E2145"/>
    <w:rsid w:val="003E263D"/>
    <w:rsid w:val="003E27C0"/>
    <w:rsid w:val="003E2ACC"/>
    <w:rsid w:val="003E2C77"/>
    <w:rsid w:val="003E305B"/>
    <w:rsid w:val="003E3170"/>
    <w:rsid w:val="003E321B"/>
    <w:rsid w:val="003E3327"/>
    <w:rsid w:val="003E35E5"/>
    <w:rsid w:val="003E37F3"/>
    <w:rsid w:val="003E3936"/>
    <w:rsid w:val="003E3A8B"/>
    <w:rsid w:val="003E3AAC"/>
    <w:rsid w:val="003E3B1A"/>
    <w:rsid w:val="003E3B21"/>
    <w:rsid w:val="003E3B5E"/>
    <w:rsid w:val="003E3E25"/>
    <w:rsid w:val="003E3EFD"/>
    <w:rsid w:val="003E3FA3"/>
    <w:rsid w:val="003E4014"/>
    <w:rsid w:val="003E40D6"/>
    <w:rsid w:val="003E4125"/>
    <w:rsid w:val="003E423B"/>
    <w:rsid w:val="003E44E1"/>
    <w:rsid w:val="003E4511"/>
    <w:rsid w:val="003E462D"/>
    <w:rsid w:val="003E46CC"/>
    <w:rsid w:val="003E46ED"/>
    <w:rsid w:val="003E49DA"/>
    <w:rsid w:val="003E4A42"/>
    <w:rsid w:val="003E4B07"/>
    <w:rsid w:val="003E4B59"/>
    <w:rsid w:val="003E4E1D"/>
    <w:rsid w:val="003E4E77"/>
    <w:rsid w:val="003E52B0"/>
    <w:rsid w:val="003E52D0"/>
    <w:rsid w:val="003E52F0"/>
    <w:rsid w:val="003E5312"/>
    <w:rsid w:val="003E5428"/>
    <w:rsid w:val="003E555C"/>
    <w:rsid w:val="003E5610"/>
    <w:rsid w:val="003E5735"/>
    <w:rsid w:val="003E5831"/>
    <w:rsid w:val="003E597E"/>
    <w:rsid w:val="003E5B5C"/>
    <w:rsid w:val="003E5BD0"/>
    <w:rsid w:val="003E5E12"/>
    <w:rsid w:val="003E5E76"/>
    <w:rsid w:val="003E5EE3"/>
    <w:rsid w:val="003E60CB"/>
    <w:rsid w:val="003E60F7"/>
    <w:rsid w:val="003E6110"/>
    <w:rsid w:val="003E61AC"/>
    <w:rsid w:val="003E63B9"/>
    <w:rsid w:val="003E63D1"/>
    <w:rsid w:val="003E63E5"/>
    <w:rsid w:val="003E6460"/>
    <w:rsid w:val="003E652A"/>
    <w:rsid w:val="003E65D8"/>
    <w:rsid w:val="003E660B"/>
    <w:rsid w:val="003E6667"/>
    <w:rsid w:val="003E673A"/>
    <w:rsid w:val="003E6B19"/>
    <w:rsid w:val="003E713C"/>
    <w:rsid w:val="003E727B"/>
    <w:rsid w:val="003E74AE"/>
    <w:rsid w:val="003E761A"/>
    <w:rsid w:val="003E76FB"/>
    <w:rsid w:val="003E7749"/>
    <w:rsid w:val="003E7A05"/>
    <w:rsid w:val="003E7B7E"/>
    <w:rsid w:val="003E7C74"/>
    <w:rsid w:val="003E7E82"/>
    <w:rsid w:val="003E7EE5"/>
    <w:rsid w:val="003E7F5F"/>
    <w:rsid w:val="003E7FF7"/>
    <w:rsid w:val="003F009A"/>
    <w:rsid w:val="003F00B3"/>
    <w:rsid w:val="003F0277"/>
    <w:rsid w:val="003F02E9"/>
    <w:rsid w:val="003F0448"/>
    <w:rsid w:val="003F05C1"/>
    <w:rsid w:val="003F0718"/>
    <w:rsid w:val="003F07DC"/>
    <w:rsid w:val="003F0889"/>
    <w:rsid w:val="003F0A75"/>
    <w:rsid w:val="003F0BAF"/>
    <w:rsid w:val="003F0D21"/>
    <w:rsid w:val="003F0D99"/>
    <w:rsid w:val="003F0F32"/>
    <w:rsid w:val="003F11A2"/>
    <w:rsid w:val="003F11BD"/>
    <w:rsid w:val="003F1244"/>
    <w:rsid w:val="003F1254"/>
    <w:rsid w:val="003F12DB"/>
    <w:rsid w:val="003F1366"/>
    <w:rsid w:val="003F14ED"/>
    <w:rsid w:val="003F15A7"/>
    <w:rsid w:val="003F1770"/>
    <w:rsid w:val="003F1780"/>
    <w:rsid w:val="003F17A6"/>
    <w:rsid w:val="003F19FA"/>
    <w:rsid w:val="003F1E25"/>
    <w:rsid w:val="003F1F10"/>
    <w:rsid w:val="003F1F42"/>
    <w:rsid w:val="003F210A"/>
    <w:rsid w:val="003F21B1"/>
    <w:rsid w:val="003F21B8"/>
    <w:rsid w:val="003F22F5"/>
    <w:rsid w:val="003F2575"/>
    <w:rsid w:val="003F25ED"/>
    <w:rsid w:val="003F2605"/>
    <w:rsid w:val="003F27AF"/>
    <w:rsid w:val="003F27C4"/>
    <w:rsid w:val="003F2899"/>
    <w:rsid w:val="003F2948"/>
    <w:rsid w:val="003F29D0"/>
    <w:rsid w:val="003F2E54"/>
    <w:rsid w:val="003F30CE"/>
    <w:rsid w:val="003F30E9"/>
    <w:rsid w:val="003F3197"/>
    <w:rsid w:val="003F33E6"/>
    <w:rsid w:val="003F3405"/>
    <w:rsid w:val="003F35A2"/>
    <w:rsid w:val="003F3687"/>
    <w:rsid w:val="003F36E7"/>
    <w:rsid w:val="003F3888"/>
    <w:rsid w:val="003F3E74"/>
    <w:rsid w:val="003F3E7A"/>
    <w:rsid w:val="003F3EE5"/>
    <w:rsid w:val="003F3F05"/>
    <w:rsid w:val="003F3F37"/>
    <w:rsid w:val="003F3F40"/>
    <w:rsid w:val="003F4057"/>
    <w:rsid w:val="003F4140"/>
    <w:rsid w:val="003F4192"/>
    <w:rsid w:val="003F4490"/>
    <w:rsid w:val="003F44FF"/>
    <w:rsid w:val="003F45D4"/>
    <w:rsid w:val="003F4698"/>
    <w:rsid w:val="003F48E4"/>
    <w:rsid w:val="003F4C4A"/>
    <w:rsid w:val="003F4C82"/>
    <w:rsid w:val="003F4E03"/>
    <w:rsid w:val="003F4E0A"/>
    <w:rsid w:val="003F4FD7"/>
    <w:rsid w:val="003F51DE"/>
    <w:rsid w:val="003F56D4"/>
    <w:rsid w:val="003F574F"/>
    <w:rsid w:val="003F5970"/>
    <w:rsid w:val="003F5A2A"/>
    <w:rsid w:val="003F5A61"/>
    <w:rsid w:val="003F5C05"/>
    <w:rsid w:val="003F5E0F"/>
    <w:rsid w:val="003F5E3A"/>
    <w:rsid w:val="003F5F26"/>
    <w:rsid w:val="003F61B7"/>
    <w:rsid w:val="003F651C"/>
    <w:rsid w:val="003F6598"/>
    <w:rsid w:val="003F674F"/>
    <w:rsid w:val="003F6886"/>
    <w:rsid w:val="003F68AB"/>
    <w:rsid w:val="003F68E7"/>
    <w:rsid w:val="003F6927"/>
    <w:rsid w:val="003F69E6"/>
    <w:rsid w:val="003F6C38"/>
    <w:rsid w:val="003F6C9A"/>
    <w:rsid w:val="003F6CE2"/>
    <w:rsid w:val="003F6D63"/>
    <w:rsid w:val="003F7058"/>
    <w:rsid w:val="003F75DF"/>
    <w:rsid w:val="003F7733"/>
    <w:rsid w:val="003F7A15"/>
    <w:rsid w:val="003F7AFE"/>
    <w:rsid w:val="003F7B2B"/>
    <w:rsid w:val="003F7C28"/>
    <w:rsid w:val="003F7CBF"/>
    <w:rsid w:val="003F7F82"/>
    <w:rsid w:val="00400066"/>
    <w:rsid w:val="00400171"/>
    <w:rsid w:val="004001A9"/>
    <w:rsid w:val="004001AF"/>
    <w:rsid w:val="00400378"/>
    <w:rsid w:val="004005D1"/>
    <w:rsid w:val="004005DA"/>
    <w:rsid w:val="00400644"/>
    <w:rsid w:val="00400684"/>
    <w:rsid w:val="00400695"/>
    <w:rsid w:val="00400764"/>
    <w:rsid w:val="00400C95"/>
    <w:rsid w:val="00400CED"/>
    <w:rsid w:val="00400D4B"/>
    <w:rsid w:val="00400DE2"/>
    <w:rsid w:val="004010B4"/>
    <w:rsid w:val="00401147"/>
    <w:rsid w:val="00401164"/>
    <w:rsid w:val="0040150F"/>
    <w:rsid w:val="00401675"/>
    <w:rsid w:val="004017C4"/>
    <w:rsid w:val="0040185A"/>
    <w:rsid w:val="00401864"/>
    <w:rsid w:val="004018F6"/>
    <w:rsid w:val="00401AFD"/>
    <w:rsid w:val="00401B0E"/>
    <w:rsid w:val="00401E2A"/>
    <w:rsid w:val="00401E60"/>
    <w:rsid w:val="0040209E"/>
    <w:rsid w:val="0040252A"/>
    <w:rsid w:val="004026AB"/>
    <w:rsid w:val="00402717"/>
    <w:rsid w:val="00402939"/>
    <w:rsid w:val="00402AC9"/>
    <w:rsid w:val="00402B12"/>
    <w:rsid w:val="00402C71"/>
    <w:rsid w:val="00402D7A"/>
    <w:rsid w:val="00402DB6"/>
    <w:rsid w:val="00403347"/>
    <w:rsid w:val="0040356A"/>
    <w:rsid w:val="0040361B"/>
    <w:rsid w:val="00403760"/>
    <w:rsid w:val="004037EA"/>
    <w:rsid w:val="004037FA"/>
    <w:rsid w:val="00403884"/>
    <w:rsid w:val="00403895"/>
    <w:rsid w:val="00403BE4"/>
    <w:rsid w:val="00403D42"/>
    <w:rsid w:val="00403EE6"/>
    <w:rsid w:val="00403FD5"/>
    <w:rsid w:val="004041B8"/>
    <w:rsid w:val="004043DF"/>
    <w:rsid w:val="0040454F"/>
    <w:rsid w:val="004045D3"/>
    <w:rsid w:val="004046D1"/>
    <w:rsid w:val="004047DA"/>
    <w:rsid w:val="0040480B"/>
    <w:rsid w:val="00404913"/>
    <w:rsid w:val="00404B81"/>
    <w:rsid w:val="00404FEF"/>
    <w:rsid w:val="00404FF0"/>
    <w:rsid w:val="004051B1"/>
    <w:rsid w:val="00405233"/>
    <w:rsid w:val="00405539"/>
    <w:rsid w:val="00405CFB"/>
    <w:rsid w:val="0040618F"/>
    <w:rsid w:val="00406278"/>
    <w:rsid w:val="00406375"/>
    <w:rsid w:val="00406486"/>
    <w:rsid w:val="0040669E"/>
    <w:rsid w:val="00406724"/>
    <w:rsid w:val="00406A8E"/>
    <w:rsid w:val="00406F41"/>
    <w:rsid w:val="00407271"/>
    <w:rsid w:val="004075F7"/>
    <w:rsid w:val="00407710"/>
    <w:rsid w:val="0040778A"/>
    <w:rsid w:val="004077A2"/>
    <w:rsid w:val="00407E7D"/>
    <w:rsid w:val="00407E85"/>
    <w:rsid w:val="00407FE3"/>
    <w:rsid w:val="00410143"/>
    <w:rsid w:val="00410246"/>
    <w:rsid w:val="004102F0"/>
    <w:rsid w:val="0041032E"/>
    <w:rsid w:val="00410627"/>
    <w:rsid w:val="0041071B"/>
    <w:rsid w:val="004107BD"/>
    <w:rsid w:val="004107E2"/>
    <w:rsid w:val="00410815"/>
    <w:rsid w:val="004108A8"/>
    <w:rsid w:val="004108C9"/>
    <w:rsid w:val="00410B02"/>
    <w:rsid w:val="00410CE9"/>
    <w:rsid w:val="00410D6F"/>
    <w:rsid w:val="00410F1A"/>
    <w:rsid w:val="00410FA8"/>
    <w:rsid w:val="004111A0"/>
    <w:rsid w:val="0041133A"/>
    <w:rsid w:val="004118C8"/>
    <w:rsid w:val="0041191B"/>
    <w:rsid w:val="00411B19"/>
    <w:rsid w:val="00411D5D"/>
    <w:rsid w:val="00411F49"/>
    <w:rsid w:val="004120FE"/>
    <w:rsid w:val="004121A2"/>
    <w:rsid w:val="004121EE"/>
    <w:rsid w:val="0041229A"/>
    <w:rsid w:val="0041260A"/>
    <w:rsid w:val="00412723"/>
    <w:rsid w:val="004127A0"/>
    <w:rsid w:val="004127B8"/>
    <w:rsid w:val="00412A78"/>
    <w:rsid w:val="00412A86"/>
    <w:rsid w:val="00412C1F"/>
    <w:rsid w:val="00413159"/>
    <w:rsid w:val="0041356A"/>
    <w:rsid w:val="00413667"/>
    <w:rsid w:val="00413790"/>
    <w:rsid w:val="004137CF"/>
    <w:rsid w:val="00413909"/>
    <w:rsid w:val="0041394E"/>
    <w:rsid w:val="0041398E"/>
    <w:rsid w:val="00413A4E"/>
    <w:rsid w:val="00413CCE"/>
    <w:rsid w:val="00413D1A"/>
    <w:rsid w:val="00413D9C"/>
    <w:rsid w:val="00413ECA"/>
    <w:rsid w:val="00413ED8"/>
    <w:rsid w:val="0041421B"/>
    <w:rsid w:val="004142EB"/>
    <w:rsid w:val="00414370"/>
    <w:rsid w:val="0041456E"/>
    <w:rsid w:val="00414597"/>
    <w:rsid w:val="00414700"/>
    <w:rsid w:val="00414903"/>
    <w:rsid w:val="00414ACC"/>
    <w:rsid w:val="00414C15"/>
    <w:rsid w:val="00414CD2"/>
    <w:rsid w:val="00414D39"/>
    <w:rsid w:val="00414E16"/>
    <w:rsid w:val="00415071"/>
    <w:rsid w:val="00415278"/>
    <w:rsid w:val="0041551B"/>
    <w:rsid w:val="00415701"/>
    <w:rsid w:val="00415A81"/>
    <w:rsid w:val="00415D0F"/>
    <w:rsid w:val="00415EB4"/>
    <w:rsid w:val="00415F2D"/>
    <w:rsid w:val="004161FE"/>
    <w:rsid w:val="00416327"/>
    <w:rsid w:val="0041632B"/>
    <w:rsid w:val="0041638C"/>
    <w:rsid w:val="004163FB"/>
    <w:rsid w:val="00416558"/>
    <w:rsid w:val="004165E9"/>
    <w:rsid w:val="00416717"/>
    <w:rsid w:val="004167DA"/>
    <w:rsid w:val="004169EE"/>
    <w:rsid w:val="00416A6A"/>
    <w:rsid w:val="00416AF6"/>
    <w:rsid w:val="00416B10"/>
    <w:rsid w:val="00416BB2"/>
    <w:rsid w:val="00416D3A"/>
    <w:rsid w:val="00416F25"/>
    <w:rsid w:val="004176CF"/>
    <w:rsid w:val="004176E5"/>
    <w:rsid w:val="0041773D"/>
    <w:rsid w:val="004178EB"/>
    <w:rsid w:val="00417997"/>
    <w:rsid w:val="00417B5B"/>
    <w:rsid w:val="00417B81"/>
    <w:rsid w:val="00417C4F"/>
    <w:rsid w:val="00417DC8"/>
    <w:rsid w:val="00417F22"/>
    <w:rsid w:val="0042004E"/>
    <w:rsid w:val="004200AF"/>
    <w:rsid w:val="0042029B"/>
    <w:rsid w:val="00420649"/>
    <w:rsid w:val="00420739"/>
    <w:rsid w:val="004207EE"/>
    <w:rsid w:val="0042087A"/>
    <w:rsid w:val="00420934"/>
    <w:rsid w:val="004209B8"/>
    <w:rsid w:val="00420AF8"/>
    <w:rsid w:val="00420B13"/>
    <w:rsid w:val="00420E42"/>
    <w:rsid w:val="00420EC6"/>
    <w:rsid w:val="00420FBE"/>
    <w:rsid w:val="0042106C"/>
    <w:rsid w:val="00421093"/>
    <w:rsid w:val="004210E9"/>
    <w:rsid w:val="00421275"/>
    <w:rsid w:val="00421299"/>
    <w:rsid w:val="004212DF"/>
    <w:rsid w:val="0042131E"/>
    <w:rsid w:val="0042138E"/>
    <w:rsid w:val="00421488"/>
    <w:rsid w:val="004214ED"/>
    <w:rsid w:val="00421565"/>
    <w:rsid w:val="00421808"/>
    <w:rsid w:val="0042180B"/>
    <w:rsid w:val="00421811"/>
    <w:rsid w:val="0042189C"/>
    <w:rsid w:val="004219C2"/>
    <w:rsid w:val="00421AC7"/>
    <w:rsid w:val="00421DA5"/>
    <w:rsid w:val="00421E9D"/>
    <w:rsid w:val="00421EB7"/>
    <w:rsid w:val="00421F65"/>
    <w:rsid w:val="00421FF6"/>
    <w:rsid w:val="00422036"/>
    <w:rsid w:val="004220EB"/>
    <w:rsid w:val="004220F2"/>
    <w:rsid w:val="0042211B"/>
    <w:rsid w:val="00422292"/>
    <w:rsid w:val="004222ED"/>
    <w:rsid w:val="004226E9"/>
    <w:rsid w:val="00422738"/>
    <w:rsid w:val="004229DF"/>
    <w:rsid w:val="00422C76"/>
    <w:rsid w:val="00422CF8"/>
    <w:rsid w:val="00422E5A"/>
    <w:rsid w:val="00422E68"/>
    <w:rsid w:val="00422ED4"/>
    <w:rsid w:val="0042322D"/>
    <w:rsid w:val="00423294"/>
    <w:rsid w:val="004232B3"/>
    <w:rsid w:val="004236AC"/>
    <w:rsid w:val="004237AA"/>
    <w:rsid w:val="00423A86"/>
    <w:rsid w:val="00423D9B"/>
    <w:rsid w:val="00423DD2"/>
    <w:rsid w:val="00423DFF"/>
    <w:rsid w:val="00423FFA"/>
    <w:rsid w:val="00424050"/>
    <w:rsid w:val="00424133"/>
    <w:rsid w:val="00424176"/>
    <w:rsid w:val="00424209"/>
    <w:rsid w:val="00424244"/>
    <w:rsid w:val="004243A5"/>
    <w:rsid w:val="00424487"/>
    <w:rsid w:val="00424528"/>
    <w:rsid w:val="00424542"/>
    <w:rsid w:val="00424925"/>
    <w:rsid w:val="00424A85"/>
    <w:rsid w:val="00424AC4"/>
    <w:rsid w:val="00424AD7"/>
    <w:rsid w:val="00424B36"/>
    <w:rsid w:val="00424C12"/>
    <w:rsid w:val="00424C5A"/>
    <w:rsid w:val="00424ED3"/>
    <w:rsid w:val="00424F26"/>
    <w:rsid w:val="00425010"/>
    <w:rsid w:val="004250A7"/>
    <w:rsid w:val="00425156"/>
    <w:rsid w:val="0042523A"/>
    <w:rsid w:val="004254B2"/>
    <w:rsid w:val="00425782"/>
    <w:rsid w:val="004257C1"/>
    <w:rsid w:val="004257ED"/>
    <w:rsid w:val="00425A33"/>
    <w:rsid w:val="00425A41"/>
    <w:rsid w:val="00425AE7"/>
    <w:rsid w:val="00425B6D"/>
    <w:rsid w:val="00425BD6"/>
    <w:rsid w:val="00425D02"/>
    <w:rsid w:val="00425E5B"/>
    <w:rsid w:val="00425EBF"/>
    <w:rsid w:val="00425F64"/>
    <w:rsid w:val="00425F73"/>
    <w:rsid w:val="00425F97"/>
    <w:rsid w:val="00425FF6"/>
    <w:rsid w:val="00426135"/>
    <w:rsid w:val="0042613A"/>
    <w:rsid w:val="0042628A"/>
    <w:rsid w:val="00426335"/>
    <w:rsid w:val="004265FC"/>
    <w:rsid w:val="00426B58"/>
    <w:rsid w:val="00426C35"/>
    <w:rsid w:val="00426D0F"/>
    <w:rsid w:val="00427136"/>
    <w:rsid w:val="00427141"/>
    <w:rsid w:val="00427393"/>
    <w:rsid w:val="004273EA"/>
    <w:rsid w:val="00427402"/>
    <w:rsid w:val="00427413"/>
    <w:rsid w:val="0042760D"/>
    <w:rsid w:val="00427721"/>
    <w:rsid w:val="00427753"/>
    <w:rsid w:val="004277DC"/>
    <w:rsid w:val="00427997"/>
    <w:rsid w:val="00427AAC"/>
    <w:rsid w:val="00427B9B"/>
    <w:rsid w:val="00427C49"/>
    <w:rsid w:val="00427CA4"/>
    <w:rsid w:val="00427DA6"/>
    <w:rsid w:val="00427E02"/>
    <w:rsid w:val="00430171"/>
    <w:rsid w:val="004302AF"/>
    <w:rsid w:val="004302CD"/>
    <w:rsid w:val="004304D2"/>
    <w:rsid w:val="004305F7"/>
    <w:rsid w:val="00430870"/>
    <w:rsid w:val="00430A28"/>
    <w:rsid w:val="00430A7C"/>
    <w:rsid w:val="00430B92"/>
    <w:rsid w:val="00430C0F"/>
    <w:rsid w:val="00430E48"/>
    <w:rsid w:val="00430F32"/>
    <w:rsid w:val="004310D8"/>
    <w:rsid w:val="00431147"/>
    <w:rsid w:val="00431189"/>
    <w:rsid w:val="004311FC"/>
    <w:rsid w:val="00431254"/>
    <w:rsid w:val="004312D7"/>
    <w:rsid w:val="004313D4"/>
    <w:rsid w:val="0043159F"/>
    <w:rsid w:val="004315EB"/>
    <w:rsid w:val="004316AA"/>
    <w:rsid w:val="004316CD"/>
    <w:rsid w:val="00431783"/>
    <w:rsid w:val="00431792"/>
    <w:rsid w:val="00431BCB"/>
    <w:rsid w:val="00431C1F"/>
    <w:rsid w:val="00431D33"/>
    <w:rsid w:val="0043212D"/>
    <w:rsid w:val="0043215C"/>
    <w:rsid w:val="00432181"/>
    <w:rsid w:val="004324FF"/>
    <w:rsid w:val="004326BA"/>
    <w:rsid w:val="0043270F"/>
    <w:rsid w:val="004329B6"/>
    <w:rsid w:val="00432C22"/>
    <w:rsid w:val="00432D91"/>
    <w:rsid w:val="00432DB8"/>
    <w:rsid w:val="00432E31"/>
    <w:rsid w:val="00432F74"/>
    <w:rsid w:val="00432FF6"/>
    <w:rsid w:val="00433078"/>
    <w:rsid w:val="004330A0"/>
    <w:rsid w:val="00433129"/>
    <w:rsid w:val="00433215"/>
    <w:rsid w:val="004333ED"/>
    <w:rsid w:val="00433699"/>
    <w:rsid w:val="0043385D"/>
    <w:rsid w:val="0043386D"/>
    <w:rsid w:val="00433963"/>
    <w:rsid w:val="00433A06"/>
    <w:rsid w:val="00433D7B"/>
    <w:rsid w:val="00433E07"/>
    <w:rsid w:val="00434189"/>
    <w:rsid w:val="00434301"/>
    <w:rsid w:val="00434575"/>
    <w:rsid w:val="00434667"/>
    <w:rsid w:val="00434700"/>
    <w:rsid w:val="0043472B"/>
    <w:rsid w:val="004348CB"/>
    <w:rsid w:val="00434993"/>
    <w:rsid w:val="00434B2C"/>
    <w:rsid w:val="00434CF1"/>
    <w:rsid w:val="00434D3F"/>
    <w:rsid w:val="00434D98"/>
    <w:rsid w:val="00434E27"/>
    <w:rsid w:val="00434EC5"/>
    <w:rsid w:val="0043506D"/>
    <w:rsid w:val="0043510A"/>
    <w:rsid w:val="00435193"/>
    <w:rsid w:val="00435234"/>
    <w:rsid w:val="004352A6"/>
    <w:rsid w:val="004352D1"/>
    <w:rsid w:val="00435371"/>
    <w:rsid w:val="0043551B"/>
    <w:rsid w:val="00435547"/>
    <w:rsid w:val="004357D8"/>
    <w:rsid w:val="004358EB"/>
    <w:rsid w:val="00435976"/>
    <w:rsid w:val="00435B35"/>
    <w:rsid w:val="00435DA4"/>
    <w:rsid w:val="00435FA4"/>
    <w:rsid w:val="0043600E"/>
    <w:rsid w:val="0043604B"/>
    <w:rsid w:val="00436144"/>
    <w:rsid w:val="004361AA"/>
    <w:rsid w:val="004362F3"/>
    <w:rsid w:val="0043630C"/>
    <w:rsid w:val="0043651B"/>
    <w:rsid w:val="0043673D"/>
    <w:rsid w:val="004367A0"/>
    <w:rsid w:val="00436802"/>
    <w:rsid w:val="00436A41"/>
    <w:rsid w:val="00436B5B"/>
    <w:rsid w:val="00436D79"/>
    <w:rsid w:val="00436EE4"/>
    <w:rsid w:val="00436FFA"/>
    <w:rsid w:val="0043704B"/>
    <w:rsid w:val="004370F8"/>
    <w:rsid w:val="00437146"/>
    <w:rsid w:val="0043725F"/>
    <w:rsid w:val="00437276"/>
    <w:rsid w:val="00437630"/>
    <w:rsid w:val="004376FA"/>
    <w:rsid w:val="004377E8"/>
    <w:rsid w:val="00437823"/>
    <w:rsid w:val="004378ED"/>
    <w:rsid w:val="00437EE0"/>
    <w:rsid w:val="00437EF5"/>
    <w:rsid w:val="00440037"/>
    <w:rsid w:val="0044009C"/>
    <w:rsid w:val="00440366"/>
    <w:rsid w:val="004403AE"/>
    <w:rsid w:val="004405F5"/>
    <w:rsid w:val="004406BE"/>
    <w:rsid w:val="004408C2"/>
    <w:rsid w:val="004408C7"/>
    <w:rsid w:val="0044091A"/>
    <w:rsid w:val="004409E2"/>
    <w:rsid w:val="00440A8D"/>
    <w:rsid w:val="00440AD6"/>
    <w:rsid w:val="00440CE7"/>
    <w:rsid w:val="00440DEF"/>
    <w:rsid w:val="00440F09"/>
    <w:rsid w:val="00440F18"/>
    <w:rsid w:val="00440FE1"/>
    <w:rsid w:val="004410E5"/>
    <w:rsid w:val="004410FD"/>
    <w:rsid w:val="00441432"/>
    <w:rsid w:val="0044143E"/>
    <w:rsid w:val="004415AA"/>
    <w:rsid w:val="004417BC"/>
    <w:rsid w:val="0044188E"/>
    <w:rsid w:val="00441999"/>
    <w:rsid w:val="00441AAC"/>
    <w:rsid w:val="00441AEE"/>
    <w:rsid w:val="00441C47"/>
    <w:rsid w:val="00441DCE"/>
    <w:rsid w:val="00441F1E"/>
    <w:rsid w:val="0044200C"/>
    <w:rsid w:val="00442125"/>
    <w:rsid w:val="00442127"/>
    <w:rsid w:val="004421AB"/>
    <w:rsid w:val="004422AE"/>
    <w:rsid w:val="00442316"/>
    <w:rsid w:val="0044236D"/>
    <w:rsid w:val="004423FC"/>
    <w:rsid w:val="004424B1"/>
    <w:rsid w:val="00442526"/>
    <w:rsid w:val="00442643"/>
    <w:rsid w:val="00442750"/>
    <w:rsid w:val="004428A2"/>
    <w:rsid w:val="00442A02"/>
    <w:rsid w:val="00442AA2"/>
    <w:rsid w:val="00442CE5"/>
    <w:rsid w:val="00442EB7"/>
    <w:rsid w:val="00442F9B"/>
    <w:rsid w:val="004431A4"/>
    <w:rsid w:val="00443227"/>
    <w:rsid w:val="00443276"/>
    <w:rsid w:val="004434F0"/>
    <w:rsid w:val="004436C5"/>
    <w:rsid w:val="0044384D"/>
    <w:rsid w:val="00443937"/>
    <w:rsid w:val="004439C3"/>
    <w:rsid w:val="004439EE"/>
    <w:rsid w:val="00443B16"/>
    <w:rsid w:val="00443E4E"/>
    <w:rsid w:val="00444071"/>
    <w:rsid w:val="00444299"/>
    <w:rsid w:val="00444461"/>
    <w:rsid w:val="004444B1"/>
    <w:rsid w:val="004445AD"/>
    <w:rsid w:val="00444627"/>
    <w:rsid w:val="00444872"/>
    <w:rsid w:val="00444966"/>
    <w:rsid w:val="00444BBF"/>
    <w:rsid w:val="00444BD4"/>
    <w:rsid w:val="00444E4F"/>
    <w:rsid w:val="0044507E"/>
    <w:rsid w:val="004450EA"/>
    <w:rsid w:val="004452CC"/>
    <w:rsid w:val="00445347"/>
    <w:rsid w:val="0044536D"/>
    <w:rsid w:val="00445465"/>
    <w:rsid w:val="0044564D"/>
    <w:rsid w:val="00445808"/>
    <w:rsid w:val="00445B52"/>
    <w:rsid w:val="00445D76"/>
    <w:rsid w:val="00445F3A"/>
    <w:rsid w:val="00446016"/>
    <w:rsid w:val="00446039"/>
    <w:rsid w:val="00446189"/>
    <w:rsid w:val="004462BE"/>
    <w:rsid w:val="004463B5"/>
    <w:rsid w:val="0044661D"/>
    <w:rsid w:val="00446816"/>
    <w:rsid w:val="004469C9"/>
    <w:rsid w:val="00446D28"/>
    <w:rsid w:val="00446D7D"/>
    <w:rsid w:val="00446DB0"/>
    <w:rsid w:val="004470B4"/>
    <w:rsid w:val="004472AF"/>
    <w:rsid w:val="00447538"/>
    <w:rsid w:val="004475CF"/>
    <w:rsid w:val="00447655"/>
    <w:rsid w:val="00447947"/>
    <w:rsid w:val="00447A66"/>
    <w:rsid w:val="00447D3A"/>
    <w:rsid w:val="00447D4B"/>
    <w:rsid w:val="00447EC7"/>
    <w:rsid w:val="00447ED0"/>
    <w:rsid w:val="00450064"/>
    <w:rsid w:val="004502AB"/>
    <w:rsid w:val="00450463"/>
    <w:rsid w:val="00450765"/>
    <w:rsid w:val="00450845"/>
    <w:rsid w:val="00450BF2"/>
    <w:rsid w:val="00450C44"/>
    <w:rsid w:val="00450D54"/>
    <w:rsid w:val="00450D56"/>
    <w:rsid w:val="00450E0A"/>
    <w:rsid w:val="004511D2"/>
    <w:rsid w:val="0045120F"/>
    <w:rsid w:val="004512A4"/>
    <w:rsid w:val="0045157D"/>
    <w:rsid w:val="00451600"/>
    <w:rsid w:val="004517BA"/>
    <w:rsid w:val="0045184A"/>
    <w:rsid w:val="004518DB"/>
    <w:rsid w:val="004519EC"/>
    <w:rsid w:val="00451B41"/>
    <w:rsid w:val="00451C07"/>
    <w:rsid w:val="00451CE6"/>
    <w:rsid w:val="00451EB7"/>
    <w:rsid w:val="00451F0A"/>
    <w:rsid w:val="00451F76"/>
    <w:rsid w:val="00451FB8"/>
    <w:rsid w:val="004521C4"/>
    <w:rsid w:val="00452215"/>
    <w:rsid w:val="0045223D"/>
    <w:rsid w:val="00452397"/>
    <w:rsid w:val="00452398"/>
    <w:rsid w:val="004525AD"/>
    <w:rsid w:val="00452988"/>
    <w:rsid w:val="004529C5"/>
    <w:rsid w:val="00452AAC"/>
    <w:rsid w:val="00452E62"/>
    <w:rsid w:val="00452EE4"/>
    <w:rsid w:val="00452F36"/>
    <w:rsid w:val="0045307B"/>
    <w:rsid w:val="0045321A"/>
    <w:rsid w:val="0045325D"/>
    <w:rsid w:val="004537DB"/>
    <w:rsid w:val="004537F7"/>
    <w:rsid w:val="00453AD7"/>
    <w:rsid w:val="00453B45"/>
    <w:rsid w:val="00453CB9"/>
    <w:rsid w:val="00453D50"/>
    <w:rsid w:val="00453E0A"/>
    <w:rsid w:val="004541EB"/>
    <w:rsid w:val="00454575"/>
    <w:rsid w:val="004545C5"/>
    <w:rsid w:val="00454843"/>
    <w:rsid w:val="00454919"/>
    <w:rsid w:val="004549CA"/>
    <w:rsid w:val="004549FD"/>
    <w:rsid w:val="00454C5B"/>
    <w:rsid w:val="00454CFC"/>
    <w:rsid w:val="00454E01"/>
    <w:rsid w:val="0045524E"/>
    <w:rsid w:val="00455318"/>
    <w:rsid w:val="0045532E"/>
    <w:rsid w:val="00455437"/>
    <w:rsid w:val="00455930"/>
    <w:rsid w:val="00455A99"/>
    <w:rsid w:val="00455AC3"/>
    <w:rsid w:val="00455B27"/>
    <w:rsid w:val="00455B4C"/>
    <w:rsid w:val="00455E0B"/>
    <w:rsid w:val="00455E33"/>
    <w:rsid w:val="0045600C"/>
    <w:rsid w:val="00456053"/>
    <w:rsid w:val="00456079"/>
    <w:rsid w:val="00456449"/>
    <w:rsid w:val="00456698"/>
    <w:rsid w:val="004566A3"/>
    <w:rsid w:val="004567AB"/>
    <w:rsid w:val="0045695E"/>
    <w:rsid w:val="00456A13"/>
    <w:rsid w:val="00456C7B"/>
    <w:rsid w:val="00456CC8"/>
    <w:rsid w:val="00456D5B"/>
    <w:rsid w:val="00456DDE"/>
    <w:rsid w:val="00456F65"/>
    <w:rsid w:val="00456FEB"/>
    <w:rsid w:val="0045700E"/>
    <w:rsid w:val="00457109"/>
    <w:rsid w:val="00457230"/>
    <w:rsid w:val="0045725D"/>
    <w:rsid w:val="00457318"/>
    <w:rsid w:val="00457584"/>
    <w:rsid w:val="004575F9"/>
    <w:rsid w:val="00457779"/>
    <w:rsid w:val="0045779B"/>
    <w:rsid w:val="00457910"/>
    <w:rsid w:val="0045798D"/>
    <w:rsid w:val="004579C1"/>
    <w:rsid w:val="00457A28"/>
    <w:rsid w:val="00457CB9"/>
    <w:rsid w:val="00457D05"/>
    <w:rsid w:val="00457EC6"/>
    <w:rsid w:val="004601AA"/>
    <w:rsid w:val="004602DC"/>
    <w:rsid w:val="004602FD"/>
    <w:rsid w:val="0046043B"/>
    <w:rsid w:val="0046044C"/>
    <w:rsid w:val="004604F7"/>
    <w:rsid w:val="00460901"/>
    <w:rsid w:val="0046095F"/>
    <w:rsid w:val="00460AA9"/>
    <w:rsid w:val="00460B7C"/>
    <w:rsid w:val="00460CFD"/>
    <w:rsid w:val="00460E69"/>
    <w:rsid w:val="00460E78"/>
    <w:rsid w:val="00460F9A"/>
    <w:rsid w:val="00461165"/>
    <w:rsid w:val="00461610"/>
    <w:rsid w:val="00461741"/>
    <w:rsid w:val="00461817"/>
    <w:rsid w:val="00461862"/>
    <w:rsid w:val="004618A0"/>
    <w:rsid w:val="00461A73"/>
    <w:rsid w:val="00461B88"/>
    <w:rsid w:val="00461D8E"/>
    <w:rsid w:val="00461F09"/>
    <w:rsid w:val="00461FB6"/>
    <w:rsid w:val="0046201B"/>
    <w:rsid w:val="004621AE"/>
    <w:rsid w:val="00462290"/>
    <w:rsid w:val="004623C9"/>
    <w:rsid w:val="00462449"/>
    <w:rsid w:val="00462C14"/>
    <w:rsid w:val="00462D11"/>
    <w:rsid w:val="00462E0F"/>
    <w:rsid w:val="004631E1"/>
    <w:rsid w:val="004633BA"/>
    <w:rsid w:val="004636B1"/>
    <w:rsid w:val="00463809"/>
    <w:rsid w:val="0046397B"/>
    <w:rsid w:val="00463B0D"/>
    <w:rsid w:val="00463BA6"/>
    <w:rsid w:val="00463C1F"/>
    <w:rsid w:val="00463D99"/>
    <w:rsid w:val="00463DAE"/>
    <w:rsid w:val="00463FA3"/>
    <w:rsid w:val="00463FFE"/>
    <w:rsid w:val="0046405A"/>
    <w:rsid w:val="004640A8"/>
    <w:rsid w:val="00464209"/>
    <w:rsid w:val="0046425E"/>
    <w:rsid w:val="004642DE"/>
    <w:rsid w:val="00464957"/>
    <w:rsid w:val="00464961"/>
    <w:rsid w:val="00464ADB"/>
    <w:rsid w:val="00464B14"/>
    <w:rsid w:val="00464B44"/>
    <w:rsid w:val="00464BC3"/>
    <w:rsid w:val="00464D94"/>
    <w:rsid w:val="00464DD9"/>
    <w:rsid w:val="00464EF4"/>
    <w:rsid w:val="00465047"/>
    <w:rsid w:val="004654DC"/>
    <w:rsid w:val="004656B4"/>
    <w:rsid w:val="004657E9"/>
    <w:rsid w:val="00465947"/>
    <w:rsid w:val="00465979"/>
    <w:rsid w:val="00465AA1"/>
    <w:rsid w:val="00465B9F"/>
    <w:rsid w:val="00465BE6"/>
    <w:rsid w:val="00465C1B"/>
    <w:rsid w:val="00465D22"/>
    <w:rsid w:val="00465FEB"/>
    <w:rsid w:val="00465FF4"/>
    <w:rsid w:val="0046623A"/>
    <w:rsid w:val="004662F4"/>
    <w:rsid w:val="004665CB"/>
    <w:rsid w:val="00466620"/>
    <w:rsid w:val="004667B1"/>
    <w:rsid w:val="004667E5"/>
    <w:rsid w:val="00466888"/>
    <w:rsid w:val="00466A0C"/>
    <w:rsid w:val="00466E18"/>
    <w:rsid w:val="00466E53"/>
    <w:rsid w:val="00466F9B"/>
    <w:rsid w:val="00467117"/>
    <w:rsid w:val="00467251"/>
    <w:rsid w:val="004672AF"/>
    <w:rsid w:val="0046732C"/>
    <w:rsid w:val="004674DE"/>
    <w:rsid w:val="00467604"/>
    <w:rsid w:val="004676DB"/>
    <w:rsid w:val="004676F6"/>
    <w:rsid w:val="00467704"/>
    <w:rsid w:val="00467786"/>
    <w:rsid w:val="004677F0"/>
    <w:rsid w:val="0046792B"/>
    <w:rsid w:val="00467B6B"/>
    <w:rsid w:val="00467B7B"/>
    <w:rsid w:val="00467BCD"/>
    <w:rsid w:val="00467C71"/>
    <w:rsid w:val="00467E04"/>
    <w:rsid w:val="00467E13"/>
    <w:rsid w:val="00467E4D"/>
    <w:rsid w:val="00467EEA"/>
    <w:rsid w:val="00467F1B"/>
    <w:rsid w:val="0047007F"/>
    <w:rsid w:val="00470146"/>
    <w:rsid w:val="0047038F"/>
    <w:rsid w:val="00470428"/>
    <w:rsid w:val="0047060B"/>
    <w:rsid w:val="00470669"/>
    <w:rsid w:val="004706B8"/>
    <w:rsid w:val="00470819"/>
    <w:rsid w:val="0047081D"/>
    <w:rsid w:val="004708C7"/>
    <w:rsid w:val="00470994"/>
    <w:rsid w:val="004709E7"/>
    <w:rsid w:val="00470AF1"/>
    <w:rsid w:val="00470B8E"/>
    <w:rsid w:val="00470B9B"/>
    <w:rsid w:val="00470C3F"/>
    <w:rsid w:val="00470E17"/>
    <w:rsid w:val="00470E96"/>
    <w:rsid w:val="00470F15"/>
    <w:rsid w:val="00471075"/>
    <w:rsid w:val="00471110"/>
    <w:rsid w:val="00471174"/>
    <w:rsid w:val="004712CC"/>
    <w:rsid w:val="00471737"/>
    <w:rsid w:val="0047198D"/>
    <w:rsid w:val="00471995"/>
    <w:rsid w:val="004719BB"/>
    <w:rsid w:val="00471B28"/>
    <w:rsid w:val="00471D48"/>
    <w:rsid w:val="00471D64"/>
    <w:rsid w:val="00471E42"/>
    <w:rsid w:val="004722CD"/>
    <w:rsid w:val="00472371"/>
    <w:rsid w:val="004723D2"/>
    <w:rsid w:val="004724CD"/>
    <w:rsid w:val="00472555"/>
    <w:rsid w:val="00472695"/>
    <w:rsid w:val="00472B23"/>
    <w:rsid w:val="00472BA0"/>
    <w:rsid w:val="00472BB6"/>
    <w:rsid w:val="00472BF9"/>
    <w:rsid w:val="00472CBF"/>
    <w:rsid w:val="00472E66"/>
    <w:rsid w:val="004732DB"/>
    <w:rsid w:val="00473369"/>
    <w:rsid w:val="004736C9"/>
    <w:rsid w:val="004736E2"/>
    <w:rsid w:val="00473721"/>
    <w:rsid w:val="0047375C"/>
    <w:rsid w:val="0047377A"/>
    <w:rsid w:val="0047395C"/>
    <w:rsid w:val="004739DA"/>
    <w:rsid w:val="00473AF3"/>
    <w:rsid w:val="00473C35"/>
    <w:rsid w:val="00473FE6"/>
    <w:rsid w:val="00474137"/>
    <w:rsid w:val="004741E8"/>
    <w:rsid w:val="00474257"/>
    <w:rsid w:val="0047426B"/>
    <w:rsid w:val="004744AB"/>
    <w:rsid w:val="004745C5"/>
    <w:rsid w:val="00474661"/>
    <w:rsid w:val="0047476A"/>
    <w:rsid w:val="00474918"/>
    <w:rsid w:val="00474935"/>
    <w:rsid w:val="00474B7B"/>
    <w:rsid w:val="00474BDD"/>
    <w:rsid w:val="00474D21"/>
    <w:rsid w:val="00474ECC"/>
    <w:rsid w:val="00475145"/>
    <w:rsid w:val="004751EA"/>
    <w:rsid w:val="004752B6"/>
    <w:rsid w:val="00475318"/>
    <w:rsid w:val="004754A2"/>
    <w:rsid w:val="004755C2"/>
    <w:rsid w:val="004756A8"/>
    <w:rsid w:val="00475DE5"/>
    <w:rsid w:val="00476205"/>
    <w:rsid w:val="00476334"/>
    <w:rsid w:val="0047657A"/>
    <w:rsid w:val="00476641"/>
    <w:rsid w:val="00476E71"/>
    <w:rsid w:val="00476E77"/>
    <w:rsid w:val="00477110"/>
    <w:rsid w:val="004771A3"/>
    <w:rsid w:val="004773FE"/>
    <w:rsid w:val="00477542"/>
    <w:rsid w:val="00477598"/>
    <w:rsid w:val="004775D0"/>
    <w:rsid w:val="0047771C"/>
    <w:rsid w:val="004778F9"/>
    <w:rsid w:val="0047799D"/>
    <w:rsid w:val="004779CE"/>
    <w:rsid w:val="00477F8B"/>
    <w:rsid w:val="00480002"/>
    <w:rsid w:val="00480012"/>
    <w:rsid w:val="00480027"/>
    <w:rsid w:val="00480141"/>
    <w:rsid w:val="0048018D"/>
    <w:rsid w:val="004802B3"/>
    <w:rsid w:val="004804E3"/>
    <w:rsid w:val="00480692"/>
    <w:rsid w:val="00480932"/>
    <w:rsid w:val="00480AF8"/>
    <w:rsid w:val="00480B94"/>
    <w:rsid w:val="00480D18"/>
    <w:rsid w:val="00480E54"/>
    <w:rsid w:val="0048110B"/>
    <w:rsid w:val="00481201"/>
    <w:rsid w:val="0048120B"/>
    <w:rsid w:val="0048131C"/>
    <w:rsid w:val="00481422"/>
    <w:rsid w:val="00481525"/>
    <w:rsid w:val="0048160D"/>
    <w:rsid w:val="004816F8"/>
    <w:rsid w:val="00481711"/>
    <w:rsid w:val="0048176B"/>
    <w:rsid w:val="004817D1"/>
    <w:rsid w:val="004817E5"/>
    <w:rsid w:val="00481AE4"/>
    <w:rsid w:val="00481CD7"/>
    <w:rsid w:val="00481D16"/>
    <w:rsid w:val="00481D2F"/>
    <w:rsid w:val="00481DBA"/>
    <w:rsid w:val="00481EEF"/>
    <w:rsid w:val="00482009"/>
    <w:rsid w:val="0048224C"/>
    <w:rsid w:val="004823BD"/>
    <w:rsid w:val="004823CC"/>
    <w:rsid w:val="00482497"/>
    <w:rsid w:val="0048258D"/>
    <w:rsid w:val="004825C9"/>
    <w:rsid w:val="004825D5"/>
    <w:rsid w:val="00482646"/>
    <w:rsid w:val="00482701"/>
    <w:rsid w:val="00482DCC"/>
    <w:rsid w:val="00482E3F"/>
    <w:rsid w:val="00482E64"/>
    <w:rsid w:val="00482E7B"/>
    <w:rsid w:val="00483038"/>
    <w:rsid w:val="004834C5"/>
    <w:rsid w:val="00483542"/>
    <w:rsid w:val="00483581"/>
    <w:rsid w:val="00483645"/>
    <w:rsid w:val="004836BF"/>
    <w:rsid w:val="004836ED"/>
    <w:rsid w:val="0048391B"/>
    <w:rsid w:val="004839E9"/>
    <w:rsid w:val="00483DE1"/>
    <w:rsid w:val="004840BC"/>
    <w:rsid w:val="00484211"/>
    <w:rsid w:val="0048426D"/>
    <w:rsid w:val="00484298"/>
    <w:rsid w:val="004842AC"/>
    <w:rsid w:val="0048439A"/>
    <w:rsid w:val="00484406"/>
    <w:rsid w:val="004847D0"/>
    <w:rsid w:val="004848AD"/>
    <w:rsid w:val="00484B17"/>
    <w:rsid w:val="00484D22"/>
    <w:rsid w:val="00484D91"/>
    <w:rsid w:val="00484EB9"/>
    <w:rsid w:val="00484EBE"/>
    <w:rsid w:val="00484F3B"/>
    <w:rsid w:val="00485142"/>
    <w:rsid w:val="004851E9"/>
    <w:rsid w:val="004857CE"/>
    <w:rsid w:val="0048584F"/>
    <w:rsid w:val="004858AA"/>
    <w:rsid w:val="00485907"/>
    <w:rsid w:val="004859FD"/>
    <w:rsid w:val="00485BDE"/>
    <w:rsid w:val="00485C09"/>
    <w:rsid w:val="00485D8D"/>
    <w:rsid w:val="00485D9F"/>
    <w:rsid w:val="00485DAD"/>
    <w:rsid w:val="00485E54"/>
    <w:rsid w:val="00485EE4"/>
    <w:rsid w:val="00485FDA"/>
    <w:rsid w:val="0048601B"/>
    <w:rsid w:val="00486050"/>
    <w:rsid w:val="0048615F"/>
    <w:rsid w:val="004861A5"/>
    <w:rsid w:val="00486432"/>
    <w:rsid w:val="00486547"/>
    <w:rsid w:val="00486651"/>
    <w:rsid w:val="004866D7"/>
    <w:rsid w:val="00486700"/>
    <w:rsid w:val="004867CB"/>
    <w:rsid w:val="004869CD"/>
    <w:rsid w:val="00486AD7"/>
    <w:rsid w:val="00486CF6"/>
    <w:rsid w:val="00486E3E"/>
    <w:rsid w:val="0048727A"/>
    <w:rsid w:val="004872DE"/>
    <w:rsid w:val="004872DF"/>
    <w:rsid w:val="00487380"/>
    <w:rsid w:val="004873CC"/>
    <w:rsid w:val="00487443"/>
    <w:rsid w:val="004875CD"/>
    <w:rsid w:val="004875FF"/>
    <w:rsid w:val="004876AA"/>
    <w:rsid w:val="00487B8B"/>
    <w:rsid w:val="00487C90"/>
    <w:rsid w:val="00487FE9"/>
    <w:rsid w:val="00490014"/>
    <w:rsid w:val="0049015F"/>
    <w:rsid w:val="004901AA"/>
    <w:rsid w:val="004901D0"/>
    <w:rsid w:val="0049024F"/>
    <w:rsid w:val="00490461"/>
    <w:rsid w:val="00490701"/>
    <w:rsid w:val="004907F3"/>
    <w:rsid w:val="0049080A"/>
    <w:rsid w:val="00490948"/>
    <w:rsid w:val="00490B87"/>
    <w:rsid w:val="00490C8B"/>
    <w:rsid w:val="00490D0F"/>
    <w:rsid w:val="00490DF1"/>
    <w:rsid w:val="00490EBC"/>
    <w:rsid w:val="00490EE2"/>
    <w:rsid w:val="00491066"/>
    <w:rsid w:val="00491284"/>
    <w:rsid w:val="004913EB"/>
    <w:rsid w:val="0049168A"/>
    <w:rsid w:val="00491726"/>
    <w:rsid w:val="00491738"/>
    <w:rsid w:val="004917DE"/>
    <w:rsid w:val="004918D4"/>
    <w:rsid w:val="00491B32"/>
    <w:rsid w:val="00491C0A"/>
    <w:rsid w:val="00492085"/>
    <w:rsid w:val="00492176"/>
    <w:rsid w:val="00492403"/>
    <w:rsid w:val="0049242A"/>
    <w:rsid w:val="004925D7"/>
    <w:rsid w:val="004926E2"/>
    <w:rsid w:val="004928A1"/>
    <w:rsid w:val="00492989"/>
    <w:rsid w:val="00492AAA"/>
    <w:rsid w:val="00492AAC"/>
    <w:rsid w:val="00492B88"/>
    <w:rsid w:val="00492FEF"/>
    <w:rsid w:val="00493077"/>
    <w:rsid w:val="0049313F"/>
    <w:rsid w:val="00493639"/>
    <w:rsid w:val="0049378C"/>
    <w:rsid w:val="0049383B"/>
    <w:rsid w:val="0049384F"/>
    <w:rsid w:val="00493941"/>
    <w:rsid w:val="00493B2E"/>
    <w:rsid w:val="00493DC1"/>
    <w:rsid w:val="0049414D"/>
    <w:rsid w:val="00494173"/>
    <w:rsid w:val="00494538"/>
    <w:rsid w:val="00494592"/>
    <w:rsid w:val="00494843"/>
    <w:rsid w:val="004949D3"/>
    <w:rsid w:val="00494B1D"/>
    <w:rsid w:val="00494DBD"/>
    <w:rsid w:val="00494DC3"/>
    <w:rsid w:val="00494DC5"/>
    <w:rsid w:val="00494E17"/>
    <w:rsid w:val="00494ECD"/>
    <w:rsid w:val="00494F1F"/>
    <w:rsid w:val="004950F3"/>
    <w:rsid w:val="00495177"/>
    <w:rsid w:val="0049523A"/>
    <w:rsid w:val="00495250"/>
    <w:rsid w:val="0049535A"/>
    <w:rsid w:val="004953FA"/>
    <w:rsid w:val="004954F7"/>
    <w:rsid w:val="00495696"/>
    <w:rsid w:val="004956F7"/>
    <w:rsid w:val="004957C2"/>
    <w:rsid w:val="0049598E"/>
    <w:rsid w:val="004959D7"/>
    <w:rsid w:val="004959F5"/>
    <w:rsid w:val="00495A87"/>
    <w:rsid w:val="00495B37"/>
    <w:rsid w:val="00495C33"/>
    <w:rsid w:val="00495DF1"/>
    <w:rsid w:val="00495E01"/>
    <w:rsid w:val="00495E85"/>
    <w:rsid w:val="00495EEE"/>
    <w:rsid w:val="00495F05"/>
    <w:rsid w:val="00495FB1"/>
    <w:rsid w:val="00496142"/>
    <w:rsid w:val="004966DB"/>
    <w:rsid w:val="004966FD"/>
    <w:rsid w:val="00496743"/>
    <w:rsid w:val="00496875"/>
    <w:rsid w:val="00496A49"/>
    <w:rsid w:val="00496CB2"/>
    <w:rsid w:val="00496CD3"/>
    <w:rsid w:val="00496D0F"/>
    <w:rsid w:val="00496E92"/>
    <w:rsid w:val="004970EF"/>
    <w:rsid w:val="0049712F"/>
    <w:rsid w:val="004971B8"/>
    <w:rsid w:val="0049729B"/>
    <w:rsid w:val="00497526"/>
    <w:rsid w:val="00497651"/>
    <w:rsid w:val="0049771A"/>
    <w:rsid w:val="0049785D"/>
    <w:rsid w:val="00497B98"/>
    <w:rsid w:val="00497BC9"/>
    <w:rsid w:val="004A005A"/>
    <w:rsid w:val="004A00F0"/>
    <w:rsid w:val="004A01BB"/>
    <w:rsid w:val="004A03B7"/>
    <w:rsid w:val="004A0460"/>
    <w:rsid w:val="004A07C8"/>
    <w:rsid w:val="004A08A9"/>
    <w:rsid w:val="004A0AA3"/>
    <w:rsid w:val="004A0DB9"/>
    <w:rsid w:val="004A0EBE"/>
    <w:rsid w:val="004A0F09"/>
    <w:rsid w:val="004A1001"/>
    <w:rsid w:val="004A1030"/>
    <w:rsid w:val="004A11F0"/>
    <w:rsid w:val="004A123F"/>
    <w:rsid w:val="004A13B6"/>
    <w:rsid w:val="004A1626"/>
    <w:rsid w:val="004A164D"/>
    <w:rsid w:val="004A1881"/>
    <w:rsid w:val="004A1898"/>
    <w:rsid w:val="004A195C"/>
    <w:rsid w:val="004A1A39"/>
    <w:rsid w:val="004A1A62"/>
    <w:rsid w:val="004A1AD9"/>
    <w:rsid w:val="004A1ADB"/>
    <w:rsid w:val="004A1C61"/>
    <w:rsid w:val="004A1E23"/>
    <w:rsid w:val="004A1E6C"/>
    <w:rsid w:val="004A1E96"/>
    <w:rsid w:val="004A1EC5"/>
    <w:rsid w:val="004A1EF9"/>
    <w:rsid w:val="004A1F8E"/>
    <w:rsid w:val="004A209F"/>
    <w:rsid w:val="004A20C5"/>
    <w:rsid w:val="004A20D8"/>
    <w:rsid w:val="004A20E2"/>
    <w:rsid w:val="004A223A"/>
    <w:rsid w:val="004A228C"/>
    <w:rsid w:val="004A22C5"/>
    <w:rsid w:val="004A2394"/>
    <w:rsid w:val="004A2443"/>
    <w:rsid w:val="004A25B2"/>
    <w:rsid w:val="004A283B"/>
    <w:rsid w:val="004A285D"/>
    <w:rsid w:val="004A2A91"/>
    <w:rsid w:val="004A2CD5"/>
    <w:rsid w:val="004A2DA3"/>
    <w:rsid w:val="004A2DDD"/>
    <w:rsid w:val="004A3170"/>
    <w:rsid w:val="004A31B6"/>
    <w:rsid w:val="004A3409"/>
    <w:rsid w:val="004A3459"/>
    <w:rsid w:val="004A34EA"/>
    <w:rsid w:val="004A3527"/>
    <w:rsid w:val="004A39A2"/>
    <w:rsid w:val="004A39CE"/>
    <w:rsid w:val="004A3ABB"/>
    <w:rsid w:val="004A3B58"/>
    <w:rsid w:val="004A3E42"/>
    <w:rsid w:val="004A4198"/>
    <w:rsid w:val="004A431D"/>
    <w:rsid w:val="004A4359"/>
    <w:rsid w:val="004A43EE"/>
    <w:rsid w:val="004A448E"/>
    <w:rsid w:val="004A44C4"/>
    <w:rsid w:val="004A4604"/>
    <w:rsid w:val="004A4705"/>
    <w:rsid w:val="004A474D"/>
    <w:rsid w:val="004A47FD"/>
    <w:rsid w:val="004A4AD8"/>
    <w:rsid w:val="004A4B10"/>
    <w:rsid w:val="004A4BB4"/>
    <w:rsid w:val="004A4C33"/>
    <w:rsid w:val="004A4E12"/>
    <w:rsid w:val="004A4E3A"/>
    <w:rsid w:val="004A51F0"/>
    <w:rsid w:val="004A53B7"/>
    <w:rsid w:val="004A54CD"/>
    <w:rsid w:val="004A54D8"/>
    <w:rsid w:val="004A556F"/>
    <w:rsid w:val="004A55A5"/>
    <w:rsid w:val="004A5719"/>
    <w:rsid w:val="004A58F1"/>
    <w:rsid w:val="004A5970"/>
    <w:rsid w:val="004A5984"/>
    <w:rsid w:val="004A5999"/>
    <w:rsid w:val="004A5C56"/>
    <w:rsid w:val="004A5CDE"/>
    <w:rsid w:val="004A5FE3"/>
    <w:rsid w:val="004A5FE8"/>
    <w:rsid w:val="004A61D4"/>
    <w:rsid w:val="004A6271"/>
    <w:rsid w:val="004A6431"/>
    <w:rsid w:val="004A655D"/>
    <w:rsid w:val="004A66E2"/>
    <w:rsid w:val="004A67BE"/>
    <w:rsid w:val="004A6877"/>
    <w:rsid w:val="004A6903"/>
    <w:rsid w:val="004A699F"/>
    <w:rsid w:val="004A6BDB"/>
    <w:rsid w:val="004A6E26"/>
    <w:rsid w:val="004A6E4F"/>
    <w:rsid w:val="004A6FFD"/>
    <w:rsid w:val="004A7044"/>
    <w:rsid w:val="004A709F"/>
    <w:rsid w:val="004A70FA"/>
    <w:rsid w:val="004A719E"/>
    <w:rsid w:val="004A726C"/>
    <w:rsid w:val="004A76A9"/>
    <w:rsid w:val="004A76FD"/>
    <w:rsid w:val="004A7C57"/>
    <w:rsid w:val="004A7D6C"/>
    <w:rsid w:val="004A7E3A"/>
    <w:rsid w:val="004A7E43"/>
    <w:rsid w:val="004B00A5"/>
    <w:rsid w:val="004B014D"/>
    <w:rsid w:val="004B0235"/>
    <w:rsid w:val="004B035D"/>
    <w:rsid w:val="004B041C"/>
    <w:rsid w:val="004B08FD"/>
    <w:rsid w:val="004B0C2F"/>
    <w:rsid w:val="004B0E7D"/>
    <w:rsid w:val="004B0E9D"/>
    <w:rsid w:val="004B0F2F"/>
    <w:rsid w:val="004B0F43"/>
    <w:rsid w:val="004B1015"/>
    <w:rsid w:val="004B104B"/>
    <w:rsid w:val="004B10CD"/>
    <w:rsid w:val="004B11D5"/>
    <w:rsid w:val="004B1315"/>
    <w:rsid w:val="004B1408"/>
    <w:rsid w:val="004B1468"/>
    <w:rsid w:val="004B14F2"/>
    <w:rsid w:val="004B1559"/>
    <w:rsid w:val="004B15A5"/>
    <w:rsid w:val="004B15B3"/>
    <w:rsid w:val="004B17D4"/>
    <w:rsid w:val="004B1AF2"/>
    <w:rsid w:val="004B1BB1"/>
    <w:rsid w:val="004B1CA0"/>
    <w:rsid w:val="004B1DC5"/>
    <w:rsid w:val="004B1E2F"/>
    <w:rsid w:val="004B1F06"/>
    <w:rsid w:val="004B1F19"/>
    <w:rsid w:val="004B2110"/>
    <w:rsid w:val="004B243A"/>
    <w:rsid w:val="004B2451"/>
    <w:rsid w:val="004B2530"/>
    <w:rsid w:val="004B261F"/>
    <w:rsid w:val="004B29F9"/>
    <w:rsid w:val="004B2B54"/>
    <w:rsid w:val="004B2BA9"/>
    <w:rsid w:val="004B2CA4"/>
    <w:rsid w:val="004B2D57"/>
    <w:rsid w:val="004B2DCD"/>
    <w:rsid w:val="004B384F"/>
    <w:rsid w:val="004B3989"/>
    <w:rsid w:val="004B3A09"/>
    <w:rsid w:val="004B3A5D"/>
    <w:rsid w:val="004B3A7C"/>
    <w:rsid w:val="004B3A86"/>
    <w:rsid w:val="004B3C58"/>
    <w:rsid w:val="004B3CDE"/>
    <w:rsid w:val="004B3CF3"/>
    <w:rsid w:val="004B3E31"/>
    <w:rsid w:val="004B3EF3"/>
    <w:rsid w:val="004B3F1E"/>
    <w:rsid w:val="004B3F91"/>
    <w:rsid w:val="004B40B6"/>
    <w:rsid w:val="004B4113"/>
    <w:rsid w:val="004B428E"/>
    <w:rsid w:val="004B45BF"/>
    <w:rsid w:val="004B4641"/>
    <w:rsid w:val="004B4734"/>
    <w:rsid w:val="004B47FC"/>
    <w:rsid w:val="004B4808"/>
    <w:rsid w:val="004B4B06"/>
    <w:rsid w:val="004B4B99"/>
    <w:rsid w:val="004B4D0B"/>
    <w:rsid w:val="004B4DDD"/>
    <w:rsid w:val="004B4F55"/>
    <w:rsid w:val="004B4F9A"/>
    <w:rsid w:val="004B50E4"/>
    <w:rsid w:val="004B5366"/>
    <w:rsid w:val="004B53A5"/>
    <w:rsid w:val="004B5489"/>
    <w:rsid w:val="004B5500"/>
    <w:rsid w:val="004B5635"/>
    <w:rsid w:val="004B57D0"/>
    <w:rsid w:val="004B57EA"/>
    <w:rsid w:val="004B5AC1"/>
    <w:rsid w:val="004B5ACA"/>
    <w:rsid w:val="004B5AED"/>
    <w:rsid w:val="004B5B2E"/>
    <w:rsid w:val="004B5B78"/>
    <w:rsid w:val="004B5C53"/>
    <w:rsid w:val="004B60EE"/>
    <w:rsid w:val="004B6352"/>
    <w:rsid w:val="004B65C3"/>
    <w:rsid w:val="004B6752"/>
    <w:rsid w:val="004B6784"/>
    <w:rsid w:val="004B67FB"/>
    <w:rsid w:val="004B683A"/>
    <w:rsid w:val="004B6980"/>
    <w:rsid w:val="004B6ADD"/>
    <w:rsid w:val="004B6BC3"/>
    <w:rsid w:val="004B6CC7"/>
    <w:rsid w:val="004B6E74"/>
    <w:rsid w:val="004B6FF3"/>
    <w:rsid w:val="004B7008"/>
    <w:rsid w:val="004B701B"/>
    <w:rsid w:val="004B707B"/>
    <w:rsid w:val="004B719F"/>
    <w:rsid w:val="004B7518"/>
    <w:rsid w:val="004B75AA"/>
    <w:rsid w:val="004B75E9"/>
    <w:rsid w:val="004B75F5"/>
    <w:rsid w:val="004B7616"/>
    <w:rsid w:val="004B761A"/>
    <w:rsid w:val="004B7655"/>
    <w:rsid w:val="004B76A2"/>
    <w:rsid w:val="004B7763"/>
    <w:rsid w:val="004B7846"/>
    <w:rsid w:val="004B792F"/>
    <w:rsid w:val="004B7AC7"/>
    <w:rsid w:val="004B7B13"/>
    <w:rsid w:val="004B7F6C"/>
    <w:rsid w:val="004C002D"/>
    <w:rsid w:val="004C014C"/>
    <w:rsid w:val="004C0204"/>
    <w:rsid w:val="004C029B"/>
    <w:rsid w:val="004C0325"/>
    <w:rsid w:val="004C038B"/>
    <w:rsid w:val="004C0498"/>
    <w:rsid w:val="004C054C"/>
    <w:rsid w:val="004C0566"/>
    <w:rsid w:val="004C05F2"/>
    <w:rsid w:val="004C06FF"/>
    <w:rsid w:val="004C0711"/>
    <w:rsid w:val="004C07FB"/>
    <w:rsid w:val="004C091E"/>
    <w:rsid w:val="004C0966"/>
    <w:rsid w:val="004C09E6"/>
    <w:rsid w:val="004C0A0B"/>
    <w:rsid w:val="004C0A27"/>
    <w:rsid w:val="004C0B3E"/>
    <w:rsid w:val="004C0C4D"/>
    <w:rsid w:val="004C0CCD"/>
    <w:rsid w:val="004C10AE"/>
    <w:rsid w:val="004C1363"/>
    <w:rsid w:val="004C1479"/>
    <w:rsid w:val="004C154F"/>
    <w:rsid w:val="004C16CF"/>
    <w:rsid w:val="004C1990"/>
    <w:rsid w:val="004C2013"/>
    <w:rsid w:val="004C21C5"/>
    <w:rsid w:val="004C22FB"/>
    <w:rsid w:val="004C272A"/>
    <w:rsid w:val="004C2C43"/>
    <w:rsid w:val="004C2C90"/>
    <w:rsid w:val="004C2D4E"/>
    <w:rsid w:val="004C2D7E"/>
    <w:rsid w:val="004C2E45"/>
    <w:rsid w:val="004C2F3F"/>
    <w:rsid w:val="004C31EB"/>
    <w:rsid w:val="004C37BD"/>
    <w:rsid w:val="004C3936"/>
    <w:rsid w:val="004C3BA9"/>
    <w:rsid w:val="004C3C43"/>
    <w:rsid w:val="004C3CCE"/>
    <w:rsid w:val="004C3CDB"/>
    <w:rsid w:val="004C3D54"/>
    <w:rsid w:val="004C3DFE"/>
    <w:rsid w:val="004C3E9E"/>
    <w:rsid w:val="004C42A2"/>
    <w:rsid w:val="004C4445"/>
    <w:rsid w:val="004C4502"/>
    <w:rsid w:val="004C452A"/>
    <w:rsid w:val="004C4565"/>
    <w:rsid w:val="004C463B"/>
    <w:rsid w:val="004C46AD"/>
    <w:rsid w:val="004C46B7"/>
    <w:rsid w:val="004C46F4"/>
    <w:rsid w:val="004C476D"/>
    <w:rsid w:val="004C486D"/>
    <w:rsid w:val="004C4885"/>
    <w:rsid w:val="004C4FB8"/>
    <w:rsid w:val="004C54DD"/>
    <w:rsid w:val="004C564C"/>
    <w:rsid w:val="004C56F0"/>
    <w:rsid w:val="004C590D"/>
    <w:rsid w:val="004C591F"/>
    <w:rsid w:val="004C5AF5"/>
    <w:rsid w:val="004C5B61"/>
    <w:rsid w:val="004C5C14"/>
    <w:rsid w:val="004C5CB4"/>
    <w:rsid w:val="004C5CB9"/>
    <w:rsid w:val="004C5CE2"/>
    <w:rsid w:val="004C5D2F"/>
    <w:rsid w:val="004C5D58"/>
    <w:rsid w:val="004C6031"/>
    <w:rsid w:val="004C6461"/>
    <w:rsid w:val="004C652A"/>
    <w:rsid w:val="004C66B5"/>
    <w:rsid w:val="004C69D7"/>
    <w:rsid w:val="004C6B77"/>
    <w:rsid w:val="004C6DBD"/>
    <w:rsid w:val="004C6E7C"/>
    <w:rsid w:val="004C708D"/>
    <w:rsid w:val="004C71FC"/>
    <w:rsid w:val="004C7309"/>
    <w:rsid w:val="004C7599"/>
    <w:rsid w:val="004C7629"/>
    <w:rsid w:val="004C7674"/>
    <w:rsid w:val="004C775C"/>
    <w:rsid w:val="004C77D0"/>
    <w:rsid w:val="004C7962"/>
    <w:rsid w:val="004C797C"/>
    <w:rsid w:val="004C7A07"/>
    <w:rsid w:val="004C7BB0"/>
    <w:rsid w:val="004C7BC5"/>
    <w:rsid w:val="004C7D8C"/>
    <w:rsid w:val="004C7F30"/>
    <w:rsid w:val="004D0152"/>
    <w:rsid w:val="004D0384"/>
    <w:rsid w:val="004D078D"/>
    <w:rsid w:val="004D08A5"/>
    <w:rsid w:val="004D0C52"/>
    <w:rsid w:val="004D0F02"/>
    <w:rsid w:val="004D106A"/>
    <w:rsid w:val="004D108A"/>
    <w:rsid w:val="004D112F"/>
    <w:rsid w:val="004D117B"/>
    <w:rsid w:val="004D1235"/>
    <w:rsid w:val="004D12B2"/>
    <w:rsid w:val="004D1385"/>
    <w:rsid w:val="004D1486"/>
    <w:rsid w:val="004D14D4"/>
    <w:rsid w:val="004D14F3"/>
    <w:rsid w:val="004D156C"/>
    <w:rsid w:val="004D166E"/>
    <w:rsid w:val="004D17AB"/>
    <w:rsid w:val="004D17FC"/>
    <w:rsid w:val="004D1862"/>
    <w:rsid w:val="004D1B7B"/>
    <w:rsid w:val="004D1CFD"/>
    <w:rsid w:val="004D1DDE"/>
    <w:rsid w:val="004D1F0A"/>
    <w:rsid w:val="004D1F5F"/>
    <w:rsid w:val="004D2184"/>
    <w:rsid w:val="004D21FA"/>
    <w:rsid w:val="004D265C"/>
    <w:rsid w:val="004D26F0"/>
    <w:rsid w:val="004D285E"/>
    <w:rsid w:val="004D2B0F"/>
    <w:rsid w:val="004D3176"/>
    <w:rsid w:val="004D32A1"/>
    <w:rsid w:val="004D3419"/>
    <w:rsid w:val="004D37BD"/>
    <w:rsid w:val="004D38BB"/>
    <w:rsid w:val="004D390D"/>
    <w:rsid w:val="004D3952"/>
    <w:rsid w:val="004D3A6F"/>
    <w:rsid w:val="004D3A91"/>
    <w:rsid w:val="004D3AE4"/>
    <w:rsid w:val="004D3B20"/>
    <w:rsid w:val="004D3BB5"/>
    <w:rsid w:val="004D3DCA"/>
    <w:rsid w:val="004D4013"/>
    <w:rsid w:val="004D435F"/>
    <w:rsid w:val="004D45C7"/>
    <w:rsid w:val="004D4603"/>
    <w:rsid w:val="004D463F"/>
    <w:rsid w:val="004D464F"/>
    <w:rsid w:val="004D4694"/>
    <w:rsid w:val="004D4786"/>
    <w:rsid w:val="004D4941"/>
    <w:rsid w:val="004D49DB"/>
    <w:rsid w:val="004D4ABC"/>
    <w:rsid w:val="004D4B73"/>
    <w:rsid w:val="004D4C8D"/>
    <w:rsid w:val="004D4EE6"/>
    <w:rsid w:val="004D51EF"/>
    <w:rsid w:val="004D522C"/>
    <w:rsid w:val="004D54A1"/>
    <w:rsid w:val="004D54EE"/>
    <w:rsid w:val="004D554D"/>
    <w:rsid w:val="004D560F"/>
    <w:rsid w:val="004D5721"/>
    <w:rsid w:val="004D589A"/>
    <w:rsid w:val="004D5C17"/>
    <w:rsid w:val="004D5CA2"/>
    <w:rsid w:val="004D5CDA"/>
    <w:rsid w:val="004D5DA3"/>
    <w:rsid w:val="004D5E21"/>
    <w:rsid w:val="004D6068"/>
    <w:rsid w:val="004D616B"/>
    <w:rsid w:val="004D62F1"/>
    <w:rsid w:val="004D6408"/>
    <w:rsid w:val="004D6817"/>
    <w:rsid w:val="004D694D"/>
    <w:rsid w:val="004D69DD"/>
    <w:rsid w:val="004D6A40"/>
    <w:rsid w:val="004D6AC9"/>
    <w:rsid w:val="004D6E47"/>
    <w:rsid w:val="004D6E90"/>
    <w:rsid w:val="004D6F9C"/>
    <w:rsid w:val="004D7073"/>
    <w:rsid w:val="004D7357"/>
    <w:rsid w:val="004D73ED"/>
    <w:rsid w:val="004D74CF"/>
    <w:rsid w:val="004D7633"/>
    <w:rsid w:val="004D769C"/>
    <w:rsid w:val="004D76AA"/>
    <w:rsid w:val="004D7742"/>
    <w:rsid w:val="004D7820"/>
    <w:rsid w:val="004D784F"/>
    <w:rsid w:val="004D7887"/>
    <w:rsid w:val="004D790A"/>
    <w:rsid w:val="004D7932"/>
    <w:rsid w:val="004D7B21"/>
    <w:rsid w:val="004D7BBC"/>
    <w:rsid w:val="004D7CB0"/>
    <w:rsid w:val="004D7E45"/>
    <w:rsid w:val="004E0010"/>
    <w:rsid w:val="004E014F"/>
    <w:rsid w:val="004E024F"/>
    <w:rsid w:val="004E061F"/>
    <w:rsid w:val="004E0A03"/>
    <w:rsid w:val="004E0A24"/>
    <w:rsid w:val="004E0BB0"/>
    <w:rsid w:val="004E0DF7"/>
    <w:rsid w:val="004E0E7C"/>
    <w:rsid w:val="004E11FB"/>
    <w:rsid w:val="004E12D6"/>
    <w:rsid w:val="004E1426"/>
    <w:rsid w:val="004E1571"/>
    <w:rsid w:val="004E15AB"/>
    <w:rsid w:val="004E169B"/>
    <w:rsid w:val="004E16B6"/>
    <w:rsid w:val="004E189B"/>
    <w:rsid w:val="004E1907"/>
    <w:rsid w:val="004E19A1"/>
    <w:rsid w:val="004E19A8"/>
    <w:rsid w:val="004E1A3B"/>
    <w:rsid w:val="004E1A70"/>
    <w:rsid w:val="004E1B97"/>
    <w:rsid w:val="004E1C1F"/>
    <w:rsid w:val="004E1E78"/>
    <w:rsid w:val="004E20A8"/>
    <w:rsid w:val="004E252E"/>
    <w:rsid w:val="004E2682"/>
    <w:rsid w:val="004E26BC"/>
    <w:rsid w:val="004E26DD"/>
    <w:rsid w:val="004E2802"/>
    <w:rsid w:val="004E2813"/>
    <w:rsid w:val="004E2854"/>
    <w:rsid w:val="004E285E"/>
    <w:rsid w:val="004E29DF"/>
    <w:rsid w:val="004E2A8F"/>
    <w:rsid w:val="004E2AD9"/>
    <w:rsid w:val="004E2BBD"/>
    <w:rsid w:val="004E2C42"/>
    <w:rsid w:val="004E2D2B"/>
    <w:rsid w:val="004E2E6B"/>
    <w:rsid w:val="004E2F2C"/>
    <w:rsid w:val="004E2F42"/>
    <w:rsid w:val="004E3223"/>
    <w:rsid w:val="004E345D"/>
    <w:rsid w:val="004E34F4"/>
    <w:rsid w:val="004E3649"/>
    <w:rsid w:val="004E3846"/>
    <w:rsid w:val="004E390B"/>
    <w:rsid w:val="004E3AA6"/>
    <w:rsid w:val="004E3BF6"/>
    <w:rsid w:val="004E3CB0"/>
    <w:rsid w:val="004E4194"/>
    <w:rsid w:val="004E42A9"/>
    <w:rsid w:val="004E43B0"/>
    <w:rsid w:val="004E43E0"/>
    <w:rsid w:val="004E47D4"/>
    <w:rsid w:val="004E47D8"/>
    <w:rsid w:val="004E48F5"/>
    <w:rsid w:val="004E4C0C"/>
    <w:rsid w:val="004E4C24"/>
    <w:rsid w:val="004E4DFE"/>
    <w:rsid w:val="004E4F22"/>
    <w:rsid w:val="004E51DD"/>
    <w:rsid w:val="004E52AF"/>
    <w:rsid w:val="004E53A1"/>
    <w:rsid w:val="004E562E"/>
    <w:rsid w:val="004E5735"/>
    <w:rsid w:val="004E58FE"/>
    <w:rsid w:val="004E59CF"/>
    <w:rsid w:val="004E5A20"/>
    <w:rsid w:val="004E5A95"/>
    <w:rsid w:val="004E5AB7"/>
    <w:rsid w:val="004E5C07"/>
    <w:rsid w:val="004E5DC3"/>
    <w:rsid w:val="004E5EDA"/>
    <w:rsid w:val="004E6106"/>
    <w:rsid w:val="004E62A9"/>
    <w:rsid w:val="004E62BA"/>
    <w:rsid w:val="004E6349"/>
    <w:rsid w:val="004E63CB"/>
    <w:rsid w:val="004E63D7"/>
    <w:rsid w:val="004E65BA"/>
    <w:rsid w:val="004E6616"/>
    <w:rsid w:val="004E6774"/>
    <w:rsid w:val="004E6899"/>
    <w:rsid w:val="004E6A8C"/>
    <w:rsid w:val="004E6ACB"/>
    <w:rsid w:val="004E6B49"/>
    <w:rsid w:val="004E6BF4"/>
    <w:rsid w:val="004E6C55"/>
    <w:rsid w:val="004E6F22"/>
    <w:rsid w:val="004E6FE1"/>
    <w:rsid w:val="004E7062"/>
    <w:rsid w:val="004E7183"/>
    <w:rsid w:val="004E72FD"/>
    <w:rsid w:val="004E73EF"/>
    <w:rsid w:val="004E755B"/>
    <w:rsid w:val="004E771B"/>
    <w:rsid w:val="004E77B3"/>
    <w:rsid w:val="004E783D"/>
    <w:rsid w:val="004E7CD9"/>
    <w:rsid w:val="004E7D22"/>
    <w:rsid w:val="004E7DB9"/>
    <w:rsid w:val="004E7E36"/>
    <w:rsid w:val="004E7FC0"/>
    <w:rsid w:val="004F00B6"/>
    <w:rsid w:val="004F016C"/>
    <w:rsid w:val="004F03AA"/>
    <w:rsid w:val="004F061F"/>
    <w:rsid w:val="004F0955"/>
    <w:rsid w:val="004F0D87"/>
    <w:rsid w:val="004F0E3F"/>
    <w:rsid w:val="004F0F18"/>
    <w:rsid w:val="004F12E3"/>
    <w:rsid w:val="004F13D4"/>
    <w:rsid w:val="004F1473"/>
    <w:rsid w:val="004F14A6"/>
    <w:rsid w:val="004F151D"/>
    <w:rsid w:val="004F15B5"/>
    <w:rsid w:val="004F178A"/>
    <w:rsid w:val="004F18B9"/>
    <w:rsid w:val="004F18FE"/>
    <w:rsid w:val="004F1B25"/>
    <w:rsid w:val="004F1DF7"/>
    <w:rsid w:val="004F1E56"/>
    <w:rsid w:val="004F1F4E"/>
    <w:rsid w:val="004F2160"/>
    <w:rsid w:val="004F2305"/>
    <w:rsid w:val="004F24F7"/>
    <w:rsid w:val="004F2625"/>
    <w:rsid w:val="004F2861"/>
    <w:rsid w:val="004F286D"/>
    <w:rsid w:val="004F299B"/>
    <w:rsid w:val="004F29A9"/>
    <w:rsid w:val="004F2B64"/>
    <w:rsid w:val="004F2DB1"/>
    <w:rsid w:val="004F2DC1"/>
    <w:rsid w:val="004F2E0C"/>
    <w:rsid w:val="004F2F39"/>
    <w:rsid w:val="004F2F4E"/>
    <w:rsid w:val="004F2F51"/>
    <w:rsid w:val="004F2FC8"/>
    <w:rsid w:val="004F30FF"/>
    <w:rsid w:val="004F312F"/>
    <w:rsid w:val="004F313D"/>
    <w:rsid w:val="004F32C7"/>
    <w:rsid w:val="004F32CE"/>
    <w:rsid w:val="004F3319"/>
    <w:rsid w:val="004F35C6"/>
    <w:rsid w:val="004F35EB"/>
    <w:rsid w:val="004F3884"/>
    <w:rsid w:val="004F38D8"/>
    <w:rsid w:val="004F3BCA"/>
    <w:rsid w:val="004F3BE4"/>
    <w:rsid w:val="004F3CC2"/>
    <w:rsid w:val="004F3E09"/>
    <w:rsid w:val="004F3E6F"/>
    <w:rsid w:val="004F3EE4"/>
    <w:rsid w:val="004F41F0"/>
    <w:rsid w:val="004F446D"/>
    <w:rsid w:val="004F447D"/>
    <w:rsid w:val="004F44EE"/>
    <w:rsid w:val="004F45A7"/>
    <w:rsid w:val="004F47EE"/>
    <w:rsid w:val="004F48B9"/>
    <w:rsid w:val="004F48D0"/>
    <w:rsid w:val="004F4AA2"/>
    <w:rsid w:val="004F4AAB"/>
    <w:rsid w:val="004F4AB1"/>
    <w:rsid w:val="004F4DE8"/>
    <w:rsid w:val="004F4E80"/>
    <w:rsid w:val="004F51D3"/>
    <w:rsid w:val="004F54F4"/>
    <w:rsid w:val="004F589D"/>
    <w:rsid w:val="004F59FC"/>
    <w:rsid w:val="004F5A14"/>
    <w:rsid w:val="004F5B65"/>
    <w:rsid w:val="004F5D05"/>
    <w:rsid w:val="004F5D9C"/>
    <w:rsid w:val="004F5F8F"/>
    <w:rsid w:val="004F6005"/>
    <w:rsid w:val="004F6312"/>
    <w:rsid w:val="004F6379"/>
    <w:rsid w:val="004F64C7"/>
    <w:rsid w:val="004F6542"/>
    <w:rsid w:val="004F658A"/>
    <w:rsid w:val="004F6639"/>
    <w:rsid w:val="004F66DD"/>
    <w:rsid w:val="004F69C3"/>
    <w:rsid w:val="004F6B39"/>
    <w:rsid w:val="004F6B4F"/>
    <w:rsid w:val="004F6CCB"/>
    <w:rsid w:val="004F6E6E"/>
    <w:rsid w:val="004F6EA0"/>
    <w:rsid w:val="004F7058"/>
    <w:rsid w:val="004F766E"/>
    <w:rsid w:val="004F77F2"/>
    <w:rsid w:val="004F781A"/>
    <w:rsid w:val="004F7837"/>
    <w:rsid w:val="004F789B"/>
    <w:rsid w:val="004F7973"/>
    <w:rsid w:val="004F7A47"/>
    <w:rsid w:val="004F7AB0"/>
    <w:rsid w:val="004F7AC3"/>
    <w:rsid w:val="004F7C3A"/>
    <w:rsid w:val="004F7CAE"/>
    <w:rsid w:val="004F7F8A"/>
    <w:rsid w:val="005001D3"/>
    <w:rsid w:val="0050045C"/>
    <w:rsid w:val="00500760"/>
    <w:rsid w:val="00500E9A"/>
    <w:rsid w:val="00500F03"/>
    <w:rsid w:val="00500F73"/>
    <w:rsid w:val="00501100"/>
    <w:rsid w:val="00501140"/>
    <w:rsid w:val="0050142D"/>
    <w:rsid w:val="00501489"/>
    <w:rsid w:val="005014FA"/>
    <w:rsid w:val="00501544"/>
    <w:rsid w:val="0050156B"/>
    <w:rsid w:val="0050160D"/>
    <w:rsid w:val="00501628"/>
    <w:rsid w:val="005016FC"/>
    <w:rsid w:val="0050177F"/>
    <w:rsid w:val="005017C8"/>
    <w:rsid w:val="005019E1"/>
    <w:rsid w:val="00501A5E"/>
    <w:rsid w:val="00501A78"/>
    <w:rsid w:val="00501B67"/>
    <w:rsid w:val="00501BB5"/>
    <w:rsid w:val="00501D5A"/>
    <w:rsid w:val="00501FF2"/>
    <w:rsid w:val="005020D9"/>
    <w:rsid w:val="00502456"/>
    <w:rsid w:val="005025A2"/>
    <w:rsid w:val="00502904"/>
    <w:rsid w:val="005029AF"/>
    <w:rsid w:val="005029FC"/>
    <w:rsid w:val="00502B00"/>
    <w:rsid w:val="00502D80"/>
    <w:rsid w:val="00502F3C"/>
    <w:rsid w:val="00502F44"/>
    <w:rsid w:val="00502F60"/>
    <w:rsid w:val="00502FFF"/>
    <w:rsid w:val="005030D3"/>
    <w:rsid w:val="00503210"/>
    <w:rsid w:val="00503239"/>
    <w:rsid w:val="0050333D"/>
    <w:rsid w:val="005034A7"/>
    <w:rsid w:val="0050371C"/>
    <w:rsid w:val="005037DE"/>
    <w:rsid w:val="00503863"/>
    <w:rsid w:val="0050399C"/>
    <w:rsid w:val="00503A05"/>
    <w:rsid w:val="00503B55"/>
    <w:rsid w:val="00503DEA"/>
    <w:rsid w:val="00503DEF"/>
    <w:rsid w:val="00503DF2"/>
    <w:rsid w:val="00503EA2"/>
    <w:rsid w:val="00503F88"/>
    <w:rsid w:val="00504266"/>
    <w:rsid w:val="0050437F"/>
    <w:rsid w:val="00504469"/>
    <w:rsid w:val="005044B1"/>
    <w:rsid w:val="005044E3"/>
    <w:rsid w:val="0050450E"/>
    <w:rsid w:val="00504538"/>
    <w:rsid w:val="0050462E"/>
    <w:rsid w:val="00504648"/>
    <w:rsid w:val="00504687"/>
    <w:rsid w:val="00504724"/>
    <w:rsid w:val="0050472E"/>
    <w:rsid w:val="005047C7"/>
    <w:rsid w:val="005048EB"/>
    <w:rsid w:val="00504AA5"/>
    <w:rsid w:val="00504B29"/>
    <w:rsid w:val="00504C8C"/>
    <w:rsid w:val="00504DBD"/>
    <w:rsid w:val="00504E5E"/>
    <w:rsid w:val="00504F41"/>
    <w:rsid w:val="00504FF4"/>
    <w:rsid w:val="00505201"/>
    <w:rsid w:val="00505391"/>
    <w:rsid w:val="00505518"/>
    <w:rsid w:val="0050553B"/>
    <w:rsid w:val="00505553"/>
    <w:rsid w:val="00505608"/>
    <w:rsid w:val="0050564E"/>
    <w:rsid w:val="0050578E"/>
    <w:rsid w:val="0050579A"/>
    <w:rsid w:val="005059EF"/>
    <w:rsid w:val="00505BB4"/>
    <w:rsid w:val="00505D7B"/>
    <w:rsid w:val="00505F5F"/>
    <w:rsid w:val="00506289"/>
    <w:rsid w:val="005064B8"/>
    <w:rsid w:val="005064C7"/>
    <w:rsid w:val="005066E8"/>
    <w:rsid w:val="005068FF"/>
    <w:rsid w:val="00506905"/>
    <w:rsid w:val="005069F3"/>
    <w:rsid w:val="00506A21"/>
    <w:rsid w:val="00506AC2"/>
    <w:rsid w:val="00506BA4"/>
    <w:rsid w:val="00506BAC"/>
    <w:rsid w:val="00506F72"/>
    <w:rsid w:val="00507193"/>
    <w:rsid w:val="00507346"/>
    <w:rsid w:val="0050744D"/>
    <w:rsid w:val="00507583"/>
    <w:rsid w:val="005078E7"/>
    <w:rsid w:val="00507965"/>
    <w:rsid w:val="005079AD"/>
    <w:rsid w:val="00507B88"/>
    <w:rsid w:val="00507C43"/>
    <w:rsid w:val="00507CD5"/>
    <w:rsid w:val="00507D29"/>
    <w:rsid w:val="00507DBE"/>
    <w:rsid w:val="00507DE9"/>
    <w:rsid w:val="00507E5B"/>
    <w:rsid w:val="00507F35"/>
    <w:rsid w:val="00507F41"/>
    <w:rsid w:val="00507FC6"/>
    <w:rsid w:val="00510139"/>
    <w:rsid w:val="0051020A"/>
    <w:rsid w:val="00510238"/>
    <w:rsid w:val="0051033D"/>
    <w:rsid w:val="00510371"/>
    <w:rsid w:val="0051037D"/>
    <w:rsid w:val="0051039F"/>
    <w:rsid w:val="005103CD"/>
    <w:rsid w:val="005104A4"/>
    <w:rsid w:val="005105D7"/>
    <w:rsid w:val="005109A1"/>
    <w:rsid w:val="00510B8E"/>
    <w:rsid w:val="00510BED"/>
    <w:rsid w:val="00510C4D"/>
    <w:rsid w:val="00510CB8"/>
    <w:rsid w:val="00510CC9"/>
    <w:rsid w:val="00510D15"/>
    <w:rsid w:val="00510D41"/>
    <w:rsid w:val="00510E63"/>
    <w:rsid w:val="00510EB1"/>
    <w:rsid w:val="0051115E"/>
    <w:rsid w:val="00511184"/>
    <w:rsid w:val="00511226"/>
    <w:rsid w:val="00511359"/>
    <w:rsid w:val="005113AC"/>
    <w:rsid w:val="00511622"/>
    <w:rsid w:val="0051163D"/>
    <w:rsid w:val="00511A1C"/>
    <w:rsid w:val="00511C6C"/>
    <w:rsid w:val="00511CB8"/>
    <w:rsid w:val="00511D1E"/>
    <w:rsid w:val="005120CE"/>
    <w:rsid w:val="005122F7"/>
    <w:rsid w:val="00512375"/>
    <w:rsid w:val="005123B8"/>
    <w:rsid w:val="005124AE"/>
    <w:rsid w:val="005125D4"/>
    <w:rsid w:val="0051283C"/>
    <w:rsid w:val="00512DF2"/>
    <w:rsid w:val="00512ECA"/>
    <w:rsid w:val="00513253"/>
    <w:rsid w:val="00513318"/>
    <w:rsid w:val="00513373"/>
    <w:rsid w:val="005134A8"/>
    <w:rsid w:val="00513762"/>
    <w:rsid w:val="00513D78"/>
    <w:rsid w:val="00513DD4"/>
    <w:rsid w:val="00513E30"/>
    <w:rsid w:val="00513E61"/>
    <w:rsid w:val="00514316"/>
    <w:rsid w:val="00514388"/>
    <w:rsid w:val="00514520"/>
    <w:rsid w:val="0051452C"/>
    <w:rsid w:val="005147CE"/>
    <w:rsid w:val="005147EA"/>
    <w:rsid w:val="0051491D"/>
    <w:rsid w:val="00514B37"/>
    <w:rsid w:val="00514BEC"/>
    <w:rsid w:val="00514BFE"/>
    <w:rsid w:val="00514C5E"/>
    <w:rsid w:val="00514E5C"/>
    <w:rsid w:val="00514E8B"/>
    <w:rsid w:val="00514E9D"/>
    <w:rsid w:val="0051506C"/>
    <w:rsid w:val="005153E1"/>
    <w:rsid w:val="00515491"/>
    <w:rsid w:val="005155A9"/>
    <w:rsid w:val="00515676"/>
    <w:rsid w:val="00515711"/>
    <w:rsid w:val="0051580C"/>
    <w:rsid w:val="00515A6E"/>
    <w:rsid w:val="00515B42"/>
    <w:rsid w:val="00515BA1"/>
    <w:rsid w:val="00515BFA"/>
    <w:rsid w:val="00515D4F"/>
    <w:rsid w:val="00515D83"/>
    <w:rsid w:val="0051632A"/>
    <w:rsid w:val="0051675F"/>
    <w:rsid w:val="00516780"/>
    <w:rsid w:val="00516951"/>
    <w:rsid w:val="00516B24"/>
    <w:rsid w:val="00516B66"/>
    <w:rsid w:val="00516B8F"/>
    <w:rsid w:val="00516BB9"/>
    <w:rsid w:val="00516DCC"/>
    <w:rsid w:val="00516DEA"/>
    <w:rsid w:val="00516E82"/>
    <w:rsid w:val="00516F26"/>
    <w:rsid w:val="00516FD9"/>
    <w:rsid w:val="0051729D"/>
    <w:rsid w:val="005172A0"/>
    <w:rsid w:val="00517383"/>
    <w:rsid w:val="0051740A"/>
    <w:rsid w:val="005175BC"/>
    <w:rsid w:val="00517681"/>
    <w:rsid w:val="0051774A"/>
    <w:rsid w:val="0051792A"/>
    <w:rsid w:val="00517A1F"/>
    <w:rsid w:val="00517B37"/>
    <w:rsid w:val="00517C8C"/>
    <w:rsid w:val="00517CB3"/>
    <w:rsid w:val="00517D41"/>
    <w:rsid w:val="00517EDE"/>
    <w:rsid w:val="00517EF4"/>
    <w:rsid w:val="00517F24"/>
    <w:rsid w:val="00517F7F"/>
    <w:rsid w:val="005200C0"/>
    <w:rsid w:val="0052021E"/>
    <w:rsid w:val="0052032B"/>
    <w:rsid w:val="00520360"/>
    <w:rsid w:val="005204F3"/>
    <w:rsid w:val="00520519"/>
    <w:rsid w:val="0052052C"/>
    <w:rsid w:val="005205D7"/>
    <w:rsid w:val="00520718"/>
    <w:rsid w:val="005207F6"/>
    <w:rsid w:val="0052080F"/>
    <w:rsid w:val="00520861"/>
    <w:rsid w:val="005208A6"/>
    <w:rsid w:val="00520DAB"/>
    <w:rsid w:val="00520E48"/>
    <w:rsid w:val="00520EB5"/>
    <w:rsid w:val="0052101C"/>
    <w:rsid w:val="00521136"/>
    <w:rsid w:val="00521181"/>
    <w:rsid w:val="005211BB"/>
    <w:rsid w:val="005211BF"/>
    <w:rsid w:val="0052128A"/>
    <w:rsid w:val="00521375"/>
    <w:rsid w:val="00521664"/>
    <w:rsid w:val="005218F5"/>
    <w:rsid w:val="00521A1D"/>
    <w:rsid w:val="00521C2C"/>
    <w:rsid w:val="00521C2D"/>
    <w:rsid w:val="00521C9C"/>
    <w:rsid w:val="00521D60"/>
    <w:rsid w:val="00521ED1"/>
    <w:rsid w:val="005222E3"/>
    <w:rsid w:val="0052234B"/>
    <w:rsid w:val="00522375"/>
    <w:rsid w:val="005224B3"/>
    <w:rsid w:val="005226F2"/>
    <w:rsid w:val="005226F9"/>
    <w:rsid w:val="00522756"/>
    <w:rsid w:val="00522A31"/>
    <w:rsid w:val="00522B3B"/>
    <w:rsid w:val="00522BA9"/>
    <w:rsid w:val="00522BB3"/>
    <w:rsid w:val="00522E72"/>
    <w:rsid w:val="00522E9B"/>
    <w:rsid w:val="00522FB8"/>
    <w:rsid w:val="00522FDB"/>
    <w:rsid w:val="00523134"/>
    <w:rsid w:val="00523157"/>
    <w:rsid w:val="00523314"/>
    <w:rsid w:val="0052332B"/>
    <w:rsid w:val="005236C4"/>
    <w:rsid w:val="00523816"/>
    <w:rsid w:val="00523A49"/>
    <w:rsid w:val="00523C95"/>
    <w:rsid w:val="00523CE0"/>
    <w:rsid w:val="00523D2B"/>
    <w:rsid w:val="00523E23"/>
    <w:rsid w:val="005240A3"/>
    <w:rsid w:val="00524374"/>
    <w:rsid w:val="00524412"/>
    <w:rsid w:val="00524456"/>
    <w:rsid w:val="00524602"/>
    <w:rsid w:val="0052461B"/>
    <w:rsid w:val="005248CD"/>
    <w:rsid w:val="00524A89"/>
    <w:rsid w:val="00524AAB"/>
    <w:rsid w:val="00524D28"/>
    <w:rsid w:val="00524D6D"/>
    <w:rsid w:val="00524E42"/>
    <w:rsid w:val="00524EC5"/>
    <w:rsid w:val="00524FAD"/>
    <w:rsid w:val="00525038"/>
    <w:rsid w:val="00525126"/>
    <w:rsid w:val="0052516B"/>
    <w:rsid w:val="00525265"/>
    <w:rsid w:val="0052541A"/>
    <w:rsid w:val="00525422"/>
    <w:rsid w:val="00525763"/>
    <w:rsid w:val="005258E3"/>
    <w:rsid w:val="00525A70"/>
    <w:rsid w:val="00525ABF"/>
    <w:rsid w:val="00525BDE"/>
    <w:rsid w:val="00525D94"/>
    <w:rsid w:val="00525E1D"/>
    <w:rsid w:val="00525EA2"/>
    <w:rsid w:val="00525EE9"/>
    <w:rsid w:val="00525F4D"/>
    <w:rsid w:val="00525FC0"/>
    <w:rsid w:val="0052600F"/>
    <w:rsid w:val="0052608A"/>
    <w:rsid w:val="005260DF"/>
    <w:rsid w:val="005261C3"/>
    <w:rsid w:val="00526528"/>
    <w:rsid w:val="005265CE"/>
    <w:rsid w:val="0052670D"/>
    <w:rsid w:val="0052694C"/>
    <w:rsid w:val="00526C86"/>
    <w:rsid w:val="00526E74"/>
    <w:rsid w:val="00526FE6"/>
    <w:rsid w:val="00527003"/>
    <w:rsid w:val="00527051"/>
    <w:rsid w:val="0052707D"/>
    <w:rsid w:val="005271BB"/>
    <w:rsid w:val="00527207"/>
    <w:rsid w:val="0052740A"/>
    <w:rsid w:val="005277EB"/>
    <w:rsid w:val="005279D7"/>
    <w:rsid w:val="00527AE1"/>
    <w:rsid w:val="00527C9B"/>
    <w:rsid w:val="00527C9E"/>
    <w:rsid w:val="00527CBC"/>
    <w:rsid w:val="00527CED"/>
    <w:rsid w:val="00527D79"/>
    <w:rsid w:val="00527F6B"/>
    <w:rsid w:val="00530479"/>
    <w:rsid w:val="00530551"/>
    <w:rsid w:val="00530584"/>
    <w:rsid w:val="00530726"/>
    <w:rsid w:val="00530878"/>
    <w:rsid w:val="0053090A"/>
    <w:rsid w:val="005309FF"/>
    <w:rsid w:val="00530C8F"/>
    <w:rsid w:val="00530CD2"/>
    <w:rsid w:val="00530CFB"/>
    <w:rsid w:val="00530D50"/>
    <w:rsid w:val="005310B5"/>
    <w:rsid w:val="0053118C"/>
    <w:rsid w:val="0053150E"/>
    <w:rsid w:val="005315C7"/>
    <w:rsid w:val="0053185C"/>
    <w:rsid w:val="005318CD"/>
    <w:rsid w:val="00531934"/>
    <w:rsid w:val="00531A81"/>
    <w:rsid w:val="00531B71"/>
    <w:rsid w:val="00531D27"/>
    <w:rsid w:val="00531D55"/>
    <w:rsid w:val="00531EB6"/>
    <w:rsid w:val="0053220D"/>
    <w:rsid w:val="00532669"/>
    <w:rsid w:val="005327EB"/>
    <w:rsid w:val="00532803"/>
    <w:rsid w:val="005328E2"/>
    <w:rsid w:val="00532918"/>
    <w:rsid w:val="00532928"/>
    <w:rsid w:val="00532946"/>
    <w:rsid w:val="00532A01"/>
    <w:rsid w:val="00532BD6"/>
    <w:rsid w:val="00532DA9"/>
    <w:rsid w:val="00532E76"/>
    <w:rsid w:val="00532F7A"/>
    <w:rsid w:val="005331AC"/>
    <w:rsid w:val="005332FD"/>
    <w:rsid w:val="00533304"/>
    <w:rsid w:val="0053340C"/>
    <w:rsid w:val="005334B6"/>
    <w:rsid w:val="005334E2"/>
    <w:rsid w:val="005335CD"/>
    <w:rsid w:val="00533647"/>
    <w:rsid w:val="0053380B"/>
    <w:rsid w:val="00533816"/>
    <w:rsid w:val="0053390F"/>
    <w:rsid w:val="00533C31"/>
    <w:rsid w:val="00533ECD"/>
    <w:rsid w:val="00534090"/>
    <w:rsid w:val="00534190"/>
    <w:rsid w:val="005341F9"/>
    <w:rsid w:val="0053440D"/>
    <w:rsid w:val="0053443B"/>
    <w:rsid w:val="00534627"/>
    <w:rsid w:val="005347E9"/>
    <w:rsid w:val="00534B19"/>
    <w:rsid w:val="00534B40"/>
    <w:rsid w:val="00534BAC"/>
    <w:rsid w:val="00534E3B"/>
    <w:rsid w:val="00534E61"/>
    <w:rsid w:val="00534E87"/>
    <w:rsid w:val="00535086"/>
    <w:rsid w:val="005350E2"/>
    <w:rsid w:val="00535130"/>
    <w:rsid w:val="00535131"/>
    <w:rsid w:val="005352A4"/>
    <w:rsid w:val="00535415"/>
    <w:rsid w:val="00535923"/>
    <w:rsid w:val="00535A0F"/>
    <w:rsid w:val="00535A36"/>
    <w:rsid w:val="00535A63"/>
    <w:rsid w:val="00535ADF"/>
    <w:rsid w:val="00535C53"/>
    <w:rsid w:val="00535C78"/>
    <w:rsid w:val="00535E40"/>
    <w:rsid w:val="0053600B"/>
    <w:rsid w:val="00536529"/>
    <w:rsid w:val="0053667C"/>
    <w:rsid w:val="005366B0"/>
    <w:rsid w:val="00536908"/>
    <w:rsid w:val="00536947"/>
    <w:rsid w:val="00536991"/>
    <w:rsid w:val="00536A66"/>
    <w:rsid w:val="00536B75"/>
    <w:rsid w:val="00536BD1"/>
    <w:rsid w:val="00536BDC"/>
    <w:rsid w:val="00536C3C"/>
    <w:rsid w:val="00536C82"/>
    <w:rsid w:val="00536F73"/>
    <w:rsid w:val="00537150"/>
    <w:rsid w:val="0053716E"/>
    <w:rsid w:val="00537260"/>
    <w:rsid w:val="005372F6"/>
    <w:rsid w:val="0053741E"/>
    <w:rsid w:val="00537497"/>
    <w:rsid w:val="00537587"/>
    <w:rsid w:val="00537665"/>
    <w:rsid w:val="0053777C"/>
    <w:rsid w:val="00537787"/>
    <w:rsid w:val="005377A7"/>
    <w:rsid w:val="005379A7"/>
    <w:rsid w:val="00537D0C"/>
    <w:rsid w:val="00540586"/>
    <w:rsid w:val="00540592"/>
    <w:rsid w:val="00540844"/>
    <w:rsid w:val="0054098C"/>
    <w:rsid w:val="00540BAA"/>
    <w:rsid w:val="00540E9E"/>
    <w:rsid w:val="00540FC4"/>
    <w:rsid w:val="00541073"/>
    <w:rsid w:val="0054108C"/>
    <w:rsid w:val="00541313"/>
    <w:rsid w:val="0054134B"/>
    <w:rsid w:val="005414F5"/>
    <w:rsid w:val="005416DB"/>
    <w:rsid w:val="00541770"/>
    <w:rsid w:val="00541820"/>
    <w:rsid w:val="0054188B"/>
    <w:rsid w:val="005419B1"/>
    <w:rsid w:val="00541A5F"/>
    <w:rsid w:val="00541B38"/>
    <w:rsid w:val="0054219C"/>
    <w:rsid w:val="005421A0"/>
    <w:rsid w:val="0054220D"/>
    <w:rsid w:val="005422B5"/>
    <w:rsid w:val="0054233F"/>
    <w:rsid w:val="0054242F"/>
    <w:rsid w:val="005425A3"/>
    <w:rsid w:val="0054269A"/>
    <w:rsid w:val="005426D5"/>
    <w:rsid w:val="005427AD"/>
    <w:rsid w:val="005427F5"/>
    <w:rsid w:val="00542849"/>
    <w:rsid w:val="00542997"/>
    <w:rsid w:val="00542BE7"/>
    <w:rsid w:val="00542C27"/>
    <w:rsid w:val="00542EC7"/>
    <w:rsid w:val="00542EF7"/>
    <w:rsid w:val="00542F72"/>
    <w:rsid w:val="00542F8E"/>
    <w:rsid w:val="00543249"/>
    <w:rsid w:val="00543568"/>
    <w:rsid w:val="0054360A"/>
    <w:rsid w:val="00543AAA"/>
    <w:rsid w:val="00543CFF"/>
    <w:rsid w:val="00543D09"/>
    <w:rsid w:val="00543DC5"/>
    <w:rsid w:val="00543DDD"/>
    <w:rsid w:val="005443AD"/>
    <w:rsid w:val="00544481"/>
    <w:rsid w:val="005447B8"/>
    <w:rsid w:val="00544924"/>
    <w:rsid w:val="00544FF6"/>
    <w:rsid w:val="005450A8"/>
    <w:rsid w:val="00545208"/>
    <w:rsid w:val="005453A3"/>
    <w:rsid w:val="00545473"/>
    <w:rsid w:val="00545574"/>
    <w:rsid w:val="00545666"/>
    <w:rsid w:val="00545698"/>
    <w:rsid w:val="00545940"/>
    <w:rsid w:val="00545B94"/>
    <w:rsid w:val="00545BA8"/>
    <w:rsid w:val="00545D14"/>
    <w:rsid w:val="00545D84"/>
    <w:rsid w:val="00545F02"/>
    <w:rsid w:val="00546087"/>
    <w:rsid w:val="005461BE"/>
    <w:rsid w:val="005462A9"/>
    <w:rsid w:val="005464BA"/>
    <w:rsid w:val="005465C3"/>
    <w:rsid w:val="005467D8"/>
    <w:rsid w:val="00546A14"/>
    <w:rsid w:val="00546A49"/>
    <w:rsid w:val="00546B4F"/>
    <w:rsid w:val="00546B6C"/>
    <w:rsid w:val="00546CB2"/>
    <w:rsid w:val="00546FC2"/>
    <w:rsid w:val="00547259"/>
    <w:rsid w:val="00547370"/>
    <w:rsid w:val="005473BB"/>
    <w:rsid w:val="005475CF"/>
    <w:rsid w:val="005476DB"/>
    <w:rsid w:val="005477B7"/>
    <w:rsid w:val="0054782E"/>
    <w:rsid w:val="0054792C"/>
    <w:rsid w:val="00547B1F"/>
    <w:rsid w:val="00547C8E"/>
    <w:rsid w:val="00547D09"/>
    <w:rsid w:val="00547EAB"/>
    <w:rsid w:val="00547F95"/>
    <w:rsid w:val="00547FD0"/>
    <w:rsid w:val="0055000C"/>
    <w:rsid w:val="0055022F"/>
    <w:rsid w:val="0055034D"/>
    <w:rsid w:val="005503FE"/>
    <w:rsid w:val="0055056F"/>
    <w:rsid w:val="00550766"/>
    <w:rsid w:val="0055098B"/>
    <w:rsid w:val="00550B59"/>
    <w:rsid w:val="00550E2D"/>
    <w:rsid w:val="00550F59"/>
    <w:rsid w:val="00551006"/>
    <w:rsid w:val="00551127"/>
    <w:rsid w:val="00551203"/>
    <w:rsid w:val="00551505"/>
    <w:rsid w:val="0055153D"/>
    <w:rsid w:val="005515BD"/>
    <w:rsid w:val="005517B9"/>
    <w:rsid w:val="00551B4D"/>
    <w:rsid w:val="00551D14"/>
    <w:rsid w:val="00551DD9"/>
    <w:rsid w:val="00551DF9"/>
    <w:rsid w:val="00551F75"/>
    <w:rsid w:val="00551FDE"/>
    <w:rsid w:val="00552014"/>
    <w:rsid w:val="00552060"/>
    <w:rsid w:val="005520D9"/>
    <w:rsid w:val="0055214B"/>
    <w:rsid w:val="005524C7"/>
    <w:rsid w:val="005529E2"/>
    <w:rsid w:val="00552A31"/>
    <w:rsid w:val="00552A78"/>
    <w:rsid w:val="00552C03"/>
    <w:rsid w:val="00552E66"/>
    <w:rsid w:val="00552E86"/>
    <w:rsid w:val="00552F84"/>
    <w:rsid w:val="0055313E"/>
    <w:rsid w:val="0055336F"/>
    <w:rsid w:val="005533AE"/>
    <w:rsid w:val="00553534"/>
    <w:rsid w:val="00553573"/>
    <w:rsid w:val="00553661"/>
    <w:rsid w:val="005536D2"/>
    <w:rsid w:val="005536FB"/>
    <w:rsid w:val="00553822"/>
    <w:rsid w:val="005538CC"/>
    <w:rsid w:val="00553921"/>
    <w:rsid w:val="005539A5"/>
    <w:rsid w:val="00553A8F"/>
    <w:rsid w:val="00553A91"/>
    <w:rsid w:val="00553BF2"/>
    <w:rsid w:val="00553CDC"/>
    <w:rsid w:val="005543D0"/>
    <w:rsid w:val="005544A5"/>
    <w:rsid w:val="00554688"/>
    <w:rsid w:val="005546D8"/>
    <w:rsid w:val="00554854"/>
    <w:rsid w:val="00554AF8"/>
    <w:rsid w:val="00554D6C"/>
    <w:rsid w:val="00554D83"/>
    <w:rsid w:val="00554D99"/>
    <w:rsid w:val="00554E6E"/>
    <w:rsid w:val="00554F5C"/>
    <w:rsid w:val="00554F6C"/>
    <w:rsid w:val="00555111"/>
    <w:rsid w:val="005552EA"/>
    <w:rsid w:val="005554F6"/>
    <w:rsid w:val="00555731"/>
    <w:rsid w:val="00555B3D"/>
    <w:rsid w:val="00555B52"/>
    <w:rsid w:val="00555BE2"/>
    <w:rsid w:val="00555D4F"/>
    <w:rsid w:val="00555F1A"/>
    <w:rsid w:val="00555F20"/>
    <w:rsid w:val="005561AF"/>
    <w:rsid w:val="005562E2"/>
    <w:rsid w:val="00556379"/>
    <w:rsid w:val="005563CB"/>
    <w:rsid w:val="0055645B"/>
    <w:rsid w:val="00556483"/>
    <w:rsid w:val="0055661A"/>
    <w:rsid w:val="005566BA"/>
    <w:rsid w:val="005566E1"/>
    <w:rsid w:val="00556BFB"/>
    <w:rsid w:val="00556DCA"/>
    <w:rsid w:val="00556F29"/>
    <w:rsid w:val="00556FD1"/>
    <w:rsid w:val="00557013"/>
    <w:rsid w:val="005570B2"/>
    <w:rsid w:val="00557194"/>
    <w:rsid w:val="00557222"/>
    <w:rsid w:val="00557328"/>
    <w:rsid w:val="00557431"/>
    <w:rsid w:val="0055744E"/>
    <w:rsid w:val="005574C2"/>
    <w:rsid w:val="00557535"/>
    <w:rsid w:val="00557537"/>
    <w:rsid w:val="005576BE"/>
    <w:rsid w:val="005576C5"/>
    <w:rsid w:val="0055775F"/>
    <w:rsid w:val="00557790"/>
    <w:rsid w:val="00557A9E"/>
    <w:rsid w:val="00557C9C"/>
    <w:rsid w:val="00557CB4"/>
    <w:rsid w:val="00557D19"/>
    <w:rsid w:val="00557FD5"/>
    <w:rsid w:val="0056031F"/>
    <w:rsid w:val="005604E9"/>
    <w:rsid w:val="0056063E"/>
    <w:rsid w:val="0056065B"/>
    <w:rsid w:val="00560728"/>
    <w:rsid w:val="005607E8"/>
    <w:rsid w:val="00560B68"/>
    <w:rsid w:val="00560C06"/>
    <w:rsid w:val="00560D3C"/>
    <w:rsid w:val="00560D87"/>
    <w:rsid w:val="00560FEB"/>
    <w:rsid w:val="005611E8"/>
    <w:rsid w:val="00561243"/>
    <w:rsid w:val="00561381"/>
    <w:rsid w:val="005614C5"/>
    <w:rsid w:val="00561592"/>
    <w:rsid w:val="00561651"/>
    <w:rsid w:val="005619B9"/>
    <w:rsid w:val="00562020"/>
    <w:rsid w:val="00562318"/>
    <w:rsid w:val="00562403"/>
    <w:rsid w:val="00562461"/>
    <w:rsid w:val="0056248B"/>
    <w:rsid w:val="00562547"/>
    <w:rsid w:val="005625C4"/>
    <w:rsid w:val="00562681"/>
    <w:rsid w:val="00562A03"/>
    <w:rsid w:val="00562A09"/>
    <w:rsid w:val="00562A99"/>
    <w:rsid w:val="00562BF7"/>
    <w:rsid w:val="00563225"/>
    <w:rsid w:val="005632CE"/>
    <w:rsid w:val="005632F5"/>
    <w:rsid w:val="00563311"/>
    <w:rsid w:val="00563435"/>
    <w:rsid w:val="005635DA"/>
    <w:rsid w:val="005636BB"/>
    <w:rsid w:val="0056389D"/>
    <w:rsid w:val="00563974"/>
    <w:rsid w:val="005639DB"/>
    <w:rsid w:val="00563A05"/>
    <w:rsid w:val="00563AD3"/>
    <w:rsid w:val="00563ADD"/>
    <w:rsid w:val="00563CE6"/>
    <w:rsid w:val="00563D13"/>
    <w:rsid w:val="00563F61"/>
    <w:rsid w:val="00563FEE"/>
    <w:rsid w:val="0056405F"/>
    <w:rsid w:val="0056407D"/>
    <w:rsid w:val="005640FE"/>
    <w:rsid w:val="00564261"/>
    <w:rsid w:val="00564389"/>
    <w:rsid w:val="005644A6"/>
    <w:rsid w:val="005644C2"/>
    <w:rsid w:val="005644DB"/>
    <w:rsid w:val="005645CE"/>
    <w:rsid w:val="005645FB"/>
    <w:rsid w:val="00564654"/>
    <w:rsid w:val="005646C1"/>
    <w:rsid w:val="00564712"/>
    <w:rsid w:val="00564848"/>
    <w:rsid w:val="0056491C"/>
    <w:rsid w:val="00564995"/>
    <w:rsid w:val="005649A2"/>
    <w:rsid w:val="00564C96"/>
    <w:rsid w:val="00564CEA"/>
    <w:rsid w:val="00564D16"/>
    <w:rsid w:val="00564E92"/>
    <w:rsid w:val="00564F34"/>
    <w:rsid w:val="00564F6D"/>
    <w:rsid w:val="00565037"/>
    <w:rsid w:val="005652BC"/>
    <w:rsid w:val="00565350"/>
    <w:rsid w:val="00565472"/>
    <w:rsid w:val="005654EA"/>
    <w:rsid w:val="00565646"/>
    <w:rsid w:val="00565787"/>
    <w:rsid w:val="00565963"/>
    <w:rsid w:val="00565971"/>
    <w:rsid w:val="00565AF1"/>
    <w:rsid w:val="00565B5D"/>
    <w:rsid w:val="00565CFE"/>
    <w:rsid w:val="005661A5"/>
    <w:rsid w:val="005661CF"/>
    <w:rsid w:val="005662AB"/>
    <w:rsid w:val="00566356"/>
    <w:rsid w:val="00566424"/>
    <w:rsid w:val="00566775"/>
    <w:rsid w:val="005667FE"/>
    <w:rsid w:val="005668DE"/>
    <w:rsid w:val="0056692E"/>
    <w:rsid w:val="00566A61"/>
    <w:rsid w:val="00566C75"/>
    <w:rsid w:val="00566DB7"/>
    <w:rsid w:val="00566F54"/>
    <w:rsid w:val="00566F85"/>
    <w:rsid w:val="00566FD8"/>
    <w:rsid w:val="00567094"/>
    <w:rsid w:val="00567499"/>
    <w:rsid w:val="005679C9"/>
    <w:rsid w:val="005679E6"/>
    <w:rsid w:val="00567DD0"/>
    <w:rsid w:val="00567F87"/>
    <w:rsid w:val="00567FB0"/>
    <w:rsid w:val="00570277"/>
    <w:rsid w:val="005702BB"/>
    <w:rsid w:val="00570342"/>
    <w:rsid w:val="0057036E"/>
    <w:rsid w:val="005706FC"/>
    <w:rsid w:val="0057070F"/>
    <w:rsid w:val="00570879"/>
    <w:rsid w:val="005708A5"/>
    <w:rsid w:val="005708AC"/>
    <w:rsid w:val="00570913"/>
    <w:rsid w:val="005709FE"/>
    <w:rsid w:val="00570BBF"/>
    <w:rsid w:val="00570BFB"/>
    <w:rsid w:val="00570E59"/>
    <w:rsid w:val="00570F55"/>
    <w:rsid w:val="00570F7C"/>
    <w:rsid w:val="005711E3"/>
    <w:rsid w:val="005711E9"/>
    <w:rsid w:val="005715F0"/>
    <w:rsid w:val="00571767"/>
    <w:rsid w:val="005718D9"/>
    <w:rsid w:val="00571942"/>
    <w:rsid w:val="00571A9D"/>
    <w:rsid w:val="00571B94"/>
    <w:rsid w:val="00571EE8"/>
    <w:rsid w:val="005720FE"/>
    <w:rsid w:val="0057219A"/>
    <w:rsid w:val="005721F0"/>
    <w:rsid w:val="00572207"/>
    <w:rsid w:val="00572610"/>
    <w:rsid w:val="005729A5"/>
    <w:rsid w:val="00572BC2"/>
    <w:rsid w:val="00572BFD"/>
    <w:rsid w:val="00572DEE"/>
    <w:rsid w:val="00572DF0"/>
    <w:rsid w:val="005730CC"/>
    <w:rsid w:val="00573150"/>
    <w:rsid w:val="00573478"/>
    <w:rsid w:val="00573532"/>
    <w:rsid w:val="0057353E"/>
    <w:rsid w:val="005735E5"/>
    <w:rsid w:val="005737C7"/>
    <w:rsid w:val="00573DA7"/>
    <w:rsid w:val="00573F9E"/>
    <w:rsid w:val="005742B5"/>
    <w:rsid w:val="005743B6"/>
    <w:rsid w:val="00574623"/>
    <w:rsid w:val="00574722"/>
    <w:rsid w:val="0057478B"/>
    <w:rsid w:val="0057479C"/>
    <w:rsid w:val="005747F7"/>
    <w:rsid w:val="0057483E"/>
    <w:rsid w:val="00574889"/>
    <w:rsid w:val="00574907"/>
    <w:rsid w:val="00574937"/>
    <w:rsid w:val="00574A5E"/>
    <w:rsid w:val="00574A72"/>
    <w:rsid w:val="00574B2F"/>
    <w:rsid w:val="00574BAB"/>
    <w:rsid w:val="00574D95"/>
    <w:rsid w:val="00574DDE"/>
    <w:rsid w:val="00575694"/>
    <w:rsid w:val="0057576A"/>
    <w:rsid w:val="00575917"/>
    <w:rsid w:val="00575941"/>
    <w:rsid w:val="00575B11"/>
    <w:rsid w:val="00575D8F"/>
    <w:rsid w:val="00575E5B"/>
    <w:rsid w:val="00575FC7"/>
    <w:rsid w:val="00576082"/>
    <w:rsid w:val="0057608F"/>
    <w:rsid w:val="005760A9"/>
    <w:rsid w:val="00576209"/>
    <w:rsid w:val="005762C3"/>
    <w:rsid w:val="00576300"/>
    <w:rsid w:val="005763F2"/>
    <w:rsid w:val="00576585"/>
    <w:rsid w:val="005765CC"/>
    <w:rsid w:val="005766C8"/>
    <w:rsid w:val="0057688D"/>
    <w:rsid w:val="00576A27"/>
    <w:rsid w:val="00576A35"/>
    <w:rsid w:val="00576BD3"/>
    <w:rsid w:val="00576C9F"/>
    <w:rsid w:val="00576CE7"/>
    <w:rsid w:val="00576CED"/>
    <w:rsid w:val="00576E32"/>
    <w:rsid w:val="00577059"/>
    <w:rsid w:val="005771AF"/>
    <w:rsid w:val="00577212"/>
    <w:rsid w:val="0057756D"/>
    <w:rsid w:val="005775D7"/>
    <w:rsid w:val="0057794A"/>
    <w:rsid w:val="005779FA"/>
    <w:rsid w:val="00577A99"/>
    <w:rsid w:val="00577B67"/>
    <w:rsid w:val="00577CEE"/>
    <w:rsid w:val="00577E18"/>
    <w:rsid w:val="00577E61"/>
    <w:rsid w:val="005800BB"/>
    <w:rsid w:val="005800D5"/>
    <w:rsid w:val="005801C2"/>
    <w:rsid w:val="00580D9E"/>
    <w:rsid w:val="00580E65"/>
    <w:rsid w:val="00580F18"/>
    <w:rsid w:val="00580F83"/>
    <w:rsid w:val="00581249"/>
    <w:rsid w:val="00581252"/>
    <w:rsid w:val="005812C6"/>
    <w:rsid w:val="0058132D"/>
    <w:rsid w:val="0058144D"/>
    <w:rsid w:val="005814B4"/>
    <w:rsid w:val="005814ED"/>
    <w:rsid w:val="00581628"/>
    <w:rsid w:val="005816F2"/>
    <w:rsid w:val="00581755"/>
    <w:rsid w:val="00581776"/>
    <w:rsid w:val="0058178D"/>
    <w:rsid w:val="005817EC"/>
    <w:rsid w:val="00581877"/>
    <w:rsid w:val="005818C9"/>
    <w:rsid w:val="0058197C"/>
    <w:rsid w:val="005819C8"/>
    <w:rsid w:val="005819DE"/>
    <w:rsid w:val="00581A5B"/>
    <w:rsid w:val="00581CA4"/>
    <w:rsid w:val="00581CC4"/>
    <w:rsid w:val="005820E3"/>
    <w:rsid w:val="00582357"/>
    <w:rsid w:val="005824BB"/>
    <w:rsid w:val="00582681"/>
    <w:rsid w:val="0058282D"/>
    <w:rsid w:val="00582895"/>
    <w:rsid w:val="0058289C"/>
    <w:rsid w:val="005828FB"/>
    <w:rsid w:val="00582AA7"/>
    <w:rsid w:val="00582C4D"/>
    <w:rsid w:val="00582DC0"/>
    <w:rsid w:val="00582F3C"/>
    <w:rsid w:val="00582F87"/>
    <w:rsid w:val="005831BC"/>
    <w:rsid w:val="0058320A"/>
    <w:rsid w:val="005833DB"/>
    <w:rsid w:val="005833EC"/>
    <w:rsid w:val="00583500"/>
    <w:rsid w:val="0058350C"/>
    <w:rsid w:val="00583529"/>
    <w:rsid w:val="00583A03"/>
    <w:rsid w:val="00583A25"/>
    <w:rsid w:val="00583A4E"/>
    <w:rsid w:val="00583ACE"/>
    <w:rsid w:val="00583C81"/>
    <w:rsid w:val="00583E28"/>
    <w:rsid w:val="00583ECE"/>
    <w:rsid w:val="00583F81"/>
    <w:rsid w:val="00584154"/>
    <w:rsid w:val="0058415B"/>
    <w:rsid w:val="005842C6"/>
    <w:rsid w:val="005844D4"/>
    <w:rsid w:val="00584518"/>
    <w:rsid w:val="0058461C"/>
    <w:rsid w:val="005846C9"/>
    <w:rsid w:val="005848D3"/>
    <w:rsid w:val="005849CE"/>
    <w:rsid w:val="005849D9"/>
    <w:rsid w:val="00584D8F"/>
    <w:rsid w:val="00584FA7"/>
    <w:rsid w:val="00585174"/>
    <w:rsid w:val="0058525A"/>
    <w:rsid w:val="0058543B"/>
    <w:rsid w:val="0058547A"/>
    <w:rsid w:val="00585738"/>
    <w:rsid w:val="00585864"/>
    <w:rsid w:val="005859F1"/>
    <w:rsid w:val="00585BE0"/>
    <w:rsid w:val="00585D3F"/>
    <w:rsid w:val="00585D7C"/>
    <w:rsid w:val="00585E66"/>
    <w:rsid w:val="00585ECA"/>
    <w:rsid w:val="00586089"/>
    <w:rsid w:val="00586114"/>
    <w:rsid w:val="00586167"/>
    <w:rsid w:val="005861E8"/>
    <w:rsid w:val="0058638C"/>
    <w:rsid w:val="005863B7"/>
    <w:rsid w:val="00586523"/>
    <w:rsid w:val="005866C0"/>
    <w:rsid w:val="005866EF"/>
    <w:rsid w:val="0058679D"/>
    <w:rsid w:val="005868AD"/>
    <w:rsid w:val="0058690F"/>
    <w:rsid w:val="00586AFC"/>
    <w:rsid w:val="00586C04"/>
    <w:rsid w:val="00586C1A"/>
    <w:rsid w:val="00586D28"/>
    <w:rsid w:val="00586D69"/>
    <w:rsid w:val="00586E84"/>
    <w:rsid w:val="0058713F"/>
    <w:rsid w:val="005873B6"/>
    <w:rsid w:val="005873EC"/>
    <w:rsid w:val="005878E1"/>
    <w:rsid w:val="00587A28"/>
    <w:rsid w:val="00587AD0"/>
    <w:rsid w:val="00587AEB"/>
    <w:rsid w:val="00587AED"/>
    <w:rsid w:val="00587BB0"/>
    <w:rsid w:val="00587BF3"/>
    <w:rsid w:val="00587C99"/>
    <w:rsid w:val="00587E73"/>
    <w:rsid w:val="00587EA8"/>
    <w:rsid w:val="00590177"/>
    <w:rsid w:val="00590320"/>
    <w:rsid w:val="00590542"/>
    <w:rsid w:val="005905CD"/>
    <w:rsid w:val="0059092E"/>
    <w:rsid w:val="005909CA"/>
    <w:rsid w:val="00590BB3"/>
    <w:rsid w:val="00590DA2"/>
    <w:rsid w:val="0059111E"/>
    <w:rsid w:val="005911FF"/>
    <w:rsid w:val="005913D6"/>
    <w:rsid w:val="0059141B"/>
    <w:rsid w:val="005915DF"/>
    <w:rsid w:val="00591728"/>
    <w:rsid w:val="00591752"/>
    <w:rsid w:val="00591779"/>
    <w:rsid w:val="005917F8"/>
    <w:rsid w:val="00591832"/>
    <w:rsid w:val="00591AF3"/>
    <w:rsid w:val="00591C46"/>
    <w:rsid w:val="00591EED"/>
    <w:rsid w:val="00591F00"/>
    <w:rsid w:val="00591F20"/>
    <w:rsid w:val="00591FAE"/>
    <w:rsid w:val="00592049"/>
    <w:rsid w:val="005921AC"/>
    <w:rsid w:val="005921AD"/>
    <w:rsid w:val="00592298"/>
    <w:rsid w:val="0059249A"/>
    <w:rsid w:val="00592840"/>
    <w:rsid w:val="00592908"/>
    <w:rsid w:val="00592995"/>
    <w:rsid w:val="005929A7"/>
    <w:rsid w:val="00592A44"/>
    <w:rsid w:val="00592A49"/>
    <w:rsid w:val="00592D1A"/>
    <w:rsid w:val="00592D31"/>
    <w:rsid w:val="00592DC9"/>
    <w:rsid w:val="00592E0F"/>
    <w:rsid w:val="00592E38"/>
    <w:rsid w:val="00592E76"/>
    <w:rsid w:val="00592E8E"/>
    <w:rsid w:val="00592EFA"/>
    <w:rsid w:val="00592FD1"/>
    <w:rsid w:val="00593090"/>
    <w:rsid w:val="005930B1"/>
    <w:rsid w:val="00593114"/>
    <w:rsid w:val="00593243"/>
    <w:rsid w:val="00593392"/>
    <w:rsid w:val="005933FE"/>
    <w:rsid w:val="005935BD"/>
    <w:rsid w:val="005935E5"/>
    <w:rsid w:val="0059363A"/>
    <w:rsid w:val="00593645"/>
    <w:rsid w:val="00593757"/>
    <w:rsid w:val="005939EB"/>
    <w:rsid w:val="00593A1B"/>
    <w:rsid w:val="00593AD8"/>
    <w:rsid w:val="00593BBD"/>
    <w:rsid w:val="00593BCE"/>
    <w:rsid w:val="00593C73"/>
    <w:rsid w:val="005940CF"/>
    <w:rsid w:val="005942AA"/>
    <w:rsid w:val="00594414"/>
    <w:rsid w:val="00594423"/>
    <w:rsid w:val="00594635"/>
    <w:rsid w:val="005947FB"/>
    <w:rsid w:val="0059483E"/>
    <w:rsid w:val="00594845"/>
    <w:rsid w:val="005948FC"/>
    <w:rsid w:val="00594A9C"/>
    <w:rsid w:val="00594B80"/>
    <w:rsid w:val="00594C51"/>
    <w:rsid w:val="00594C5C"/>
    <w:rsid w:val="00594DE2"/>
    <w:rsid w:val="00594E5A"/>
    <w:rsid w:val="00594E67"/>
    <w:rsid w:val="00594E6A"/>
    <w:rsid w:val="00595031"/>
    <w:rsid w:val="00595391"/>
    <w:rsid w:val="00595593"/>
    <w:rsid w:val="0059561D"/>
    <w:rsid w:val="005956FD"/>
    <w:rsid w:val="00595779"/>
    <w:rsid w:val="005958E4"/>
    <w:rsid w:val="005959B4"/>
    <w:rsid w:val="00595B1F"/>
    <w:rsid w:val="00595D9C"/>
    <w:rsid w:val="0059603C"/>
    <w:rsid w:val="0059618D"/>
    <w:rsid w:val="0059621B"/>
    <w:rsid w:val="005963C2"/>
    <w:rsid w:val="005966D4"/>
    <w:rsid w:val="0059689C"/>
    <w:rsid w:val="00596983"/>
    <w:rsid w:val="00596C71"/>
    <w:rsid w:val="005970F3"/>
    <w:rsid w:val="005970F5"/>
    <w:rsid w:val="0059728A"/>
    <w:rsid w:val="005972EA"/>
    <w:rsid w:val="00597535"/>
    <w:rsid w:val="00597728"/>
    <w:rsid w:val="00597787"/>
    <w:rsid w:val="00597894"/>
    <w:rsid w:val="00597D43"/>
    <w:rsid w:val="00597DB0"/>
    <w:rsid w:val="00597DB2"/>
    <w:rsid w:val="00597E16"/>
    <w:rsid w:val="00597F6D"/>
    <w:rsid w:val="00597FC5"/>
    <w:rsid w:val="005A0004"/>
    <w:rsid w:val="005A0063"/>
    <w:rsid w:val="005A012D"/>
    <w:rsid w:val="005A0614"/>
    <w:rsid w:val="005A0878"/>
    <w:rsid w:val="005A08F5"/>
    <w:rsid w:val="005A0934"/>
    <w:rsid w:val="005A09F6"/>
    <w:rsid w:val="005A0C4C"/>
    <w:rsid w:val="005A0DDF"/>
    <w:rsid w:val="005A0E7D"/>
    <w:rsid w:val="005A138E"/>
    <w:rsid w:val="005A13DF"/>
    <w:rsid w:val="005A1435"/>
    <w:rsid w:val="005A16AC"/>
    <w:rsid w:val="005A17CE"/>
    <w:rsid w:val="005A1815"/>
    <w:rsid w:val="005A197D"/>
    <w:rsid w:val="005A1C68"/>
    <w:rsid w:val="005A1E44"/>
    <w:rsid w:val="005A213E"/>
    <w:rsid w:val="005A2448"/>
    <w:rsid w:val="005A2485"/>
    <w:rsid w:val="005A271C"/>
    <w:rsid w:val="005A27E0"/>
    <w:rsid w:val="005A280D"/>
    <w:rsid w:val="005A2885"/>
    <w:rsid w:val="005A2909"/>
    <w:rsid w:val="005A2A3D"/>
    <w:rsid w:val="005A2A8E"/>
    <w:rsid w:val="005A2B9E"/>
    <w:rsid w:val="005A2C62"/>
    <w:rsid w:val="005A2D41"/>
    <w:rsid w:val="005A2EAB"/>
    <w:rsid w:val="005A2EEA"/>
    <w:rsid w:val="005A334A"/>
    <w:rsid w:val="005A352F"/>
    <w:rsid w:val="005A35ED"/>
    <w:rsid w:val="005A36EA"/>
    <w:rsid w:val="005A371B"/>
    <w:rsid w:val="005A37AC"/>
    <w:rsid w:val="005A3868"/>
    <w:rsid w:val="005A39FD"/>
    <w:rsid w:val="005A3C64"/>
    <w:rsid w:val="005A3DBC"/>
    <w:rsid w:val="005A3E4A"/>
    <w:rsid w:val="005A4023"/>
    <w:rsid w:val="005A406B"/>
    <w:rsid w:val="005A4155"/>
    <w:rsid w:val="005A4622"/>
    <w:rsid w:val="005A4763"/>
    <w:rsid w:val="005A48EF"/>
    <w:rsid w:val="005A4A83"/>
    <w:rsid w:val="005A4AF1"/>
    <w:rsid w:val="005A4C67"/>
    <w:rsid w:val="005A4CA6"/>
    <w:rsid w:val="005A4F7B"/>
    <w:rsid w:val="005A5034"/>
    <w:rsid w:val="005A51DB"/>
    <w:rsid w:val="005A54A0"/>
    <w:rsid w:val="005A56A1"/>
    <w:rsid w:val="005A5948"/>
    <w:rsid w:val="005A5C44"/>
    <w:rsid w:val="005A5E1D"/>
    <w:rsid w:val="005A6007"/>
    <w:rsid w:val="005A60AA"/>
    <w:rsid w:val="005A61AE"/>
    <w:rsid w:val="005A62DA"/>
    <w:rsid w:val="005A6499"/>
    <w:rsid w:val="005A6572"/>
    <w:rsid w:val="005A66C1"/>
    <w:rsid w:val="005A6757"/>
    <w:rsid w:val="005A67F2"/>
    <w:rsid w:val="005A68E9"/>
    <w:rsid w:val="005A6A28"/>
    <w:rsid w:val="005A6AE2"/>
    <w:rsid w:val="005A6C68"/>
    <w:rsid w:val="005A6F2E"/>
    <w:rsid w:val="005A706E"/>
    <w:rsid w:val="005A713A"/>
    <w:rsid w:val="005A71FB"/>
    <w:rsid w:val="005A720E"/>
    <w:rsid w:val="005A73D7"/>
    <w:rsid w:val="005A7455"/>
    <w:rsid w:val="005A7579"/>
    <w:rsid w:val="005A77C0"/>
    <w:rsid w:val="005A77E1"/>
    <w:rsid w:val="005A7832"/>
    <w:rsid w:val="005A783C"/>
    <w:rsid w:val="005A790E"/>
    <w:rsid w:val="005A7A0D"/>
    <w:rsid w:val="005A7A77"/>
    <w:rsid w:val="005A7BDC"/>
    <w:rsid w:val="005A7F28"/>
    <w:rsid w:val="005B0078"/>
    <w:rsid w:val="005B010B"/>
    <w:rsid w:val="005B01AC"/>
    <w:rsid w:val="005B01D1"/>
    <w:rsid w:val="005B0326"/>
    <w:rsid w:val="005B065B"/>
    <w:rsid w:val="005B085D"/>
    <w:rsid w:val="005B09B6"/>
    <w:rsid w:val="005B0A91"/>
    <w:rsid w:val="005B0BA2"/>
    <w:rsid w:val="005B1077"/>
    <w:rsid w:val="005B1264"/>
    <w:rsid w:val="005B14CD"/>
    <w:rsid w:val="005B1A6D"/>
    <w:rsid w:val="005B1C65"/>
    <w:rsid w:val="005B1CBD"/>
    <w:rsid w:val="005B1EFA"/>
    <w:rsid w:val="005B1F3D"/>
    <w:rsid w:val="005B1FD7"/>
    <w:rsid w:val="005B219B"/>
    <w:rsid w:val="005B223E"/>
    <w:rsid w:val="005B26E9"/>
    <w:rsid w:val="005B2722"/>
    <w:rsid w:val="005B284A"/>
    <w:rsid w:val="005B28D2"/>
    <w:rsid w:val="005B29C4"/>
    <w:rsid w:val="005B2A8E"/>
    <w:rsid w:val="005B2B21"/>
    <w:rsid w:val="005B2BAA"/>
    <w:rsid w:val="005B2BBE"/>
    <w:rsid w:val="005B2CA0"/>
    <w:rsid w:val="005B2FED"/>
    <w:rsid w:val="005B3095"/>
    <w:rsid w:val="005B31EC"/>
    <w:rsid w:val="005B3350"/>
    <w:rsid w:val="005B338F"/>
    <w:rsid w:val="005B347A"/>
    <w:rsid w:val="005B3544"/>
    <w:rsid w:val="005B3662"/>
    <w:rsid w:val="005B3A37"/>
    <w:rsid w:val="005B3BF7"/>
    <w:rsid w:val="005B3E9D"/>
    <w:rsid w:val="005B4130"/>
    <w:rsid w:val="005B4452"/>
    <w:rsid w:val="005B448D"/>
    <w:rsid w:val="005B44FF"/>
    <w:rsid w:val="005B48D1"/>
    <w:rsid w:val="005B4A10"/>
    <w:rsid w:val="005B4AD2"/>
    <w:rsid w:val="005B4BA7"/>
    <w:rsid w:val="005B4D51"/>
    <w:rsid w:val="005B4EB5"/>
    <w:rsid w:val="005B4EE5"/>
    <w:rsid w:val="005B5159"/>
    <w:rsid w:val="005B530B"/>
    <w:rsid w:val="005B5355"/>
    <w:rsid w:val="005B53BF"/>
    <w:rsid w:val="005B53E1"/>
    <w:rsid w:val="005B53F1"/>
    <w:rsid w:val="005B54EF"/>
    <w:rsid w:val="005B550C"/>
    <w:rsid w:val="005B5510"/>
    <w:rsid w:val="005B5604"/>
    <w:rsid w:val="005B56A4"/>
    <w:rsid w:val="005B56EF"/>
    <w:rsid w:val="005B587E"/>
    <w:rsid w:val="005B5928"/>
    <w:rsid w:val="005B59DE"/>
    <w:rsid w:val="005B5A3A"/>
    <w:rsid w:val="005B5AAC"/>
    <w:rsid w:val="005B5B5E"/>
    <w:rsid w:val="005B5CBE"/>
    <w:rsid w:val="005B5CE2"/>
    <w:rsid w:val="005B5D51"/>
    <w:rsid w:val="005B5D7C"/>
    <w:rsid w:val="005B5F20"/>
    <w:rsid w:val="005B6152"/>
    <w:rsid w:val="005B6158"/>
    <w:rsid w:val="005B61E1"/>
    <w:rsid w:val="005B62A7"/>
    <w:rsid w:val="005B62C0"/>
    <w:rsid w:val="005B6373"/>
    <w:rsid w:val="005B64FB"/>
    <w:rsid w:val="005B6618"/>
    <w:rsid w:val="005B687E"/>
    <w:rsid w:val="005B6901"/>
    <w:rsid w:val="005B6947"/>
    <w:rsid w:val="005B69B5"/>
    <w:rsid w:val="005B6A78"/>
    <w:rsid w:val="005B6BF2"/>
    <w:rsid w:val="005B6C74"/>
    <w:rsid w:val="005B6F69"/>
    <w:rsid w:val="005B6FCE"/>
    <w:rsid w:val="005B73D3"/>
    <w:rsid w:val="005B7411"/>
    <w:rsid w:val="005B7465"/>
    <w:rsid w:val="005B76FF"/>
    <w:rsid w:val="005B7C3E"/>
    <w:rsid w:val="005B7C5B"/>
    <w:rsid w:val="005B7CBF"/>
    <w:rsid w:val="005B7EA0"/>
    <w:rsid w:val="005B7F02"/>
    <w:rsid w:val="005C0045"/>
    <w:rsid w:val="005C0070"/>
    <w:rsid w:val="005C0143"/>
    <w:rsid w:val="005C01AA"/>
    <w:rsid w:val="005C0245"/>
    <w:rsid w:val="005C0260"/>
    <w:rsid w:val="005C037D"/>
    <w:rsid w:val="005C03C6"/>
    <w:rsid w:val="005C0452"/>
    <w:rsid w:val="005C0519"/>
    <w:rsid w:val="005C053F"/>
    <w:rsid w:val="005C0691"/>
    <w:rsid w:val="005C087D"/>
    <w:rsid w:val="005C092A"/>
    <w:rsid w:val="005C0988"/>
    <w:rsid w:val="005C0A06"/>
    <w:rsid w:val="005C0ACA"/>
    <w:rsid w:val="005C0EB8"/>
    <w:rsid w:val="005C0EE7"/>
    <w:rsid w:val="005C1049"/>
    <w:rsid w:val="005C108C"/>
    <w:rsid w:val="005C1094"/>
    <w:rsid w:val="005C10D9"/>
    <w:rsid w:val="005C11F4"/>
    <w:rsid w:val="005C1244"/>
    <w:rsid w:val="005C1272"/>
    <w:rsid w:val="005C158A"/>
    <w:rsid w:val="005C1674"/>
    <w:rsid w:val="005C16CC"/>
    <w:rsid w:val="005C16F9"/>
    <w:rsid w:val="005C17EF"/>
    <w:rsid w:val="005C191C"/>
    <w:rsid w:val="005C1980"/>
    <w:rsid w:val="005C1A94"/>
    <w:rsid w:val="005C1ACE"/>
    <w:rsid w:val="005C1BD3"/>
    <w:rsid w:val="005C1CAC"/>
    <w:rsid w:val="005C1D10"/>
    <w:rsid w:val="005C1D61"/>
    <w:rsid w:val="005C1E87"/>
    <w:rsid w:val="005C2159"/>
    <w:rsid w:val="005C2303"/>
    <w:rsid w:val="005C250F"/>
    <w:rsid w:val="005C2573"/>
    <w:rsid w:val="005C259E"/>
    <w:rsid w:val="005C26FE"/>
    <w:rsid w:val="005C2AE1"/>
    <w:rsid w:val="005C2B83"/>
    <w:rsid w:val="005C2B97"/>
    <w:rsid w:val="005C2C3A"/>
    <w:rsid w:val="005C2D14"/>
    <w:rsid w:val="005C2DBD"/>
    <w:rsid w:val="005C2DE9"/>
    <w:rsid w:val="005C2F15"/>
    <w:rsid w:val="005C3013"/>
    <w:rsid w:val="005C3096"/>
    <w:rsid w:val="005C30B1"/>
    <w:rsid w:val="005C30E7"/>
    <w:rsid w:val="005C3194"/>
    <w:rsid w:val="005C3296"/>
    <w:rsid w:val="005C3323"/>
    <w:rsid w:val="005C3436"/>
    <w:rsid w:val="005C3437"/>
    <w:rsid w:val="005C3531"/>
    <w:rsid w:val="005C3670"/>
    <w:rsid w:val="005C373E"/>
    <w:rsid w:val="005C39EF"/>
    <w:rsid w:val="005C3D1A"/>
    <w:rsid w:val="005C3D75"/>
    <w:rsid w:val="005C3F1B"/>
    <w:rsid w:val="005C409E"/>
    <w:rsid w:val="005C417A"/>
    <w:rsid w:val="005C43B1"/>
    <w:rsid w:val="005C45A6"/>
    <w:rsid w:val="005C4646"/>
    <w:rsid w:val="005C4735"/>
    <w:rsid w:val="005C47F4"/>
    <w:rsid w:val="005C48A8"/>
    <w:rsid w:val="005C4932"/>
    <w:rsid w:val="005C49A9"/>
    <w:rsid w:val="005C49FD"/>
    <w:rsid w:val="005C4B3A"/>
    <w:rsid w:val="005C4C65"/>
    <w:rsid w:val="005C4D9F"/>
    <w:rsid w:val="005C4E10"/>
    <w:rsid w:val="005C4E8E"/>
    <w:rsid w:val="005C543B"/>
    <w:rsid w:val="005C557F"/>
    <w:rsid w:val="005C5670"/>
    <w:rsid w:val="005C56B1"/>
    <w:rsid w:val="005C5898"/>
    <w:rsid w:val="005C58DC"/>
    <w:rsid w:val="005C5A2D"/>
    <w:rsid w:val="005C5BD2"/>
    <w:rsid w:val="005C5CDB"/>
    <w:rsid w:val="005C5D20"/>
    <w:rsid w:val="005C5DFE"/>
    <w:rsid w:val="005C5EB8"/>
    <w:rsid w:val="005C5EBF"/>
    <w:rsid w:val="005C5F60"/>
    <w:rsid w:val="005C5FF6"/>
    <w:rsid w:val="005C6166"/>
    <w:rsid w:val="005C6291"/>
    <w:rsid w:val="005C62B8"/>
    <w:rsid w:val="005C6571"/>
    <w:rsid w:val="005C6976"/>
    <w:rsid w:val="005C6A09"/>
    <w:rsid w:val="005C6B12"/>
    <w:rsid w:val="005C6D78"/>
    <w:rsid w:val="005C6DFB"/>
    <w:rsid w:val="005C6EBD"/>
    <w:rsid w:val="005C70D4"/>
    <w:rsid w:val="005C715C"/>
    <w:rsid w:val="005C7186"/>
    <w:rsid w:val="005C7219"/>
    <w:rsid w:val="005C72F9"/>
    <w:rsid w:val="005C747A"/>
    <w:rsid w:val="005C7627"/>
    <w:rsid w:val="005C76A7"/>
    <w:rsid w:val="005C777A"/>
    <w:rsid w:val="005C77F6"/>
    <w:rsid w:val="005C792B"/>
    <w:rsid w:val="005C7AC0"/>
    <w:rsid w:val="005C7ACF"/>
    <w:rsid w:val="005C7CA9"/>
    <w:rsid w:val="005C7D1A"/>
    <w:rsid w:val="005C7F0B"/>
    <w:rsid w:val="005C7F13"/>
    <w:rsid w:val="005D00A4"/>
    <w:rsid w:val="005D01EC"/>
    <w:rsid w:val="005D0250"/>
    <w:rsid w:val="005D02C1"/>
    <w:rsid w:val="005D0301"/>
    <w:rsid w:val="005D039F"/>
    <w:rsid w:val="005D03D3"/>
    <w:rsid w:val="005D0574"/>
    <w:rsid w:val="005D0578"/>
    <w:rsid w:val="005D05DA"/>
    <w:rsid w:val="005D07A5"/>
    <w:rsid w:val="005D07DA"/>
    <w:rsid w:val="005D0818"/>
    <w:rsid w:val="005D0AA1"/>
    <w:rsid w:val="005D0B25"/>
    <w:rsid w:val="005D0B88"/>
    <w:rsid w:val="005D0D4E"/>
    <w:rsid w:val="005D0D77"/>
    <w:rsid w:val="005D0DEF"/>
    <w:rsid w:val="005D0DF7"/>
    <w:rsid w:val="005D10B3"/>
    <w:rsid w:val="005D1378"/>
    <w:rsid w:val="005D13AA"/>
    <w:rsid w:val="005D1BC3"/>
    <w:rsid w:val="005D1C76"/>
    <w:rsid w:val="005D1CE4"/>
    <w:rsid w:val="005D1D7E"/>
    <w:rsid w:val="005D1E8B"/>
    <w:rsid w:val="005D1EAF"/>
    <w:rsid w:val="005D20AC"/>
    <w:rsid w:val="005D20D0"/>
    <w:rsid w:val="005D215C"/>
    <w:rsid w:val="005D2307"/>
    <w:rsid w:val="005D2324"/>
    <w:rsid w:val="005D25F7"/>
    <w:rsid w:val="005D26EF"/>
    <w:rsid w:val="005D2A8E"/>
    <w:rsid w:val="005D2B9A"/>
    <w:rsid w:val="005D2CDB"/>
    <w:rsid w:val="005D3230"/>
    <w:rsid w:val="005D352E"/>
    <w:rsid w:val="005D358F"/>
    <w:rsid w:val="005D3832"/>
    <w:rsid w:val="005D3836"/>
    <w:rsid w:val="005D3918"/>
    <w:rsid w:val="005D3937"/>
    <w:rsid w:val="005D3C26"/>
    <w:rsid w:val="005D3CF5"/>
    <w:rsid w:val="005D3DC6"/>
    <w:rsid w:val="005D3E88"/>
    <w:rsid w:val="005D3F0C"/>
    <w:rsid w:val="005D3F6E"/>
    <w:rsid w:val="005D40CB"/>
    <w:rsid w:val="005D4170"/>
    <w:rsid w:val="005D4241"/>
    <w:rsid w:val="005D42B5"/>
    <w:rsid w:val="005D4876"/>
    <w:rsid w:val="005D4927"/>
    <w:rsid w:val="005D499D"/>
    <w:rsid w:val="005D4B0A"/>
    <w:rsid w:val="005D4C2D"/>
    <w:rsid w:val="005D4D62"/>
    <w:rsid w:val="005D4DC6"/>
    <w:rsid w:val="005D4FCA"/>
    <w:rsid w:val="005D5092"/>
    <w:rsid w:val="005D50D4"/>
    <w:rsid w:val="005D50E4"/>
    <w:rsid w:val="005D5156"/>
    <w:rsid w:val="005D51C8"/>
    <w:rsid w:val="005D5435"/>
    <w:rsid w:val="005D54AB"/>
    <w:rsid w:val="005D54FA"/>
    <w:rsid w:val="005D554F"/>
    <w:rsid w:val="005D55F3"/>
    <w:rsid w:val="005D57AF"/>
    <w:rsid w:val="005D5904"/>
    <w:rsid w:val="005D597E"/>
    <w:rsid w:val="005D5A7C"/>
    <w:rsid w:val="005D5A81"/>
    <w:rsid w:val="005D5F3E"/>
    <w:rsid w:val="005D6180"/>
    <w:rsid w:val="005D61DA"/>
    <w:rsid w:val="005D63B6"/>
    <w:rsid w:val="005D64A1"/>
    <w:rsid w:val="005D6667"/>
    <w:rsid w:val="005D6A32"/>
    <w:rsid w:val="005D6A55"/>
    <w:rsid w:val="005D6AB8"/>
    <w:rsid w:val="005D6C18"/>
    <w:rsid w:val="005D6E33"/>
    <w:rsid w:val="005D6FAF"/>
    <w:rsid w:val="005D703B"/>
    <w:rsid w:val="005D704D"/>
    <w:rsid w:val="005D737A"/>
    <w:rsid w:val="005D79FE"/>
    <w:rsid w:val="005D7A0A"/>
    <w:rsid w:val="005D7B8F"/>
    <w:rsid w:val="005D7C4C"/>
    <w:rsid w:val="005D7D81"/>
    <w:rsid w:val="005D7D9B"/>
    <w:rsid w:val="005D7DAC"/>
    <w:rsid w:val="005E0034"/>
    <w:rsid w:val="005E01D8"/>
    <w:rsid w:val="005E0264"/>
    <w:rsid w:val="005E02A8"/>
    <w:rsid w:val="005E04BA"/>
    <w:rsid w:val="005E05C8"/>
    <w:rsid w:val="005E0AF5"/>
    <w:rsid w:val="005E0B73"/>
    <w:rsid w:val="005E0D81"/>
    <w:rsid w:val="005E0DE7"/>
    <w:rsid w:val="005E0F2C"/>
    <w:rsid w:val="005E10F9"/>
    <w:rsid w:val="005E1106"/>
    <w:rsid w:val="005E1446"/>
    <w:rsid w:val="005E1535"/>
    <w:rsid w:val="005E1672"/>
    <w:rsid w:val="005E17C9"/>
    <w:rsid w:val="005E19C1"/>
    <w:rsid w:val="005E1A35"/>
    <w:rsid w:val="005E1AE8"/>
    <w:rsid w:val="005E1B7F"/>
    <w:rsid w:val="005E1BFD"/>
    <w:rsid w:val="005E1C10"/>
    <w:rsid w:val="005E1C6C"/>
    <w:rsid w:val="005E1CF9"/>
    <w:rsid w:val="005E1D33"/>
    <w:rsid w:val="005E1F11"/>
    <w:rsid w:val="005E1F61"/>
    <w:rsid w:val="005E205E"/>
    <w:rsid w:val="005E20E6"/>
    <w:rsid w:val="005E2100"/>
    <w:rsid w:val="005E2171"/>
    <w:rsid w:val="005E221A"/>
    <w:rsid w:val="005E2413"/>
    <w:rsid w:val="005E24DB"/>
    <w:rsid w:val="005E2603"/>
    <w:rsid w:val="005E2A25"/>
    <w:rsid w:val="005E2A7F"/>
    <w:rsid w:val="005E2B06"/>
    <w:rsid w:val="005E2B72"/>
    <w:rsid w:val="005E2BA7"/>
    <w:rsid w:val="005E2CDC"/>
    <w:rsid w:val="005E2D99"/>
    <w:rsid w:val="005E2E10"/>
    <w:rsid w:val="005E305D"/>
    <w:rsid w:val="005E3281"/>
    <w:rsid w:val="005E33B5"/>
    <w:rsid w:val="005E353C"/>
    <w:rsid w:val="005E35BB"/>
    <w:rsid w:val="005E3646"/>
    <w:rsid w:val="005E3740"/>
    <w:rsid w:val="005E37C7"/>
    <w:rsid w:val="005E37CF"/>
    <w:rsid w:val="005E382E"/>
    <w:rsid w:val="005E395B"/>
    <w:rsid w:val="005E3A3C"/>
    <w:rsid w:val="005E3A99"/>
    <w:rsid w:val="005E3AA7"/>
    <w:rsid w:val="005E3C27"/>
    <w:rsid w:val="005E3C8D"/>
    <w:rsid w:val="005E3CA8"/>
    <w:rsid w:val="005E3D7E"/>
    <w:rsid w:val="005E4011"/>
    <w:rsid w:val="005E43A1"/>
    <w:rsid w:val="005E43BA"/>
    <w:rsid w:val="005E46B4"/>
    <w:rsid w:val="005E4744"/>
    <w:rsid w:val="005E482F"/>
    <w:rsid w:val="005E49D7"/>
    <w:rsid w:val="005E4D3F"/>
    <w:rsid w:val="005E4F19"/>
    <w:rsid w:val="005E4FB2"/>
    <w:rsid w:val="005E519E"/>
    <w:rsid w:val="005E51AB"/>
    <w:rsid w:val="005E51BB"/>
    <w:rsid w:val="005E52CB"/>
    <w:rsid w:val="005E56CB"/>
    <w:rsid w:val="005E5740"/>
    <w:rsid w:val="005E5822"/>
    <w:rsid w:val="005E59D7"/>
    <w:rsid w:val="005E5D8F"/>
    <w:rsid w:val="005E6050"/>
    <w:rsid w:val="005E6059"/>
    <w:rsid w:val="005E60E1"/>
    <w:rsid w:val="005E60FC"/>
    <w:rsid w:val="005E6231"/>
    <w:rsid w:val="005E6249"/>
    <w:rsid w:val="005E6279"/>
    <w:rsid w:val="005E6328"/>
    <w:rsid w:val="005E63B1"/>
    <w:rsid w:val="005E645C"/>
    <w:rsid w:val="005E6471"/>
    <w:rsid w:val="005E6520"/>
    <w:rsid w:val="005E6658"/>
    <w:rsid w:val="005E676F"/>
    <w:rsid w:val="005E688A"/>
    <w:rsid w:val="005E6894"/>
    <w:rsid w:val="005E68BF"/>
    <w:rsid w:val="005E6AB5"/>
    <w:rsid w:val="005E6AE6"/>
    <w:rsid w:val="005E6B8C"/>
    <w:rsid w:val="005E6D49"/>
    <w:rsid w:val="005E6E20"/>
    <w:rsid w:val="005E6EAB"/>
    <w:rsid w:val="005E71C0"/>
    <w:rsid w:val="005E7338"/>
    <w:rsid w:val="005E75C9"/>
    <w:rsid w:val="005E76C6"/>
    <w:rsid w:val="005E7860"/>
    <w:rsid w:val="005E79D0"/>
    <w:rsid w:val="005E7C7F"/>
    <w:rsid w:val="005E7CC7"/>
    <w:rsid w:val="005E7D11"/>
    <w:rsid w:val="005E7DF6"/>
    <w:rsid w:val="005F0031"/>
    <w:rsid w:val="005F0062"/>
    <w:rsid w:val="005F00A2"/>
    <w:rsid w:val="005F02D8"/>
    <w:rsid w:val="005F03EC"/>
    <w:rsid w:val="005F0427"/>
    <w:rsid w:val="005F051A"/>
    <w:rsid w:val="005F05BD"/>
    <w:rsid w:val="005F0710"/>
    <w:rsid w:val="005F07B6"/>
    <w:rsid w:val="005F07C7"/>
    <w:rsid w:val="005F09AA"/>
    <w:rsid w:val="005F0A3A"/>
    <w:rsid w:val="005F0A62"/>
    <w:rsid w:val="005F0A79"/>
    <w:rsid w:val="005F0B4F"/>
    <w:rsid w:val="005F0BE4"/>
    <w:rsid w:val="005F0C72"/>
    <w:rsid w:val="005F0CFF"/>
    <w:rsid w:val="005F0E58"/>
    <w:rsid w:val="005F0EEF"/>
    <w:rsid w:val="005F1008"/>
    <w:rsid w:val="005F10E7"/>
    <w:rsid w:val="005F110F"/>
    <w:rsid w:val="005F114B"/>
    <w:rsid w:val="005F1184"/>
    <w:rsid w:val="005F11CB"/>
    <w:rsid w:val="005F1222"/>
    <w:rsid w:val="005F128E"/>
    <w:rsid w:val="005F12FC"/>
    <w:rsid w:val="005F130A"/>
    <w:rsid w:val="005F1312"/>
    <w:rsid w:val="005F159E"/>
    <w:rsid w:val="005F15AF"/>
    <w:rsid w:val="005F16EE"/>
    <w:rsid w:val="005F173D"/>
    <w:rsid w:val="005F1849"/>
    <w:rsid w:val="005F1852"/>
    <w:rsid w:val="005F18B6"/>
    <w:rsid w:val="005F18CA"/>
    <w:rsid w:val="005F18DC"/>
    <w:rsid w:val="005F195F"/>
    <w:rsid w:val="005F19B8"/>
    <w:rsid w:val="005F19EA"/>
    <w:rsid w:val="005F1A4F"/>
    <w:rsid w:val="005F1A78"/>
    <w:rsid w:val="005F1BD5"/>
    <w:rsid w:val="005F1C9A"/>
    <w:rsid w:val="005F1D44"/>
    <w:rsid w:val="005F1D6A"/>
    <w:rsid w:val="005F1DE1"/>
    <w:rsid w:val="005F1E08"/>
    <w:rsid w:val="005F1EE6"/>
    <w:rsid w:val="005F1EF8"/>
    <w:rsid w:val="005F207E"/>
    <w:rsid w:val="005F2222"/>
    <w:rsid w:val="005F231A"/>
    <w:rsid w:val="005F23B2"/>
    <w:rsid w:val="005F24FA"/>
    <w:rsid w:val="005F2671"/>
    <w:rsid w:val="005F2764"/>
    <w:rsid w:val="005F2AA4"/>
    <w:rsid w:val="005F2B5B"/>
    <w:rsid w:val="005F2C5E"/>
    <w:rsid w:val="005F2DD9"/>
    <w:rsid w:val="005F2E75"/>
    <w:rsid w:val="005F2EB2"/>
    <w:rsid w:val="005F2F31"/>
    <w:rsid w:val="005F2F92"/>
    <w:rsid w:val="005F3053"/>
    <w:rsid w:val="005F30A1"/>
    <w:rsid w:val="005F3164"/>
    <w:rsid w:val="005F33A4"/>
    <w:rsid w:val="005F347B"/>
    <w:rsid w:val="005F35A1"/>
    <w:rsid w:val="005F393B"/>
    <w:rsid w:val="005F3A0D"/>
    <w:rsid w:val="005F3AF1"/>
    <w:rsid w:val="005F3B86"/>
    <w:rsid w:val="005F3BA1"/>
    <w:rsid w:val="005F3D64"/>
    <w:rsid w:val="005F3F3F"/>
    <w:rsid w:val="005F414D"/>
    <w:rsid w:val="005F4767"/>
    <w:rsid w:val="005F49AD"/>
    <w:rsid w:val="005F4DE0"/>
    <w:rsid w:val="005F4E21"/>
    <w:rsid w:val="005F4E4E"/>
    <w:rsid w:val="005F4EA3"/>
    <w:rsid w:val="005F5196"/>
    <w:rsid w:val="005F5232"/>
    <w:rsid w:val="005F5247"/>
    <w:rsid w:val="005F5330"/>
    <w:rsid w:val="005F5384"/>
    <w:rsid w:val="005F53B0"/>
    <w:rsid w:val="005F5417"/>
    <w:rsid w:val="005F54C3"/>
    <w:rsid w:val="005F55B5"/>
    <w:rsid w:val="005F567E"/>
    <w:rsid w:val="005F5711"/>
    <w:rsid w:val="005F57BE"/>
    <w:rsid w:val="005F590A"/>
    <w:rsid w:val="005F594E"/>
    <w:rsid w:val="005F598B"/>
    <w:rsid w:val="005F5CE5"/>
    <w:rsid w:val="005F5D96"/>
    <w:rsid w:val="005F5DD2"/>
    <w:rsid w:val="005F621D"/>
    <w:rsid w:val="005F6326"/>
    <w:rsid w:val="005F6467"/>
    <w:rsid w:val="005F6598"/>
    <w:rsid w:val="005F65A8"/>
    <w:rsid w:val="005F6A63"/>
    <w:rsid w:val="005F6B0B"/>
    <w:rsid w:val="005F6B12"/>
    <w:rsid w:val="005F6B75"/>
    <w:rsid w:val="005F7097"/>
    <w:rsid w:val="005F748A"/>
    <w:rsid w:val="005F748F"/>
    <w:rsid w:val="005F768B"/>
    <w:rsid w:val="005F7787"/>
    <w:rsid w:val="005F7871"/>
    <w:rsid w:val="005F7A4E"/>
    <w:rsid w:val="005F7A6D"/>
    <w:rsid w:val="005F7B1D"/>
    <w:rsid w:val="005F7E3C"/>
    <w:rsid w:val="005F7EC6"/>
    <w:rsid w:val="005F7F6E"/>
    <w:rsid w:val="00600191"/>
    <w:rsid w:val="00600199"/>
    <w:rsid w:val="006006E2"/>
    <w:rsid w:val="006007E3"/>
    <w:rsid w:val="006008F1"/>
    <w:rsid w:val="00600F43"/>
    <w:rsid w:val="00600F9D"/>
    <w:rsid w:val="00600FDB"/>
    <w:rsid w:val="00601008"/>
    <w:rsid w:val="00601079"/>
    <w:rsid w:val="006010FA"/>
    <w:rsid w:val="00601295"/>
    <w:rsid w:val="00601380"/>
    <w:rsid w:val="0060138A"/>
    <w:rsid w:val="00601426"/>
    <w:rsid w:val="006014C0"/>
    <w:rsid w:val="00601620"/>
    <w:rsid w:val="0060162C"/>
    <w:rsid w:val="006018BA"/>
    <w:rsid w:val="006018C8"/>
    <w:rsid w:val="00601DAF"/>
    <w:rsid w:val="00601EDE"/>
    <w:rsid w:val="0060241F"/>
    <w:rsid w:val="006026BC"/>
    <w:rsid w:val="00602B12"/>
    <w:rsid w:val="00602BB5"/>
    <w:rsid w:val="00602BD4"/>
    <w:rsid w:val="00602D28"/>
    <w:rsid w:val="00602D5A"/>
    <w:rsid w:val="00602D7C"/>
    <w:rsid w:val="00602DF7"/>
    <w:rsid w:val="00602FA8"/>
    <w:rsid w:val="00602FCB"/>
    <w:rsid w:val="00603072"/>
    <w:rsid w:val="00603237"/>
    <w:rsid w:val="00603495"/>
    <w:rsid w:val="006034CA"/>
    <w:rsid w:val="00603568"/>
    <w:rsid w:val="006035B1"/>
    <w:rsid w:val="0060362F"/>
    <w:rsid w:val="0060374A"/>
    <w:rsid w:val="006037F3"/>
    <w:rsid w:val="00603828"/>
    <w:rsid w:val="006038F7"/>
    <w:rsid w:val="00603A42"/>
    <w:rsid w:val="00603AD3"/>
    <w:rsid w:val="00603B5B"/>
    <w:rsid w:val="00603D76"/>
    <w:rsid w:val="00603E32"/>
    <w:rsid w:val="00604113"/>
    <w:rsid w:val="00604133"/>
    <w:rsid w:val="0060416F"/>
    <w:rsid w:val="00604247"/>
    <w:rsid w:val="006042A4"/>
    <w:rsid w:val="006042FB"/>
    <w:rsid w:val="00604533"/>
    <w:rsid w:val="006047A6"/>
    <w:rsid w:val="006048C7"/>
    <w:rsid w:val="00604912"/>
    <w:rsid w:val="00604A53"/>
    <w:rsid w:val="00604B6B"/>
    <w:rsid w:val="00604BD6"/>
    <w:rsid w:val="00604C06"/>
    <w:rsid w:val="00604C1C"/>
    <w:rsid w:val="00604DEF"/>
    <w:rsid w:val="00604EA9"/>
    <w:rsid w:val="006050C3"/>
    <w:rsid w:val="006050CC"/>
    <w:rsid w:val="0060523A"/>
    <w:rsid w:val="0060526C"/>
    <w:rsid w:val="00605270"/>
    <w:rsid w:val="00605463"/>
    <w:rsid w:val="006054F3"/>
    <w:rsid w:val="0060561B"/>
    <w:rsid w:val="0060590D"/>
    <w:rsid w:val="0060595D"/>
    <w:rsid w:val="00605974"/>
    <w:rsid w:val="006059A7"/>
    <w:rsid w:val="00605B49"/>
    <w:rsid w:val="00605BFD"/>
    <w:rsid w:val="00605C6B"/>
    <w:rsid w:val="00605D60"/>
    <w:rsid w:val="00605F50"/>
    <w:rsid w:val="00606052"/>
    <w:rsid w:val="00606073"/>
    <w:rsid w:val="00606132"/>
    <w:rsid w:val="006061DA"/>
    <w:rsid w:val="006062B1"/>
    <w:rsid w:val="00606350"/>
    <w:rsid w:val="006067A2"/>
    <w:rsid w:val="0060683C"/>
    <w:rsid w:val="00606939"/>
    <w:rsid w:val="00606A97"/>
    <w:rsid w:val="00606B3F"/>
    <w:rsid w:val="00606C83"/>
    <w:rsid w:val="00606E51"/>
    <w:rsid w:val="00606E61"/>
    <w:rsid w:val="00606EDB"/>
    <w:rsid w:val="00606EED"/>
    <w:rsid w:val="00606F2D"/>
    <w:rsid w:val="00606FF0"/>
    <w:rsid w:val="006070F1"/>
    <w:rsid w:val="0060725A"/>
    <w:rsid w:val="00607339"/>
    <w:rsid w:val="00607352"/>
    <w:rsid w:val="00607486"/>
    <w:rsid w:val="006074A2"/>
    <w:rsid w:val="006074AD"/>
    <w:rsid w:val="006077C2"/>
    <w:rsid w:val="006077F7"/>
    <w:rsid w:val="0060784F"/>
    <w:rsid w:val="00607937"/>
    <w:rsid w:val="00607939"/>
    <w:rsid w:val="00607B5B"/>
    <w:rsid w:val="00607BF1"/>
    <w:rsid w:val="00607C29"/>
    <w:rsid w:val="00607DB9"/>
    <w:rsid w:val="00610057"/>
    <w:rsid w:val="00610102"/>
    <w:rsid w:val="00610239"/>
    <w:rsid w:val="006104A1"/>
    <w:rsid w:val="0061069D"/>
    <w:rsid w:val="00610754"/>
    <w:rsid w:val="006107C3"/>
    <w:rsid w:val="00610836"/>
    <w:rsid w:val="0061089B"/>
    <w:rsid w:val="00610BFA"/>
    <w:rsid w:val="00610CDA"/>
    <w:rsid w:val="00610D8C"/>
    <w:rsid w:val="00610E00"/>
    <w:rsid w:val="00610E4F"/>
    <w:rsid w:val="00610F5E"/>
    <w:rsid w:val="00611034"/>
    <w:rsid w:val="006110DC"/>
    <w:rsid w:val="006111DB"/>
    <w:rsid w:val="00611340"/>
    <w:rsid w:val="00611352"/>
    <w:rsid w:val="006113BD"/>
    <w:rsid w:val="006115A6"/>
    <w:rsid w:val="00611705"/>
    <w:rsid w:val="00611978"/>
    <w:rsid w:val="00611A36"/>
    <w:rsid w:val="00611A7E"/>
    <w:rsid w:val="00611B9E"/>
    <w:rsid w:val="00611BC5"/>
    <w:rsid w:val="00611E69"/>
    <w:rsid w:val="00612053"/>
    <w:rsid w:val="006120EB"/>
    <w:rsid w:val="00612104"/>
    <w:rsid w:val="00612514"/>
    <w:rsid w:val="00612759"/>
    <w:rsid w:val="00612987"/>
    <w:rsid w:val="00612DD4"/>
    <w:rsid w:val="00613003"/>
    <w:rsid w:val="006130ED"/>
    <w:rsid w:val="0061321E"/>
    <w:rsid w:val="00613279"/>
    <w:rsid w:val="006133D9"/>
    <w:rsid w:val="00613485"/>
    <w:rsid w:val="006135D9"/>
    <w:rsid w:val="00613863"/>
    <w:rsid w:val="006138C4"/>
    <w:rsid w:val="00613AF1"/>
    <w:rsid w:val="00613BE4"/>
    <w:rsid w:val="00613D73"/>
    <w:rsid w:val="00613DF5"/>
    <w:rsid w:val="00613E61"/>
    <w:rsid w:val="00613F85"/>
    <w:rsid w:val="0061438B"/>
    <w:rsid w:val="006143D1"/>
    <w:rsid w:val="00614569"/>
    <w:rsid w:val="00614641"/>
    <w:rsid w:val="006146BA"/>
    <w:rsid w:val="00614795"/>
    <w:rsid w:val="00614922"/>
    <w:rsid w:val="00614943"/>
    <w:rsid w:val="006149BD"/>
    <w:rsid w:val="00614A74"/>
    <w:rsid w:val="00614A91"/>
    <w:rsid w:val="00614AE7"/>
    <w:rsid w:val="00614C5F"/>
    <w:rsid w:val="00614D15"/>
    <w:rsid w:val="00614D38"/>
    <w:rsid w:val="00614ED8"/>
    <w:rsid w:val="0061548A"/>
    <w:rsid w:val="006155B8"/>
    <w:rsid w:val="006155D2"/>
    <w:rsid w:val="006155F4"/>
    <w:rsid w:val="00615706"/>
    <w:rsid w:val="006157CB"/>
    <w:rsid w:val="006157E2"/>
    <w:rsid w:val="0061583D"/>
    <w:rsid w:val="00615883"/>
    <w:rsid w:val="0061597F"/>
    <w:rsid w:val="00615BB1"/>
    <w:rsid w:val="00615DF3"/>
    <w:rsid w:val="00615E76"/>
    <w:rsid w:val="00615E97"/>
    <w:rsid w:val="00615F0B"/>
    <w:rsid w:val="00615F30"/>
    <w:rsid w:val="00615FE4"/>
    <w:rsid w:val="006160D9"/>
    <w:rsid w:val="006161A9"/>
    <w:rsid w:val="006165E9"/>
    <w:rsid w:val="006165F6"/>
    <w:rsid w:val="006166FB"/>
    <w:rsid w:val="00616981"/>
    <w:rsid w:val="006169CD"/>
    <w:rsid w:val="00616A3E"/>
    <w:rsid w:val="00616A78"/>
    <w:rsid w:val="00616ADC"/>
    <w:rsid w:val="00616D35"/>
    <w:rsid w:val="00616DA0"/>
    <w:rsid w:val="00616E7F"/>
    <w:rsid w:val="00616E81"/>
    <w:rsid w:val="00616F3D"/>
    <w:rsid w:val="00617204"/>
    <w:rsid w:val="006174BD"/>
    <w:rsid w:val="00617566"/>
    <w:rsid w:val="006176FD"/>
    <w:rsid w:val="00617855"/>
    <w:rsid w:val="00617906"/>
    <w:rsid w:val="0061790D"/>
    <w:rsid w:val="0061797D"/>
    <w:rsid w:val="00617B29"/>
    <w:rsid w:val="00617C85"/>
    <w:rsid w:val="00617DBD"/>
    <w:rsid w:val="00617DDF"/>
    <w:rsid w:val="00617E07"/>
    <w:rsid w:val="00617F5F"/>
    <w:rsid w:val="00620071"/>
    <w:rsid w:val="006200D1"/>
    <w:rsid w:val="0062016C"/>
    <w:rsid w:val="00620264"/>
    <w:rsid w:val="00620268"/>
    <w:rsid w:val="0062028C"/>
    <w:rsid w:val="00620373"/>
    <w:rsid w:val="00620393"/>
    <w:rsid w:val="006208B4"/>
    <w:rsid w:val="0062092F"/>
    <w:rsid w:val="00620A8A"/>
    <w:rsid w:val="00620B38"/>
    <w:rsid w:val="00620DFE"/>
    <w:rsid w:val="00620E2E"/>
    <w:rsid w:val="00621011"/>
    <w:rsid w:val="006211A0"/>
    <w:rsid w:val="006211A9"/>
    <w:rsid w:val="00621336"/>
    <w:rsid w:val="0062139E"/>
    <w:rsid w:val="0062140C"/>
    <w:rsid w:val="00621411"/>
    <w:rsid w:val="00621475"/>
    <w:rsid w:val="006215E9"/>
    <w:rsid w:val="006218B9"/>
    <w:rsid w:val="00621A40"/>
    <w:rsid w:val="00621BC2"/>
    <w:rsid w:val="00621E1F"/>
    <w:rsid w:val="006220ED"/>
    <w:rsid w:val="00622117"/>
    <w:rsid w:val="00622198"/>
    <w:rsid w:val="006222C4"/>
    <w:rsid w:val="00622514"/>
    <w:rsid w:val="0062252F"/>
    <w:rsid w:val="00622744"/>
    <w:rsid w:val="006229AE"/>
    <w:rsid w:val="00622A52"/>
    <w:rsid w:val="00622A7C"/>
    <w:rsid w:val="00622AFC"/>
    <w:rsid w:val="00622BF0"/>
    <w:rsid w:val="00622D6D"/>
    <w:rsid w:val="00622E84"/>
    <w:rsid w:val="006230FC"/>
    <w:rsid w:val="006235B1"/>
    <w:rsid w:val="006235F7"/>
    <w:rsid w:val="00623604"/>
    <w:rsid w:val="0062371B"/>
    <w:rsid w:val="00623726"/>
    <w:rsid w:val="00623969"/>
    <w:rsid w:val="00623A67"/>
    <w:rsid w:val="00623AD3"/>
    <w:rsid w:val="00623C55"/>
    <w:rsid w:val="00623C99"/>
    <w:rsid w:val="00623D3F"/>
    <w:rsid w:val="00623E7F"/>
    <w:rsid w:val="0062410F"/>
    <w:rsid w:val="006241E4"/>
    <w:rsid w:val="006242EB"/>
    <w:rsid w:val="00624344"/>
    <w:rsid w:val="00624396"/>
    <w:rsid w:val="006243E3"/>
    <w:rsid w:val="00624480"/>
    <w:rsid w:val="00624817"/>
    <w:rsid w:val="00624CD9"/>
    <w:rsid w:val="00624D74"/>
    <w:rsid w:val="00624EAE"/>
    <w:rsid w:val="00625398"/>
    <w:rsid w:val="0062572B"/>
    <w:rsid w:val="00625774"/>
    <w:rsid w:val="00625784"/>
    <w:rsid w:val="0062586C"/>
    <w:rsid w:val="0062593A"/>
    <w:rsid w:val="00625A2D"/>
    <w:rsid w:val="00625A7B"/>
    <w:rsid w:val="00625AE0"/>
    <w:rsid w:val="00625B5A"/>
    <w:rsid w:val="00625BFE"/>
    <w:rsid w:val="00625C31"/>
    <w:rsid w:val="00625D23"/>
    <w:rsid w:val="00625E51"/>
    <w:rsid w:val="00625FA6"/>
    <w:rsid w:val="00626158"/>
    <w:rsid w:val="00626177"/>
    <w:rsid w:val="00626264"/>
    <w:rsid w:val="006263FF"/>
    <w:rsid w:val="006264B1"/>
    <w:rsid w:val="00626652"/>
    <w:rsid w:val="0062674D"/>
    <w:rsid w:val="00626A2D"/>
    <w:rsid w:val="00626B67"/>
    <w:rsid w:val="00626B70"/>
    <w:rsid w:val="00626BB4"/>
    <w:rsid w:val="00626C9A"/>
    <w:rsid w:val="00626CF4"/>
    <w:rsid w:val="00626EF3"/>
    <w:rsid w:val="006270A4"/>
    <w:rsid w:val="00627110"/>
    <w:rsid w:val="0062714A"/>
    <w:rsid w:val="006271BA"/>
    <w:rsid w:val="006271CF"/>
    <w:rsid w:val="00627211"/>
    <w:rsid w:val="0062721E"/>
    <w:rsid w:val="006272A3"/>
    <w:rsid w:val="00627404"/>
    <w:rsid w:val="006274AC"/>
    <w:rsid w:val="00627551"/>
    <w:rsid w:val="00627660"/>
    <w:rsid w:val="006277A2"/>
    <w:rsid w:val="0062795A"/>
    <w:rsid w:val="00627AC2"/>
    <w:rsid w:val="00627DC7"/>
    <w:rsid w:val="00627F9A"/>
    <w:rsid w:val="00627FFE"/>
    <w:rsid w:val="0063012B"/>
    <w:rsid w:val="00630335"/>
    <w:rsid w:val="006303D6"/>
    <w:rsid w:val="00630421"/>
    <w:rsid w:val="006305E9"/>
    <w:rsid w:val="00630664"/>
    <w:rsid w:val="00630672"/>
    <w:rsid w:val="006307A9"/>
    <w:rsid w:val="00630898"/>
    <w:rsid w:val="006309E7"/>
    <w:rsid w:val="00630AC5"/>
    <w:rsid w:val="00630CA8"/>
    <w:rsid w:val="00630E21"/>
    <w:rsid w:val="00630F2A"/>
    <w:rsid w:val="00630F54"/>
    <w:rsid w:val="006310AA"/>
    <w:rsid w:val="006310F2"/>
    <w:rsid w:val="006311A9"/>
    <w:rsid w:val="0063134F"/>
    <w:rsid w:val="00631724"/>
    <w:rsid w:val="0063181F"/>
    <w:rsid w:val="0063194D"/>
    <w:rsid w:val="00631A65"/>
    <w:rsid w:val="00631AF9"/>
    <w:rsid w:val="00631B82"/>
    <w:rsid w:val="00631D14"/>
    <w:rsid w:val="00631EC5"/>
    <w:rsid w:val="00632095"/>
    <w:rsid w:val="006323B9"/>
    <w:rsid w:val="0063251F"/>
    <w:rsid w:val="006325D4"/>
    <w:rsid w:val="006326B7"/>
    <w:rsid w:val="0063270D"/>
    <w:rsid w:val="00632784"/>
    <w:rsid w:val="006328BC"/>
    <w:rsid w:val="00632949"/>
    <w:rsid w:val="00632B1D"/>
    <w:rsid w:val="00632E1B"/>
    <w:rsid w:val="00632F26"/>
    <w:rsid w:val="00632F61"/>
    <w:rsid w:val="006330E0"/>
    <w:rsid w:val="006332A9"/>
    <w:rsid w:val="006334B5"/>
    <w:rsid w:val="006335A1"/>
    <w:rsid w:val="006335FE"/>
    <w:rsid w:val="006336E9"/>
    <w:rsid w:val="006337BA"/>
    <w:rsid w:val="00633AE2"/>
    <w:rsid w:val="00633DDE"/>
    <w:rsid w:val="006342CE"/>
    <w:rsid w:val="00634711"/>
    <w:rsid w:val="0063483A"/>
    <w:rsid w:val="00634A81"/>
    <w:rsid w:val="00634AB4"/>
    <w:rsid w:val="00634C58"/>
    <w:rsid w:val="00634DE8"/>
    <w:rsid w:val="00634E0B"/>
    <w:rsid w:val="00634E2D"/>
    <w:rsid w:val="00634E85"/>
    <w:rsid w:val="00634F67"/>
    <w:rsid w:val="0063523E"/>
    <w:rsid w:val="0063545F"/>
    <w:rsid w:val="00635598"/>
    <w:rsid w:val="00635693"/>
    <w:rsid w:val="00635754"/>
    <w:rsid w:val="00635769"/>
    <w:rsid w:val="006358D4"/>
    <w:rsid w:val="006359A6"/>
    <w:rsid w:val="00635C1A"/>
    <w:rsid w:val="00635C84"/>
    <w:rsid w:val="00636129"/>
    <w:rsid w:val="0063618C"/>
    <w:rsid w:val="00636247"/>
    <w:rsid w:val="0063631C"/>
    <w:rsid w:val="0063634E"/>
    <w:rsid w:val="006363B1"/>
    <w:rsid w:val="006365C0"/>
    <w:rsid w:val="00636763"/>
    <w:rsid w:val="00636779"/>
    <w:rsid w:val="00636977"/>
    <w:rsid w:val="00636998"/>
    <w:rsid w:val="00636B13"/>
    <w:rsid w:val="00636B58"/>
    <w:rsid w:val="00636BB6"/>
    <w:rsid w:val="00636C62"/>
    <w:rsid w:val="00636E24"/>
    <w:rsid w:val="00636E82"/>
    <w:rsid w:val="00636E86"/>
    <w:rsid w:val="00636E94"/>
    <w:rsid w:val="00636FA5"/>
    <w:rsid w:val="00636FE1"/>
    <w:rsid w:val="00637043"/>
    <w:rsid w:val="00637111"/>
    <w:rsid w:val="00637418"/>
    <w:rsid w:val="00637570"/>
    <w:rsid w:val="0063782E"/>
    <w:rsid w:val="00637851"/>
    <w:rsid w:val="006379FA"/>
    <w:rsid w:val="00640184"/>
    <w:rsid w:val="0064039A"/>
    <w:rsid w:val="006404A5"/>
    <w:rsid w:val="006405B7"/>
    <w:rsid w:val="00640706"/>
    <w:rsid w:val="00640849"/>
    <w:rsid w:val="006409AF"/>
    <w:rsid w:val="006409B2"/>
    <w:rsid w:val="00640A28"/>
    <w:rsid w:val="00640C5A"/>
    <w:rsid w:val="00640CF2"/>
    <w:rsid w:val="00640DAD"/>
    <w:rsid w:val="00640E23"/>
    <w:rsid w:val="0064134A"/>
    <w:rsid w:val="006413E5"/>
    <w:rsid w:val="00641670"/>
    <w:rsid w:val="006416EA"/>
    <w:rsid w:val="006417E2"/>
    <w:rsid w:val="00641815"/>
    <w:rsid w:val="00641920"/>
    <w:rsid w:val="0064194F"/>
    <w:rsid w:val="0064199D"/>
    <w:rsid w:val="00641A99"/>
    <w:rsid w:val="00641B98"/>
    <w:rsid w:val="00641C25"/>
    <w:rsid w:val="00641EF8"/>
    <w:rsid w:val="00641F9A"/>
    <w:rsid w:val="00642172"/>
    <w:rsid w:val="0064218E"/>
    <w:rsid w:val="0064228C"/>
    <w:rsid w:val="00642491"/>
    <w:rsid w:val="006426C5"/>
    <w:rsid w:val="00642710"/>
    <w:rsid w:val="00642731"/>
    <w:rsid w:val="006427C4"/>
    <w:rsid w:val="006427DE"/>
    <w:rsid w:val="00642909"/>
    <w:rsid w:val="00642970"/>
    <w:rsid w:val="00642B46"/>
    <w:rsid w:val="00642C18"/>
    <w:rsid w:val="00642D1F"/>
    <w:rsid w:val="00642F22"/>
    <w:rsid w:val="006430AA"/>
    <w:rsid w:val="0064319C"/>
    <w:rsid w:val="006432F8"/>
    <w:rsid w:val="006433AA"/>
    <w:rsid w:val="006433AF"/>
    <w:rsid w:val="00643437"/>
    <w:rsid w:val="00643488"/>
    <w:rsid w:val="00643879"/>
    <w:rsid w:val="006438CA"/>
    <w:rsid w:val="0064393B"/>
    <w:rsid w:val="00643C3E"/>
    <w:rsid w:val="00643CCA"/>
    <w:rsid w:val="00643DDD"/>
    <w:rsid w:val="00643DFD"/>
    <w:rsid w:val="00643F1A"/>
    <w:rsid w:val="0064401F"/>
    <w:rsid w:val="00644047"/>
    <w:rsid w:val="00644162"/>
    <w:rsid w:val="00644280"/>
    <w:rsid w:val="00644486"/>
    <w:rsid w:val="00644518"/>
    <w:rsid w:val="0064451C"/>
    <w:rsid w:val="00644559"/>
    <w:rsid w:val="006445CF"/>
    <w:rsid w:val="00644900"/>
    <w:rsid w:val="00644B8E"/>
    <w:rsid w:val="00644C04"/>
    <w:rsid w:val="00644C96"/>
    <w:rsid w:val="00644CCB"/>
    <w:rsid w:val="00644D51"/>
    <w:rsid w:val="00644EFB"/>
    <w:rsid w:val="00644F0F"/>
    <w:rsid w:val="0064501A"/>
    <w:rsid w:val="0064511C"/>
    <w:rsid w:val="006453E6"/>
    <w:rsid w:val="00645465"/>
    <w:rsid w:val="006455F1"/>
    <w:rsid w:val="0064562C"/>
    <w:rsid w:val="0064575E"/>
    <w:rsid w:val="006459C8"/>
    <w:rsid w:val="00645B83"/>
    <w:rsid w:val="00645C21"/>
    <w:rsid w:val="00645F86"/>
    <w:rsid w:val="00645FD6"/>
    <w:rsid w:val="00645FE5"/>
    <w:rsid w:val="00646109"/>
    <w:rsid w:val="00646297"/>
    <w:rsid w:val="006462F0"/>
    <w:rsid w:val="0064634F"/>
    <w:rsid w:val="00646678"/>
    <w:rsid w:val="00646987"/>
    <w:rsid w:val="00646A98"/>
    <w:rsid w:val="00646D96"/>
    <w:rsid w:val="00646F01"/>
    <w:rsid w:val="00646F6F"/>
    <w:rsid w:val="00647069"/>
    <w:rsid w:val="0064710F"/>
    <w:rsid w:val="006471D6"/>
    <w:rsid w:val="00647398"/>
    <w:rsid w:val="00647403"/>
    <w:rsid w:val="00647407"/>
    <w:rsid w:val="0064753B"/>
    <w:rsid w:val="0064756E"/>
    <w:rsid w:val="006476AB"/>
    <w:rsid w:val="00647727"/>
    <w:rsid w:val="006477A0"/>
    <w:rsid w:val="00647AC8"/>
    <w:rsid w:val="00647EB7"/>
    <w:rsid w:val="00647EC3"/>
    <w:rsid w:val="0065000D"/>
    <w:rsid w:val="006501C8"/>
    <w:rsid w:val="006503EE"/>
    <w:rsid w:val="006505D2"/>
    <w:rsid w:val="00650694"/>
    <w:rsid w:val="0065069F"/>
    <w:rsid w:val="006506A9"/>
    <w:rsid w:val="00650736"/>
    <w:rsid w:val="006507CC"/>
    <w:rsid w:val="006508E7"/>
    <w:rsid w:val="00650B32"/>
    <w:rsid w:val="00650E67"/>
    <w:rsid w:val="00651105"/>
    <w:rsid w:val="006512DD"/>
    <w:rsid w:val="00651430"/>
    <w:rsid w:val="006515FB"/>
    <w:rsid w:val="00651906"/>
    <w:rsid w:val="00651981"/>
    <w:rsid w:val="006519CC"/>
    <w:rsid w:val="00651A22"/>
    <w:rsid w:val="00651D53"/>
    <w:rsid w:val="00651E26"/>
    <w:rsid w:val="00651E8A"/>
    <w:rsid w:val="00651EFA"/>
    <w:rsid w:val="006520AF"/>
    <w:rsid w:val="006522B3"/>
    <w:rsid w:val="00652442"/>
    <w:rsid w:val="00652A0A"/>
    <w:rsid w:val="00652B5F"/>
    <w:rsid w:val="00652B7A"/>
    <w:rsid w:val="00652BF7"/>
    <w:rsid w:val="00652C85"/>
    <w:rsid w:val="00652E9D"/>
    <w:rsid w:val="00652EAC"/>
    <w:rsid w:val="006533FC"/>
    <w:rsid w:val="006535AE"/>
    <w:rsid w:val="006536B7"/>
    <w:rsid w:val="00653735"/>
    <w:rsid w:val="00653961"/>
    <w:rsid w:val="006539F2"/>
    <w:rsid w:val="00653A19"/>
    <w:rsid w:val="00653B16"/>
    <w:rsid w:val="00653BCB"/>
    <w:rsid w:val="00653BCF"/>
    <w:rsid w:val="00653DE3"/>
    <w:rsid w:val="00653E34"/>
    <w:rsid w:val="00653EC1"/>
    <w:rsid w:val="00653EF7"/>
    <w:rsid w:val="0065409F"/>
    <w:rsid w:val="006540DC"/>
    <w:rsid w:val="0065416B"/>
    <w:rsid w:val="006543B5"/>
    <w:rsid w:val="0065464B"/>
    <w:rsid w:val="00654781"/>
    <w:rsid w:val="0065481E"/>
    <w:rsid w:val="00654863"/>
    <w:rsid w:val="00654A77"/>
    <w:rsid w:val="00654C3E"/>
    <w:rsid w:val="00654CA3"/>
    <w:rsid w:val="00654E93"/>
    <w:rsid w:val="0065502E"/>
    <w:rsid w:val="006551E9"/>
    <w:rsid w:val="0065532C"/>
    <w:rsid w:val="00655465"/>
    <w:rsid w:val="006556A9"/>
    <w:rsid w:val="00655808"/>
    <w:rsid w:val="0065588D"/>
    <w:rsid w:val="00655A0C"/>
    <w:rsid w:val="00655F8B"/>
    <w:rsid w:val="00656058"/>
    <w:rsid w:val="00656216"/>
    <w:rsid w:val="00656225"/>
    <w:rsid w:val="006562C0"/>
    <w:rsid w:val="0065633E"/>
    <w:rsid w:val="00656390"/>
    <w:rsid w:val="00656505"/>
    <w:rsid w:val="006566BD"/>
    <w:rsid w:val="006569A9"/>
    <w:rsid w:val="006569B5"/>
    <w:rsid w:val="00656A1C"/>
    <w:rsid w:val="00656B55"/>
    <w:rsid w:val="00656BF9"/>
    <w:rsid w:val="00656E4C"/>
    <w:rsid w:val="00656F09"/>
    <w:rsid w:val="0065701C"/>
    <w:rsid w:val="00657160"/>
    <w:rsid w:val="006571DF"/>
    <w:rsid w:val="00657263"/>
    <w:rsid w:val="0065736A"/>
    <w:rsid w:val="00657532"/>
    <w:rsid w:val="0065754C"/>
    <w:rsid w:val="00657698"/>
    <w:rsid w:val="006576D9"/>
    <w:rsid w:val="0065775C"/>
    <w:rsid w:val="0065779C"/>
    <w:rsid w:val="006577DD"/>
    <w:rsid w:val="00657A5E"/>
    <w:rsid w:val="00657A9B"/>
    <w:rsid w:val="00657AB5"/>
    <w:rsid w:val="00657B5D"/>
    <w:rsid w:val="00657C8B"/>
    <w:rsid w:val="00660412"/>
    <w:rsid w:val="006607A8"/>
    <w:rsid w:val="00660901"/>
    <w:rsid w:val="00660AA9"/>
    <w:rsid w:val="00660F44"/>
    <w:rsid w:val="0066108F"/>
    <w:rsid w:val="0066118B"/>
    <w:rsid w:val="00661655"/>
    <w:rsid w:val="00661702"/>
    <w:rsid w:val="006619D4"/>
    <w:rsid w:val="00661A69"/>
    <w:rsid w:val="00661F61"/>
    <w:rsid w:val="00661FCB"/>
    <w:rsid w:val="0066214D"/>
    <w:rsid w:val="00662352"/>
    <w:rsid w:val="00662436"/>
    <w:rsid w:val="00662997"/>
    <w:rsid w:val="00662B3A"/>
    <w:rsid w:val="00662BF9"/>
    <w:rsid w:val="00662C7A"/>
    <w:rsid w:val="00662D64"/>
    <w:rsid w:val="00662D9A"/>
    <w:rsid w:val="00662FA3"/>
    <w:rsid w:val="00663027"/>
    <w:rsid w:val="006631F3"/>
    <w:rsid w:val="0066321A"/>
    <w:rsid w:val="0066333D"/>
    <w:rsid w:val="00663504"/>
    <w:rsid w:val="00663763"/>
    <w:rsid w:val="006638B5"/>
    <w:rsid w:val="0066392B"/>
    <w:rsid w:val="0066393F"/>
    <w:rsid w:val="00663ADA"/>
    <w:rsid w:val="00663B22"/>
    <w:rsid w:val="00663B79"/>
    <w:rsid w:val="00663C89"/>
    <w:rsid w:val="00664031"/>
    <w:rsid w:val="00664046"/>
    <w:rsid w:val="0066406B"/>
    <w:rsid w:val="006640A0"/>
    <w:rsid w:val="006640B0"/>
    <w:rsid w:val="006642B1"/>
    <w:rsid w:val="0066442B"/>
    <w:rsid w:val="006644FB"/>
    <w:rsid w:val="0066451A"/>
    <w:rsid w:val="006649DF"/>
    <w:rsid w:val="00664B48"/>
    <w:rsid w:val="00664C07"/>
    <w:rsid w:val="00664E1D"/>
    <w:rsid w:val="00664FED"/>
    <w:rsid w:val="006651CE"/>
    <w:rsid w:val="00665238"/>
    <w:rsid w:val="006652F1"/>
    <w:rsid w:val="00665486"/>
    <w:rsid w:val="006654C9"/>
    <w:rsid w:val="00665558"/>
    <w:rsid w:val="0066558B"/>
    <w:rsid w:val="00665627"/>
    <w:rsid w:val="0066584A"/>
    <w:rsid w:val="00665913"/>
    <w:rsid w:val="00665AC2"/>
    <w:rsid w:val="00665C90"/>
    <w:rsid w:val="00665D40"/>
    <w:rsid w:val="00666439"/>
    <w:rsid w:val="00666673"/>
    <w:rsid w:val="00666BEE"/>
    <w:rsid w:val="00666C8C"/>
    <w:rsid w:val="00666ED7"/>
    <w:rsid w:val="00666EEA"/>
    <w:rsid w:val="00666F71"/>
    <w:rsid w:val="00666FEB"/>
    <w:rsid w:val="00667089"/>
    <w:rsid w:val="006670CD"/>
    <w:rsid w:val="00667123"/>
    <w:rsid w:val="00667247"/>
    <w:rsid w:val="006672E3"/>
    <w:rsid w:val="0066739A"/>
    <w:rsid w:val="006675EF"/>
    <w:rsid w:val="006676D4"/>
    <w:rsid w:val="00667743"/>
    <w:rsid w:val="006677EE"/>
    <w:rsid w:val="006677F6"/>
    <w:rsid w:val="00667818"/>
    <w:rsid w:val="0066799C"/>
    <w:rsid w:val="00667C9E"/>
    <w:rsid w:val="00667E4C"/>
    <w:rsid w:val="00667E7E"/>
    <w:rsid w:val="006701D1"/>
    <w:rsid w:val="00670246"/>
    <w:rsid w:val="00670453"/>
    <w:rsid w:val="006704AF"/>
    <w:rsid w:val="00670503"/>
    <w:rsid w:val="006707EE"/>
    <w:rsid w:val="006708A9"/>
    <w:rsid w:val="00670970"/>
    <w:rsid w:val="00670976"/>
    <w:rsid w:val="006709BE"/>
    <w:rsid w:val="00670A5E"/>
    <w:rsid w:val="00670B41"/>
    <w:rsid w:val="00670E76"/>
    <w:rsid w:val="00671213"/>
    <w:rsid w:val="0067141D"/>
    <w:rsid w:val="006714DA"/>
    <w:rsid w:val="006716A2"/>
    <w:rsid w:val="0067181E"/>
    <w:rsid w:val="00671836"/>
    <w:rsid w:val="006719BE"/>
    <w:rsid w:val="00671A32"/>
    <w:rsid w:val="00671BBA"/>
    <w:rsid w:val="00671C3F"/>
    <w:rsid w:val="00671CBF"/>
    <w:rsid w:val="00671DFB"/>
    <w:rsid w:val="00671EC7"/>
    <w:rsid w:val="00671FB1"/>
    <w:rsid w:val="00671FE3"/>
    <w:rsid w:val="00672038"/>
    <w:rsid w:val="00672144"/>
    <w:rsid w:val="00672422"/>
    <w:rsid w:val="00672550"/>
    <w:rsid w:val="006726FD"/>
    <w:rsid w:val="0067271B"/>
    <w:rsid w:val="00672910"/>
    <w:rsid w:val="00672A98"/>
    <w:rsid w:val="00672B66"/>
    <w:rsid w:val="00672CD3"/>
    <w:rsid w:val="00672E10"/>
    <w:rsid w:val="00672E98"/>
    <w:rsid w:val="00673068"/>
    <w:rsid w:val="00673160"/>
    <w:rsid w:val="00673346"/>
    <w:rsid w:val="006734DD"/>
    <w:rsid w:val="00673538"/>
    <w:rsid w:val="0067356E"/>
    <w:rsid w:val="0067357B"/>
    <w:rsid w:val="0067363F"/>
    <w:rsid w:val="00673761"/>
    <w:rsid w:val="0067376C"/>
    <w:rsid w:val="006737C3"/>
    <w:rsid w:val="00673916"/>
    <w:rsid w:val="00673A9B"/>
    <w:rsid w:val="00673E5E"/>
    <w:rsid w:val="00673EBF"/>
    <w:rsid w:val="00674025"/>
    <w:rsid w:val="006740C7"/>
    <w:rsid w:val="00674102"/>
    <w:rsid w:val="0067429D"/>
    <w:rsid w:val="006742D0"/>
    <w:rsid w:val="00674401"/>
    <w:rsid w:val="00674414"/>
    <w:rsid w:val="00674478"/>
    <w:rsid w:val="0067463A"/>
    <w:rsid w:val="00674640"/>
    <w:rsid w:val="0067484E"/>
    <w:rsid w:val="0067499B"/>
    <w:rsid w:val="006749B8"/>
    <w:rsid w:val="00674C9E"/>
    <w:rsid w:val="00674F42"/>
    <w:rsid w:val="006750CE"/>
    <w:rsid w:val="006750D5"/>
    <w:rsid w:val="006751EE"/>
    <w:rsid w:val="00675227"/>
    <w:rsid w:val="00675281"/>
    <w:rsid w:val="0067535A"/>
    <w:rsid w:val="006753D7"/>
    <w:rsid w:val="00675430"/>
    <w:rsid w:val="00675493"/>
    <w:rsid w:val="006754C6"/>
    <w:rsid w:val="006756FB"/>
    <w:rsid w:val="0067578B"/>
    <w:rsid w:val="006757AD"/>
    <w:rsid w:val="00675A8B"/>
    <w:rsid w:val="00675B5D"/>
    <w:rsid w:val="00675C34"/>
    <w:rsid w:val="00675C96"/>
    <w:rsid w:val="00675D9A"/>
    <w:rsid w:val="00675EBB"/>
    <w:rsid w:val="00675EEA"/>
    <w:rsid w:val="0067606D"/>
    <w:rsid w:val="00676079"/>
    <w:rsid w:val="0067611B"/>
    <w:rsid w:val="006761B4"/>
    <w:rsid w:val="006763E8"/>
    <w:rsid w:val="00676401"/>
    <w:rsid w:val="00676415"/>
    <w:rsid w:val="006764E2"/>
    <w:rsid w:val="00676767"/>
    <w:rsid w:val="006768F1"/>
    <w:rsid w:val="00676DAE"/>
    <w:rsid w:val="00676DD1"/>
    <w:rsid w:val="00676E77"/>
    <w:rsid w:val="00677188"/>
    <w:rsid w:val="00677449"/>
    <w:rsid w:val="00677716"/>
    <w:rsid w:val="00677788"/>
    <w:rsid w:val="006777BD"/>
    <w:rsid w:val="00677A65"/>
    <w:rsid w:val="00677B30"/>
    <w:rsid w:val="00677BC2"/>
    <w:rsid w:val="00677D09"/>
    <w:rsid w:val="006801AB"/>
    <w:rsid w:val="006801C9"/>
    <w:rsid w:val="00680225"/>
    <w:rsid w:val="0068054A"/>
    <w:rsid w:val="0068072E"/>
    <w:rsid w:val="00680764"/>
    <w:rsid w:val="0068079B"/>
    <w:rsid w:val="006808CF"/>
    <w:rsid w:val="00680A39"/>
    <w:rsid w:val="00680BFD"/>
    <w:rsid w:val="00680C2C"/>
    <w:rsid w:val="00680D61"/>
    <w:rsid w:val="00681142"/>
    <w:rsid w:val="00681492"/>
    <w:rsid w:val="006814B8"/>
    <w:rsid w:val="006814FF"/>
    <w:rsid w:val="0068166F"/>
    <w:rsid w:val="0068172F"/>
    <w:rsid w:val="006818A3"/>
    <w:rsid w:val="006819D0"/>
    <w:rsid w:val="00681C28"/>
    <w:rsid w:val="00681D17"/>
    <w:rsid w:val="00681F23"/>
    <w:rsid w:val="00681F59"/>
    <w:rsid w:val="006821BF"/>
    <w:rsid w:val="006821EC"/>
    <w:rsid w:val="006822F4"/>
    <w:rsid w:val="00682943"/>
    <w:rsid w:val="0068294B"/>
    <w:rsid w:val="00682C39"/>
    <w:rsid w:val="00682E8E"/>
    <w:rsid w:val="0068304E"/>
    <w:rsid w:val="00683194"/>
    <w:rsid w:val="006832A5"/>
    <w:rsid w:val="0068340E"/>
    <w:rsid w:val="00683567"/>
    <w:rsid w:val="0068358F"/>
    <w:rsid w:val="006836FB"/>
    <w:rsid w:val="00683781"/>
    <w:rsid w:val="0068384B"/>
    <w:rsid w:val="0068387D"/>
    <w:rsid w:val="00683985"/>
    <w:rsid w:val="006839BD"/>
    <w:rsid w:val="006839FB"/>
    <w:rsid w:val="00683B1B"/>
    <w:rsid w:val="00683BB6"/>
    <w:rsid w:val="00683BCE"/>
    <w:rsid w:val="00683DF7"/>
    <w:rsid w:val="00684297"/>
    <w:rsid w:val="006843E0"/>
    <w:rsid w:val="006844EC"/>
    <w:rsid w:val="0068452B"/>
    <w:rsid w:val="006845DB"/>
    <w:rsid w:val="00684877"/>
    <w:rsid w:val="00684B50"/>
    <w:rsid w:val="00684C92"/>
    <w:rsid w:val="00684CE1"/>
    <w:rsid w:val="00684D88"/>
    <w:rsid w:val="00684DE4"/>
    <w:rsid w:val="00684DE5"/>
    <w:rsid w:val="00684EDF"/>
    <w:rsid w:val="006851CA"/>
    <w:rsid w:val="0068522D"/>
    <w:rsid w:val="0068527F"/>
    <w:rsid w:val="00685558"/>
    <w:rsid w:val="0068562E"/>
    <w:rsid w:val="0068595E"/>
    <w:rsid w:val="00685982"/>
    <w:rsid w:val="00685B38"/>
    <w:rsid w:val="00685B76"/>
    <w:rsid w:val="00685D2A"/>
    <w:rsid w:val="00685E32"/>
    <w:rsid w:val="00685E34"/>
    <w:rsid w:val="00685E86"/>
    <w:rsid w:val="00685FF3"/>
    <w:rsid w:val="00686163"/>
    <w:rsid w:val="006863AF"/>
    <w:rsid w:val="00686522"/>
    <w:rsid w:val="00686594"/>
    <w:rsid w:val="006866AB"/>
    <w:rsid w:val="006866C2"/>
    <w:rsid w:val="00686763"/>
    <w:rsid w:val="0068680D"/>
    <w:rsid w:val="006868F3"/>
    <w:rsid w:val="00686A79"/>
    <w:rsid w:val="00686EDF"/>
    <w:rsid w:val="00686EE4"/>
    <w:rsid w:val="00687230"/>
    <w:rsid w:val="00687232"/>
    <w:rsid w:val="0068733B"/>
    <w:rsid w:val="006873B8"/>
    <w:rsid w:val="006873D2"/>
    <w:rsid w:val="00687534"/>
    <w:rsid w:val="00687673"/>
    <w:rsid w:val="00687720"/>
    <w:rsid w:val="00687822"/>
    <w:rsid w:val="00687823"/>
    <w:rsid w:val="006879F3"/>
    <w:rsid w:val="00687A3E"/>
    <w:rsid w:val="00687B5C"/>
    <w:rsid w:val="00687C0C"/>
    <w:rsid w:val="00687E6A"/>
    <w:rsid w:val="00687EF5"/>
    <w:rsid w:val="00687F8A"/>
    <w:rsid w:val="00690118"/>
    <w:rsid w:val="006901E4"/>
    <w:rsid w:val="0069037E"/>
    <w:rsid w:val="00690436"/>
    <w:rsid w:val="00690725"/>
    <w:rsid w:val="006907D2"/>
    <w:rsid w:val="00690894"/>
    <w:rsid w:val="00690975"/>
    <w:rsid w:val="006909EE"/>
    <w:rsid w:val="00690CC0"/>
    <w:rsid w:val="00690CFE"/>
    <w:rsid w:val="00691089"/>
    <w:rsid w:val="0069111B"/>
    <w:rsid w:val="00691244"/>
    <w:rsid w:val="006912F1"/>
    <w:rsid w:val="00691928"/>
    <w:rsid w:val="00691AB7"/>
    <w:rsid w:val="00691C98"/>
    <w:rsid w:val="00691D58"/>
    <w:rsid w:val="00691EF3"/>
    <w:rsid w:val="00691EF6"/>
    <w:rsid w:val="00691F7A"/>
    <w:rsid w:val="006920B4"/>
    <w:rsid w:val="006920CA"/>
    <w:rsid w:val="0069212D"/>
    <w:rsid w:val="00692202"/>
    <w:rsid w:val="0069230D"/>
    <w:rsid w:val="006923E5"/>
    <w:rsid w:val="00692549"/>
    <w:rsid w:val="0069256B"/>
    <w:rsid w:val="00692672"/>
    <w:rsid w:val="00692AD6"/>
    <w:rsid w:val="00692B92"/>
    <w:rsid w:val="00692D31"/>
    <w:rsid w:val="00692E93"/>
    <w:rsid w:val="00692F6F"/>
    <w:rsid w:val="0069308B"/>
    <w:rsid w:val="006930AA"/>
    <w:rsid w:val="006932E2"/>
    <w:rsid w:val="00693316"/>
    <w:rsid w:val="0069334B"/>
    <w:rsid w:val="00693652"/>
    <w:rsid w:val="006936A3"/>
    <w:rsid w:val="006936FA"/>
    <w:rsid w:val="0069379B"/>
    <w:rsid w:val="00693942"/>
    <w:rsid w:val="0069394A"/>
    <w:rsid w:val="00693A02"/>
    <w:rsid w:val="00693AA4"/>
    <w:rsid w:val="00693B18"/>
    <w:rsid w:val="00693BA0"/>
    <w:rsid w:val="00693C40"/>
    <w:rsid w:val="00693D7B"/>
    <w:rsid w:val="006941D9"/>
    <w:rsid w:val="006941DB"/>
    <w:rsid w:val="006944AD"/>
    <w:rsid w:val="00694621"/>
    <w:rsid w:val="0069463C"/>
    <w:rsid w:val="00694786"/>
    <w:rsid w:val="00694A39"/>
    <w:rsid w:val="00694C0F"/>
    <w:rsid w:val="00694C99"/>
    <w:rsid w:val="00694D32"/>
    <w:rsid w:val="0069531B"/>
    <w:rsid w:val="006955A0"/>
    <w:rsid w:val="0069581C"/>
    <w:rsid w:val="006958D6"/>
    <w:rsid w:val="006958EF"/>
    <w:rsid w:val="00695AC6"/>
    <w:rsid w:val="00695B29"/>
    <w:rsid w:val="00695C64"/>
    <w:rsid w:val="00695C73"/>
    <w:rsid w:val="00695D45"/>
    <w:rsid w:val="00695FAA"/>
    <w:rsid w:val="00696258"/>
    <w:rsid w:val="006962BE"/>
    <w:rsid w:val="006963E1"/>
    <w:rsid w:val="00696448"/>
    <w:rsid w:val="006964A2"/>
    <w:rsid w:val="00696663"/>
    <w:rsid w:val="006966C1"/>
    <w:rsid w:val="00696759"/>
    <w:rsid w:val="00696B1F"/>
    <w:rsid w:val="00696B65"/>
    <w:rsid w:val="00696DC1"/>
    <w:rsid w:val="00696E65"/>
    <w:rsid w:val="006970FE"/>
    <w:rsid w:val="0069715B"/>
    <w:rsid w:val="006973B2"/>
    <w:rsid w:val="006974CA"/>
    <w:rsid w:val="00697520"/>
    <w:rsid w:val="0069762C"/>
    <w:rsid w:val="0069763C"/>
    <w:rsid w:val="006976D4"/>
    <w:rsid w:val="006978CE"/>
    <w:rsid w:val="0069793E"/>
    <w:rsid w:val="00697942"/>
    <w:rsid w:val="006979F5"/>
    <w:rsid w:val="00697B32"/>
    <w:rsid w:val="00697BCB"/>
    <w:rsid w:val="00697D6E"/>
    <w:rsid w:val="00697E02"/>
    <w:rsid w:val="00697FCD"/>
    <w:rsid w:val="006A01E5"/>
    <w:rsid w:val="006A02C7"/>
    <w:rsid w:val="006A0365"/>
    <w:rsid w:val="006A04E2"/>
    <w:rsid w:val="006A06BB"/>
    <w:rsid w:val="006A07EE"/>
    <w:rsid w:val="006A088F"/>
    <w:rsid w:val="006A08CF"/>
    <w:rsid w:val="006A091A"/>
    <w:rsid w:val="006A0A11"/>
    <w:rsid w:val="006A0A18"/>
    <w:rsid w:val="006A0AA1"/>
    <w:rsid w:val="006A0AB8"/>
    <w:rsid w:val="006A105D"/>
    <w:rsid w:val="006A10E4"/>
    <w:rsid w:val="006A121C"/>
    <w:rsid w:val="006A13CC"/>
    <w:rsid w:val="006A142A"/>
    <w:rsid w:val="006A163B"/>
    <w:rsid w:val="006A164D"/>
    <w:rsid w:val="006A16BA"/>
    <w:rsid w:val="006A1709"/>
    <w:rsid w:val="006A17F2"/>
    <w:rsid w:val="006A18F3"/>
    <w:rsid w:val="006A1957"/>
    <w:rsid w:val="006A19FB"/>
    <w:rsid w:val="006A1B68"/>
    <w:rsid w:val="006A1B8A"/>
    <w:rsid w:val="006A1BC1"/>
    <w:rsid w:val="006A1D9E"/>
    <w:rsid w:val="006A1FC8"/>
    <w:rsid w:val="006A2275"/>
    <w:rsid w:val="006A2654"/>
    <w:rsid w:val="006A28F7"/>
    <w:rsid w:val="006A2984"/>
    <w:rsid w:val="006A29C6"/>
    <w:rsid w:val="006A2B98"/>
    <w:rsid w:val="006A2CA4"/>
    <w:rsid w:val="006A30DD"/>
    <w:rsid w:val="006A3278"/>
    <w:rsid w:val="006A32A8"/>
    <w:rsid w:val="006A34D7"/>
    <w:rsid w:val="006A350A"/>
    <w:rsid w:val="006A359B"/>
    <w:rsid w:val="006A38CC"/>
    <w:rsid w:val="006A393B"/>
    <w:rsid w:val="006A3A89"/>
    <w:rsid w:val="006A3A9D"/>
    <w:rsid w:val="006A3D56"/>
    <w:rsid w:val="006A3D98"/>
    <w:rsid w:val="006A3E36"/>
    <w:rsid w:val="006A40D3"/>
    <w:rsid w:val="006A42B6"/>
    <w:rsid w:val="006A42C0"/>
    <w:rsid w:val="006A4436"/>
    <w:rsid w:val="006A4C0A"/>
    <w:rsid w:val="006A4C0E"/>
    <w:rsid w:val="006A4C62"/>
    <w:rsid w:val="006A4D2D"/>
    <w:rsid w:val="006A4D4F"/>
    <w:rsid w:val="006A4D5F"/>
    <w:rsid w:val="006A4DD1"/>
    <w:rsid w:val="006A4FA4"/>
    <w:rsid w:val="006A4FB0"/>
    <w:rsid w:val="006A500D"/>
    <w:rsid w:val="006A51D6"/>
    <w:rsid w:val="006A52E1"/>
    <w:rsid w:val="006A5342"/>
    <w:rsid w:val="006A53B8"/>
    <w:rsid w:val="006A5409"/>
    <w:rsid w:val="006A54E3"/>
    <w:rsid w:val="006A5558"/>
    <w:rsid w:val="006A56BE"/>
    <w:rsid w:val="006A584E"/>
    <w:rsid w:val="006A591F"/>
    <w:rsid w:val="006A597F"/>
    <w:rsid w:val="006A5A7A"/>
    <w:rsid w:val="006A5B42"/>
    <w:rsid w:val="006A5E31"/>
    <w:rsid w:val="006A6188"/>
    <w:rsid w:val="006A6372"/>
    <w:rsid w:val="006A6683"/>
    <w:rsid w:val="006A6704"/>
    <w:rsid w:val="006A67DB"/>
    <w:rsid w:val="006A68E8"/>
    <w:rsid w:val="006A6900"/>
    <w:rsid w:val="006A6B1D"/>
    <w:rsid w:val="006A6DD9"/>
    <w:rsid w:val="006A708A"/>
    <w:rsid w:val="006A70D6"/>
    <w:rsid w:val="006A71F0"/>
    <w:rsid w:val="006A72CA"/>
    <w:rsid w:val="006A72D3"/>
    <w:rsid w:val="006A7681"/>
    <w:rsid w:val="006A778C"/>
    <w:rsid w:val="006A77DE"/>
    <w:rsid w:val="006A781F"/>
    <w:rsid w:val="006A7844"/>
    <w:rsid w:val="006A7B45"/>
    <w:rsid w:val="006A7BC7"/>
    <w:rsid w:val="006A7CFA"/>
    <w:rsid w:val="006A7DB5"/>
    <w:rsid w:val="006A7F20"/>
    <w:rsid w:val="006A7F8D"/>
    <w:rsid w:val="006B0035"/>
    <w:rsid w:val="006B0141"/>
    <w:rsid w:val="006B0237"/>
    <w:rsid w:val="006B0339"/>
    <w:rsid w:val="006B0402"/>
    <w:rsid w:val="006B06B5"/>
    <w:rsid w:val="006B07FA"/>
    <w:rsid w:val="006B0868"/>
    <w:rsid w:val="006B090E"/>
    <w:rsid w:val="006B09EA"/>
    <w:rsid w:val="006B0ACC"/>
    <w:rsid w:val="006B0B64"/>
    <w:rsid w:val="006B0BFC"/>
    <w:rsid w:val="006B0CEB"/>
    <w:rsid w:val="006B0DE5"/>
    <w:rsid w:val="006B0EDB"/>
    <w:rsid w:val="006B0F36"/>
    <w:rsid w:val="006B1279"/>
    <w:rsid w:val="006B13D7"/>
    <w:rsid w:val="006B1486"/>
    <w:rsid w:val="006B1686"/>
    <w:rsid w:val="006B17D9"/>
    <w:rsid w:val="006B180C"/>
    <w:rsid w:val="006B1900"/>
    <w:rsid w:val="006B1D1A"/>
    <w:rsid w:val="006B1DCB"/>
    <w:rsid w:val="006B1E98"/>
    <w:rsid w:val="006B1ED6"/>
    <w:rsid w:val="006B1FE3"/>
    <w:rsid w:val="006B201F"/>
    <w:rsid w:val="006B207B"/>
    <w:rsid w:val="006B21A3"/>
    <w:rsid w:val="006B2390"/>
    <w:rsid w:val="006B249C"/>
    <w:rsid w:val="006B27C1"/>
    <w:rsid w:val="006B2889"/>
    <w:rsid w:val="006B299C"/>
    <w:rsid w:val="006B2CE1"/>
    <w:rsid w:val="006B2E3F"/>
    <w:rsid w:val="006B2E97"/>
    <w:rsid w:val="006B31C2"/>
    <w:rsid w:val="006B335C"/>
    <w:rsid w:val="006B335D"/>
    <w:rsid w:val="006B33A3"/>
    <w:rsid w:val="006B348D"/>
    <w:rsid w:val="006B3567"/>
    <w:rsid w:val="006B3667"/>
    <w:rsid w:val="006B3A4A"/>
    <w:rsid w:val="006B3CEE"/>
    <w:rsid w:val="006B3E94"/>
    <w:rsid w:val="006B3F10"/>
    <w:rsid w:val="006B3F7D"/>
    <w:rsid w:val="006B405A"/>
    <w:rsid w:val="006B4297"/>
    <w:rsid w:val="006B436B"/>
    <w:rsid w:val="006B44B3"/>
    <w:rsid w:val="006B45B8"/>
    <w:rsid w:val="006B4614"/>
    <w:rsid w:val="006B4780"/>
    <w:rsid w:val="006B4AC9"/>
    <w:rsid w:val="006B4B79"/>
    <w:rsid w:val="006B4BD1"/>
    <w:rsid w:val="006B4C30"/>
    <w:rsid w:val="006B4C3C"/>
    <w:rsid w:val="006B4FB5"/>
    <w:rsid w:val="006B4FC1"/>
    <w:rsid w:val="006B5172"/>
    <w:rsid w:val="006B52CF"/>
    <w:rsid w:val="006B56B7"/>
    <w:rsid w:val="006B56FE"/>
    <w:rsid w:val="006B5C67"/>
    <w:rsid w:val="006B60E4"/>
    <w:rsid w:val="006B61B4"/>
    <w:rsid w:val="006B61CD"/>
    <w:rsid w:val="006B6255"/>
    <w:rsid w:val="006B626F"/>
    <w:rsid w:val="006B62A3"/>
    <w:rsid w:val="006B6532"/>
    <w:rsid w:val="006B67AC"/>
    <w:rsid w:val="006B67C9"/>
    <w:rsid w:val="006B67FB"/>
    <w:rsid w:val="006B686A"/>
    <w:rsid w:val="006B694C"/>
    <w:rsid w:val="006B69A1"/>
    <w:rsid w:val="006B6D15"/>
    <w:rsid w:val="006B6FD1"/>
    <w:rsid w:val="006B7076"/>
    <w:rsid w:val="006B7307"/>
    <w:rsid w:val="006B73AA"/>
    <w:rsid w:val="006B746E"/>
    <w:rsid w:val="006B7676"/>
    <w:rsid w:val="006B770F"/>
    <w:rsid w:val="006B7745"/>
    <w:rsid w:val="006B77BF"/>
    <w:rsid w:val="006B799F"/>
    <w:rsid w:val="006B7A41"/>
    <w:rsid w:val="006B7A4A"/>
    <w:rsid w:val="006B7E41"/>
    <w:rsid w:val="006C0075"/>
    <w:rsid w:val="006C0094"/>
    <w:rsid w:val="006C017C"/>
    <w:rsid w:val="006C04DD"/>
    <w:rsid w:val="006C063E"/>
    <w:rsid w:val="006C06FB"/>
    <w:rsid w:val="006C08BB"/>
    <w:rsid w:val="006C08C7"/>
    <w:rsid w:val="006C0964"/>
    <w:rsid w:val="006C0D32"/>
    <w:rsid w:val="006C0D41"/>
    <w:rsid w:val="006C0F39"/>
    <w:rsid w:val="006C100D"/>
    <w:rsid w:val="006C1020"/>
    <w:rsid w:val="006C10A8"/>
    <w:rsid w:val="006C1332"/>
    <w:rsid w:val="006C13E9"/>
    <w:rsid w:val="006C1459"/>
    <w:rsid w:val="006C153A"/>
    <w:rsid w:val="006C1549"/>
    <w:rsid w:val="006C1757"/>
    <w:rsid w:val="006C19FE"/>
    <w:rsid w:val="006C1ACA"/>
    <w:rsid w:val="006C1BBB"/>
    <w:rsid w:val="006C1BE8"/>
    <w:rsid w:val="006C1CF1"/>
    <w:rsid w:val="006C1E77"/>
    <w:rsid w:val="006C1E9E"/>
    <w:rsid w:val="006C1EDF"/>
    <w:rsid w:val="006C2008"/>
    <w:rsid w:val="006C20F1"/>
    <w:rsid w:val="006C2151"/>
    <w:rsid w:val="006C2193"/>
    <w:rsid w:val="006C2261"/>
    <w:rsid w:val="006C22B2"/>
    <w:rsid w:val="006C22BC"/>
    <w:rsid w:val="006C243A"/>
    <w:rsid w:val="006C2539"/>
    <w:rsid w:val="006C254C"/>
    <w:rsid w:val="006C2597"/>
    <w:rsid w:val="006C2636"/>
    <w:rsid w:val="006C26DC"/>
    <w:rsid w:val="006C2BA3"/>
    <w:rsid w:val="006C2C15"/>
    <w:rsid w:val="006C2D0B"/>
    <w:rsid w:val="006C2E78"/>
    <w:rsid w:val="006C2ED6"/>
    <w:rsid w:val="006C2F67"/>
    <w:rsid w:val="006C2FF8"/>
    <w:rsid w:val="006C3093"/>
    <w:rsid w:val="006C31E0"/>
    <w:rsid w:val="006C3248"/>
    <w:rsid w:val="006C3355"/>
    <w:rsid w:val="006C3517"/>
    <w:rsid w:val="006C3681"/>
    <w:rsid w:val="006C3947"/>
    <w:rsid w:val="006C396A"/>
    <w:rsid w:val="006C3983"/>
    <w:rsid w:val="006C3BC8"/>
    <w:rsid w:val="006C3C95"/>
    <w:rsid w:val="006C3D63"/>
    <w:rsid w:val="006C3E29"/>
    <w:rsid w:val="006C3E39"/>
    <w:rsid w:val="006C3F0C"/>
    <w:rsid w:val="006C3F71"/>
    <w:rsid w:val="006C4332"/>
    <w:rsid w:val="006C434D"/>
    <w:rsid w:val="006C4350"/>
    <w:rsid w:val="006C43B4"/>
    <w:rsid w:val="006C4465"/>
    <w:rsid w:val="006C4532"/>
    <w:rsid w:val="006C46DC"/>
    <w:rsid w:val="006C46F9"/>
    <w:rsid w:val="006C47AB"/>
    <w:rsid w:val="006C48A9"/>
    <w:rsid w:val="006C491E"/>
    <w:rsid w:val="006C49FD"/>
    <w:rsid w:val="006C4BEF"/>
    <w:rsid w:val="006C4DB0"/>
    <w:rsid w:val="006C4E17"/>
    <w:rsid w:val="006C4E4F"/>
    <w:rsid w:val="006C4E5A"/>
    <w:rsid w:val="006C4E92"/>
    <w:rsid w:val="006C508F"/>
    <w:rsid w:val="006C521F"/>
    <w:rsid w:val="006C531A"/>
    <w:rsid w:val="006C555F"/>
    <w:rsid w:val="006C55C4"/>
    <w:rsid w:val="006C581F"/>
    <w:rsid w:val="006C5948"/>
    <w:rsid w:val="006C5962"/>
    <w:rsid w:val="006C5A5E"/>
    <w:rsid w:val="006C5CB0"/>
    <w:rsid w:val="006C5CE7"/>
    <w:rsid w:val="006C5D17"/>
    <w:rsid w:val="006C5F58"/>
    <w:rsid w:val="006C6421"/>
    <w:rsid w:val="006C646E"/>
    <w:rsid w:val="006C647C"/>
    <w:rsid w:val="006C6632"/>
    <w:rsid w:val="006C66A7"/>
    <w:rsid w:val="006C66BF"/>
    <w:rsid w:val="006C68A6"/>
    <w:rsid w:val="006C6AB5"/>
    <w:rsid w:val="006C6E8D"/>
    <w:rsid w:val="006C7035"/>
    <w:rsid w:val="006C7053"/>
    <w:rsid w:val="006C723B"/>
    <w:rsid w:val="006C7444"/>
    <w:rsid w:val="006C76B6"/>
    <w:rsid w:val="006C7B90"/>
    <w:rsid w:val="006C7D4B"/>
    <w:rsid w:val="006C7E5A"/>
    <w:rsid w:val="006D0051"/>
    <w:rsid w:val="006D0053"/>
    <w:rsid w:val="006D0240"/>
    <w:rsid w:val="006D04FD"/>
    <w:rsid w:val="006D074B"/>
    <w:rsid w:val="006D09EA"/>
    <w:rsid w:val="006D0A40"/>
    <w:rsid w:val="006D0C0A"/>
    <w:rsid w:val="006D1163"/>
    <w:rsid w:val="006D1197"/>
    <w:rsid w:val="006D11FB"/>
    <w:rsid w:val="006D1362"/>
    <w:rsid w:val="006D14AA"/>
    <w:rsid w:val="006D14CB"/>
    <w:rsid w:val="006D14FB"/>
    <w:rsid w:val="006D1647"/>
    <w:rsid w:val="006D1BB5"/>
    <w:rsid w:val="006D1BFF"/>
    <w:rsid w:val="006D1D58"/>
    <w:rsid w:val="006D1DA0"/>
    <w:rsid w:val="006D1E66"/>
    <w:rsid w:val="006D1F70"/>
    <w:rsid w:val="006D1F97"/>
    <w:rsid w:val="006D258C"/>
    <w:rsid w:val="006D25FE"/>
    <w:rsid w:val="006D2879"/>
    <w:rsid w:val="006D2A43"/>
    <w:rsid w:val="006D2B04"/>
    <w:rsid w:val="006D2B29"/>
    <w:rsid w:val="006D2D51"/>
    <w:rsid w:val="006D2E95"/>
    <w:rsid w:val="006D2F9A"/>
    <w:rsid w:val="006D318F"/>
    <w:rsid w:val="006D3308"/>
    <w:rsid w:val="006D33CA"/>
    <w:rsid w:val="006D344B"/>
    <w:rsid w:val="006D3689"/>
    <w:rsid w:val="006D39DB"/>
    <w:rsid w:val="006D3A13"/>
    <w:rsid w:val="006D3A95"/>
    <w:rsid w:val="006D3DA6"/>
    <w:rsid w:val="006D3E19"/>
    <w:rsid w:val="006D3F69"/>
    <w:rsid w:val="006D403B"/>
    <w:rsid w:val="006D42CE"/>
    <w:rsid w:val="006D434F"/>
    <w:rsid w:val="006D43FD"/>
    <w:rsid w:val="006D4554"/>
    <w:rsid w:val="006D4BE5"/>
    <w:rsid w:val="006D4C8B"/>
    <w:rsid w:val="006D4CAF"/>
    <w:rsid w:val="006D4DE3"/>
    <w:rsid w:val="006D4F4C"/>
    <w:rsid w:val="006D4FAA"/>
    <w:rsid w:val="006D5076"/>
    <w:rsid w:val="006D53B5"/>
    <w:rsid w:val="006D5412"/>
    <w:rsid w:val="006D54E4"/>
    <w:rsid w:val="006D5581"/>
    <w:rsid w:val="006D560A"/>
    <w:rsid w:val="006D568F"/>
    <w:rsid w:val="006D5716"/>
    <w:rsid w:val="006D58F2"/>
    <w:rsid w:val="006D598E"/>
    <w:rsid w:val="006D5A7C"/>
    <w:rsid w:val="006D5AC8"/>
    <w:rsid w:val="006D5BA8"/>
    <w:rsid w:val="006D5BEC"/>
    <w:rsid w:val="006D5CF7"/>
    <w:rsid w:val="006D5D28"/>
    <w:rsid w:val="006D5D67"/>
    <w:rsid w:val="006D6075"/>
    <w:rsid w:val="006D6093"/>
    <w:rsid w:val="006D63A4"/>
    <w:rsid w:val="006D664E"/>
    <w:rsid w:val="006D66DC"/>
    <w:rsid w:val="006D67A8"/>
    <w:rsid w:val="006D6B12"/>
    <w:rsid w:val="006D6C9D"/>
    <w:rsid w:val="006D6D0F"/>
    <w:rsid w:val="006D6D20"/>
    <w:rsid w:val="006D6D9A"/>
    <w:rsid w:val="006D6DDD"/>
    <w:rsid w:val="006D7199"/>
    <w:rsid w:val="006D72A2"/>
    <w:rsid w:val="006D72D3"/>
    <w:rsid w:val="006D72E9"/>
    <w:rsid w:val="006D731E"/>
    <w:rsid w:val="006D73E3"/>
    <w:rsid w:val="006D7458"/>
    <w:rsid w:val="006D785A"/>
    <w:rsid w:val="006D7988"/>
    <w:rsid w:val="006D79CF"/>
    <w:rsid w:val="006D7AF0"/>
    <w:rsid w:val="006E0058"/>
    <w:rsid w:val="006E01C7"/>
    <w:rsid w:val="006E04AB"/>
    <w:rsid w:val="006E04C9"/>
    <w:rsid w:val="006E04DF"/>
    <w:rsid w:val="006E086E"/>
    <w:rsid w:val="006E0A81"/>
    <w:rsid w:val="006E0CCA"/>
    <w:rsid w:val="006E0D36"/>
    <w:rsid w:val="006E0D6A"/>
    <w:rsid w:val="006E0E85"/>
    <w:rsid w:val="006E100A"/>
    <w:rsid w:val="006E1588"/>
    <w:rsid w:val="006E15D1"/>
    <w:rsid w:val="006E196A"/>
    <w:rsid w:val="006E19AE"/>
    <w:rsid w:val="006E1C49"/>
    <w:rsid w:val="006E1C9C"/>
    <w:rsid w:val="006E1D64"/>
    <w:rsid w:val="006E1D87"/>
    <w:rsid w:val="006E1EE6"/>
    <w:rsid w:val="006E2074"/>
    <w:rsid w:val="006E21AF"/>
    <w:rsid w:val="006E2230"/>
    <w:rsid w:val="006E25CC"/>
    <w:rsid w:val="006E2858"/>
    <w:rsid w:val="006E29D0"/>
    <w:rsid w:val="006E2D46"/>
    <w:rsid w:val="006E2F0F"/>
    <w:rsid w:val="006E2FA4"/>
    <w:rsid w:val="006E30F5"/>
    <w:rsid w:val="006E3210"/>
    <w:rsid w:val="006E3361"/>
    <w:rsid w:val="006E343D"/>
    <w:rsid w:val="006E35A2"/>
    <w:rsid w:val="006E35F5"/>
    <w:rsid w:val="006E3A36"/>
    <w:rsid w:val="006E3A94"/>
    <w:rsid w:val="006E3BFE"/>
    <w:rsid w:val="006E3D20"/>
    <w:rsid w:val="006E3D9F"/>
    <w:rsid w:val="006E4016"/>
    <w:rsid w:val="006E40EB"/>
    <w:rsid w:val="006E410C"/>
    <w:rsid w:val="006E411A"/>
    <w:rsid w:val="006E42F5"/>
    <w:rsid w:val="006E46C6"/>
    <w:rsid w:val="006E48DC"/>
    <w:rsid w:val="006E499A"/>
    <w:rsid w:val="006E4ABC"/>
    <w:rsid w:val="006E4CAF"/>
    <w:rsid w:val="006E4CC3"/>
    <w:rsid w:val="006E4CC8"/>
    <w:rsid w:val="006E4D91"/>
    <w:rsid w:val="006E4EA1"/>
    <w:rsid w:val="006E4F4E"/>
    <w:rsid w:val="006E5171"/>
    <w:rsid w:val="006E525D"/>
    <w:rsid w:val="006E526E"/>
    <w:rsid w:val="006E52A1"/>
    <w:rsid w:val="006E53B0"/>
    <w:rsid w:val="006E53DF"/>
    <w:rsid w:val="006E5575"/>
    <w:rsid w:val="006E577F"/>
    <w:rsid w:val="006E58ED"/>
    <w:rsid w:val="006E595D"/>
    <w:rsid w:val="006E5AFE"/>
    <w:rsid w:val="006E5BDC"/>
    <w:rsid w:val="006E5BEE"/>
    <w:rsid w:val="006E5D47"/>
    <w:rsid w:val="006E5FE5"/>
    <w:rsid w:val="006E6019"/>
    <w:rsid w:val="006E60A1"/>
    <w:rsid w:val="006E61A2"/>
    <w:rsid w:val="006E6237"/>
    <w:rsid w:val="006E62D6"/>
    <w:rsid w:val="006E6308"/>
    <w:rsid w:val="006E634F"/>
    <w:rsid w:val="006E662B"/>
    <w:rsid w:val="006E676A"/>
    <w:rsid w:val="006E68FC"/>
    <w:rsid w:val="006E69AA"/>
    <w:rsid w:val="006E6C80"/>
    <w:rsid w:val="006E6CA6"/>
    <w:rsid w:val="006E6DB9"/>
    <w:rsid w:val="006E6DED"/>
    <w:rsid w:val="006E6E1A"/>
    <w:rsid w:val="006E6E22"/>
    <w:rsid w:val="006E6FC5"/>
    <w:rsid w:val="006E7058"/>
    <w:rsid w:val="006E714C"/>
    <w:rsid w:val="006E71E3"/>
    <w:rsid w:val="006E7224"/>
    <w:rsid w:val="006E725D"/>
    <w:rsid w:val="006E72E7"/>
    <w:rsid w:val="006E7383"/>
    <w:rsid w:val="006E74D8"/>
    <w:rsid w:val="006E74F7"/>
    <w:rsid w:val="006E7549"/>
    <w:rsid w:val="006E767C"/>
    <w:rsid w:val="006E7789"/>
    <w:rsid w:val="006E783F"/>
    <w:rsid w:val="006E793A"/>
    <w:rsid w:val="006E7951"/>
    <w:rsid w:val="006E7A13"/>
    <w:rsid w:val="006E7A7F"/>
    <w:rsid w:val="006E7B7E"/>
    <w:rsid w:val="006E7C7E"/>
    <w:rsid w:val="006E7D8F"/>
    <w:rsid w:val="006E7E5D"/>
    <w:rsid w:val="006E7EB2"/>
    <w:rsid w:val="006F00EB"/>
    <w:rsid w:val="006F02CC"/>
    <w:rsid w:val="006F0400"/>
    <w:rsid w:val="006F04E2"/>
    <w:rsid w:val="006F0517"/>
    <w:rsid w:val="006F051B"/>
    <w:rsid w:val="006F06BE"/>
    <w:rsid w:val="006F073A"/>
    <w:rsid w:val="006F075F"/>
    <w:rsid w:val="006F089B"/>
    <w:rsid w:val="006F0ADC"/>
    <w:rsid w:val="006F0BB6"/>
    <w:rsid w:val="006F0CCF"/>
    <w:rsid w:val="006F0D8A"/>
    <w:rsid w:val="006F0DF1"/>
    <w:rsid w:val="006F10AF"/>
    <w:rsid w:val="006F1303"/>
    <w:rsid w:val="006F1380"/>
    <w:rsid w:val="006F14C8"/>
    <w:rsid w:val="006F1623"/>
    <w:rsid w:val="006F1677"/>
    <w:rsid w:val="006F181D"/>
    <w:rsid w:val="006F182F"/>
    <w:rsid w:val="006F18A4"/>
    <w:rsid w:val="006F1C71"/>
    <w:rsid w:val="006F1CB8"/>
    <w:rsid w:val="006F1EDD"/>
    <w:rsid w:val="006F1F13"/>
    <w:rsid w:val="006F2122"/>
    <w:rsid w:val="006F21FC"/>
    <w:rsid w:val="006F2271"/>
    <w:rsid w:val="006F23B3"/>
    <w:rsid w:val="006F243F"/>
    <w:rsid w:val="006F249F"/>
    <w:rsid w:val="006F253B"/>
    <w:rsid w:val="006F28D3"/>
    <w:rsid w:val="006F294D"/>
    <w:rsid w:val="006F29A7"/>
    <w:rsid w:val="006F2A06"/>
    <w:rsid w:val="006F2B49"/>
    <w:rsid w:val="006F2C2C"/>
    <w:rsid w:val="006F2C67"/>
    <w:rsid w:val="006F2F3D"/>
    <w:rsid w:val="006F301F"/>
    <w:rsid w:val="006F3258"/>
    <w:rsid w:val="006F32AD"/>
    <w:rsid w:val="006F32CA"/>
    <w:rsid w:val="006F32E2"/>
    <w:rsid w:val="006F37B1"/>
    <w:rsid w:val="006F3846"/>
    <w:rsid w:val="006F3A88"/>
    <w:rsid w:val="006F3B9E"/>
    <w:rsid w:val="006F3C3F"/>
    <w:rsid w:val="006F3DEC"/>
    <w:rsid w:val="006F3FA7"/>
    <w:rsid w:val="006F40F0"/>
    <w:rsid w:val="006F410D"/>
    <w:rsid w:val="006F41CE"/>
    <w:rsid w:val="006F4374"/>
    <w:rsid w:val="006F4676"/>
    <w:rsid w:val="006F47C1"/>
    <w:rsid w:val="006F47C5"/>
    <w:rsid w:val="006F4815"/>
    <w:rsid w:val="006F4ACD"/>
    <w:rsid w:val="006F4C2F"/>
    <w:rsid w:val="006F4CEC"/>
    <w:rsid w:val="006F4DE6"/>
    <w:rsid w:val="006F4E0B"/>
    <w:rsid w:val="006F4F66"/>
    <w:rsid w:val="006F51BD"/>
    <w:rsid w:val="006F5241"/>
    <w:rsid w:val="006F5245"/>
    <w:rsid w:val="006F533E"/>
    <w:rsid w:val="006F5610"/>
    <w:rsid w:val="006F58C6"/>
    <w:rsid w:val="006F5A03"/>
    <w:rsid w:val="006F5B63"/>
    <w:rsid w:val="006F5BCE"/>
    <w:rsid w:val="006F5EE7"/>
    <w:rsid w:val="006F5EE9"/>
    <w:rsid w:val="006F6009"/>
    <w:rsid w:val="006F60A0"/>
    <w:rsid w:val="006F60A2"/>
    <w:rsid w:val="006F6359"/>
    <w:rsid w:val="006F6423"/>
    <w:rsid w:val="006F645A"/>
    <w:rsid w:val="006F64BB"/>
    <w:rsid w:val="006F654E"/>
    <w:rsid w:val="006F675D"/>
    <w:rsid w:val="006F685B"/>
    <w:rsid w:val="006F6B9A"/>
    <w:rsid w:val="006F6DBF"/>
    <w:rsid w:val="006F6E21"/>
    <w:rsid w:val="006F6E60"/>
    <w:rsid w:val="006F7420"/>
    <w:rsid w:val="006F745E"/>
    <w:rsid w:val="006F75F7"/>
    <w:rsid w:val="006F765E"/>
    <w:rsid w:val="006F7912"/>
    <w:rsid w:val="006F7AE6"/>
    <w:rsid w:val="006F7B0C"/>
    <w:rsid w:val="006F7B4A"/>
    <w:rsid w:val="006F7BCE"/>
    <w:rsid w:val="006F7C3C"/>
    <w:rsid w:val="006F7C94"/>
    <w:rsid w:val="006F7D13"/>
    <w:rsid w:val="006F7EC1"/>
    <w:rsid w:val="006F7F3D"/>
    <w:rsid w:val="00700225"/>
    <w:rsid w:val="007002C2"/>
    <w:rsid w:val="00700326"/>
    <w:rsid w:val="007004FF"/>
    <w:rsid w:val="00700559"/>
    <w:rsid w:val="0070069E"/>
    <w:rsid w:val="007006ED"/>
    <w:rsid w:val="0070085E"/>
    <w:rsid w:val="007008CB"/>
    <w:rsid w:val="00700AD4"/>
    <w:rsid w:val="00700B5B"/>
    <w:rsid w:val="00700B8F"/>
    <w:rsid w:val="00700C34"/>
    <w:rsid w:val="00700C93"/>
    <w:rsid w:val="00700DC8"/>
    <w:rsid w:val="0070102F"/>
    <w:rsid w:val="0070114C"/>
    <w:rsid w:val="007011F0"/>
    <w:rsid w:val="00701558"/>
    <w:rsid w:val="007016EB"/>
    <w:rsid w:val="00701A24"/>
    <w:rsid w:val="00701B23"/>
    <w:rsid w:val="00701BB9"/>
    <w:rsid w:val="00701C12"/>
    <w:rsid w:val="00701C48"/>
    <w:rsid w:val="00701D98"/>
    <w:rsid w:val="00701F4C"/>
    <w:rsid w:val="00701F7A"/>
    <w:rsid w:val="00701FCB"/>
    <w:rsid w:val="0070202D"/>
    <w:rsid w:val="00702098"/>
    <w:rsid w:val="007020C3"/>
    <w:rsid w:val="00702190"/>
    <w:rsid w:val="0070248E"/>
    <w:rsid w:val="007024A3"/>
    <w:rsid w:val="007024DA"/>
    <w:rsid w:val="007025C2"/>
    <w:rsid w:val="007025E1"/>
    <w:rsid w:val="007027C3"/>
    <w:rsid w:val="0070283A"/>
    <w:rsid w:val="0070284F"/>
    <w:rsid w:val="00702A82"/>
    <w:rsid w:val="00702B62"/>
    <w:rsid w:val="00702C6F"/>
    <w:rsid w:val="00703255"/>
    <w:rsid w:val="0070326F"/>
    <w:rsid w:val="0070333D"/>
    <w:rsid w:val="007034B9"/>
    <w:rsid w:val="007034E4"/>
    <w:rsid w:val="007034F9"/>
    <w:rsid w:val="007035D9"/>
    <w:rsid w:val="00703815"/>
    <w:rsid w:val="00703818"/>
    <w:rsid w:val="00703A65"/>
    <w:rsid w:val="00703ABB"/>
    <w:rsid w:val="00703BCF"/>
    <w:rsid w:val="00703C9B"/>
    <w:rsid w:val="00703E0E"/>
    <w:rsid w:val="00703F5F"/>
    <w:rsid w:val="0070426D"/>
    <w:rsid w:val="00704352"/>
    <w:rsid w:val="00704503"/>
    <w:rsid w:val="00704542"/>
    <w:rsid w:val="007045E1"/>
    <w:rsid w:val="007049B9"/>
    <w:rsid w:val="00704B85"/>
    <w:rsid w:val="00704BDA"/>
    <w:rsid w:val="00704BF9"/>
    <w:rsid w:val="00704CB8"/>
    <w:rsid w:val="00704D96"/>
    <w:rsid w:val="00704DC0"/>
    <w:rsid w:val="00704EA9"/>
    <w:rsid w:val="0070538F"/>
    <w:rsid w:val="0070548C"/>
    <w:rsid w:val="00705680"/>
    <w:rsid w:val="007056B5"/>
    <w:rsid w:val="007056F8"/>
    <w:rsid w:val="007059BB"/>
    <w:rsid w:val="00705A45"/>
    <w:rsid w:val="00705AD9"/>
    <w:rsid w:val="00705C41"/>
    <w:rsid w:val="00705C53"/>
    <w:rsid w:val="00705D50"/>
    <w:rsid w:val="00705E19"/>
    <w:rsid w:val="00706101"/>
    <w:rsid w:val="00706211"/>
    <w:rsid w:val="00706240"/>
    <w:rsid w:val="00706376"/>
    <w:rsid w:val="00706580"/>
    <w:rsid w:val="007065CB"/>
    <w:rsid w:val="007065E5"/>
    <w:rsid w:val="00706654"/>
    <w:rsid w:val="0070679C"/>
    <w:rsid w:val="0070698C"/>
    <w:rsid w:val="00706A29"/>
    <w:rsid w:val="00706AA7"/>
    <w:rsid w:val="00706AE3"/>
    <w:rsid w:val="00706D8D"/>
    <w:rsid w:val="00706E61"/>
    <w:rsid w:val="00706F62"/>
    <w:rsid w:val="0070702E"/>
    <w:rsid w:val="00707228"/>
    <w:rsid w:val="00707376"/>
    <w:rsid w:val="00707607"/>
    <w:rsid w:val="00707680"/>
    <w:rsid w:val="00707886"/>
    <w:rsid w:val="007078F0"/>
    <w:rsid w:val="00707B34"/>
    <w:rsid w:val="00707B4D"/>
    <w:rsid w:val="00707C17"/>
    <w:rsid w:val="00707E7C"/>
    <w:rsid w:val="00707F9E"/>
    <w:rsid w:val="00707FFE"/>
    <w:rsid w:val="007101F6"/>
    <w:rsid w:val="0071027D"/>
    <w:rsid w:val="00710410"/>
    <w:rsid w:val="0071058B"/>
    <w:rsid w:val="00710636"/>
    <w:rsid w:val="00710A7C"/>
    <w:rsid w:val="00710CFC"/>
    <w:rsid w:val="00710DC2"/>
    <w:rsid w:val="00710DE6"/>
    <w:rsid w:val="00710EBB"/>
    <w:rsid w:val="00710EC3"/>
    <w:rsid w:val="00710F38"/>
    <w:rsid w:val="00711085"/>
    <w:rsid w:val="00711271"/>
    <w:rsid w:val="00711272"/>
    <w:rsid w:val="00711399"/>
    <w:rsid w:val="0071169D"/>
    <w:rsid w:val="007117B5"/>
    <w:rsid w:val="00711987"/>
    <w:rsid w:val="00711A58"/>
    <w:rsid w:val="00711AA0"/>
    <w:rsid w:val="00711B6B"/>
    <w:rsid w:val="00711B9D"/>
    <w:rsid w:val="00711BCE"/>
    <w:rsid w:val="0071228F"/>
    <w:rsid w:val="007122DC"/>
    <w:rsid w:val="00712329"/>
    <w:rsid w:val="0071233D"/>
    <w:rsid w:val="007123D0"/>
    <w:rsid w:val="00712590"/>
    <w:rsid w:val="007125E0"/>
    <w:rsid w:val="00712609"/>
    <w:rsid w:val="0071265B"/>
    <w:rsid w:val="00712A21"/>
    <w:rsid w:val="00712A76"/>
    <w:rsid w:val="00712AF4"/>
    <w:rsid w:val="00712F28"/>
    <w:rsid w:val="007132A7"/>
    <w:rsid w:val="007132BA"/>
    <w:rsid w:val="007133B5"/>
    <w:rsid w:val="00713853"/>
    <w:rsid w:val="007138DF"/>
    <w:rsid w:val="0071391F"/>
    <w:rsid w:val="007139C2"/>
    <w:rsid w:val="00713A25"/>
    <w:rsid w:val="00713AC6"/>
    <w:rsid w:val="00713DA0"/>
    <w:rsid w:val="00713E9C"/>
    <w:rsid w:val="0071401B"/>
    <w:rsid w:val="00714031"/>
    <w:rsid w:val="0071404A"/>
    <w:rsid w:val="007141E8"/>
    <w:rsid w:val="00714373"/>
    <w:rsid w:val="007144BC"/>
    <w:rsid w:val="00714510"/>
    <w:rsid w:val="00714515"/>
    <w:rsid w:val="00714571"/>
    <w:rsid w:val="007145BC"/>
    <w:rsid w:val="0071471B"/>
    <w:rsid w:val="0071482E"/>
    <w:rsid w:val="00714985"/>
    <w:rsid w:val="00714CB7"/>
    <w:rsid w:val="00714E47"/>
    <w:rsid w:val="0071504D"/>
    <w:rsid w:val="007152A3"/>
    <w:rsid w:val="007153D0"/>
    <w:rsid w:val="00715416"/>
    <w:rsid w:val="00715421"/>
    <w:rsid w:val="00715552"/>
    <w:rsid w:val="007155D9"/>
    <w:rsid w:val="00715702"/>
    <w:rsid w:val="00715748"/>
    <w:rsid w:val="00715838"/>
    <w:rsid w:val="007158EB"/>
    <w:rsid w:val="007159B9"/>
    <w:rsid w:val="00715EB6"/>
    <w:rsid w:val="00715FF9"/>
    <w:rsid w:val="00715FFF"/>
    <w:rsid w:val="00716247"/>
    <w:rsid w:val="007162BB"/>
    <w:rsid w:val="007164BB"/>
    <w:rsid w:val="00716979"/>
    <w:rsid w:val="00716C52"/>
    <w:rsid w:val="00716E19"/>
    <w:rsid w:val="00717108"/>
    <w:rsid w:val="007173D7"/>
    <w:rsid w:val="0071754E"/>
    <w:rsid w:val="007176A0"/>
    <w:rsid w:val="007176CC"/>
    <w:rsid w:val="007176DB"/>
    <w:rsid w:val="007178F3"/>
    <w:rsid w:val="00717FF9"/>
    <w:rsid w:val="00720013"/>
    <w:rsid w:val="00720069"/>
    <w:rsid w:val="00720102"/>
    <w:rsid w:val="00720598"/>
    <w:rsid w:val="00720784"/>
    <w:rsid w:val="007207CF"/>
    <w:rsid w:val="00720893"/>
    <w:rsid w:val="00720982"/>
    <w:rsid w:val="007209CC"/>
    <w:rsid w:val="007209D9"/>
    <w:rsid w:val="00720ADC"/>
    <w:rsid w:val="00720C9A"/>
    <w:rsid w:val="00720D77"/>
    <w:rsid w:val="00720E55"/>
    <w:rsid w:val="00721011"/>
    <w:rsid w:val="00721024"/>
    <w:rsid w:val="00721138"/>
    <w:rsid w:val="00721170"/>
    <w:rsid w:val="00721302"/>
    <w:rsid w:val="00721338"/>
    <w:rsid w:val="00721366"/>
    <w:rsid w:val="007214CD"/>
    <w:rsid w:val="00721542"/>
    <w:rsid w:val="0072170B"/>
    <w:rsid w:val="0072186F"/>
    <w:rsid w:val="00721917"/>
    <w:rsid w:val="00721928"/>
    <w:rsid w:val="007219A6"/>
    <w:rsid w:val="00721B83"/>
    <w:rsid w:val="00721D93"/>
    <w:rsid w:val="00721F3B"/>
    <w:rsid w:val="00721F71"/>
    <w:rsid w:val="00722194"/>
    <w:rsid w:val="007222A5"/>
    <w:rsid w:val="007222B5"/>
    <w:rsid w:val="00722653"/>
    <w:rsid w:val="007226BA"/>
    <w:rsid w:val="00722AC2"/>
    <w:rsid w:val="00722F56"/>
    <w:rsid w:val="00722F84"/>
    <w:rsid w:val="00722FD0"/>
    <w:rsid w:val="00722FE7"/>
    <w:rsid w:val="007231D4"/>
    <w:rsid w:val="007235B1"/>
    <w:rsid w:val="007235DA"/>
    <w:rsid w:val="007236C6"/>
    <w:rsid w:val="007237ED"/>
    <w:rsid w:val="00723885"/>
    <w:rsid w:val="00723ADA"/>
    <w:rsid w:val="00723CDE"/>
    <w:rsid w:val="00723FE5"/>
    <w:rsid w:val="00724102"/>
    <w:rsid w:val="00724254"/>
    <w:rsid w:val="00724343"/>
    <w:rsid w:val="007243EA"/>
    <w:rsid w:val="00724409"/>
    <w:rsid w:val="00724479"/>
    <w:rsid w:val="007249DD"/>
    <w:rsid w:val="00724A43"/>
    <w:rsid w:val="00724A67"/>
    <w:rsid w:val="00724AAF"/>
    <w:rsid w:val="00724AD4"/>
    <w:rsid w:val="00724C0A"/>
    <w:rsid w:val="00724CA5"/>
    <w:rsid w:val="00724DE3"/>
    <w:rsid w:val="00724EEE"/>
    <w:rsid w:val="00724EEF"/>
    <w:rsid w:val="0072564D"/>
    <w:rsid w:val="007257E1"/>
    <w:rsid w:val="00725846"/>
    <w:rsid w:val="00725871"/>
    <w:rsid w:val="007258EC"/>
    <w:rsid w:val="00725AED"/>
    <w:rsid w:val="00725B00"/>
    <w:rsid w:val="00725CCA"/>
    <w:rsid w:val="00725DC4"/>
    <w:rsid w:val="00725F42"/>
    <w:rsid w:val="00726105"/>
    <w:rsid w:val="007261A3"/>
    <w:rsid w:val="00726347"/>
    <w:rsid w:val="00726372"/>
    <w:rsid w:val="0072641E"/>
    <w:rsid w:val="007267B5"/>
    <w:rsid w:val="0072684B"/>
    <w:rsid w:val="0072686E"/>
    <w:rsid w:val="007268AB"/>
    <w:rsid w:val="00726B82"/>
    <w:rsid w:val="00726E2E"/>
    <w:rsid w:val="00726E3F"/>
    <w:rsid w:val="00726E67"/>
    <w:rsid w:val="00726E79"/>
    <w:rsid w:val="00727050"/>
    <w:rsid w:val="00727139"/>
    <w:rsid w:val="0072713A"/>
    <w:rsid w:val="0072713B"/>
    <w:rsid w:val="0072734F"/>
    <w:rsid w:val="00727432"/>
    <w:rsid w:val="0072747C"/>
    <w:rsid w:val="00727552"/>
    <w:rsid w:val="007275E3"/>
    <w:rsid w:val="00727896"/>
    <w:rsid w:val="007279CF"/>
    <w:rsid w:val="00727ADE"/>
    <w:rsid w:val="00727D3C"/>
    <w:rsid w:val="00727DB2"/>
    <w:rsid w:val="00727E2E"/>
    <w:rsid w:val="00730118"/>
    <w:rsid w:val="007301EC"/>
    <w:rsid w:val="0073031F"/>
    <w:rsid w:val="0073038F"/>
    <w:rsid w:val="007304FE"/>
    <w:rsid w:val="00730520"/>
    <w:rsid w:val="00730527"/>
    <w:rsid w:val="007306C8"/>
    <w:rsid w:val="00730882"/>
    <w:rsid w:val="0073093F"/>
    <w:rsid w:val="00730C34"/>
    <w:rsid w:val="00730CFC"/>
    <w:rsid w:val="00730D6D"/>
    <w:rsid w:val="00730DAD"/>
    <w:rsid w:val="007313AD"/>
    <w:rsid w:val="007314F7"/>
    <w:rsid w:val="007319DD"/>
    <w:rsid w:val="00731BF5"/>
    <w:rsid w:val="00731C4E"/>
    <w:rsid w:val="00731DA5"/>
    <w:rsid w:val="00731E11"/>
    <w:rsid w:val="00731F16"/>
    <w:rsid w:val="007320AB"/>
    <w:rsid w:val="00732106"/>
    <w:rsid w:val="00732412"/>
    <w:rsid w:val="007324CE"/>
    <w:rsid w:val="007325B6"/>
    <w:rsid w:val="00732677"/>
    <w:rsid w:val="007326E8"/>
    <w:rsid w:val="007326F6"/>
    <w:rsid w:val="007327D1"/>
    <w:rsid w:val="007329D0"/>
    <w:rsid w:val="007329E6"/>
    <w:rsid w:val="00732A14"/>
    <w:rsid w:val="00732A60"/>
    <w:rsid w:val="00732B7A"/>
    <w:rsid w:val="00732BA7"/>
    <w:rsid w:val="00732E3B"/>
    <w:rsid w:val="00733051"/>
    <w:rsid w:val="00733156"/>
    <w:rsid w:val="0073317D"/>
    <w:rsid w:val="007332EE"/>
    <w:rsid w:val="00733407"/>
    <w:rsid w:val="0073344A"/>
    <w:rsid w:val="00733656"/>
    <w:rsid w:val="00733817"/>
    <w:rsid w:val="00733A48"/>
    <w:rsid w:val="00733F02"/>
    <w:rsid w:val="00733FE1"/>
    <w:rsid w:val="0073428E"/>
    <w:rsid w:val="007342F9"/>
    <w:rsid w:val="007344D3"/>
    <w:rsid w:val="00734566"/>
    <w:rsid w:val="00734583"/>
    <w:rsid w:val="007345EC"/>
    <w:rsid w:val="0073461E"/>
    <w:rsid w:val="00734890"/>
    <w:rsid w:val="007348C7"/>
    <w:rsid w:val="007349BB"/>
    <w:rsid w:val="00734ADF"/>
    <w:rsid w:val="00734C83"/>
    <w:rsid w:val="00734D5C"/>
    <w:rsid w:val="00734F11"/>
    <w:rsid w:val="00734F1E"/>
    <w:rsid w:val="00734FC0"/>
    <w:rsid w:val="00735084"/>
    <w:rsid w:val="007351AE"/>
    <w:rsid w:val="0073528A"/>
    <w:rsid w:val="007353BF"/>
    <w:rsid w:val="0073554B"/>
    <w:rsid w:val="00735610"/>
    <w:rsid w:val="00735723"/>
    <w:rsid w:val="00735770"/>
    <w:rsid w:val="007357FD"/>
    <w:rsid w:val="0073604E"/>
    <w:rsid w:val="00736273"/>
    <w:rsid w:val="0073627C"/>
    <w:rsid w:val="007362F8"/>
    <w:rsid w:val="00736325"/>
    <w:rsid w:val="00736363"/>
    <w:rsid w:val="007363BD"/>
    <w:rsid w:val="00736519"/>
    <w:rsid w:val="0073651C"/>
    <w:rsid w:val="00736785"/>
    <w:rsid w:val="007369EE"/>
    <w:rsid w:val="00736BFB"/>
    <w:rsid w:val="00736D36"/>
    <w:rsid w:val="00736E08"/>
    <w:rsid w:val="00736F02"/>
    <w:rsid w:val="00736F1C"/>
    <w:rsid w:val="00736F80"/>
    <w:rsid w:val="0073727D"/>
    <w:rsid w:val="0073743A"/>
    <w:rsid w:val="00737459"/>
    <w:rsid w:val="0073757D"/>
    <w:rsid w:val="007376A8"/>
    <w:rsid w:val="007377D1"/>
    <w:rsid w:val="00737BE4"/>
    <w:rsid w:val="00737CF2"/>
    <w:rsid w:val="00737E0E"/>
    <w:rsid w:val="00737EB0"/>
    <w:rsid w:val="00737ED7"/>
    <w:rsid w:val="00740177"/>
    <w:rsid w:val="0074027E"/>
    <w:rsid w:val="007402C3"/>
    <w:rsid w:val="007403AD"/>
    <w:rsid w:val="0074042D"/>
    <w:rsid w:val="007405EB"/>
    <w:rsid w:val="0074064A"/>
    <w:rsid w:val="007406CA"/>
    <w:rsid w:val="007406DF"/>
    <w:rsid w:val="00740950"/>
    <w:rsid w:val="00740BC6"/>
    <w:rsid w:val="00740C0D"/>
    <w:rsid w:val="00740DBF"/>
    <w:rsid w:val="00740DE2"/>
    <w:rsid w:val="00740E61"/>
    <w:rsid w:val="00741161"/>
    <w:rsid w:val="007412B5"/>
    <w:rsid w:val="007413B6"/>
    <w:rsid w:val="0074145A"/>
    <w:rsid w:val="007414D9"/>
    <w:rsid w:val="007417BF"/>
    <w:rsid w:val="00741AC2"/>
    <w:rsid w:val="00741B15"/>
    <w:rsid w:val="00741B3F"/>
    <w:rsid w:val="00741B59"/>
    <w:rsid w:val="00741C46"/>
    <w:rsid w:val="00741E86"/>
    <w:rsid w:val="00742113"/>
    <w:rsid w:val="007421FA"/>
    <w:rsid w:val="007422D2"/>
    <w:rsid w:val="007422D7"/>
    <w:rsid w:val="00742668"/>
    <w:rsid w:val="0074268D"/>
    <w:rsid w:val="00742699"/>
    <w:rsid w:val="00742706"/>
    <w:rsid w:val="007427EF"/>
    <w:rsid w:val="0074298E"/>
    <w:rsid w:val="00742C8E"/>
    <w:rsid w:val="00742CF9"/>
    <w:rsid w:val="00742D5D"/>
    <w:rsid w:val="00742D6D"/>
    <w:rsid w:val="00742DA6"/>
    <w:rsid w:val="00742F8F"/>
    <w:rsid w:val="007431E2"/>
    <w:rsid w:val="00743208"/>
    <w:rsid w:val="00743384"/>
    <w:rsid w:val="00743388"/>
    <w:rsid w:val="00743567"/>
    <w:rsid w:val="007435FA"/>
    <w:rsid w:val="0074374E"/>
    <w:rsid w:val="0074380E"/>
    <w:rsid w:val="0074389C"/>
    <w:rsid w:val="007439D3"/>
    <w:rsid w:val="00743B3F"/>
    <w:rsid w:val="00743B6C"/>
    <w:rsid w:val="00743C1C"/>
    <w:rsid w:val="00743E4D"/>
    <w:rsid w:val="00743EEB"/>
    <w:rsid w:val="00744064"/>
    <w:rsid w:val="007440EA"/>
    <w:rsid w:val="007440EF"/>
    <w:rsid w:val="007443DE"/>
    <w:rsid w:val="007444C7"/>
    <w:rsid w:val="007444D8"/>
    <w:rsid w:val="0074461B"/>
    <w:rsid w:val="0074476A"/>
    <w:rsid w:val="00744994"/>
    <w:rsid w:val="00744AC3"/>
    <w:rsid w:val="00744B59"/>
    <w:rsid w:val="00744D1A"/>
    <w:rsid w:val="00744E4A"/>
    <w:rsid w:val="00744FF9"/>
    <w:rsid w:val="00745016"/>
    <w:rsid w:val="00745171"/>
    <w:rsid w:val="0074524D"/>
    <w:rsid w:val="00745377"/>
    <w:rsid w:val="007453DD"/>
    <w:rsid w:val="00745466"/>
    <w:rsid w:val="007454C9"/>
    <w:rsid w:val="00745627"/>
    <w:rsid w:val="00745673"/>
    <w:rsid w:val="00745676"/>
    <w:rsid w:val="00745776"/>
    <w:rsid w:val="00745905"/>
    <w:rsid w:val="007459E5"/>
    <w:rsid w:val="00745AEE"/>
    <w:rsid w:val="00745B8A"/>
    <w:rsid w:val="00745C26"/>
    <w:rsid w:val="00745C44"/>
    <w:rsid w:val="00745C77"/>
    <w:rsid w:val="00745CF0"/>
    <w:rsid w:val="00745E65"/>
    <w:rsid w:val="00745E82"/>
    <w:rsid w:val="00745F45"/>
    <w:rsid w:val="00745FF4"/>
    <w:rsid w:val="00746071"/>
    <w:rsid w:val="00746195"/>
    <w:rsid w:val="00746330"/>
    <w:rsid w:val="0074671C"/>
    <w:rsid w:val="0074686D"/>
    <w:rsid w:val="0074698A"/>
    <w:rsid w:val="007469C4"/>
    <w:rsid w:val="00746B6E"/>
    <w:rsid w:val="00746C92"/>
    <w:rsid w:val="00746FD1"/>
    <w:rsid w:val="007470F0"/>
    <w:rsid w:val="0074722C"/>
    <w:rsid w:val="007472AB"/>
    <w:rsid w:val="0074735F"/>
    <w:rsid w:val="007475B7"/>
    <w:rsid w:val="00747705"/>
    <w:rsid w:val="00747846"/>
    <w:rsid w:val="00747925"/>
    <w:rsid w:val="0074793C"/>
    <w:rsid w:val="00747BBD"/>
    <w:rsid w:val="00747D9F"/>
    <w:rsid w:val="00747DB7"/>
    <w:rsid w:val="00747E21"/>
    <w:rsid w:val="00747E83"/>
    <w:rsid w:val="00747E99"/>
    <w:rsid w:val="00747F38"/>
    <w:rsid w:val="00750135"/>
    <w:rsid w:val="00750222"/>
    <w:rsid w:val="0075025E"/>
    <w:rsid w:val="007502B7"/>
    <w:rsid w:val="007504BA"/>
    <w:rsid w:val="0075060C"/>
    <w:rsid w:val="00750705"/>
    <w:rsid w:val="007508C3"/>
    <w:rsid w:val="007508C8"/>
    <w:rsid w:val="00750A30"/>
    <w:rsid w:val="00750B0F"/>
    <w:rsid w:val="00750D16"/>
    <w:rsid w:val="007510A1"/>
    <w:rsid w:val="007510B7"/>
    <w:rsid w:val="007510EC"/>
    <w:rsid w:val="0075122D"/>
    <w:rsid w:val="00751236"/>
    <w:rsid w:val="00751251"/>
    <w:rsid w:val="00751267"/>
    <w:rsid w:val="00751582"/>
    <w:rsid w:val="007516D8"/>
    <w:rsid w:val="0075177D"/>
    <w:rsid w:val="0075178F"/>
    <w:rsid w:val="00751822"/>
    <w:rsid w:val="007518CB"/>
    <w:rsid w:val="00751A31"/>
    <w:rsid w:val="00751BCD"/>
    <w:rsid w:val="00751E22"/>
    <w:rsid w:val="00751F17"/>
    <w:rsid w:val="0075212F"/>
    <w:rsid w:val="00752213"/>
    <w:rsid w:val="007523B2"/>
    <w:rsid w:val="00752452"/>
    <w:rsid w:val="007524D7"/>
    <w:rsid w:val="00752507"/>
    <w:rsid w:val="00752731"/>
    <w:rsid w:val="0075275E"/>
    <w:rsid w:val="00752778"/>
    <w:rsid w:val="00752823"/>
    <w:rsid w:val="00752A82"/>
    <w:rsid w:val="00752B59"/>
    <w:rsid w:val="00752FCB"/>
    <w:rsid w:val="00752FD1"/>
    <w:rsid w:val="00753132"/>
    <w:rsid w:val="007532FB"/>
    <w:rsid w:val="00753413"/>
    <w:rsid w:val="0075367F"/>
    <w:rsid w:val="00753704"/>
    <w:rsid w:val="00753718"/>
    <w:rsid w:val="007537B1"/>
    <w:rsid w:val="00753A1C"/>
    <w:rsid w:val="00753B2A"/>
    <w:rsid w:val="00753D88"/>
    <w:rsid w:val="00753F10"/>
    <w:rsid w:val="00753F77"/>
    <w:rsid w:val="00754093"/>
    <w:rsid w:val="00754432"/>
    <w:rsid w:val="0075461A"/>
    <w:rsid w:val="0075466A"/>
    <w:rsid w:val="00754C0D"/>
    <w:rsid w:val="00754D94"/>
    <w:rsid w:val="00754DA5"/>
    <w:rsid w:val="00754E9D"/>
    <w:rsid w:val="00754FDC"/>
    <w:rsid w:val="00754FEA"/>
    <w:rsid w:val="00755282"/>
    <w:rsid w:val="007553C6"/>
    <w:rsid w:val="007554F1"/>
    <w:rsid w:val="0075557B"/>
    <w:rsid w:val="00755757"/>
    <w:rsid w:val="00755772"/>
    <w:rsid w:val="00755891"/>
    <w:rsid w:val="007559A2"/>
    <w:rsid w:val="00755A58"/>
    <w:rsid w:val="00755CD6"/>
    <w:rsid w:val="0075612A"/>
    <w:rsid w:val="00756154"/>
    <w:rsid w:val="0075622E"/>
    <w:rsid w:val="0075626D"/>
    <w:rsid w:val="0075629C"/>
    <w:rsid w:val="007562F2"/>
    <w:rsid w:val="00756452"/>
    <w:rsid w:val="0075646A"/>
    <w:rsid w:val="007567EB"/>
    <w:rsid w:val="00756B7A"/>
    <w:rsid w:val="00756B97"/>
    <w:rsid w:val="00756DC2"/>
    <w:rsid w:val="00757034"/>
    <w:rsid w:val="00757079"/>
    <w:rsid w:val="00757402"/>
    <w:rsid w:val="00757494"/>
    <w:rsid w:val="00757667"/>
    <w:rsid w:val="00757797"/>
    <w:rsid w:val="0075780F"/>
    <w:rsid w:val="00757855"/>
    <w:rsid w:val="00757872"/>
    <w:rsid w:val="007579C4"/>
    <w:rsid w:val="00757AD8"/>
    <w:rsid w:val="00760270"/>
    <w:rsid w:val="00760375"/>
    <w:rsid w:val="00760637"/>
    <w:rsid w:val="0076067C"/>
    <w:rsid w:val="007606A0"/>
    <w:rsid w:val="007606C4"/>
    <w:rsid w:val="007606FC"/>
    <w:rsid w:val="007608C7"/>
    <w:rsid w:val="007608EA"/>
    <w:rsid w:val="00760955"/>
    <w:rsid w:val="00760A50"/>
    <w:rsid w:val="00760B5A"/>
    <w:rsid w:val="00760FB0"/>
    <w:rsid w:val="0076120F"/>
    <w:rsid w:val="0076142A"/>
    <w:rsid w:val="0076144F"/>
    <w:rsid w:val="00761612"/>
    <w:rsid w:val="00761B27"/>
    <w:rsid w:val="00761C1B"/>
    <w:rsid w:val="00761C9A"/>
    <w:rsid w:val="00761D02"/>
    <w:rsid w:val="00761E41"/>
    <w:rsid w:val="00762041"/>
    <w:rsid w:val="00762370"/>
    <w:rsid w:val="007623A2"/>
    <w:rsid w:val="00762515"/>
    <w:rsid w:val="00762549"/>
    <w:rsid w:val="007625F1"/>
    <w:rsid w:val="007626BE"/>
    <w:rsid w:val="007626D5"/>
    <w:rsid w:val="0076296B"/>
    <w:rsid w:val="007629CE"/>
    <w:rsid w:val="00762A22"/>
    <w:rsid w:val="00762AD9"/>
    <w:rsid w:val="00762BCC"/>
    <w:rsid w:val="00762C4C"/>
    <w:rsid w:val="00762C63"/>
    <w:rsid w:val="00762D27"/>
    <w:rsid w:val="00762DF7"/>
    <w:rsid w:val="00762E9F"/>
    <w:rsid w:val="0076324B"/>
    <w:rsid w:val="007633F0"/>
    <w:rsid w:val="00763451"/>
    <w:rsid w:val="00763B73"/>
    <w:rsid w:val="00763B7A"/>
    <w:rsid w:val="00763BFC"/>
    <w:rsid w:val="00763DCF"/>
    <w:rsid w:val="00763EBF"/>
    <w:rsid w:val="00763FB0"/>
    <w:rsid w:val="007640C2"/>
    <w:rsid w:val="00764309"/>
    <w:rsid w:val="0076436A"/>
    <w:rsid w:val="00764523"/>
    <w:rsid w:val="00764653"/>
    <w:rsid w:val="007647BF"/>
    <w:rsid w:val="00764A3F"/>
    <w:rsid w:val="00764BFD"/>
    <w:rsid w:val="00764DDC"/>
    <w:rsid w:val="00764FB9"/>
    <w:rsid w:val="0076509F"/>
    <w:rsid w:val="007658DF"/>
    <w:rsid w:val="0076596B"/>
    <w:rsid w:val="00765AAA"/>
    <w:rsid w:val="00765ACE"/>
    <w:rsid w:val="00765D24"/>
    <w:rsid w:val="00765DB4"/>
    <w:rsid w:val="00765ED5"/>
    <w:rsid w:val="0076605A"/>
    <w:rsid w:val="007660CD"/>
    <w:rsid w:val="0076619C"/>
    <w:rsid w:val="00766534"/>
    <w:rsid w:val="0076666B"/>
    <w:rsid w:val="007668D5"/>
    <w:rsid w:val="00766F5A"/>
    <w:rsid w:val="00767025"/>
    <w:rsid w:val="00767070"/>
    <w:rsid w:val="007670DC"/>
    <w:rsid w:val="00767169"/>
    <w:rsid w:val="007671AA"/>
    <w:rsid w:val="007672B5"/>
    <w:rsid w:val="0076749E"/>
    <w:rsid w:val="00767523"/>
    <w:rsid w:val="007676AC"/>
    <w:rsid w:val="00767741"/>
    <w:rsid w:val="007679F6"/>
    <w:rsid w:val="00767AA8"/>
    <w:rsid w:val="00767AF4"/>
    <w:rsid w:val="00767D60"/>
    <w:rsid w:val="00767D8F"/>
    <w:rsid w:val="00770120"/>
    <w:rsid w:val="007703D1"/>
    <w:rsid w:val="00770686"/>
    <w:rsid w:val="007708D6"/>
    <w:rsid w:val="007709C4"/>
    <w:rsid w:val="007709EE"/>
    <w:rsid w:val="00770B4E"/>
    <w:rsid w:val="00770BE3"/>
    <w:rsid w:val="00770C5F"/>
    <w:rsid w:val="00770D01"/>
    <w:rsid w:val="00770E33"/>
    <w:rsid w:val="00770F46"/>
    <w:rsid w:val="00770FEE"/>
    <w:rsid w:val="00770FF5"/>
    <w:rsid w:val="007710AD"/>
    <w:rsid w:val="007710CC"/>
    <w:rsid w:val="00771332"/>
    <w:rsid w:val="00771725"/>
    <w:rsid w:val="00771731"/>
    <w:rsid w:val="0077191C"/>
    <w:rsid w:val="00771ABF"/>
    <w:rsid w:val="00771B54"/>
    <w:rsid w:val="00771C0C"/>
    <w:rsid w:val="00771F6B"/>
    <w:rsid w:val="007723F8"/>
    <w:rsid w:val="007724E2"/>
    <w:rsid w:val="0077286C"/>
    <w:rsid w:val="00772965"/>
    <w:rsid w:val="00772D50"/>
    <w:rsid w:val="00772DC0"/>
    <w:rsid w:val="00772FC6"/>
    <w:rsid w:val="007730A4"/>
    <w:rsid w:val="007730B1"/>
    <w:rsid w:val="007730EE"/>
    <w:rsid w:val="00773204"/>
    <w:rsid w:val="00773259"/>
    <w:rsid w:val="00773406"/>
    <w:rsid w:val="007734AA"/>
    <w:rsid w:val="007735C4"/>
    <w:rsid w:val="00773650"/>
    <w:rsid w:val="00773698"/>
    <w:rsid w:val="007737AF"/>
    <w:rsid w:val="007737CE"/>
    <w:rsid w:val="007739C6"/>
    <w:rsid w:val="00773ABB"/>
    <w:rsid w:val="00773ABC"/>
    <w:rsid w:val="00773ACE"/>
    <w:rsid w:val="00774004"/>
    <w:rsid w:val="0077427D"/>
    <w:rsid w:val="007742BC"/>
    <w:rsid w:val="00774531"/>
    <w:rsid w:val="007746FA"/>
    <w:rsid w:val="007749AD"/>
    <w:rsid w:val="00774A35"/>
    <w:rsid w:val="00774A5C"/>
    <w:rsid w:val="00774AE5"/>
    <w:rsid w:val="00774AF1"/>
    <w:rsid w:val="00774AF2"/>
    <w:rsid w:val="00774B32"/>
    <w:rsid w:val="00774B40"/>
    <w:rsid w:val="00774FD7"/>
    <w:rsid w:val="00775047"/>
    <w:rsid w:val="007754C1"/>
    <w:rsid w:val="00775576"/>
    <w:rsid w:val="0077564C"/>
    <w:rsid w:val="007756E0"/>
    <w:rsid w:val="0077571C"/>
    <w:rsid w:val="00775795"/>
    <w:rsid w:val="00775797"/>
    <w:rsid w:val="00775935"/>
    <w:rsid w:val="00775AD9"/>
    <w:rsid w:val="00775B65"/>
    <w:rsid w:val="00775EC4"/>
    <w:rsid w:val="00775FD3"/>
    <w:rsid w:val="0077611C"/>
    <w:rsid w:val="00776321"/>
    <w:rsid w:val="00776559"/>
    <w:rsid w:val="0077685F"/>
    <w:rsid w:val="0077686E"/>
    <w:rsid w:val="007768A4"/>
    <w:rsid w:val="007768FB"/>
    <w:rsid w:val="00776AB7"/>
    <w:rsid w:val="00776CB9"/>
    <w:rsid w:val="00776DCD"/>
    <w:rsid w:val="00776E01"/>
    <w:rsid w:val="007771F9"/>
    <w:rsid w:val="007771FD"/>
    <w:rsid w:val="007773A3"/>
    <w:rsid w:val="00777482"/>
    <w:rsid w:val="007774FC"/>
    <w:rsid w:val="007776A6"/>
    <w:rsid w:val="007777A1"/>
    <w:rsid w:val="00777841"/>
    <w:rsid w:val="00777B1B"/>
    <w:rsid w:val="00777B90"/>
    <w:rsid w:val="00777D6E"/>
    <w:rsid w:val="00777E94"/>
    <w:rsid w:val="00780145"/>
    <w:rsid w:val="0078058B"/>
    <w:rsid w:val="007805C4"/>
    <w:rsid w:val="007806A3"/>
    <w:rsid w:val="007806E4"/>
    <w:rsid w:val="007807B0"/>
    <w:rsid w:val="00780912"/>
    <w:rsid w:val="00780BC0"/>
    <w:rsid w:val="00780CBA"/>
    <w:rsid w:val="00780D9C"/>
    <w:rsid w:val="00780FD1"/>
    <w:rsid w:val="0078162E"/>
    <w:rsid w:val="007819F1"/>
    <w:rsid w:val="00781A0F"/>
    <w:rsid w:val="00781B55"/>
    <w:rsid w:val="00781BA9"/>
    <w:rsid w:val="00781C17"/>
    <w:rsid w:val="00781CAC"/>
    <w:rsid w:val="00781D6F"/>
    <w:rsid w:val="00781D95"/>
    <w:rsid w:val="00782024"/>
    <w:rsid w:val="007820D3"/>
    <w:rsid w:val="00782128"/>
    <w:rsid w:val="00782192"/>
    <w:rsid w:val="007821CF"/>
    <w:rsid w:val="0078220B"/>
    <w:rsid w:val="007824BB"/>
    <w:rsid w:val="00782521"/>
    <w:rsid w:val="0078255E"/>
    <w:rsid w:val="00782606"/>
    <w:rsid w:val="00782669"/>
    <w:rsid w:val="007826DC"/>
    <w:rsid w:val="007828D0"/>
    <w:rsid w:val="00782A3C"/>
    <w:rsid w:val="00782ADE"/>
    <w:rsid w:val="00782BAC"/>
    <w:rsid w:val="00782C22"/>
    <w:rsid w:val="00782CCB"/>
    <w:rsid w:val="00782CE9"/>
    <w:rsid w:val="00782F74"/>
    <w:rsid w:val="007831EA"/>
    <w:rsid w:val="00783229"/>
    <w:rsid w:val="0078327F"/>
    <w:rsid w:val="007836F0"/>
    <w:rsid w:val="007838DD"/>
    <w:rsid w:val="0078397D"/>
    <w:rsid w:val="00783A4F"/>
    <w:rsid w:val="00783BB1"/>
    <w:rsid w:val="007841E4"/>
    <w:rsid w:val="00784376"/>
    <w:rsid w:val="0078465B"/>
    <w:rsid w:val="007846A3"/>
    <w:rsid w:val="007846D3"/>
    <w:rsid w:val="007846F2"/>
    <w:rsid w:val="007848DC"/>
    <w:rsid w:val="00784929"/>
    <w:rsid w:val="00784A5B"/>
    <w:rsid w:val="00784BC3"/>
    <w:rsid w:val="00784DE3"/>
    <w:rsid w:val="00784F74"/>
    <w:rsid w:val="00784FFA"/>
    <w:rsid w:val="007850EB"/>
    <w:rsid w:val="0078511D"/>
    <w:rsid w:val="0078536A"/>
    <w:rsid w:val="00785474"/>
    <w:rsid w:val="007854C7"/>
    <w:rsid w:val="0078551D"/>
    <w:rsid w:val="0078558A"/>
    <w:rsid w:val="007856BE"/>
    <w:rsid w:val="007856D9"/>
    <w:rsid w:val="007856F1"/>
    <w:rsid w:val="0078570D"/>
    <w:rsid w:val="007858B6"/>
    <w:rsid w:val="00785A0F"/>
    <w:rsid w:val="00785A2B"/>
    <w:rsid w:val="00785BA8"/>
    <w:rsid w:val="00785C52"/>
    <w:rsid w:val="00785D28"/>
    <w:rsid w:val="00785D85"/>
    <w:rsid w:val="00785E1D"/>
    <w:rsid w:val="00785FD2"/>
    <w:rsid w:val="00786457"/>
    <w:rsid w:val="007864E3"/>
    <w:rsid w:val="007865E6"/>
    <w:rsid w:val="0078677B"/>
    <w:rsid w:val="00786B5D"/>
    <w:rsid w:val="00786C82"/>
    <w:rsid w:val="00786E7A"/>
    <w:rsid w:val="00786F5B"/>
    <w:rsid w:val="00786F78"/>
    <w:rsid w:val="007870E9"/>
    <w:rsid w:val="007871F3"/>
    <w:rsid w:val="0078722F"/>
    <w:rsid w:val="0078727E"/>
    <w:rsid w:val="0078733F"/>
    <w:rsid w:val="007873E5"/>
    <w:rsid w:val="007874D6"/>
    <w:rsid w:val="007875DC"/>
    <w:rsid w:val="0078787F"/>
    <w:rsid w:val="0078795D"/>
    <w:rsid w:val="00787B4A"/>
    <w:rsid w:val="00787B6B"/>
    <w:rsid w:val="00787D5D"/>
    <w:rsid w:val="00787DF8"/>
    <w:rsid w:val="00787E2D"/>
    <w:rsid w:val="00787FB9"/>
    <w:rsid w:val="007900BE"/>
    <w:rsid w:val="007901B0"/>
    <w:rsid w:val="007902B0"/>
    <w:rsid w:val="0079032C"/>
    <w:rsid w:val="007903CA"/>
    <w:rsid w:val="007905D3"/>
    <w:rsid w:val="0079074B"/>
    <w:rsid w:val="007908BE"/>
    <w:rsid w:val="007908D4"/>
    <w:rsid w:val="00790A51"/>
    <w:rsid w:val="00790AF0"/>
    <w:rsid w:val="00790D12"/>
    <w:rsid w:val="00790DFE"/>
    <w:rsid w:val="00790F62"/>
    <w:rsid w:val="00791388"/>
    <w:rsid w:val="007914EE"/>
    <w:rsid w:val="007916B0"/>
    <w:rsid w:val="00791785"/>
    <w:rsid w:val="00791A14"/>
    <w:rsid w:val="00791A35"/>
    <w:rsid w:val="00791ACA"/>
    <w:rsid w:val="00791B49"/>
    <w:rsid w:val="00791BA2"/>
    <w:rsid w:val="00791C2E"/>
    <w:rsid w:val="00791DC1"/>
    <w:rsid w:val="00791FE8"/>
    <w:rsid w:val="0079211A"/>
    <w:rsid w:val="00792139"/>
    <w:rsid w:val="007924B5"/>
    <w:rsid w:val="00792604"/>
    <w:rsid w:val="007926BA"/>
    <w:rsid w:val="007928D4"/>
    <w:rsid w:val="00792966"/>
    <w:rsid w:val="00792B6E"/>
    <w:rsid w:val="00792C24"/>
    <w:rsid w:val="00792CC2"/>
    <w:rsid w:val="00792D1D"/>
    <w:rsid w:val="00792E50"/>
    <w:rsid w:val="0079320B"/>
    <w:rsid w:val="00793279"/>
    <w:rsid w:val="00793289"/>
    <w:rsid w:val="00793296"/>
    <w:rsid w:val="0079340E"/>
    <w:rsid w:val="00793422"/>
    <w:rsid w:val="00793625"/>
    <w:rsid w:val="007937AD"/>
    <w:rsid w:val="007938A5"/>
    <w:rsid w:val="007938B2"/>
    <w:rsid w:val="00793942"/>
    <w:rsid w:val="00793A14"/>
    <w:rsid w:val="00793B32"/>
    <w:rsid w:val="00793DD4"/>
    <w:rsid w:val="00793FCC"/>
    <w:rsid w:val="00793FD6"/>
    <w:rsid w:val="007942E6"/>
    <w:rsid w:val="0079435E"/>
    <w:rsid w:val="00794366"/>
    <w:rsid w:val="00794379"/>
    <w:rsid w:val="00794388"/>
    <w:rsid w:val="0079446F"/>
    <w:rsid w:val="007945A1"/>
    <w:rsid w:val="007946C4"/>
    <w:rsid w:val="007947A9"/>
    <w:rsid w:val="007949DC"/>
    <w:rsid w:val="00794A3C"/>
    <w:rsid w:val="00794D3D"/>
    <w:rsid w:val="00794EC1"/>
    <w:rsid w:val="00794ED9"/>
    <w:rsid w:val="00794EE5"/>
    <w:rsid w:val="00795023"/>
    <w:rsid w:val="007954D6"/>
    <w:rsid w:val="00795503"/>
    <w:rsid w:val="0079553A"/>
    <w:rsid w:val="0079576D"/>
    <w:rsid w:val="007959FF"/>
    <w:rsid w:val="00795B8F"/>
    <w:rsid w:val="00795C35"/>
    <w:rsid w:val="00795C8D"/>
    <w:rsid w:val="00795D25"/>
    <w:rsid w:val="00796004"/>
    <w:rsid w:val="0079606E"/>
    <w:rsid w:val="00796285"/>
    <w:rsid w:val="007963AF"/>
    <w:rsid w:val="0079672B"/>
    <w:rsid w:val="00796819"/>
    <w:rsid w:val="00796887"/>
    <w:rsid w:val="00796B22"/>
    <w:rsid w:val="00796B83"/>
    <w:rsid w:val="00796E6E"/>
    <w:rsid w:val="00796E94"/>
    <w:rsid w:val="00796EB1"/>
    <w:rsid w:val="00796F6E"/>
    <w:rsid w:val="00797075"/>
    <w:rsid w:val="007970A1"/>
    <w:rsid w:val="007970A2"/>
    <w:rsid w:val="0079723A"/>
    <w:rsid w:val="00797333"/>
    <w:rsid w:val="0079744D"/>
    <w:rsid w:val="00797601"/>
    <w:rsid w:val="007976E2"/>
    <w:rsid w:val="0079791C"/>
    <w:rsid w:val="0079794C"/>
    <w:rsid w:val="00797966"/>
    <w:rsid w:val="00797C2E"/>
    <w:rsid w:val="007A0008"/>
    <w:rsid w:val="007A0012"/>
    <w:rsid w:val="007A008F"/>
    <w:rsid w:val="007A0159"/>
    <w:rsid w:val="007A0237"/>
    <w:rsid w:val="007A0270"/>
    <w:rsid w:val="007A0421"/>
    <w:rsid w:val="007A09DF"/>
    <w:rsid w:val="007A0A37"/>
    <w:rsid w:val="007A0E0B"/>
    <w:rsid w:val="007A0EBA"/>
    <w:rsid w:val="007A0F4E"/>
    <w:rsid w:val="007A1337"/>
    <w:rsid w:val="007A1463"/>
    <w:rsid w:val="007A163A"/>
    <w:rsid w:val="007A17B2"/>
    <w:rsid w:val="007A19E8"/>
    <w:rsid w:val="007A1AFD"/>
    <w:rsid w:val="007A1E02"/>
    <w:rsid w:val="007A1EA6"/>
    <w:rsid w:val="007A1F71"/>
    <w:rsid w:val="007A1FA7"/>
    <w:rsid w:val="007A237E"/>
    <w:rsid w:val="007A2456"/>
    <w:rsid w:val="007A259D"/>
    <w:rsid w:val="007A267E"/>
    <w:rsid w:val="007A279D"/>
    <w:rsid w:val="007A2973"/>
    <w:rsid w:val="007A29BC"/>
    <w:rsid w:val="007A2A5D"/>
    <w:rsid w:val="007A2A8F"/>
    <w:rsid w:val="007A2B2A"/>
    <w:rsid w:val="007A2C5F"/>
    <w:rsid w:val="007A2C67"/>
    <w:rsid w:val="007A304C"/>
    <w:rsid w:val="007A30B1"/>
    <w:rsid w:val="007A3248"/>
    <w:rsid w:val="007A3344"/>
    <w:rsid w:val="007A337B"/>
    <w:rsid w:val="007A3386"/>
    <w:rsid w:val="007A349B"/>
    <w:rsid w:val="007A37BA"/>
    <w:rsid w:val="007A3861"/>
    <w:rsid w:val="007A3A51"/>
    <w:rsid w:val="007A3CE6"/>
    <w:rsid w:val="007A3E4D"/>
    <w:rsid w:val="007A4023"/>
    <w:rsid w:val="007A406D"/>
    <w:rsid w:val="007A40AC"/>
    <w:rsid w:val="007A41AD"/>
    <w:rsid w:val="007A433C"/>
    <w:rsid w:val="007A4377"/>
    <w:rsid w:val="007A48A1"/>
    <w:rsid w:val="007A49C7"/>
    <w:rsid w:val="007A4A8A"/>
    <w:rsid w:val="007A4C3C"/>
    <w:rsid w:val="007A501B"/>
    <w:rsid w:val="007A5173"/>
    <w:rsid w:val="007A5219"/>
    <w:rsid w:val="007A5370"/>
    <w:rsid w:val="007A547D"/>
    <w:rsid w:val="007A5657"/>
    <w:rsid w:val="007A5712"/>
    <w:rsid w:val="007A57B1"/>
    <w:rsid w:val="007A57DD"/>
    <w:rsid w:val="007A57EA"/>
    <w:rsid w:val="007A58C2"/>
    <w:rsid w:val="007A5907"/>
    <w:rsid w:val="007A5A04"/>
    <w:rsid w:val="007A5A6E"/>
    <w:rsid w:val="007A5CF2"/>
    <w:rsid w:val="007A5D32"/>
    <w:rsid w:val="007A5DB5"/>
    <w:rsid w:val="007A5E24"/>
    <w:rsid w:val="007A5E28"/>
    <w:rsid w:val="007A5EB8"/>
    <w:rsid w:val="007A5F46"/>
    <w:rsid w:val="007A610D"/>
    <w:rsid w:val="007A6137"/>
    <w:rsid w:val="007A6209"/>
    <w:rsid w:val="007A627F"/>
    <w:rsid w:val="007A62A4"/>
    <w:rsid w:val="007A6318"/>
    <w:rsid w:val="007A639B"/>
    <w:rsid w:val="007A63FD"/>
    <w:rsid w:val="007A643F"/>
    <w:rsid w:val="007A6526"/>
    <w:rsid w:val="007A667B"/>
    <w:rsid w:val="007A671F"/>
    <w:rsid w:val="007A672C"/>
    <w:rsid w:val="007A68D7"/>
    <w:rsid w:val="007A6D18"/>
    <w:rsid w:val="007A6D3C"/>
    <w:rsid w:val="007A6FF9"/>
    <w:rsid w:val="007A70E6"/>
    <w:rsid w:val="007A70FB"/>
    <w:rsid w:val="007A71C4"/>
    <w:rsid w:val="007A724D"/>
    <w:rsid w:val="007A74B7"/>
    <w:rsid w:val="007A7555"/>
    <w:rsid w:val="007A7914"/>
    <w:rsid w:val="007A7D64"/>
    <w:rsid w:val="007A7DF1"/>
    <w:rsid w:val="007A7ECC"/>
    <w:rsid w:val="007B0083"/>
    <w:rsid w:val="007B0338"/>
    <w:rsid w:val="007B045A"/>
    <w:rsid w:val="007B049E"/>
    <w:rsid w:val="007B0516"/>
    <w:rsid w:val="007B05A9"/>
    <w:rsid w:val="007B05E0"/>
    <w:rsid w:val="007B05FC"/>
    <w:rsid w:val="007B0686"/>
    <w:rsid w:val="007B0739"/>
    <w:rsid w:val="007B0766"/>
    <w:rsid w:val="007B0821"/>
    <w:rsid w:val="007B09D8"/>
    <w:rsid w:val="007B0B0D"/>
    <w:rsid w:val="007B0D24"/>
    <w:rsid w:val="007B0D49"/>
    <w:rsid w:val="007B0E16"/>
    <w:rsid w:val="007B0F04"/>
    <w:rsid w:val="007B0F27"/>
    <w:rsid w:val="007B0F4E"/>
    <w:rsid w:val="007B0F8D"/>
    <w:rsid w:val="007B0FE7"/>
    <w:rsid w:val="007B11BF"/>
    <w:rsid w:val="007B12A8"/>
    <w:rsid w:val="007B1325"/>
    <w:rsid w:val="007B1391"/>
    <w:rsid w:val="007B1397"/>
    <w:rsid w:val="007B13AA"/>
    <w:rsid w:val="007B15B9"/>
    <w:rsid w:val="007B1787"/>
    <w:rsid w:val="007B1A20"/>
    <w:rsid w:val="007B1BC1"/>
    <w:rsid w:val="007B1D14"/>
    <w:rsid w:val="007B20F1"/>
    <w:rsid w:val="007B22D4"/>
    <w:rsid w:val="007B23F4"/>
    <w:rsid w:val="007B23FC"/>
    <w:rsid w:val="007B247D"/>
    <w:rsid w:val="007B2530"/>
    <w:rsid w:val="007B2588"/>
    <w:rsid w:val="007B2606"/>
    <w:rsid w:val="007B2879"/>
    <w:rsid w:val="007B28B7"/>
    <w:rsid w:val="007B29F7"/>
    <w:rsid w:val="007B2A0D"/>
    <w:rsid w:val="007B2AF9"/>
    <w:rsid w:val="007B2C2F"/>
    <w:rsid w:val="007B2CB0"/>
    <w:rsid w:val="007B2DE9"/>
    <w:rsid w:val="007B2E72"/>
    <w:rsid w:val="007B2EF8"/>
    <w:rsid w:val="007B3020"/>
    <w:rsid w:val="007B3250"/>
    <w:rsid w:val="007B32EC"/>
    <w:rsid w:val="007B337E"/>
    <w:rsid w:val="007B35E5"/>
    <w:rsid w:val="007B36F7"/>
    <w:rsid w:val="007B3AB0"/>
    <w:rsid w:val="007B3C1D"/>
    <w:rsid w:val="007B3C3E"/>
    <w:rsid w:val="007B3CD2"/>
    <w:rsid w:val="007B3D62"/>
    <w:rsid w:val="007B3F72"/>
    <w:rsid w:val="007B3FE8"/>
    <w:rsid w:val="007B40C0"/>
    <w:rsid w:val="007B4363"/>
    <w:rsid w:val="007B4603"/>
    <w:rsid w:val="007B4807"/>
    <w:rsid w:val="007B4842"/>
    <w:rsid w:val="007B4A15"/>
    <w:rsid w:val="007B4A77"/>
    <w:rsid w:val="007B4A85"/>
    <w:rsid w:val="007B4B0E"/>
    <w:rsid w:val="007B4D9E"/>
    <w:rsid w:val="007B4DD7"/>
    <w:rsid w:val="007B4EDA"/>
    <w:rsid w:val="007B4F47"/>
    <w:rsid w:val="007B50CB"/>
    <w:rsid w:val="007B5189"/>
    <w:rsid w:val="007B5465"/>
    <w:rsid w:val="007B5489"/>
    <w:rsid w:val="007B57AC"/>
    <w:rsid w:val="007B591C"/>
    <w:rsid w:val="007B5A6D"/>
    <w:rsid w:val="007B5C58"/>
    <w:rsid w:val="007B5E08"/>
    <w:rsid w:val="007B5EBA"/>
    <w:rsid w:val="007B5EC1"/>
    <w:rsid w:val="007B5EDC"/>
    <w:rsid w:val="007B612C"/>
    <w:rsid w:val="007B6449"/>
    <w:rsid w:val="007B6492"/>
    <w:rsid w:val="007B64F7"/>
    <w:rsid w:val="007B667A"/>
    <w:rsid w:val="007B66D6"/>
    <w:rsid w:val="007B67AF"/>
    <w:rsid w:val="007B6839"/>
    <w:rsid w:val="007B6A91"/>
    <w:rsid w:val="007B6AE0"/>
    <w:rsid w:val="007B6B22"/>
    <w:rsid w:val="007B6BFC"/>
    <w:rsid w:val="007B6C21"/>
    <w:rsid w:val="007B6C7A"/>
    <w:rsid w:val="007B6CD1"/>
    <w:rsid w:val="007B6CE4"/>
    <w:rsid w:val="007B6DF3"/>
    <w:rsid w:val="007B6EBF"/>
    <w:rsid w:val="007B735A"/>
    <w:rsid w:val="007B7386"/>
    <w:rsid w:val="007B73AB"/>
    <w:rsid w:val="007B7561"/>
    <w:rsid w:val="007B7608"/>
    <w:rsid w:val="007B790F"/>
    <w:rsid w:val="007B7960"/>
    <w:rsid w:val="007B799A"/>
    <w:rsid w:val="007B79A9"/>
    <w:rsid w:val="007B7A20"/>
    <w:rsid w:val="007B7A8A"/>
    <w:rsid w:val="007B7AE5"/>
    <w:rsid w:val="007B7B83"/>
    <w:rsid w:val="007B7DE4"/>
    <w:rsid w:val="007B7E46"/>
    <w:rsid w:val="007B7F78"/>
    <w:rsid w:val="007C0103"/>
    <w:rsid w:val="007C01E8"/>
    <w:rsid w:val="007C02B5"/>
    <w:rsid w:val="007C0343"/>
    <w:rsid w:val="007C0371"/>
    <w:rsid w:val="007C0400"/>
    <w:rsid w:val="007C0466"/>
    <w:rsid w:val="007C0552"/>
    <w:rsid w:val="007C0BE7"/>
    <w:rsid w:val="007C0C67"/>
    <w:rsid w:val="007C1119"/>
    <w:rsid w:val="007C122E"/>
    <w:rsid w:val="007C12F8"/>
    <w:rsid w:val="007C13BA"/>
    <w:rsid w:val="007C13F2"/>
    <w:rsid w:val="007C1552"/>
    <w:rsid w:val="007C1589"/>
    <w:rsid w:val="007C19B2"/>
    <w:rsid w:val="007C1A24"/>
    <w:rsid w:val="007C1A51"/>
    <w:rsid w:val="007C1A90"/>
    <w:rsid w:val="007C1AC1"/>
    <w:rsid w:val="007C1BE8"/>
    <w:rsid w:val="007C1C11"/>
    <w:rsid w:val="007C1CCB"/>
    <w:rsid w:val="007C1D55"/>
    <w:rsid w:val="007C1D61"/>
    <w:rsid w:val="007C215C"/>
    <w:rsid w:val="007C21C5"/>
    <w:rsid w:val="007C2425"/>
    <w:rsid w:val="007C24EE"/>
    <w:rsid w:val="007C25D1"/>
    <w:rsid w:val="007C2791"/>
    <w:rsid w:val="007C279B"/>
    <w:rsid w:val="007C2943"/>
    <w:rsid w:val="007C2A5A"/>
    <w:rsid w:val="007C2D3F"/>
    <w:rsid w:val="007C2DC9"/>
    <w:rsid w:val="007C2DF5"/>
    <w:rsid w:val="007C2DFB"/>
    <w:rsid w:val="007C2E63"/>
    <w:rsid w:val="007C32E6"/>
    <w:rsid w:val="007C3379"/>
    <w:rsid w:val="007C33A4"/>
    <w:rsid w:val="007C347A"/>
    <w:rsid w:val="007C3511"/>
    <w:rsid w:val="007C370B"/>
    <w:rsid w:val="007C3825"/>
    <w:rsid w:val="007C39F2"/>
    <w:rsid w:val="007C3AE8"/>
    <w:rsid w:val="007C3F88"/>
    <w:rsid w:val="007C4102"/>
    <w:rsid w:val="007C41BB"/>
    <w:rsid w:val="007C41FB"/>
    <w:rsid w:val="007C4253"/>
    <w:rsid w:val="007C43CD"/>
    <w:rsid w:val="007C449B"/>
    <w:rsid w:val="007C45C0"/>
    <w:rsid w:val="007C4649"/>
    <w:rsid w:val="007C47CF"/>
    <w:rsid w:val="007C47D6"/>
    <w:rsid w:val="007C4896"/>
    <w:rsid w:val="007C48AA"/>
    <w:rsid w:val="007C4A5B"/>
    <w:rsid w:val="007C4BA3"/>
    <w:rsid w:val="007C4E60"/>
    <w:rsid w:val="007C4EBE"/>
    <w:rsid w:val="007C53B0"/>
    <w:rsid w:val="007C5405"/>
    <w:rsid w:val="007C5484"/>
    <w:rsid w:val="007C5512"/>
    <w:rsid w:val="007C55DA"/>
    <w:rsid w:val="007C5697"/>
    <w:rsid w:val="007C5729"/>
    <w:rsid w:val="007C574D"/>
    <w:rsid w:val="007C581E"/>
    <w:rsid w:val="007C5892"/>
    <w:rsid w:val="007C58BD"/>
    <w:rsid w:val="007C5A2E"/>
    <w:rsid w:val="007C5AC0"/>
    <w:rsid w:val="007C5B44"/>
    <w:rsid w:val="007C5BF9"/>
    <w:rsid w:val="007C6056"/>
    <w:rsid w:val="007C6142"/>
    <w:rsid w:val="007C6195"/>
    <w:rsid w:val="007C62E1"/>
    <w:rsid w:val="007C636A"/>
    <w:rsid w:val="007C639E"/>
    <w:rsid w:val="007C6462"/>
    <w:rsid w:val="007C6496"/>
    <w:rsid w:val="007C64D5"/>
    <w:rsid w:val="007C662B"/>
    <w:rsid w:val="007C6707"/>
    <w:rsid w:val="007C6869"/>
    <w:rsid w:val="007C6886"/>
    <w:rsid w:val="007C6B6C"/>
    <w:rsid w:val="007C6D44"/>
    <w:rsid w:val="007C6DD2"/>
    <w:rsid w:val="007C6E68"/>
    <w:rsid w:val="007C6ED3"/>
    <w:rsid w:val="007C6F15"/>
    <w:rsid w:val="007C6FFE"/>
    <w:rsid w:val="007C714B"/>
    <w:rsid w:val="007C7153"/>
    <w:rsid w:val="007C7166"/>
    <w:rsid w:val="007C7193"/>
    <w:rsid w:val="007C72E4"/>
    <w:rsid w:val="007C74E1"/>
    <w:rsid w:val="007C77EB"/>
    <w:rsid w:val="007C786C"/>
    <w:rsid w:val="007C78A0"/>
    <w:rsid w:val="007C79A8"/>
    <w:rsid w:val="007C7D87"/>
    <w:rsid w:val="007C7EE4"/>
    <w:rsid w:val="007D00D6"/>
    <w:rsid w:val="007D0545"/>
    <w:rsid w:val="007D0659"/>
    <w:rsid w:val="007D0848"/>
    <w:rsid w:val="007D085A"/>
    <w:rsid w:val="007D08DA"/>
    <w:rsid w:val="007D0B37"/>
    <w:rsid w:val="007D0BA6"/>
    <w:rsid w:val="007D0D6E"/>
    <w:rsid w:val="007D0E0C"/>
    <w:rsid w:val="007D0F93"/>
    <w:rsid w:val="007D10CA"/>
    <w:rsid w:val="007D1353"/>
    <w:rsid w:val="007D136F"/>
    <w:rsid w:val="007D13F4"/>
    <w:rsid w:val="007D1561"/>
    <w:rsid w:val="007D186A"/>
    <w:rsid w:val="007D189C"/>
    <w:rsid w:val="007D1A62"/>
    <w:rsid w:val="007D1AFE"/>
    <w:rsid w:val="007D1C09"/>
    <w:rsid w:val="007D1C49"/>
    <w:rsid w:val="007D1CAD"/>
    <w:rsid w:val="007D1E84"/>
    <w:rsid w:val="007D1EA6"/>
    <w:rsid w:val="007D1EBA"/>
    <w:rsid w:val="007D1FC8"/>
    <w:rsid w:val="007D2028"/>
    <w:rsid w:val="007D21F3"/>
    <w:rsid w:val="007D2401"/>
    <w:rsid w:val="007D24F6"/>
    <w:rsid w:val="007D2576"/>
    <w:rsid w:val="007D2607"/>
    <w:rsid w:val="007D2896"/>
    <w:rsid w:val="007D28CB"/>
    <w:rsid w:val="007D297C"/>
    <w:rsid w:val="007D29AA"/>
    <w:rsid w:val="007D29C9"/>
    <w:rsid w:val="007D2A78"/>
    <w:rsid w:val="007D2D78"/>
    <w:rsid w:val="007D3089"/>
    <w:rsid w:val="007D30A8"/>
    <w:rsid w:val="007D314F"/>
    <w:rsid w:val="007D3221"/>
    <w:rsid w:val="007D343F"/>
    <w:rsid w:val="007D3521"/>
    <w:rsid w:val="007D35FF"/>
    <w:rsid w:val="007D361F"/>
    <w:rsid w:val="007D3760"/>
    <w:rsid w:val="007D3833"/>
    <w:rsid w:val="007D39AE"/>
    <w:rsid w:val="007D39D5"/>
    <w:rsid w:val="007D3A19"/>
    <w:rsid w:val="007D3AE3"/>
    <w:rsid w:val="007D3DF2"/>
    <w:rsid w:val="007D3E14"/>
    <w:rsid w:val="007D43D2"/>
    <w:rsid w:val="007D43FA"/>
    <w:rsid w:val="007D4436"/>
    <w:rsid w:val="007D46AC"/>
    <w:rsid w:val="007D4818"/>
    <w:rsid w:val="007D4B09"/>
    <w:rsid w:val="007D4C6C"/>
    <w:rsid w:val="007D4D47"/>
    <w:rsid w:val="007D4DE6"/>
    <w:rsid w:val="007D4F29"/>
    <w:rsid w:val="007D5060"/>
    <w:rsid w:val="007D507B"/>
    <w:rsid w:val="007D50FC"/>
    <w:rsid w:val="007D53F8"/>
    <w:rsid w:val="007D551C"/>
    <w:rsid w:val="007D5536"/>
    <w:rsid w:val="007D5599"/>
    <w:rsid w:val="007D55DF"/>
    <w:rsid w:val="007D571E"/>
    <w:rsid w:val="007D5769"/>
    <w:rsid w:val="007D5814"/>
    <w:rsid w:val="007D58A4"/>
    <w:rsid w:val="007D5936"/>
    <w:rsid w:val="007D5A20"/>
    <w:rsid w:val="007D5A23"/>
    <w:rsid w:val="007D5CB1"/>
    <w:rsid w:val="007D5F27"/>
    <w:rsid w:val="007D5F42"/>
    <w:rsid w:val="007D6069"/>
    <w:rsid w:val="007D6140"/>
    <w:rsid w:val="007D6220"/>
    <w:rsid w:val="007D635C"/>
    <w:rsid w:val="007D635E"/>
    <w:rsid w:val="007D6471"/>
    <w:rsid w:val="007D6626"/>
    <w:rsid w:val="007D67A9"/>
    <w:rsid w:val="007D67EA"/>
    <w:rsid w:val="007D690F"/>
    <w:rsid w:val="007D6927"/>
    <w:rsid w:val="007D6992"/>
    <w:rsid w:val="007D6A03"/>
    <w:rsid w:val="007D6A05"/>
    <w:rsid w:val="007D6BCC"/>
    <w:rsid w:val="007D6C81"/>
    <w:rsid w:val="007D6CA6"/>
    <w:rsid w:val="007D6D32"/>
    <w:rsid w:val="007D6DB7"/>
    <w:rsid w:val="007D7115"/>
    <w:rsid w:val="007D71D5"/>
    <w:rsid w:val="007D72DC"/>
    <w:rsid w:val="007D77A3"/>
    <w:rsid w:val="007D7A1B"/>
    <w:rsid w:val="007D7A28"/>
    <w:rsid w:val="007D7C20"/>
    <w:rsid w:val="007D7D17"/>
    <w:rsid w:val="007D7D18"/>
    <w:rsid w:val="007D7D45"/>
    <w:rsid w:val="007D7ED0"/>
    <w:rsid w:val="007E0040"/>
    <w:rsid w:val="007E017D"/>
    <w:rsid w:val="007E02E3"/>
    <w:rsid w:val="007E0391"/>
    <w:rsid w:val="007E042E"/>
    <w:rsid w:val="007E04A5"/>
    <w:rsid w:val="007E04CC"/>
    <w:rsid w:val="007E05E6"/>
    <w:rsid w:val="007E06AF"/>
    <w:rsid w:val="007E07E3"/>
    <w:rsid w:val="007E0EB7"/>
    <w:rsid w:val="007E0F2A"/>
    <w:rsid w:val="007E118C"/>
    <w:rsid w:val="007E12CA"/>
    <w:rsid w:val="007E1311"/>
    <w:rsid w:val="007E145E"/>
    <w:rsid w:val="007E1521"/>
    <w:rsid w:val="007E1551"/>
    <w:rsid w:val="007E172E"/>
    <w:rsid w:val="007E1932"/>
    <w:rsid w:val="007E19A3"/>
    <w:rsid w:val="007E19B6"/>
    <w:rsid w:val="007E1A66"/>
    <w:rsid w:val="007E1A99"/>
    <w:rsid w:val="007E1B41"/>
    <w:rsid w:val="007E20E5"/>
    <w:rsid w:val="007E2107"/>
    <w:rsid w:val="007E218A"/>
    <w:rsid w:val="007E230D"/>
    <w:rsid w:val="007E2316"/>
    <w:rsid w:val="007E234C"/>
    <w:rsid w:val="007E2445"/>
    <w:rsid w:val="007E2454"/>
    <w:rsid w:val="007E2463"/>
    <w:rsid w:val="007E26FA"/>
    <w:rsid w:val="007E2743"/>
    <w:rsid w:val="007E278B"/>
    <w:rsid w:val="007E29DE"/>
    <w:rsid w:val="007E2A77"/>
    <w:rsid w:val="007E2F7F"/>
    <w:rsid w:val="007E3059"/>
    <w:rsid w:val="007E31E1"/>
    <w:rsid w:val="007E32A6"/>
    <w:rsid w:val="007E351A"/>
    <w:rsid w:val="007E3549"/>
    <w:rsid w:val="007E3571"/>
    <w:rsid w:val="007E3608"/>
    <w:rsid w:val="007E39EA"/>
    <w:rsid w:val="007E3AC4"/>
    <w:rsid w:val="007E3B85"/>
    <w:rsid w:val="007E3C3F"/>
    <w:rsid w:val="007E3D09"/>
    <w:rsid w:val="007E3D58"/>
    <w:rsid w:val="007E3EA0"/>
    <w:rsid w:val="007E3F3D"/>
    <w:rsid w:val="007E3FF4"/>
    <w:rsid w:val="007E405F"/>
    <w:rsid w:val="007E40D8"/>
    <w:rsid w:val="007E4119"/>
    <w:rsid w:val="007E4243"/>
    <w:rsid w:val="007E4648"/>
    <w:rsid w:val="007E4990"/>
    <w:rsid w:val="007E4A0C"/>
    <w:rsid w:val="007E4A75"/>
    <w:rsid w:val="007E4C79"/>
    <w:rsid w:val="007E4DAB"/>
    <w:rsid w:val="007E4E21"/>
    <w:rsid w:val="007E4E53"/>
    <w:rsid w:val="007E4F65"/>
    <w:rsid w:val="007E507E"/>
    <w:rsid w:val="007E51B4"/>
    <w:rsid w:val="007E51E1"/>
    <w:rsid w:val="007E5265"/>
    <w:rsid w:val="007E53A3"/>
    <w:rsid w:val="007E5405"/>
    <w:rsid w:val="007E5567"/>
    <w:rsid w:val="007E5987"/>
    <w:rsid w:val="007E5B96"/>
    <w:rsid w:val="007E5C5B"/>
    <w:rsid w:val="007E5D7F"/>
    <w:rsid w:val="007E600A"/>
    <w:rsid w:val="007E607D"/>
    <w:rsid w:val="007E608B"/>
    <w:rsid w:val="007E61D8"/>
    <w:rsid w:val="007E6273"/>
    <w:rsid w:val="007E635D"/>
    <w:rsid w:val="007E64EA"/>
    <w:rsid w:val="007E6600"/>
    <w:rsid w:val="007E66B1"/>
    <w:rsid w:val="007E69AF"/>
    <w:rsid w:val="007E6A09"/>
    <w:rsid w:val="007E6B6C"/>
    <w:rsid w:val="007E6F34"/>
    <w:rsid w:val="007E702C"/>
    <w:rsid w:val="007E737A"/>
    <w:rsid w:val="007E73F0"/>
    <w:rsid w:val="007E73FA"/>
    <w:rsid w:val="007E742E"/>
    <w:rsid w:val="007E7519"/>
    <w:rsid w:val="007E75AC"/>
    <w:rsid w:val="007E75FF"/>
    <w:rsid w:val="007E768E"/>
    <w:rsid w:val="007E7841"/>
    <w:rsid w:val="007E7930"/>
    <w:rsid w:val="007E7966"/>
    <w:rsid w:val="007E796F"/>
    <w:rsid w:val="007E7ACE"/>
    <w:rsid w:val="007E7AFA"/>
    <w:rsid w:val="007E7C83"/>
    <w:rsid w:val="007E7C9C"/>
    <w:rsid w:val="007E7DCB"/>
    <w:rsid w:val="007E7ECE"/>
    <w:rsid w:val="007F016E"/>
    <w:rsid w:val="007F01CB"/>
    <w:rsid w:val="007F026C"/>
    <w:rsid w:val="007F054E"/>
    <w:rsid w:val="007F0557"/>
    <w:rsid w:val="007F05A1"/>
    <w:rsid w:val="007F05AC"/>
    <w:rsid w:val="007F05DB"/>
    <w:rsid w:val="007F0886"/>
    <w:rsid w:val="007F096A"/>
    <w:rsid w:val="007F09B0"/>
    <w:rsid w:val="007F0A60"/>
    <w:rsid w:val="007F0A87"/>
    <w:rsid w:val="007F0B49"/>
    <w:rsid w:val="007F0C16"/>
    <w:rsid w:val="007F0C59"/>
    <w:rsid w:val="007F0CD2"/>
    <w:rsid w:val="007F0F58"/>
    <w:rsid w:val="007F1051"/>
    <w:rsid w:val="007F11D2"/>
    <w:rsid w:val="007F123C"/>
    <w:rsid w:val="007F140E"/>
    <w:rsid w:val="007F14BB"/>
    <w:rsid w:val="007F1533"/>
    <w:rsid w:val="007F1712"/>
    <w:rsid w:val="007F1748"/>
    <w:rsid w:val="007F17DF"/>
    <w:rsid w:val="007F17EC"/>
    <w:rsid w:val="007F180E"/>
    <w:rsid w:val="007F1865"/>
    <w:rsid w:val="007F1989"/>
    <w:rsid w:val="007F19FD"/>
    <w:rsid w:val="007F1A52"/>
    <w:rsid w:val="007F1A80"/>
    <w:rsid w:val="007F1B0F"/>
    <w:rsid w:val="007F1BE4"/>
    <w:rsid w:val="007F1CF6"/>
    <w:rsid w:val="007F22AB"/>
    <w:rsid w:val="007F2458"/>
    <w:rsid w:val="007F25B2"/>
    <w:rsid w:val="007F25D3"/>
    <w:rsid w:val="007F2660"/>
    <w:rsid w:val="007F2968"/>
    <w:rsid w:val="007F2C4A"/>
    <w:rsid w:val="007F2C8B"/>
    <w:rsid w:val="007F2D8D"/>
    <w:rsid w:val="007F2DC8"/>
    <w:rsid w:val="007F2E98"/>
    <w:rsid w:val="007F30D2"/>
    <w:rsid w:val="007F30EC"/>
    <w:rsid w:val="007F32E0"/>
    <w:rsid w:val="007F33E3"/>
    <w:rsid w:val="007F3868"/>
    <w:rsid w:val="007F390F"/>
    <w:rsid w:val="007F3A61"/>
    <w:rsid w:val="007F3A66"/>
    <w:rsid w:val="007F3AF1"/>
    <w:rsid w:val="007F3C83"/>
    <w:rsid w:val="007F3D53"/>
    <w:rsid w:val="007F3D69"/>
    <w:rsid w:val="007F413B"/>
    <w:rsid w:val="007F4173"/>
    <w:rsid w:val="007F42AB"/>
    <w:rsid w:val="007F4312"/>
    <w:rsid w:val="007F443A"/>
    <w:rsid w:val="007F45C8"/>
    <w:rsid w:val="007F4955"/>
    <w:rsid w:val="007F4A6C"/>
    <w:rsid w:val="007F4B0F"/>
    <w:rsid w:val="007F4DF5"/>
    <w:rsid w:val="007F4E33"/>
    <w:rsid w:val="007F5166"/>
    <w:rsid w:val="007F5281"/>
    <w:rsid w:val="007F5348"/>
    <w:rsid w:val="007F5354"/>
    <w:rsid w:val="007F5360"/>
    <w:rsid w:val="007F5566"/>
    <w:rsid w:val="007F55F7"/>
    <w:rsid w:val="007F56C7"/>
    <w:rsid w:val="007F5803"/>
    <w:rsid w:val="007F581D"/>
    <w:rsid w:val="007F5C79"/>
    <w:rsid w:val="007F5D14"/>
    <w:rsid w:val="007F5D5C"/>
    <w:rsid w:val="007F5D7A"/>
    <w:rsid w:val="007F5E26"/>
    <w:rsid w:val="007F6030"/>
    <w:rsid w:val="007F62F5"/>
    <w:rsid w:val="007F6411"/>
    <w:rsid w:val="007F667E"/>
    <w:rsid w:val="007F6833"/>
    <w:rsid w:val="007F6896"/>
    <w:rsid w:val="007F69AA"/>
    <w:rsid w:val="007F69F5"/>
    <w:rsid w:val="007F6AA9"/>
    <w:rsid w:val="007F6AAD"/>
    <w:rsid w:val="007F6C67"/>
    <w:rsid w:val="007F6CD9"/>
    <w:rsid w:val="007F6D62"/>
    <w:rsid w:val="007F6E9D"/>
    <w:rsid w:val="007F6ED9"/>
    <w:rsid w:val="007F6F5C"/>
    <w:rsid w:val="007F709A"/>
    <w:rsid w:val="007F71E5"/>
    <w:rsid w:val="007F72B5"/>
    <w:rsid w:val="007F737C"/>
    <w:rsid w:val="007F737E"/>
    <w:rsid w:val="007F73FF"/>
    <w:rsid w:val="007F7442"/>
    <w:rsid w:val="007F74DB"/>
    <w:rsid w:val="007F763F"/>
    <w:rsid w:val="007F7687"/>
    <w:rsid w:val="007F77CD"/>
    <w:rsid w:val="007F77D6"/>
    <w:rsid w:val="007F7989"/>
    <w:rsid w:val="007F79F6"/>
    <w:rsid w:val="007F7ACF"/>
    <w:rsid w:val="007F7C26"/>
    <w:rsid w:val="007F7CB1"/>
    <w:rsid w:val="007F7D1E"/>
    <w:rsid w:val="007F7E66"/>
    <w:rsid w:val="0080020C"/>
    <w:rsid w:val="00800432"/>
    <w:rsid w:val="00800579"/>
    <w:rsid w:val="00800994"/>
    <w:rsid w:val="00800AFD"/>
    <w:rsid w:val="00800C2C"/>
    <w:rsid w:val="00800C7D"/>
    <w:rsid w:val="0080108C"/>
    <w:rsid w:val="0080110B"/>
    <w:rsid w:val="00801468"/>
    <w:rsid w:val="00801476"/>
    <w:rsid w:val="00801547"/>
    <w:rsid w:val="00801731"/>
    <w:rsid w:val="00801BE4"/>
    <w:rsid w:val="00801C26"/>
    <w:rsid w:val="00801E99"/>
    <w:rsid w:val="00801EAD"/>
    <w:rsid w:val="00802088"/>
    <w:rsid w:val="0080215F"/>
    <w:rsid w:val="0080221B"/>
    <w:rsid w:val="008022A0"/>
    <w:rsid w:val="008022B0"/>
    <w:rsid w:val="008022B4"/>
    <w:rsid w:val="0080240F"/>
    <w:rsid w:val="008025AC"/>
    <w:rsid w:val="0080278F"/>
    <w:rsid w:val="0080280C"/>
    <w:rsid w:val="00802896"/>
    <w:rsid w:val="00802BC7"/>
    <w:rsid w:val="00802C47"/>
    <w:rsid w:val="0080312C"/>
    <w:rsid w:val="008033F3"/>
    <w:rsid w:val="00803488"/>
    <w:rsid w:val="0080359F"/>
    <w:rsid w:val="0080375A"/>
    <w:rsid w:val="00803807"/>
    <w:rsid w:val="00803B9C"/>
    <w:rsid w:val="00803CC6"/>
    <w:rsid w:val="008040DC"/>
    <w:rsid w:val="0080437B"/>
    <w:rsid w:val="008044C5"/>
    <w:rsid w:val="008044D4"/>
    <w:rsid w:val="0080453B"/>
    <w:rsid w:val="008048EC"/>
    <w:rsid w:val="00804938"/>
    <w:rsid w:val="00804B96"/>
    <w:rsid w:val="00804D0B"/>
    <w:rsid w:val="00804E92"/>
    <w:rsid w:val="00805000"/>
    <w:rsid w:val="00805085"/>
    <w:rsid w:val="008050EE"/>
    <w:rsid w:val="0080519B"/>
    <w:rsid w:val="00805349"/>
    <w:rsid w:val="0080535C"/>
    <w:rsid w:val="00805472"/>
    <w:rsid w:val="008054C0"/>
    <w:rsid w:val="008054E0"/>
    <w:rsid w:val="0080553E"/>
    <w:rsid w:val="00805979"/>
    <w:rsid w:val="00805B06"/>
    <w:rsid w:val="00805F04"/>
    <w:rsid w:val="0080608D"/>
    <w:rsid w:val="008060C7"/>
    <w:rsid w:val="0080612A"/>
    <w:rsid w:val="00806229"/>
    <w:rsid w:val="008062E0"/>
    <w:rsid w:val="00806432"/>
    <w:rsid w:val="008064A9"/>
    <w:rsid w:val="008064B2"/>
    <w:rsid w:val="00806690"/>
    <w:rsid w:val="008066DC"/>
    <w:rsid w:val="00806791"/>
    <w:rsid w:val="008067D9"/>
    <w:rsid w:val="00806963"/>
    <w:rsid w:val="00806B21"/>
    <w:rsid w:val="00806F13"/>
    <w:rsid w:val="00806F20"/>
    <w:rsid w:val="008071B5"/>
    <w:rsid w:val="0080729C"/>
    <w:rsid w:val="00807464"/>
    <w:rsid w:val="008074C0"/>
    <w:rsid w:val="0080751E"/>
    <w:rsid w:val="0080753B"/>
    <w:rsid w:val="0080759B"/>
    <w:rsid w:val="008077C1"/>
    <w:rsid w:val="008078BC"/>
    <w:rsid w:val="00807A27"/>
    <w:rsid w:val="00807C36"/>
    <w:rsid w:val="00807C8D"/>
    <w:rsid w:val="00807EAD"/>
    <w:rsid w:val="00807EBB"/>
    <w:rsid w:val="008100BA"/>
    <w:rsid w:val="00810166"/>
    <w:rsid w:val="00810381"/>
    <w:rsid w:val="0081047C"/>
    <w:rsid w:val="00810891"/>
    <w:rsid w:val="008108BB"/>
    <w:rsid w:val="00810A0C"/>
    <w:rsid w:val="00810BB7"/>
    <w:rsid w:val="00810C03"/>
    <w:rsid w:val="00811570"/>
    <w:rsid w:val="00811707"/>
    <w:rsid w:val="0081174C"/>
    <w:rsid w:val="00811778"/>
    <w:rsid w:val="00811B69"/>
    <w:rsid w:val="00811BCC"/>
    <w:rsid w:val="00811C7C"/>
    <w:rsid w:val="00811D00"/>
    <w:rsid w:val="00811E1B"/>
    <w:rsid w:val="00811EA2"/>
    <w:rsid w:val="00811EBA"/>
    <w:rsid w:val="00811F7C"/>
    <w:rsid w:val="00812126"/>
    <w:rsid w:val="008121FC"/>
    <w:rsid w:val="00812478"/>
    <w:rsid w:val="0081247D"/>
    <w:rsid w:val="00812496"/>
    <w:rsid w:val="00812576"/>
    <w:rsid w:val="0081259B"/>
    <w:rsid w:val="00812691"/>
    <w:rsid w:val="00812875"/>
    <w:rsid w:val="0081299E"/>
    <w:rsid w:val="00812A59"/>
    <w:rsid w:val="00812AEB"/>
    <w:rsid w:val="00812B39"/>
    <w:rsid w:val="00812BA4"/>
    <w:rsid w:val="00812BB4"/>
    <w:rsid w:val="00812BD0"/>
    <w:rsid w:val="00812C25"/>
    <w:rsid w:val="00812D81"/>
    <w:rsid w:val="00812E33"/>
    <w:rsid w:val="008132F8"/>
    <w:rsid w:val="00813458"/>
    <w:rsid w:val="00813490"/>
    <w:rsid w:val="00813551"/>
    <w:rsid w:val="008135E4"/>
    <w:rsid w:val="00813968"/>
    <w:rsid w:val="00813A92"/>
    <w:rsid w:val="00813C1D"/>
    <w:rsid w:val="00813CC2"/>
    <w:rsid w:val="00813DCD"/>
    <w:rsid w:val="00813DD5"/>
    <w:rsid w:val="0081401F"/>
    <w:rsid w:val="008140A3"/>
    <w:rsid w:val="00814296"/>
    <w:rsid w:val="008142F5"/>
    <w:rsid w:val="00814336"/>
    <w:rsid w:val="008144F0"/>
    <w:rsid w:val="008147C6"/>
    <w:rsid w:val="008148E6"/>
    <w:rsid w:val="00814952"/>
    <w:rsid w:val="008149AB"/>
    <w:rsid w:val="008149BB"/>
    <w:rsid w:val="008149E2"/>
    <w:rsid w:val="00814ABE"/>
    <w:rsid w:val="00814F2D"/>
    <w:rsid w:val="00815083"/>
    <w:rsid w:val="0081513A"/>
    <w:rsid w:val="0081533F"/>
    <w:rsid w:val="008153F5"/>
    <w:rsid w:val="0081554B"/>
    <w:rsid w:val="00815696"/>
    <w:rsid w:val="0081578B"/>
    <w:rsid w:val="00815BB8"/>
    <w:rsid w:val="00815C2E"/>
    <w:rsid w:val="00815D73"/>
    <w:rsid w:val="00815E32"/>
    <w:rsid w:val="00815F01"/>
    <w:rsid w:val="008160B9"/>
    <w:rsid w:val="00816300"/>
    <w:rsid w:val="00816343"/>
    <w:rsid w:val="0081641A"/>
    <w:rsid w:val="0081658E"/>
    <w:rsid w:val="0081669E"/>
    <w:rsid w:val="0081681A"/>
    <w:rsid w:val="00816968"/>
    <w:rsid w:val="00816A06"/>
    <w:rsid w:val="00816A84"/>
    <w:rsid w:val="00816BC4"/>
    <w:rsid w:val="00816C34"/>
    <w:rsid w:val="00816C85"/>
    <w:rsid w:val="00816DB7"/>
    <w:rsid w:val="00816F02"/>
    <w:rsid w:val="00816FE5"/>
    <w:rsid w:val="00816FEF"/>
    <w:rsid w:val="0081704F"/>
    <w:rsid w:val="00817300"/>
    <w:rsid w:val="00817427"/>
    <w:rsid w:val="008174D7"/>
    <w:rsid w:val="0081755E"/>
    <w:rsid w:val="008176F3"/>
    <w:rsid w:val="00817713"/>
    <w:rsid w:val="0081784A"/>
    <w:rsid w:val="00817943"/>
    <w:rsid w:val="00817D61"/>
    <w:rsid w:val="00817F7E"/>
    <w:rsid w:val="00820185"/>
    <w:rsid w:val="00820258"/>
    <w:rsid w:val="008204F4"/>
    <w:rsid w:val="00820584"/>
    <w:rsid w:val="00820608"/>
    <w:rsid w:val="00820794"/>
    <w:rsid w:val="008207AA"/>
    <w:rsid w:val="00820A49"/>
    <w:rsid w:val="00820B2D"/>
    <w:rsid w:val="00820F48"/>
    <w:rsid w:val="00820F51"/>
    <w:rsid w:val="00820FAE"/>
    <w:rsid w:val="0082104F"/>
    <w:rsid w:val="008210EA"/>
    <w:rsid w:val="0082116D"/>
    <w:rsid w:val="0082117C"/>
    <w:rsid w:val="00821350"/>
    <w:rsid w:val="0082138C"/>
    <w:rsid w:val="00821663"/>
    <w:rsid w:val="008216B6"/>
    <w:rsid w:val="00821841"/>
    <w:rsid w:val="008218E6"/>
    <w:rsid w:val="008219EF"/>
    <w:rsid w:val="00821D20"/>
    <w:rsid w:val="00821D68"/>
    <w:rsid w:val="00821EA3"/>
    <w:rsid w:val="00821F29"/>
    <w:rsid w:val="00821F37"/>
    <w:rsid w:val="00822051"/>
    <w:rsid w:val="00822073"/>
    <w:rsid w:val="00822105"/>
    <w:rsid w:val="008221E2"/>
    <w:rsid w:val="00822228"/>
    <w:rsid w:val="00822295"/>
    <w:rsid w:val="008222AA"/>
    <w:rsid w:val="008222BD"/>
    <w:rsid w:val="008226D1"/>
    <w:rsid w:val="00822756"/>
    <w:rsid w:val="008229A0"/>
    <w:rsid w:val="00822C69"/>
    <w:rsid w:val="00822CEA"/>
    <w:rsid w:val="00822D57"/>
    <w:rsid w:val="00822DCE"/>
    <w:rsid w:val="00822F09"/>
    <w:rsid w:val="00822F23"/>
    <w:rsid w:val="008230A7"/>
    <w:rsid w:val="00823288"/>
    <w:rsid w:val="00823320"/>
    <w:rsid w:val="008236E8"/>
    <w:rsid w:val="008238DA"/>
    <w:rsid w:val="00823AD3"/>
    <w:rsid w:val="00823B2F"/>
    <w:rsid w:val="00823B36"/>
    <w:rsid w:val="00823C08"/>
    <w:rsid w:val="00823DE4"/>
    <w:rsid w:val="00823E73"/>
    <w:rsid w:val="00824038"/>
    <w:rsid w:val="0082415B"/>
    <w:rsid w:val="00824351"/>
    <w:rsid w:val="008243D4"/>
    <w:rsid w:val="008243FF"/>
    <w:rsid w:val="0082456F"/>
    <w:rsid w:val="00824678"/>
    <w:rsid w:val="0082467F"/>
    <w:rsid w:val="0082476A"/>
    <w:rsid w:val="00824BA3"/>
    <w:rsid w:val="00824BE3"/>
    <w:rsid w:val="00824D6C"/>
    <w:rsid w:val="00824E56"/>
    <w:rsid w:val="00824F8B"/>
    <w:rsid w:val="00824FAA"/>
    <w:rsid w:val="008252E5"/>
    <w:rsid w:val="008253A1"/>
    <w:rsid w:val="008255C8"/>
    <w:rsid w:val="0082566E"/>
    <w:rsid w:val="00825812"/>
    <w:rsid w:val="00825815"/>
    <w:rsid w:val="0082583C"/>
    <w:rsid w:val="00825873"/>
    <w:rsid w:val="0082598A"/>
    <w:rsid w:val="00825B39"/>
    <w:rsid w:val="00825B85"/>
    <w:rsid w:val="00825D38"/>
    <w:rsid w:val="00825EA5"/>
    <w:rsid w:val="00826018"/>
    <w:rsid w:val="008260DC"/>
    <w:rsid w:val="00826741"/>
    <w:rsid w:val="0082676D"/>
    <w:rsid w:val="00826AA7"/>
    <w:rsid w:val="00826D03"/>
    <w:rsid w:val="00826F2A"/>
    <w:rsid w:val="00826F86"/>
    <w:rsid w:val="00826FC8"/>
    <w:rsid w:val="008273D7"/>
    <w:rsid w:val="0082755E"/>
    <w:rsid w:val="008276AF"/>
    <w:rsid w:val="00827994"/>
    <w:rsid w:val="008279B5"/>
    <w:rsid w:val="008279ED"/>
    <w:rsid w:val="00827B36"/>
    <w:rsid w:val="00827D33"/>
    <w:rsid w:val="00827D35"/>
    <w:rsid w:val="00830329"/>
    <w:rsid w:val="00830370"/>
    <w:rsid w:val="008303FE"/>
    <w:rsid w:val="00830402"/>
    <w:rsid w:val="00830561"/>
    <w:rsid w:val="008305AE"/>
    <w:rsid w:val="00830690"/>
    <w:rsid w:val="00830A9F"/>
    <w:rsid w:val="00830C10"/>
    <w:rsid w:val="00830D1E"/>
    <w:rsid w:val="0083138D"/>
    <w:rsid w:val="008313A7"/>
    <w:rsid w:val="0083168B"/>
    <w:rsid w:val="008318C7"/>
    <w:rsid w:val="00831A7B"/>
    <w:rsid w:val="00831AC0"/>
    <w:rsid w:val="00831D8D"/>
    <w:rsid w:val="00831DD3"/>
    <w:rsid w:val="0083205F"/>
    <w:rsid w:val="00832194"/>
    <w:rsid w:val="00832295"/>
    <w:rsid w:val="008322E9"/>
    <w:rsid w:val="0083235B"/>
    <w:rsid w:val="0083236E"/>
    <w:rsid w:val="00832453"/>
    <w:rsid w:val="00832558"/>
    <w:rsid w:val="0083266E"/>
    <w:rsid w:val="0083272B"/>
    <w:rsid w:val="00832842"/>
    <w:rsid w:val="0083290A"/>
    <w:rsid w:val="00832975"/>
    <w:rsid w:val="00832EBD"/>
    <w:rsid w:val="00832F01"/>
    <w:rsid w:val="00832F83"/>
    <w:rsid w:val="0083308D"/>
    <w:rsid w:val="0083316A"/>
    <w:rsid w:val="00833280"/>
    <w:rsid w:val="0083342C"/>
    <w:rsid w:val="00833587"/>
    <w:rsid w:val="00833660"/>
    <w:rsid w:val="00833665"/>
    <w:rsid w:val="008336AF"/>
    <w:rsid w:val="00833807"/>
    <w:rsid w:val="00833847"/>
    <w:rsid w:val="0083397D"/>
    <w:rsid w:val="00833B66"/>
    <w:rsid w:val="0083402B"/>
    <w:rsid w:val="00834060"/>
    <w:rsid w:val="00834312"/>
    <w:rsid w:val="00834321"/>
    <w:rsid w:val="0083444F"/>
    <w:rsid w:val="008346E0"/>
    <w:rsid w:val="00834713"/>
    <w:rsid w:val="00834925"/>
    <w:rsid w:val="008349E2"/>
    <w:rsid w:val="00834C4D"/>
    <w:rsid w:val="00834D15"/>
    <w:rsid w:val="00834DEC"/>
    <w:rsid w:val="00834E97"/>
    <w:rsid w:val="00834F4A"/>
    <w:rsid w:val="00835235"/>
    <w:rsid w:val="0083547A"/>
    <w:rsid w:val="0083556E"/>
    <w:rsid w:val="00835586"/>
    <w:rsid w:val="008356CC"/>
    <w:rsid w:val="00835811"/>
    <w:rsid w:val="00835854"/>
    <w:rsid w:val="00835BD6"/>
    <w:rsid w:val="00835E5C"/>
    <w:rsid w:val="00835EF8"/>
    <w:rsid w:val="00836073"/>
    <w:rsid w:val="0083608D"/>
    <w:rsid w:val="00836281"/>
    <w:rsid w:val="00836287"/>
    <w:rsid w:val="00836344"/>
    <w:rsid w:val="00836390"/>
    <w:rsid w:val="008363D8"/>
    <w:rsid w:val="0083648F"/>
    <w:rsid w:val="008364F8"/>
    <w:rsid w:val="00836510"/>
    <w:rsid w:val="0083652A"/>
    <w:rsid w:val="00836DC3"/>
    <w:rsid w:val="00836E6C"/>
    <w:rsid w:val="00837066"/>
    <w:rsid w:val="008370DE"/>
    <w:rsid w:val="00837143"/>
    <w:rsid w:val="008372CB"/>
    <w:rsid w:val="00837392"/>
    <w:rsid w:val="008373E7"/>
    <w:rsid w:val="0083745A"/>
    <w:rsid w:val="0083756B"/>
    <w:rsid w:val="0083769C"/>
    <w:rsid w:val="008376C6"/>
    <w:rsid w:val="008377C4"/>
    <w:rsid w:val="00837805"/>
    <w:rsid w:val="0083786C"/>
    <w:rsid w:val="00837BE9"/>
    <w:rsid w:val="00837E61"/>
    <w:rsid w:val="00837EBC"/>
    <w:rsid w:val="00837F44"/>
    <w:rsid w:val="00837FB1"/>
    <w:rsid w:val="0084008C"/>
    <w:rsid w:val="0084033F"/>
    <w:rsid w:val="00840486"/>
    <w:rsid w:val="00840694"/>
    <w:rsid w:val="008407C2"/>
    <w:rsid w:val="008409B6"/>
    <w:rsid w:val="00840ECE"/>
    <w:rsid w:val="00840F2E"/>
    <w:rsid w:val="00841008"/>
    <w:rsid w:val="00841032"/>
    <w:rsid w:val="008410D7"/>
    <w:rsid w:val="00841208"/>
    <w:rsid w:val="0084120B"/>
    <w:rsid w:val="00841382"/>
    <w:rsid w:val="0084139F"/>
    <w:rsid w:val="00841542"/>
    <w:rsid w:val="008415C0"/>
    <w:rsid w:val="008418F6"/>
    <w:rsid w:val="00841930"/>
    <w:rsid w:val="0084197D"/>
    <w:rsid w:val="008419AA"/>
    <w:rsid w:val="00841CC8"/>
    <w:rsid w:val="008421EE"/>
    <w:rsid w:val="008421F7"/>
    <w:rsid w:val="0084228D"/>
    <w:rsid w:val="00842298"/>
    <w:rsid w:val="008422EE"/>
    <w:rsid w:val="00842334"/>
    <w:rsid w:val="008425FF"/>
    <w:rsid w:val="0084272E"/>
    <w:rsid w:val="00842801"/>
    <w:rsid w:val="00842921"/>
    <w:rsid w:val="00842936"/>
    <w:rsid w:val="00842BA6"/>
    <w:rsid w:val="00842C1E"/>
    <w:rsid w:val="00842C4F"/>
    <w:rsid w:val="00842C7C"/>
    <w:rsid w:val="00842EEC"/>
    <w:rsid w:val="008431DD"/>
    <w:rsid w:val="00843294"/>
    <w:rsid w:val="00843372"/>
    <w:rsid w:val="0084359D"/>
    <w:rsid w:val="0084360E"/>
    <w:rsid w:val="0084365B"/>
    <w:rsid w:val="00843686"/>
    <w:rsid w:val="0084377F"/>
    <w:rsid w:val="00843801"/>
    <w:rsid w:val="008439C7"/>
    <w:rsid w:val="00843CB6"/>
    <w:rsid w:val="00843DDD"/>
    <w:rsid w:val="00843E3F"/>
    <w:rsid w:val="00843E9C"/>
    <w:rsid w:val="00843F8F"/>
    <w:rsid w:val="008440E0"/>
    <w:rsid w:val="00844354"/>
    <w:rsid w:val="008446AB"/>
    <w:rsid w:val="008446F2"/>
    <w:rsid w:val="00844B7F"/>
    <w:rsid w:val="00844BC8"/>
    <w:rsid w:val="00845025"/>
    <w:rsid w:val="00845067"/>
    <w:rsid w:val="008450C6"/>
    <w:rsid w:val="00845220"/>
    <w:rsid w:val="008452E5"/>
    <w:rsid w:val="00845365"/>
    <w:rsid w:val="0084555E"/>
    <w:rsid w:val="00845604"/>
    <w:rsid w:val="0084574C"/>
    <w:rsid w:val="00845770"/>
    <w:rsid w:val="008459A3"/>
    <w:rsid w:val="00845B12"/>
    <w:rsid w:val="00845B2D"/>
    <w:rsid w:val="00845D5C"/>
    <w:rsid w:val="00845D88"/>
    <w:rsid w:val="00845DBF"/>
    <w:rsid w:val="00845FE6"/>
    <w:rsid w:val="00846010"/>
    <w:rsid w:val="008461FA"/>
    <w:rsid w:val="00846359"/>
    <w:rsid w:val="0084642D"/>
    <w:rsid w:val="0084645B"/>
    <w:rsid w:val="00846484"/>
    <w:rsid w:val="0084650D"/>
    <w:rsid w:val="00846514"/>
    <w:rsid w:val="008467E6"/>
    <w:rsid w:val="0084681F"/>
    <w:rsid w:val="00846844"/>
    <w:rsid w:val="00846950"/>
    <w:rsid w:val="00846A15"/>
    <w:rsid w:val="00846A25"/>
    <w:rsid w:val="00846AD6"/>
    <w:rsid w:val="00846C5F"/>
    <w:rsid w:val="00846E02"/>
    <w:rsid w:val="00846FBA"/>
    <w:rsid w:val="0084724B"/>
    <w:rsid w:val="0084729D"/>
    <w:rsid w:val="00847531"/>
    <w:rsid w:val="0084777B"/>
    <w:rsid w:val="00847798"/>
    <w:rsid w:val="00847C12"/>
    <w:rsid w:val="00847C3F"/>
    <w:rsid w:val="00847CFB"/>
    <w:rsid w:val="00847D47"/>
    <w:rsid w:val="0085006B"/>
    <w:rsid w:val="00850140"/>
    <w:rsid w:val="0085017A"/>
    <w:rsid w:val="008502FC"/>
    <w:rsid w:val="00850375"/>
    <w:rsid w:val="0085040B"/>
    <w:rsid w:val="00850412"/>
    <w:rsid w:val="0085042C"/>
    <w:rsid w:val="00850566"/>
    <w:rsid w:val="00850713"/>
    <w:rsid w:val="008507C3"/>
    <w:rsid w:val="0085088C"/>
    <w:rsid w:val="00850C7B"/>
    <w:rsid w:val="00850CFE"/>
    <w:rsid w:val="00850D66"/>
    <w:rsid w:val="00850DD2"/>
    <w:rsid w:val="00850E84"/>
    <w:rsid w:val="0085102E"/>
    <w:rsid w:val="00851112"/>
    <w:rsid w:val="00851230"/>
    <w:rsid w:val="008514A3"/>
    <w:rsid w:val="0085165B"/>
    <w:rsid w:val="008516BE"/>
    <w:rsid w:val="00851790"/>
    <w:rsid w:val="00851875"/>
    <w:rsid w:val="00851A3A"/>
    <w:rsid w:val="00851AA9"/>
    <w:rsid w:val="00851B8D"/>
    <w:rsid w:val="00851BA9"/>
    <w:rsid w:val="00851C1A"/>
    <w:rsid w:val="00851D83"/>
    <w:rsid w:val="00851DC7"/>
    <w:rsid w:val="00851E41"/>
    <w:rsid w:val="0085230E"/>
    <w:rsid w:val="0085247E"/>
    <w:rsid w:val="008524DE"/>
    <w:rsid w:val="00852525"/>
    <w:rsid w:val="00852539"/>
    <w:rsid w:val="00852589"/>
    <w:rsid w:val="008525C1"/>
    <w:rsid w:val="0085280B"/>
    <w:rsid w:val="00852908"/>
    <w:rsid w:val="008529A7"/>
    <w:rsid w:val="00852AE1"/>
    <w:rsid w:val="00852D68"/>
    <w:rsid w:val="00852F50"/>
    <w:rsid w:val="00852FC7"/>
    <w:rsid w:val="00853045"/>
    <w:rsid w:val="008530CF"/>
    <w:rsid w:val="0085326B"/>
    <w:rsid w:val="008532D3"/>
    <w:rsid w:val="00853471"/>
    <w:rsid w:val="00853686"/>
    <w:rsid w:val="00853728"/>
    <w:rsid w:val="008538CD"/>
    <w:rsid w:val="00853F2D"/>
    <w:rsid w:val="008540C3"/>
    <w:rsid w:val="00854155"/>
    <w:rsid w:val="0085420E"/>
    <w:rsid w:val="0085437C"/>
    <w:rsid w:val="00854728"/>
    <w:rsid w:val="0085481E"/>
    <w:rsid w:val="00854A6B"/>
    <w:rsid w:val="00854C47"/>
    <w:rsid w:val="00854C53"/>
    <w:rsid w:val="00854C98"/>
    <w:rsid w:val="00854D35"/>
    <w:rsid w:val="00854DA8"/>
    <w:rsid w:val="00854DC4"/>
    <w:rsid w:val="00854DC6"/>
    <w:rsid w:val="00854FBD"/>
    <w:rsid w:val="00855018"/>
    <w:rsid w:val="008551A7"/>
    <w:rsid w:val="0085524E"/>
    <w:rsid w:val="0085526D"/>
    <w:rsid w:val="00855454"/>
    <w:rsid w:val="008554AD"/>
    <w:rsid w:val="008554FB"/>
    <w:rsid w:val="00855680"/>
    <w:rsid w:val="008556FC"/>
    <w:rsid w:val="008558B4"/>
    <w:rsid w:val="008559A0"/>
    <w:rsid w:val="00855B27"/>
    <w:rsid w:val="00855CE4"/>
    <w:rsid w:val="00855EE2"/>
    <w:rsid w:val="00855FBF"/>
    <w:rsid w:val="00856056"/>
    <w:rsid w:val="00856070"/>
    <w:rsid w:val="008560A9"/>
    <w:rsid w:val="00856787"/>
    <w:rsid w:val="0085685C"/>
    <w:rsid w:val="00856881"/>
    <w:rsid w:val="0085696E"/>
    <w:rsid w:val="00856A19"/>
    <w:rsid w:val="00856B2E"/>
    <w:rsid w:val="00856BF6"/>
    <w:rsid w:val="00856C07"/>
    <w:rsid w:val="00856D32"/>
    <w:rsid w:val="00857087"/>
    <w:rsid w:val="00857093"/>
    <w:rsid w:val="008571B1"/>
    <w:rsid w:val="008575FE"/>
    <w:rsid w:val="008576CA"/>
    <w:rsid w:val="008577DE"/>
    <w:rsid w:val="00857C22"/>
    <w:rsid w:val="00857C3E"/>
    <w:rsid w:val="00857CD5"/>
    <w:rsid w:val="00857DDE"/>
    <w:rsid w:val="00857E09"/>
    <w:rsid w:val="00857EBA"/>
    <w:rsid w:val="00857F24"/>
    <w:rsid w:val="00860070"/>
    <w:rsid w:val="0086017C"/>
    <w:rsid w:val="008603EB"/>
    <w:rsid w:val="008605F9"/>
    <w:rsid w:val="008607E6"/>
    <w:rsid w:val="008608CF"/>
    <w:rsid w:val="0086091B"/>
    <w:rsid w:val="00860A66"/>
    <w:rsid w:val="00860AE9"/>
    <w:rsid w:val="00860BA8"/>
    <w:rsid w:val="00860C49"/>
    <w:rsid w:val="00860FB8"/>
    <w:rsid w:val="008610D2"/>
    <w:rsid w:val="008611DC"/>
    <w:rsid w:val="008612F7"/>
    <w:rsid w:val="008613A1"/>
    <w:rsid w:val="00861564"/>
    <w:rsid w:val="008615BE"/>
    <w:rsid w:val="00861990"/>
    <w:rsid w:val="008619BB"/>
    <w:rsid w:val="00861A84"/>
    <w:rsid w:val="00861BD4"/>
    <w:rsid w:val="00861CF4"/>
    <w:rsid w:val="0086213C"/>
    <w:rsid w:val="00862224"/>
    <w:rsid w:val="00862313"/>
    <w:rsid w:val="008625E1"/>
    <w:rsid w:val="0086272D"/>
    <w:rsid w:val="00862923"/>
    <w:rsid w:val="00862A0F"/>
    <w:rsid w:val="00862B80"/>
    <w:rsid w:val="00862C13"/>
    <w:rsid w:val="00862D1C"/>
    <w:rsid w:val="00862D96"/>
    <w:rsid w:val="00862F3E"/>
    <w:rsid w:val="00862F98"/>
    <w:rsid w:val="00863123"/>
    <w:rsid w:val="0086313F"/>
    <w:rsid w:val="00863219"/>
    <w:rsid w:val="008632E5"/>
    <w:rsid w:val="00863364"/>
    <w:rsid w:val="008634C9"/>
    <w:rsid w:val="008634CA"/>
    <w:rsid w:val="0086380A"/>
    <w:rsid w:val="00863A11"/>
    <w:rsid w:val="00863A48"/>
    <w:rsid w:val="00863E26"/>
    <w:rsid w:val="00863F1D"/>
    <w:rsid w:val="008640C2"/>
    <w:rsid w:val="00864351"/>
    <w:rsid w:val="008644D9"/>
    <w:rsid w:val="00864503"/>
    <w:rsid w:val="008645C0"/>
    <w:rsid w:val="0086460A"/>
    <w:rsid w:val="00864653"/>
    <w:rsid w:val="008647B7"/>
    <w:rsid w:val="00864942"/>
    <w:rsid w:val="00864A37"/>
    <w:rsid w:val="00864AC6"/>
    <w:rsid w:val="00864AE5"/>
    <w:rsid w:val="00864B26"/>
    <w:rsid w:val="00864BFC"/>
    <w:rsid w:val="00864C38"/>
    <w:rsid w:val="00864C5F"/>
    <w:rsid w:val="00864F4E"/>
    <w:rsid w:val="008650AA"/>
    <w:rsid w:val="00865235"/>
    <w:rsid w:val="008653D2"/>
    <w:rsid w:val="00865533"/>
    <w:rsid w:val="008655CB"/>
    <w:rsid w:val="008656F7"/>
    <w:rsid w:val="0086584B"/>
    <w:rsid w:val="00865970"/>
    <w:rsid w:val="00865A70"/>
    <w:rsid w:val="00865ECF"/>
    <w:rsid w:val="00866000"/>
    <w:rsid w:val="00866575"/>
    <w:rsid w:val="008665AB"/>
    <w:rsid w:val="00866706"/>
    <w:rsid w:val="00866769"/>
    <w:rsid w:val="008667AD"/>
    <w:rsid w:val="00866882"/>
    <w:rsid w:val="00866979"/>
    <w:rsid w:val="00866A9A"/>
    <w:rsid w:val="00866E58"/>
    <w:rsid w:val="00866EB2"/>
    <w:rsid w:val="00867081"/>
    <w:rsid w:val="00867168"/>
    <w:rsid w:val="0086731D"/>
    <w:rsid w:val="008673C1"/>
    <w:rsid w:val="00867456"/>
    <w:rsid w:val="008674FE"/>
    <w:rsid w:val="008675E5"/>
    <w:rsid w:val="008675F0"/>
    <w:rsid w:val="008676E3"/>
    <w:rsid w:val="00867757"/>
    <w:rsid w:val="00867989"/>
    <w:rsid w:val="00867A63"/>
    <w:rsid w:val="00867B31"/>
    <w:rsid w:val="00867BB9"/>
    <w:rsid w:val="00867C00"/>
    <w:rsid w:val="00867D36"/>
    <w:rsid w:val="00867E31"/>
    <w:rsid w:val="00867FEE"/>
    <w:rsid w:val="008700A7"/>
    <w:rsid w:val="008700B1"/>
    <w:rsid w:val="00870251"/>
    <w:rsid w:val="008702F5"/>
    <w:rsid w:val="00870747"/>
    <w:rsid w:val="0087077B"/>
    <w:rsid w:val="0087081C"/>
    <w:rsid w:val="0087084A"/>
    <w:rsid w:val="0087087C"/>
    <w:rsid w:val="00870941"/>
    <w:rsid w:val="00870A23"/>
    <w:rsid w:val="00870ABD"/>
    <w:rsid w:val="00870AC4"/>
    <w:rsid w:val="00870AE1"/>
    <w:rsid w:val="00870BB9"/>
    <w:rsid w:val="00870C71"/>
    <w:rsid w:val="00870CF7"/>
    <w:rsid w:val="0087105B"/>
    <w:rsid w:val="0087110E"/>
    <w:rsid w:val="008711A0"/>
    <w:rsid w:val="008711D5"/>
    <w:rsid w:val="00871264"/>
    <w:rsid w:val="00871405"/>
    <w:rsid w:val="0087177E"/>
    <w:rsid w:val="008718FD"/>
    <w:rsid w:val="00871C96"/>
    <w:rsid w:val="00871D05"/>
    <w:rsid w:val="00871D48"/>
    <w:rsid w:val="00871D89"/>
    <w:rsid w:val="00871EF8"/>
    <w:rsid w:val="00871FD0"/>
    <w:rsid w:val="00871FE9"/>
    <w:rsid w:val="0087235D"/>
    <w:rsid w:val="0087246F"/>
    <w:rsid w:val="0087248D"/>
    <w:rsid w:val="00872651"/>
    <w:rsid w:val="008726C6"/>
    <w:rsid w:val="0087276B"/>
    <w:rsid w:val="00872816"/>
    <w:rsid w:val="00872D7F"/>
    <w:rsid w:val="00872DC6"/>
    <w:rsid w:val="00872F38"/>
    <w:rsid w:val="00872F8C"/>
    <w:rsid w:val="00873167"/>
    <w:rsid w:val="0087316B"/>
    <w:rsid w:val="00873295"/>
    <w:rsid w:val="00873340"/>
    <w:rsid w:val="008733CA"/>
    <w:rsid w:val="008733D7"/>
    <w:rsid w:val="008736BB"/>
    <w:rsid w:val="00873805"/>
    <w:rsid w:val="008739B2"/>
    <w:rsid w:val="008739EB"/>
    <w:rsid w:val="00873AB2"/>
    <w:rsid w:val="00873E9C"/>
    <w:rsid w:val="00873F75"/>
    <w:rsid w:val="00873FB2"/>
    <w:rsid w:val="00873FB9"/>
    <w:rsid w:val="00874054"/>
    <w:rsid w:val="00874278"/>
    <w:rsid w:val="00874740"/>
    <w:rsid w:val="0087497E"/>
    <w:rsid w:val="00874BF7"/>
    <w:rsid w:val="00874CC2"/>
    <w:rsid w:val="008750AB"/>
    <w:rsid w:val="00875112"/>
    <w:rsid w:val="00875381"/>
    <w:rsid w:val="00875505"/>
    <w:rsid w:val="008756FA"/>
    <w:rsid w:val="00875749"/>
    <w:rsid w:val="0087589E"/>
    <w:rsid w:val="00875EAE"/>
    <w:rsid w:val="0087635A"/>
    <w:rsid w:val="00876598"/>
    <w:rsid w:val="00876643"/>
    <w:rsid w:val="00876799"/>
    <w:rsid w:val="008767D1"/>
    <w:rsid w:val="0087683A"/>
    <w:rsid w:val="008769B8"/>
    <w:rsid w:val="00876A79"/>
    <w:rsid w:val="00876B89"/>
    <w:rsid w:val="00876C85"/>
    <w:rsid w:val="00876D87"/>
    <w:rsid w:val="00876DE3"/>
    <w:rsid w:val="00876E5A"/>
    <w:rsid w:val="0087707F"/>
    <w:rsid w:val="008773C8"/>
    <w:rsid w:val="00877760"/>
    <w:rsid w:val="00877A38"/>
    <w:rsid w:val="00877A62"/>
    <w:rsid w:val="00877B55"/>
    <w:rsid w:val="00877CD9"/>
    <w:rsid w:val="00877D92"/>
    <w:rsid w:val="00877EE9"/>
    <w:rsid w:val="008800EC"/>
    <w:rsid w:val="008801A4"/>
    <w:rsid w:val="00880221"/>
    <w:rsid w:val="0088035F"/>
    <w:rsid w:val="0088043B"/>
    <w:rsid w:val="0088046C"/>
    <w:rsid w:val="00880896"/>
    <w:rsid w:val="008808C2"/>
    <w:rsid w:val="00880936"/>
    <w:rsid w:val="008809D5"/>
    <w:rsid w:val="00880C2E"/>
    <w:rsid w:val="00880CC1"/>
    <w:rsid w:val="0088119F"/>
    <w:rsid w:val="008811A3"/>
    <w:rsid w:val="00881248"/>
    <w:rsid w:val="0088137A"/>
    <w:rsid w:val="008815D0"/>
    <w:rsid w:val="008816CA"/>
    <w:rsid w:val="008816F0"/>
    <w:rsid w:val="008817D0"/>
    <w:rsid w:val="00881882"/>
    <w:rsid w:val="00881951"/>
    <w:rsid w:val="0088199B"/>
    <w:rsid w:val="008819BE"/>
    <w:rsid w:val="00881D07"/>
    <w:rsid w:val="00881DE1"/>
    <w:rsid w:val="00881E34"/>
    <w:rsid w:val="00882071"/>
    <w:rsid w:val="00882147"/>
    <w:rsid w:val="0088221B"/>
    <w:rsid w:val="0088225C"/>
    <w:rsid w:val="008823B6"/>
    <w:rsid w:val="00882545"/>
    <w:rsid w:val="008825A2"/>
    <w:rsid w:val="0088277E"/>
    <w:rsid w:val="00882A13"/>
    <w:rsid w:val="00882A73"/>
    <w:rsid w:val="00882C17"/>
    <w:rsid w:val="00882DF4"/>
    <w:rsid w:val="00882F68"/>
    <w:rsid w:val="008830EA"/>
    <w:rsid w:val="0088321E"/>
    <w:rsid w:val="0088335D"/>
    <w:rsid w:val="0088341F"/>
    <w:rsid w:val="008834B6"/>
    <w:rsid w:val="008835E8"/>
    <w:rsid w:val="0088363D"/>
    <w:rsid w:val="00883723"/>
    <w:rsid w:val="00883947"/>
    <w:rsid w:val="00883A02"/>
    <w:rsid w:val="00883A93"/>
    <w:rsid w:val="00883BA9"/>
    <w:rsid w:val="00883C56"/>
    <w:rsid w:val="00883C77"/>
    <w:rsid w:val="00883E39"/>
    <w:rsid w:val="008841D5"/>
    <w:rsid w:val="00884215"/>
    <w:rsid w:val="0088424B"/>
    <w:rsid w:val="008845CE"/>
    <w:rsid w:val="00884694"/>
    <w:rsid w:val="00884733"/>
    <w:rsid w:val="00884739"/>
    <w:rsid w:val="00884858"/>
    <w:rsid w:val="00884A2E"/>
    <w:rsid w:val="00884A32"/>
    <w:rsid w:val="00884A35"/>
    <w:rsid w:val="00884D2B"/>
    <w:rsid w:val="00884E3E"/>
    <w:rsid w:val="00884EDE"/>
    <w:rsid w:val="00885013"/>
    <w:rsid w:val="0088513A"/>
    <w:rsid w:val="008851D8"/>
    <w:rsid w:val="008851F0"/>
    <w:rsid w:val="0088522D"/>
    <w:rsid w:val="00885381"/>
    <w:rsid w:val="00885534"/>
    <w:rsid w:val="008856DF"/>
    <w:rsid w:val="00885AD0"/>
    <w:rsid w:val="00885E28"/>
    <w:rsid w:val="00886287"/>
    <w:rsid w:val="008863C8"/>
    <w:rsid w:val="008864EE"/>
    <w:rsid w:val="008866CE"/>
    <w:rsid w:val="0088685F"/>
    <w:rsid w:val="00886938"/>
    <w:rsid w:val="00886CBE"/>
    <w:rsid w:val="00886D19"/>
    <w:rsid w:val="00886D95"/>
    <w:rsid w:val="00886E19"/>
    <w:rsid w:val="008870A6"/>
    <w:rsid w:val="008872B4"/>
    <w:rsid w:val="008873BE"/>
    <w:rsid w:val="00887598"/>
    <w:rsid w:val="008875B7"/>
    <w:rsid w:val="008877F0"/>
    <w:rsid w:val="0088786A"/>
    <w:rsid w:val="00887AAD"/>
    <w:rsid w:val="00887BDA"/>
    <w:rsid w:val="00887DFD"/>
    <w:rsid w:val="00887EB5"/>
    <w:rsid w:val="00890043"/>
    <w:rsid w:val="008900E8"/>
    <w:rsid w:val="0089010B"/>
    <w:rsid w:val="00890345"/>
    <w:rsid w:val="0089038D"/>
    <w:rsid w:val="0089054D"/>
    <w:rsid w:val="00890700"/>
    <w:rsid w:val="008908F4"/>
    <w:rsid w:val="0089090D"/>
    <w:rsid w:val="00890996"/>
    <w:rsid w:val="00890A16"/>
    <w:rsid w:val="00890CAD"/>
    <w:rsid w:val="00890D76"/>
    <w:rsid w:val="00890EDF"/>
    <w:rsid w:val="00890F26"/>
    <w:rsid w:val="00891204"/>
    <w:rsid w:val="008912BA"/>
    <w:rsid w:val="0089138F"/>
    <w:rsid w:val="008915F3"/>
    <w:rsid w:val="00891744"/>
    <w:rsid w:val="00891B4E"/>
    <w:rsid w:val="00891CEE"/>
    <w:rsid w:val="00891F80"/>
    <w:rsid w:val="00892054"/>
    <w:rsid w:val="00892119"/>
    <w:rsid w:val="0089215F"/>
    <w:rsid w:val="00892267"/>
    <w:rsid w:val="008922E6"/>
    <w:rsid w:val="008923BD"/>
    <w:rsid w:val="00892430"/>
    <w:rsid w:val="0089265B"/>
    <w:rsid w:val="0089282A"/>
    <w:rsid w:val="008928EA"/>
    <w:rsid w:val="00892C02"/>
    <w:rsid w:val="00892C3E"/>
    <w:rsid w:val="00892CC6"/>
    <w:rsid w:val="00892F52"/>
    <w:rsid w:val="00892FF8"/>
    <w:rsid w:val="008932A3"/>
    <w:rsid w:val="008934CB"/>
    <w:rsid w:val="008936AB"/>
    <w:rsid w:val="008937A1"/>
    <w:rsid w:val="008937FC"/>
    <w:rsid w:val="0089387B"/>
    <w:rsid w:val="008938C5"/>
    <w:rsid w:val="008939AE"/>
    <w:rsid w:val="008939FC"/>
    <w:rsid w:val="00893D00"/>
    <w:rsid w:val="00893D21"/>
    <w:rsid w:val="00893E81"/>
    <w:rsid w:val="00894027"/>
    <w:rsid w:val="0089431E"/>
    <w:rsid w:val="008947CA"/>
    <w:rsid w:val="00894897"/>
    <w:rsid w:val="0089497D"/>
    <w:rsid w:val="00894A96"/>
    <w:rsid w:val="00894B08"/>
    <w:rsid w:val="00894D0D"/>
    <w:rsid w:val="00894D80"/>
    <w:rsid w:val="00894DDF"/>
    <w:rsid w:val="00894E41"/>
    <w:rsid w:val="00894F7C"/>
    <w:rsid w:val="008952E3"/>
    <w:rsid w:val="0089538A"/>
    <w:rsid w:val="0089540E"/>
    <w:rsid w:val="00895516"/>
    <w:rsid w:val="008955EA"/>
    <w:rsid w:val="008955F6"/>
    <w:rsid w:val="0089560E"/>
    <w:rsid w:val="00895719"/>
    <w:rsid w:val="0089579A"/>
    <w:rsid w:val="00895A5B"/>
    <w:rsid w:val="00895ADC"/>
    <w:rsid w:val="00895AF0"/>
    <w:rsid w:val="00895B88"/>
    <w:rsid w:val="00895B8D"/>
    <w:rsid w:val="00895C07"/>
    <w:rsid w:val="00895C7E"/>
    <w:rsid w:val="00895D03"/>
    <w:rsid w:val="00895DD8"/>
    <w:rsid w:val="00895F5A"/>
    <w:rsid w:val="00895F92"/>
    <w:rsid w:val="008963C6"/>
    <w:rsid w:val="0089645D"/>
    <w:rsid w:val="0089673E"/>
    <w:rsid w:val="008969D0"/>
    <w:rsid w:val="00896B23"/>
    <w:rsid w:val="00896C89"/>
    <w:rsid w:val="00896F56"/>
    <w:rsid w:val="0089708E"/>
    <w:rsid w:val="008971CA"/>
    <w:rsid w:val="00897631"/>
    <w:rsid w:val="00897641"/>
    <w:rsid w:val="0089778C"/>
    <w:rsid w:val="0089789F"/>
    <w:rsid w:val="0089791A"/>
    <w:rsid w:val="00897946"/>
    <w:rsid w:val="00897A85"/>
    <w:rsid w:val="00897AA2"/>
    <w:rsid w:val="00897DF8"/>
    <w:rsid w:val="00897E3B"/>
    <w:rsid w:val="008A002A"/>
    <w:rsid w:val="008A0057"/>
    <w:rsid w:val="008A00D7"/>
    <w:rsid w:val="008A00F8"/>
    <w:rsid w:val="008A01B6"/>
    <w:rsid w:val="008A023D"/>
    <w:rsid w:val="008A04BC"/>
    <w:rsid w:val="008A05CE"/>
    <w:rsid w:val="008A0691"/>
    <w:rsid w:val="008A07C1"/>
    <w:rsid w:val="008A08F0"/>
    <w:rsid w:val="008A0901"/>
    <w:rsid w:val="008A0937"/>
    <w:rsid w:val="008A09F2"/>
    <w:rsid w:val="008A0DEC"/>
    <w:rsid w:val="008A0E1E"/>
    <w:rsid w:val="008A0EA4"/>
    <w:rsid w:val="008A1710"/>
    <w:rsid w:val="008A1719"/>
    <w:rsid w:val="008A1879"/>
    <w:rsid w:val="008A18A5"/>
    <w:rsid w:val="008A1BA8"/>
    <w:rsid w:val="008A1C91"/>
    <w:rsid w:val="008A1CDB"/>
    <w:rsid w:val="008A1CF5"/>
    <w:rsid w:val="008A1EFA"/>
    <w:rsid w:val="008A1F94"/>
    <w:rsid w:val="008A1FB6"/>
    <w:rsid w:val="008A21EF"/>
    <w:rsid w:val="008A2279"/>
    <w:rsid w:val="008A230D"/>
    <w:rsid w:val="008A23E8"/>
    <w:rsid w:val="008A2649"/>
    <w:rsid w:val="008A2735"/>
    <w:rsid w:val="008A27F8"/>
    <w:rsid w:val="008A2893"/>
    <w:rsid w:val="008A28B8"/>
    <w:rsid w:val="008A2BEE"/>
    <w:rsid w:val="008A2D5F"/>
    <w:rsid w:val="008A3214"/>
    <w:rsid w:val="008A329E"/>
    <w:rsid w:val="008A3435"/>
    <w:rsid w:val="008A363C"/>
    <w:rsid w:val="008A3755"/>
    <w:rsid w:val="008A389E"/>
    <w:rsid w:val="008A3948"/>
    <w:rsid w:val="008A3982"/>
    <w:rsid w:val="008A39B7"/>
    <w:rsid w:val="008A3A57"/>
    <w:rsid w:val="008A3B4B"/>
    <w:rsid w:val="008A3C37"/>
    <w:rsid w:val="008A3D29"/>
    <w:rsid w:val="008A3DCE"/>
    <w:rsid w:val="008A3E37"/>
    <w:rsid w:val="008A4040"/>
    <w:rsid w:val="008A40E7"/>
    <w:rsid w:val="008A42B9"/>
    <w:rsid w:val="008A42D1"/>
    <w:rsid w:val="008A4412"/>
    <w:rsid w:val="008A44C8"/>
    <w:rsid w:val="008A4845"/>
    <w:rsid w:val="008A4AD5"/>
    <w:rsid w:val="008A4BA6"/>
    <w:rsid w:val="008A4CB7"/>
    <w:rsid w:val="008A4DB6"/>
    <w:rsid w:val="008A4DF4"/>
    <w:rsid w:val="008A4E73"/>
    <w:rsid w:val="008A4E7E"/>
    <w:rsid w:val="008A515E"/>
    <w:rsid w:val="008A55A8"/>
    <w:rsid w:val="008A566C"/>
    <w:rsid w:val="008A5A63"/>
    <w:rsid w:val="008A5ABF"/>
    <w:rsid w:val="008A5C54"/>
    <w:rsid w:val="008A5C95"/>
    <w:rsid w:val="008A5D84"/>
    <w:rsid w:val="008A5EC4"/>
    <w:rsid w:val="008A60B4"/>
    <w:rsid w:val="008A61BC"/>
    <w:rsid w:val="008A61C3"/>
    <w:rsid w:val="008A6245"/>
    <w:rsid w:val="008A62A6"/>
    <w:rsid w:val="008A62FF"/>
    <w:rsid w:val="008A631B"/>
    <w:rsid w:val="008A63EE"/>
    <w:rsid w:val="008A6477"/>
    <w:rsid w:val="008A6490"/>
    <w:rsid w:val="008A671A"/>
    <w:rsid w:val="008A6777"/>
    <w:rsid w:val="008A6974"/>
    <w:rsid w:val="008A69E6"/>
    <w:rsid w:val="008A6CA2"/>
    <w:rsid w:val="008A6FF4"/>
    <w:rsid w:val="008A708C"/>
    <w:rsid w:val="008A71E7"/>
    <w:rsid w:val="008A72B9"/>
    <w:rsid w:val="008A738E"/>
    <w:rsid w:val="008A7396"/>
    <w:rsid w:val="008A73A1"/>
    <w:rsid w:val="008A7626"/>
    <w:rsid w:val="008A764B"/>
    <w:rsid w:val="008A7697"/>
    <w:rsid w:val="008A7870"/>
    <w:rsid w:val="008A78F5"/>
    <w:rsid w:val="008A7A93"/>
    <w:rsid w:val="008A7E05"/>
    <w:rsid w:val="008A7F26"/>
    <w:rsid w:val="008A7F27"/>
    <w:rsid w:val="008A7FC3"/>
    <w:rsid w:val="008B03AC"/>
    <w:rsid w:val="008B044D"/>
    <w:rsid w:val="008B0451"/>
    <w:rsid w:val="008B06C6"/>
    <w:rsid w:val="008B08DD"/>
    <w:rsid w:val="008B097F"/>
    <w:rsid w:val="008B0B5E"/>
    <w:rsid w:val="008B0C86"/>
    <w:rsid w:val="008B0D1E"/>
    <w:rsid w:val="008B0E14"/>
    <w:rsid w:val="008B1004"/>
    <w:rsid w:val="008B1164"/>
    <w:rsid w:val="008B1504"/>
    <w:rsid w:val="008B153E"/>
    <w:rsid w:val="008B15EB"/>
    <w:rsid w:val="008B1631"/>
    <w:rsid w:val="008B1783"/>
    <w:rsid w:val="008B17A9"/>
    <w:rsid w:val="008B1800"/>
    <w:rsid w:val="008B18DA"/>
    <w:rsid w:val="008B1C63"/>
    <w:rsid w:val="008B1C86"/>
    <w:rsid w:val="008B1DFC"/>
    <w:rsid w:val="008B1F92"/>
    <w:rsid w:val="008B219D"/>
    <w:rsid w:val="008B2235"/>
    <w:rsid w:val="008B22A3"/>
    <w:rsid w:val="008B275E"/>
    <w:rsid w:val="008B2785"/>
    <w:rsid w:val="008B2911"/>
    <w:rsid w:val="008B29F9"/>
    <w:rsid w:val="008B2A2F"/>
    <w:rsid w:val="008B2A49"/>
    <w:rsid w:val="008B2A4E"/>
    <w:rsid w:val="008B2AAC"/>
    <w:rsid w:val="008B2BB7"/>
    <w:rsid w:val="008B2C69"/>
    <w:rsid w:val="008B2C90"/>
    <w:rsid w:val="008B3035"/>
    <w:rsid w:val="008B31F2"/>
    <w:rsid w:val="008B3278"/>
    <w:rsid w:val="008B327B"/>
    <w:rsid w:val="008B3304"/>
    <w:rsid w:val="008B36A5"/>
    <w:rsid w:val="008B36C3"/>
    <w:rsid w:val="008B3929"/>
    <w:rsid w:val="008B3B6A"/>
    <w:rsid w:val="008B3C19"/>
    <w:rsid w:val="008B3F26"/>
    <w:rsid w:val="008B4008"/>
    <w:rsid w:val="008B4153"/>
    <w:rsid w:val="008B42D1"/>
    <w:rsid w:val="008B455D"/>
    <w:rsid w:val="008B47E1"/>
    <w:rsid w:val="008B49DC"/>
    <w:rsid w:val="008B49F0"/>
    <w:rsid w:val="008B4A73"/>
    <w:rsid w:val="008B4B14"/>
    <w:rsid w:val="008B4BFF"/>
    <w:rsid w:val="008B4DDD"/>
    <w:rsid w:val="008B4EC5"/>
    <w:rsid w:val="008B4EDB"/>
    <w:rsid w:val="008B4F50"/>
    <w:rsid w:val="008B4F53"/>
    <w:rsid w:val="008B4F84"/>
    <w:rsid w:val="008B525D"/>
    <w:rsid w:val="008B5437"/>
    <w:rsid w:val="008B557E"/>
    <w:rsid w:val="008B58D3"/>
    <w:rsid w:val="008B59E6"/>
    <w:rsid w:val="008B5A9D"/>
    <w:rsid w:val="008B5B09"/>
    <w:rsid w:val="008B5F8E"/>
    <w:rsid w:val="008B62A6"/>
    <w:rsid w:val="008B62ED"/>
    <w:rsid w:val="008B66BE"/>
    <w:rsid w:val="008B66EE"/>
    <w:rsid w:val="008B6707"/>
    <w:rsid w:val="008B673B"/>
    <w:rsid w:val="008B6790"/>
    <w:rsid w:val="008B67D1"/>
    <w:rsid w:val="008B687E"/>
    <w:rsid w:val="008B6C2F"/>
    <w:rsid w:val="008B6D27"/>
    <w:rsid w:val="008B71E7"/>
    <w:rsid w:val="008B7230"/>
    <w:rsid w:val="008B7311"/>
    <w:rsid w:val="008B7508"/>
    <w:rsid w:val="008B75FE"/>
    <w:rsid w:val="008B78DF"/>
    <w:rsid w:val="008B7A03"/>
    <w:rsid w:val="008B7A3E"/>
    <w:rsid w:val="008B7AC3"/>
    <w:rsid w:val="008B7B97"/>
    <w:rsid w:val="008B7BD3"/>
    <w:rsid w:val="008C0062"/>
    <w:rsid w:val="008C00EB"/>
    <w:rsid w:val="008C0280"/>
    <w:rsid w:val="008C02B9"/>
    <w:rsid w:val="008C0430"/>
    <w:rsid w:val="008C0720"/>
    <w:rsid w:val="008C0808"/>
    <w:rsid w:val="008C089A"/>
    <w:rsid w:val="008C08BE"/>
    <w:rsid w:val="008C0970"/>
    <w:rsid w:val="008C0984"/>
    <w:rsid w:val="008C09B6"/>
    <w:rsid w:val="008C0AF4"/>
    <w:rsid w:val="008C0DC3"/>
    <w:rsid w:val="008C0DC5"/>
    <w:rsid w:val="008C0EF5"/>
    <w:rsid w:val="008C0F77"/>
    <w:rsid w:val="008C11D7"/>
    <w:rsid w:val="008C12A2"/>
    <w:rsid w:val="008C13DB"/>
    <w:rsid w:val="008C1B78"/>
    <w:rsid w:val="008C1C2B"/>
    <w:rsid w:val="008C1C3D"/>
    <w:rsid w:val="008C1E37"/>
    <w:rsid w:val="008C1EDB"/>
    <w:rsid w:val="008C227F"/>
    <w:rsid w:val="008C22B3"/>
    <w:rsid w:val="008C22FB"/>
    <w:rsid w:val="008C2314"/>
    <w:rsid w:val="008C2362"/>
    <w:rsid w:val="008C23BF"/>
    <w:rsid w:val="008C26D7"/>
    <w:rsid w:val="008C273B"/>
    <w:rsid w:val="008C278F"/>
    <w:rsid w:val="008C2B33"/>
    <w:rsid w:val="008C2C66"/>
    <w:rsid w:val="008C2D15"/>
    <w:rsid w:val="008C2E01"/>
    <w:rsid w:val="008C2E12"/>
    <w:rsid w:val="008C3049"/>
    <w:rsid w:val="008C308D"/>
    <w:rsid w:val="008C32BB"/>
    <w:rsid w:val="008C32F4"/>
    <w:rsid w:val="008C337F"/>
    <w:rsid w:val="008C347A"/>
    <w:rsid w:val="008C361D"/>
    <w:rsid w:val="008C3816"/>
    <w:rsid w:val="008C391E"/>
    <w:rsid w:val="008C3BDD"/>
    <w:rsid w:val="008C3DC2"/>
    <w:rsid w:val="008C3E2B"/>
    <w:rsid w:val="008C4139"/>
    <w:rsid w:val="008C413B"/>
    <w:rsid w:val="008C41AF"/>
    <w:rsid w:val="008C41B7"/>
    <w:rsid w:val="008C42CA"/>
    <w:rsid w:val="008C431B"/>
    <w:rsid w:val="008C453E"/>
    <w:rsid w:val="008C4652"/>
    <w:rsid w:val="008C467C"/>
    <w:rsid w:val="008C46B9"/>
    <w:rsid w:val="008C46C5"/>
    <w:rsid w:val="008C46F8"/>
    <w:rsid w:val="008C4812"/>
    <w:rsid w:val="008C4A38"/>
    <w:rsid w:val="008C4B94"/>
    <w:rsid w:val="008C4BBB"/>
    <w:rsid w:val="008C4BDA"/>
    <w:rsid w:val="008C4C4F"/>
    <w:rsid w:val="008C4D2D"/>
    <w:rsid w:val="008C4DB8"/>
    <w:rsid w:val="008C50A3"/>
    <w:rsid w:val="008C5146"/>
    <w:rsid w:val="008C520F"/>
    <w:rsid w:val="008C525D"/>
    <w:rsid w:val="008C5374"/>
    <w:rsid w:val="008C5405"/>
    <w:rsid w:val="008C54C1"/>
    <w:rsid w:val="008C58CF"/>
    <w:rsid w:val="008C6017"/>
    <w:rsid w:val="008C602C"/>
    <w:rsid w:val="008C61CA"/>
    <w:rsid w:val="008C63F9"/>
    <w:rsid w:val="008C6550"/>
    <w:rsid w:val="008C6864"/>
    <w:rsid w:val="008C68F5"/>
    <w:rsid w:val="008C6969"/>
    <w:rsid w:val="008C6A8E"/>
    <w:rsid w:val="008C6D12"/>
    <w:rsid w:val="008C6E62"/>
    <w:rsid w:val="008C6F17"/>
    <w:rsid w:val="008C7030"/>
    <w:rsid w:val="008C7054"/>
    <w:rsid w:val="008C7215"/>
    <w:rsid w:val="008C73D0"/>
    <w:rsid w:val="008C758E"/>
    <w:rsid w:val="008C7755"/>
    <w:rsid w:val="008C7902"/>
    <w:rsid w:val="008C79E2"/>
    <w:rsid w:val="008C7A0E"/>
    <w:rsid w:val="008C7AFE"/>
    <w:rsid w:val="008C7BDA"/>
    <w:rsid w:val="008C7BE2"/>
    <w:rsid w:val="008C7E4C"/>
    <w:rsid w:val="008D007B"/>
    <w:rsid w:val="008D022F"/>
    <w:rsid w:val="008D0468"/>
    <w:rsid w:val="008D06DD"/>
    <w:rsid w:val="008D076E"/>
    <w:rsid w:val="008D0783"/>
    <w:rsid w:val="008D07B7"/>
    <w:rsid w:val="008D08A5"/>
    <w:rsid w:val="008D09F9"/>
    <w:rsid w:val="008D0B4A"/>
    <w:rsid w:val="008D0B5E"/>
    <w:rsid w:val="008D0B7B"/>
    <w:rsid w:val="008D0F05"/>
    <w:rsid w:val="008D1016"/>
    <w:rsid w:val="008D123E"/>
    <w:rsid w:val="008D1254"/>
    <w:rsid w:val="008D135F"/>
    <w:rsid w:val="008D1475"/>
    <w:rsid w:val="008D1534"/>
    <w:rsid w:val="008D15AA"/>
    <w:rsid w:val="008D1798"/>
    <w:rsid w:val="008D17DC"/>
    <w:rsid w:val="008D1963"/>
    <w:rsid w:val="008D199D"/>
    <w:rsid w:val="008D1CD5"/>
    <w:rsid w:val="008D20C6"/>
    <w:rsid w:val="008D218F"/>
    <w:rsid w:val="008D22E3"/>
    <w:rsid w:val="008D24EB"/>
    <w:rsid w:val="008D26B1"/>
    <w:rsid w:val="008D2915"/>
    <w:rsid w:val="008D2B6E"/>
    <w:rsid w:val="008D2BC6"/>
    <w:rsid w:val="008D2C15"/>
    <w:rsid w:val="008D2EA1"/>
    <w:rsid w:val="008D2F5F"/>
    <w:rsid w:val="008D311E"/>
    <w:rsid w:val="008D31D5"/>
    <w:rsid w:val="008D344F"/>
    <w:rsid w:val="008D3494"/>
    <w:rsid w:val="008D3896"/>
    <w:rsid w:val="008D3CFF"/>
    <w:rsid w:val="008D3F6C"/>
    <w:rsid w:val="008D40B4"/>
    <w:rsid w:val="008D40F1"/>
    <w:rsid w:val="008D41FA"/>
    <w:rsid w:val="008D420F"/>
    <w:rsid w:val="008D438A"/>
    <w:rsid w:val="008D45B7"/>
    <w:rsid w:val="008D4A6E"/>
    <w:rsid w:val="008D4A73"/>
    <w:rsid w:val="008D4AB6"/>
    <w:rsid w:val="008D4B1F"/>
    <w:rsid w:val="008D4BAF"/>
    <w:rsid w:val="008D4DDA"/>
    <w:rsid w:val="008D4F26"/>
    <w:rsid w:val="008D4F33"/>
    <w:rsid w:val="008D503F"/>
    <w:rsid w:val="008D5140"/>
    <w:rsid w:val="008D5385"/>
    <w:rsid w:val="008D5694"/>
    <w:rsid w:val="008D578A"/>
    <w:rsid w:val="008D58C9"/>
    <w:rsid w:val="008D593D"/>
    <w:rsid w:val="008D599D"/>
    <w:rsid w:val="008D5BF4"/>
    <w:rsid w:val="008D5C92"/>
    <w:rsid w:val="008D5E1C"/>
    <w:rsid w:val="008D5EC6"/>
    <w:rsid w:val="008D5FC6"/>
    <w:rsid w:val="008D61FE"/>
    <w:rsid w:val="008D624A"/>
    <w:rsid w:val="008D66A0"/>
    <w:rsid w:val="008D6704"/>
    <w:rsid w:val="008D678C"/>
    <w:rsid w:val="008D67D3"/>
    <w:rsid w:val="008D67F1"/>
    <w:rsid w:val="008D680E"/>
    <w:rsid w:val="008D68A9"/>
    <w:rsid w:val="008D6965"/>
    <w:rsid w:val="008D6BB6"/>
    <w:rsid w:val="008D6C92"/>
    <w:rsid w:val="008D6D5E"/>
    <w:rsid w:val="008D6EA4"/>
    <w:rsid w:val="008D7075"/>
    <w:rsid w:val="008D71EE"/>
    <w:rsid w:val="008D73E4"/>
    <w:rsid w:val="008D74E4"/>
    <w:rsid w:val="008D79E2"/>
    <w:rsid w:val="008D7B03"/>
    <w:rsid w:val="008D7FA3"/>
    <w:rsid w:val="008E0040"/>
    <w:rsid w:val="008E01C2"/>
    <w:rsid w:val="008E027A"/>
    <w:rsid w:val="008E0397"/>
    <w:rsid w:val="008E04F1"/>
    <w:rsid w:val="008E05BC"/>
    <w:rsid w:val="008E05FF"/>
    <w:rsid w:val="008E0743"/>
    <w:rsid w:val="008E07E8"/>
    <w:rsid w:val="008E08AE"/>
    <w:rsid w:val="008E0928"/>
    <w:rsid w:val="008E09E2"/>
    <w:rsid w:val="008E0CBA"/>
    <w:rsid w:val="008E0D36"/>
    <w:rsid w:val="008E0E7D"/>
    <w:rsid w:val="008E100D"/>
    <w:rsid w:val="008E116E"/>
    <w:rsid w:val="008E1468"/>
    <w:rsid w:val="008E14B0"/>
    <w:rsid w:val="008E18E4"/>
    <w:rsid w:val="008E1A91"/>
    <w:rsid w:val="008E1AE4"/>
    <w:rsid w:val="008E1B3F"/>
    <w:rsid w:val="008E1C17"/>
    <w:rsid w:val="008E1C2C"/>
    <w:rsid w:val="008E1C58"/>
    <w:rsid w:val="008E1CA0"/>
    <w:rsid w:val="008E1F3E"/>
    <w:rsid w:val="008E2024"/>
    <w:rsid w:val="008E20AB"/>
    <w:rsid w:val="008E2266"/>
    <w:rsid w:val="008E233D"/>
    <w:rsid w:val="008E26C0"/>
    <w:rsid w:val="008E285C"/>
    <w:rsid w:val="008E2944"/>
    <w:rsid w:val="008E29FB"/>
    <w:rsid w:val="008E2BDC"/>
    <w:rsid w:val="008E2C24"/>
    <w:rsid w:val="008E2CAD"/>
    <w:rsid w:val="008E2D53"/>
    <w:rsid w:val="008E2D64"/>
    <w:rsid w:val="008E2DB8"/>
    <w:rsid w:val="008E2EFE"/>
    <w:rsid w:val="008E3131"/>
    <w:rsid w:val="008E33E5"/>
    <w:rsid w:val="008E34D7"/>
    <w:rsid w:val="008E36FA"/>
    <w:rsid w:val="008E3707"/>
    <w:rsid w:val="008E399A"/>
    <w:rsid w:val="008E39D2"/>
    <w:rsid w:val="008E3C18"/>
    <w:rsid w:val="008E3D83"/>
    <w:rsid w:val="008E3EED"/>
    <w:rsid w:val="008E3F37"/>
    <w:rsid w:val="008E409F"/>
    <w:rsid w:val="008E40F0"/>
    <w:rsid w:val="008E41F4"/>
    <w:rsid w:val="008E422E"/>
    <w:rsid w:val="008E44FD"/>
    <w:rsid w:val="008E457C"/>
    <w:rsid w:val="008E482C"/>
    <w:rsid w:val="008E4902"/>
    <w:rsid w:val="008E49E9"/>
    <w:rsid w:val="008E4B03"/>
    <w:rsid w:val="008E4BA6"/>
    <w:rsid w:val="008E4BCD"/>
    <w:rsid w:val="008E4C11"/>
    <w:rsid w:val="008E4CC3"/>
    <w:rsid w:val="008E4F49"/>
    <w:rsid w:val="008E4FB9"/>
    <w:rsid w:val="008E5049"/>
    <w:rsid w:val="008E513B"/>
    <w:rsid w:val="008E524A"/>
    <w:rsid w:val="008E531B"/>
    <w:rsid w:val="008E5361"/>
    <w:rsid w:val="008E53E5"/>
    <w:rsid w:val="008E5706"/>
    <w:rsid w:val="008E5778"/>
    <w:rsid w:val="008E588C"/>
    <w:rsid w:val="008E588E"/>
    <w:rsid w:val="008E58BD"/>
    <w:rsid w:val="008E5B09"/>
    <w:rsid w:val="008E5BA7"/>
    <w:rsid w:val="008E5C38"/>
    <w:rsid w:val="008E5F67"/>
    <w:rsid w:val="008E60AC"/>
    <w:rsid w:val="008E60EA"/>
    <w:rsid w:val="008E6164"/>
    <w:rsid w:val="008E6262"/>
    <w:rsid w:val="008E6379"/>
    <w:rsid w:val="008E63A5"/>
    <w:rsid w:val="008E63C2"/>
    <w:rsid w:val="008E63E0"/>
    <w:rsid w:val="008E67AB"/>
    <w:rsid w:val="008E6869"/>
    <w:rsid w:val="008E68BA"/>
    <w:rsid w:val="008E6B09"/>
    <w:rsid w:val="008E6D51"/>
    <w:rsid w:val="008E6F0A"/>
    <w:rsid w:val="008E709E"/>
    <w:rsid w:val="008E70A4"/>
    <w:rsid w:val="008E71FA"/>
    <w:rsid w:val="008E7313"/>
    <w:rsid w:val="008E75B4"/>
    <w:rsid w:val="008E77EC"/>
    <w:rsid w:val="008E79FE"/>
    <w:rsid w:val="008E7A13"/>
    <w:rsid w:val="008E7C6A"/>
    <w:rsid w:val="008E7DBA"/>
    <w:rsid w:val="008E7E56"/>
    <w:rsid w:val="008E7F1A"/>
    <w:rsid w:val="008E7FBB"/>
    <w:rsid w:val="008E7FF3"/>
    <w:rsid w:val="008F0177"/>
    <w:rsid w:val="008F0183"/>
    <w:rsid w:val="008F01E8"/>
    <w:rsid w:val="008F0529"/>
    <w:rsid w:val="008F0567"/>
    <w:rsid w:val="008F0569"/>
    <w:rsid w:val="008F0724"/>
    <w:rsid w:val="008F07AD"/>
    <w:rsid w:val="008F0DB9"/>
    <w:rsid w:val="008F145D"/>
    <w:rsid w:val="008F1766"/>
    <w:rsid w:val="008F17AD"/>
    <w:rsid w:val="008F1865"/>
    <w:rsid w:val="008F1A17"/>
    <w:rsid w:val="008F1AF9"/>
    <w:rsid w:val="008F1B94"/>
    <w:rsid w:val="008F1D5C"/>
    <w:rsid w:val="008F1F6B"/>
    <w:rsid w:val="008F1F6D"/>
    <w:rsid w:val="008F2218"/>
    <w:rsid w:val="008F233C"/>
    <w:rsid w:val="008F23CD"/>
    <w:rsid w:val="008F2584"/>
    <w:rsid w:val="008F27A5"/>
    <w:rsid w:val="008F2907"/>
    <w:rsid w:val="008F2B7A"/>
    <w:rsid w:val="008F2BC9"/>
    <w:rsid w:val="008F2D5C"/>
    <w:rsid w:val="008F2DC0"/>
    <w:rsid w:val="008F2F4A"/>
    <w:rsid w:val="008F304B"/>
    <w:rsid w:val="008F30E3"/>
    <w:rsid w:val="008F317B"/>
    <w:rsid w:val="008F33EC"/>
    <w:rsid w:val="008F3473"/>
    <w:rsid w:val="008F3544"/>
    <w:rsid w:val="008F36ED"/>
    <w:rsid w:val="008F375D"/>
    <w:rsid w:val="008F39A3"/>
    <w:rsid w:val="008F3B1E"/>
    <w:rsid w:val="008F3C73"/>
    <w:rsid w:val="008F3C8A"/>
    <w:rsid w:val="008F410D"/>
    <w:rsid w:val="008F4176"/>
    <w:rsid w:val="008F41DC"/>
    <w:rsid w:val="008F4267"/>
    <w:rsid w:val="008F435B"/>
    <w:rsid w:val="008F43DC"/>
    <w:rsid w:val="008F4415"/>
    <w:rsid w:val="008F4769"/>
    <w:rsid w:val="008F47E4"/>
    <w:rsid w:val="008F498F"/>
    <w:rsid w:val="008F499C"/>
    <w:rsid w:val="008F4A4D"/>
    <w:rsid w:val="008F4AE6"/>
    <w:rsid w:val="008F4AF7"/>
    <w:rsid w:val="008F4CC5"/>
    <w:rsid w:val="008F4CF5"/>
    <w:rsid w:val="008F4DA1"/>
    <w:rsid w:val="008F4E4E"/>
    <w:rsid w:val="008F4EE4"/>
    <w:rsid w:val="008F4F25"/>
    <w:rsid w:val="008F4FB5"/>
    <w:rsid w:val="008F4FBB"/>
    <w:rsid w:val="008F5086"/>
    <w:rsid w:val="008F51D9"/>
    <w:rsid w:val="008F520E"/>
    <w:rsid w:val="008F523A"/>
    <w:rsid w:val="008F5388"/>
    <w:rsid w:val="008F56FB"/>
    <w:rsid w:val="008F57F1"/>
    <w:rsid w:val="008F593C"/>
    <w:rsid w:val="008F5951"/>
    <w:rsid w:val="008F5C44"/>
    <w:rsid w:val="008F5D4D"/>
    <w:rsid w:val="008F5D5A"/>
    <w:rsid w:val="008F5DE8"/>
    <w:rsid w:val="008F5EBC"/>
    <w:rsid w:val="008F5ED3"/>
    <w:rsid w:val="008F5FAF"/>
    <w:rsid w:val="008F602B"/>
    <w:rsid w:val="008F617B"/>
    <w:rsid w:val="008F632A"/>
    <w:rsid w:val="008F65C4"/>
    <w:rsid w:val="008F6763"/>
    <w:rsid w:val="008F6A11"/>
    <w:rsid w:val="008F6B3A"/>
    <w:rsid w:val="008F6D7E"/>
    <w:rsid w:val="008F6EEB"/>
    <w:rsid w:val="008F701B"/>
    <w:rsid w:val="008F70F1"/>
    <w:rsid w:val="008F70FD"/>
    <w:rsid w:val="008F7178"/>
    <w:rsid w:val="008F71EF"/>
    <w:rsid w:val="008F724B"/>
    <w:rsid w:val="008F725C"/>
    <w:rsid w:val="008F73A3"/>
    <w:rsid w:val="008F7450"/>
    <w:rsid w:val="008F75B5"/>
    <w:rsid w:val="008F75C9"/>
    <w:rsid w:val="008F76C6"/>
    <w:rsid w:val="008F7D03"/>
    <w:rsid w:val="00900193"/>
    <w:rsid w:val="00900275"/>
    <w:rsid w:val="009003B9"/>
    <w:rsid w:val="00900418"/>
    <w:rsid w:val="00900422"/>
    <w:rsid w:val="009006CF"/>
    <w:rsid w:val="00900719"/>
    <w:rsid w:val="009007A1"/>
    <w:rsid w:val="00900CC3"/>
    <w:rsid w:val="00900D46"/>
    <w:rsid w:val="00901025"/>
    <w:rsid w:val="00901041"/>
    <w:rsid w:val="00901113"/>
    <w:rsid w:val="009011ED"/>
    <w:rsid w:val="00901383"/>
    <w:rsid w:val="0090142E"/>
    <w:rsid w:val="00901475"/>
    <w:rsid w:val="00901523"/>
    <w:rsid w:val="0090155D"/>
    <w:rsid w:val="009017EF"/>
    <w:rsid w:val="00901AFF"/>
    <w:rsid w:val="00901D62"/>
    <w:rsid w:val="00901D88"/>
    <w:rsid w:val="00902076"/>
    <w:rsid w:val="0090207A"/>
    <w:rsid w:val="00902157"/>
    <w:rsid w:val="00902182"/>
    <w:rsid w:val="00902443"/>
    <w:rsid w:val="00902547"/>
    <w:rsid w:val="00902881"/>
    <w:rsid w:val="00902CB0"/>
    <w:rsid w:val="00902E0C"/>
    <w:rsid w:val="00902FF4"/>
    <w:rsid w:val="0090308E"/>
    <w:rsid w:val="00903103"/>
    <w:rsid w:val="009033CD"/>
    <w:rsid w:val="00903763"/>
    <w:rsid w:val="0090376A"/>
    <w:rsid w:val="009039D3"/>
    <w:rsid w:val="00903E6F"/>
    <w:rsid w:val="0090414E"/>
    <w:rsid w:val="0090437A"/>
    <w:rsid w:val="00904399"/>
    <w:rsid w:val="009043EF"/>
    <w:rsid w:val="0090446D"/>
    <w:rsid w:val="00904552"/>
    <w:rsid w:val="00904560"/>
    <w:rsid w:val="009046CD"/>
    <w:rsid w:val="00904B23"/>
    <w:rsid w:val="00904D11"/>
    <w:rsid w:val="00904D9E"/>
    <w:rsid w:val="00904DD4"/>
    <w:rsid w:val="00904E1A"/>
    <w:rsid w:val="00905078"/>
    <w:rsid w:val="0090508B"/>
    <w:rsid w:val="009051F9"/>
    <w:rsid w:val="0090531B"/>
    <w:rsid w:val="00905398"/>
    <w:rsid w:val="0090542B"/>
    <w:rsid w:val="0090543D"/>
    <w:rsid w:val="00905672"/>
    <w:rsid w:val="00905A6F"/>
    <w:rsid w:val="00905AEC"/>
    <w:rsid w:val="00905B0D"/>
    <w:rsid w:val="00905C42"/>
    <w:rsid w:val="0090605F"/>
    <w:rsid w:val="009060BD"/>
    <w:rsid w:val="009060C6"/>
    <w:rsid w:val="00906172"/>
    <w:rsid w:val="00906189"/>
    <w:rsid w:val="00906194"/>
    <w:rsid w:val="0090629C"/>
    <w:rsid w:val="0090660E"/>
    <w:rsid w:val="009067F6"/>
    <w:rsid w:val="00906835"/>
    <w:rsid w:val="00906A37"/>
    <w:rsid w:val="00906B7D"/>
    <w:rsid w:val="00906CB2"/>
    <w:rsid w:val="00906E37"/>
    <w:rsid w:val="00906E5C"/>
    <w:rsid w:val="00906EE6"/>
    <w:rsid w:val="00906F42"/>
    <w:rsid w:val="009070EC"/>
    <w:rsid w:val="00907143"/>
    <w:rsid w:val="00907318"/>
    <w:rsid w:val="00907372"/>
    <w:rsid w:val="0090748A"/>
    <w:rsid w:val="00907832"/>
    <w:rsid w:val="00907897"/>
    <w:rsid w:val="0090792C"/>
    <w:rsid w:val="00907A9E"/>
    <w:rsid w:val="00907B80"/>
    <w:rsid w:val="00907D3B"/>
    <w:rsid w:val="00907D6C"/>
    <w:rsid w:val="00907E21"/>
    <w:rsid w:val="00907E3C"/>
    <w:rsid w:val="00907E48"/>
    <w:rsid w:val="009102A3"/>
    <w:rsid w:val="009105E8"/>
    <w:rsid w:val="009105FE"/>
    <w:rsid w:val="009106AC"/>
    <w:rsid w:val="009106FF"/>
    <w:rsid w:val="009108AD"/>
    <w:rsid w:val="00910933"/>
    <w:rsid w:val="00910A83"/>
    <w:rsid w:val="00910C98"/>
    <w:rsid w:val="00910CE2"/>
    <w:rsid w:val="00910CF9"/>
    <w:rsid w:val="00910EC2"/>
    <w:rsid w:val="00911139"/>
    <w:rsid w:val="00911355"/>
    <w:rsid w:val="009114A3"/>
    <w:rsid w:val="009114D8"/>
    <w:rsid w:val="0091151B"/>
    <w:rsid w:val="00911685"/>
    <w:rsid w:val="0091192D"/>
    <w:rsid w:val="00911937"/>
    <w:rsid w:val="00911948"/>
    <w:rsid w:val="00911B36"/>
    <w:rsid w:val="00911B84"/>
    <w:rsid w:val="00911CEF"/>
    <w:rsid w:val="00911CFB"/>
    <w:rsid w:val="00911E6D"/>
    <w:rsid w:val="009121DA"/>
    <w:rsid w:val="0091231D"/>
    <w:rsid w:val="009125B6"/>
    <w:rsid w:val="009125C8"/>
    <w:rsid w:val="00912664"/>
    <w:rsid w:val="00912670"/>
    <w:rsid w:val="00912695"/>
    <w:rsid w:val="00912AB9"/>
    <w:rsid w:val="00912F96"/>
    <w:rsid w:val="00912FDA"/>
    <w:rsid w:val="00913053"/>
    <w:rsid w:val="00913241"/>
    <w:rsid w:val="009136B7"/>
    <w:rsid w:val="009139AB"/>
    <w:rsid w:val="00913E30"/>
    <w:rsid w:val="00914098"/>
    <w:rsid w:val="0091420A"/>
    <w:rsid w:val="00914278"/>
    <w:rsid w:val="009142A0"/>
    <w:rsid w:val="009142E0"/>
    <w:rsid w:val="00914820"/>
    <w:rsid w:val="00914867"/>
    <w:rsid w:val="009148BE"/>
    <w:rsid w:val="00914AC5"/>
    <w:rsid w:val="00914B1A"/>
    <w:rsid w:val="00914D0A"/>
    <w:rsid w:val="00914D36"/>
    <w:rsid w:val="00914F15"/>
    <w:rsid w:val="00914F2F"/>
    <w:rsid w:val="009150C2"/>
    <w:rsid w:val="009154B5"/>
    <w:rsid w:val="00915536"/>
    <w:rsid w:val="0091558D"/>
    <w:rsid w:val="009158EE"/>
    <w:rsid w:val="00915AF7"/>
    <w:rsid w:val="00915B01"/>
    <w:rsid w:val="00915BD6"/>
    <w:rsid w:val="00915BF6"/>
    <w:rsid w:val="00915C25"/>
    <w:rsid w:val="00915C78"/>
    <w:rsid w:val="00915E41"/>
    <w:rsid w:val="00916049"/>
    <w:rsid w:val="00916242"/>
    <w:rsid w:val="009162FC"/>
    <w:rsid w:val="00916457"/>
    <w:rsid w:val="009165D9"/>
    <w:rsid w:val="009166F7"/>
    <w:rsid w:val="00916716"/>
    <w:rsid w:val="0091674F"/>
    <w:rsid w:val="00916998"/>
    <w:rsid w:val="00916C26"/>
    <w:rsid w:val="00916C3C"/>
    <w:rsid w:val="00916CDD"/>
    <w:rsid w:val="00916D18"/>
    <w:rsid w:val="00916ED9"/>
    <w:rsid w:val="00916F85"/>
    <w:rsid w:val="00916F86"/>
    <w:rsid w:val="00917263"/>
    <w:rsid w:val="00917367"/>
    <w:rsid w:val="00917477"/>
    <w:rsid w:val="009175E9"/>
    <w:rsid w:val="009178DD"/>
    <w:rsid w:val="00917EAA"/>
    <w:rsid w:val="0092001C"/>
    <w:rsid w:val="00920487"/>
    <w:rsid w:val="0092059E"/>
    <w:rsid w:val="00920701"/>
    <w:rsid w:val="009207E6"/>
    <w:rsid w:val="00920857"/>
    <w:rsid w:val="0092099B"/>
    <w:rsid w:val="00920AEE"/>
    <w:rsid w:val="00920B56"/>
    <w:rsid w:val="00920B9F"/>
    <w:rsid w:val="00920BA9"/>
    <w:rsid w:val="00920BAD"/>
    <w:rsid w:val="00920D5F"/>
    <w:rsid w:val="00920E53"/>
    <w:rsid w:val="00920F05"/>
    <w:rsid w:val="00920F3E"/>
    <w:rsid w:val="009211FE"/>
    <w:rsid w:val="009213BF"/>
    <w:rsid w:val="0092145F"/>
    <w:rsid w:val="009214E8"/>
    <w:rsid w:val="00921532"/>
    <w:rsid w:val="00921752"/>
    <w:rsid w:val="00921C22"/>
    <w:rsid w:val="00921C6D"/>
    <w:rsid w:val="00921D13"/>
    <w:rsid w:val="009221AF"/>
    <w:rsid w:val="009222CB"/>
    <w:rsid w:val="009225A2"/>
    <w:rsid w:val="009225B1"/>
    <w:rsid w:val="0092288F"/>
    <w:rsid w:val="00922892"/>
    <w:rsid w:val="009228A4"/>
    <w:rsid w:val="009229B7"/>
    <w:rsid w:val="009229BA"/>
    <w:rsid w:val="009229FA"/>
    <w:rsid w:val="00922AB5"/>
    <w:rsid w:val="00922AD5"/>
    <w:rsid w:val="00922CA9"/>
    <w:rsid w:val="00922CD6"/>
    <w:rsid w:val="00922D8A"/>
    <w:rsid w:val="00922FF7"/>
    <w:rsid w:val="0092304E"/>
    <w:rsid w:val="0092306A"/>
    <w:rsid w:val="00923169"/>
    <w:rsid w:val="009231CA"/>
    <w:rsid w:val="009231D9"/>
    <w:rsid w:val="009232B4"/>
    <w:rsid w:val="00923320"/>
    <w:rsid w:val="009233BD"/>
    <w:rsid w:val="009235AC"/>
    <w:rsid w:val="009235AE"/>
    <w:rsid w:val="009238E3"/>
    <w:rsid w:val="00923A4A"/>
    <w:rsid w:val="00923BD3"/>
    <w:rsid w:val="00923CA7"/>
    <w:rsid w:val="00923FC9"/>
    <w:rsid w:val="00924013"/>
    <w:rsid w:val="00924019"/>
    <w:rsid w:val="009240C4"/>
    <w:rsid w:val="009240C7"/>
    <w:rsid w:val="009240CC"/>
    <w:rsid w:val="00924132"/>
    <w:rsid w:val="009244B3"/>
    <w:rsid w:val="0092459B"/>
    <w:rsid w:val="00924655"/>
    <w:rsid w:val="00924784"/>
    <w:rsid w:val="00924870"/>
    <w:rsid w:val="00924897"/>
    <w:rsid w:val="00924AB6"/>
    <w:rsid w:val="00924C25"/>
    <w:rsid w:val="00924CB6"/>
    <w:rsid w:val="00924F0A"/>
    <w:rsid w:val="00924F40"/>
    <w:rsid w:val="00924FD0"/>
    <w:rsid w:val="009252D9"/>
    <w:rsid w:val="0092531A"/>
    <w:rsid w:val="0092547B"/>
    <w:rsid w:val="00925547"/>
    <w:rsid w:val="009256B4"/>
    <w:rsid w:val="009259C8"/>
    <w:rsid w:val="00925A3A"/>
    <w:rsid w:val="00925A72"/>
    <w:rsid w:val="00925B18"/>
    <w:rsid w:val="00925DFA"/>
    <w:rsid w:val="00925E23"/>
    <w:rsid w:val="00925EA4"/>
    <w:rsid w:val="0092605F"/>
    <w:rsid w:val="009261C3"/>
    <w:rsid w:val="009262A4"/>
    <w:rsid w:val="009262B7"/>
    <w:rsid w:val="009262FB"/>
    <w:rsid w:val="0092635F"/>
    <w:rsid w:val="00926433"/>
    <w:rsid w:val="009264A9"/>
    <w:rsid w:val="009264F2"/>
    <w:rsid w:val="00926517"/>
    <w:rsid w:val="009265C3"/>
    <w:rsid w:val="009265F8"/>
    <w:rsid w:val="0092666F"/>
    <w:rsid w:val="00926AB2"/>
    <w:rsid w:val="00926D3A"/>
    <w:rsid w:val="00926DD0"/>
    <w:rsid w:val="00926E1A"/>
    <w:rsid w:val="009270CE"/>
    <w:rsid w:val="009271B8"/>
    <w:rsid w:val="009271F4"/>
    <w:rsid w:val="00927219"/>
    <w:rsid w:val="00927227"/>
    <w:rsid w:val="009275B6"/>
    <w:rsid w:val="00927701"/>
    <w:rsid w:val="00927827"/>
    <w:rsid w:val="009278A5"/>
    <w:rsid w:val="00927A50"/>
    <w:rsid w:val="00927AF8"/>
    <w:rsid w:val="00927BFF"/>
    <w:rsid w:val="00927C45"/>
    <w:rsid w:val="00927D08"/>
    <w:rsid w:val="00927D17"/>
    <w:rsid w:val="00927E8D"/>
    <w:rsid w:val="00930048"/>
    <w:rsid w:val="0093006E"/>
    <w:rsid w:val="0093017E"/>
    <w:rsid w:val="00930286"/>
    <w:rsid w:val="00930322"/>
    <w:rsid w:val="00930432"/>
    <w:rsid w:val="00930572"/>
    <w:rsid w:val="009306D5"/>
    <w:rsid w:val="009306F2"/>
    <w:rsid w:val="00930817"/>
    <w:rsid w:val="00930850"/>
    <w:rsid w:val="009309AE"/>
    <w:rsid w:val="00930B63"/>
    <w:rsid w:val="00930B92"/>
    <w:rsid w:val="00930BC6"/>
    <w:rsid w:val="00930D38"/>
    <w:rsid w:val="00930F0C"/>
    <w:rsid w:val="00930F6A"/>
    <w:rsid w:val="009310D5"/>
    <w:rsid w:val="00931174"/>
    <w:rsid w:val="0093134C"/>
    <w:rsid w:val="0093138F"/>
    <w:rsid w:val="00931423"/>
    <w:rsid w:val="00931456"/>
    <w:rsid w:val="0093149F"/>
    <w:rsid w:val="0093153F"/>
    <w:rsid w:val="00931549"/>
    <w:rsid w:val="00931617"/>
    <w:rsid w:val="009317C9"/>
    <w:rsid w:val="00931823"/>
    <w:rsid w:val="009319CA"/>
    <w:rsid w:val="00931C46"/>
    <w:rsid w:val="00931F10"/>
    <w:rsid w:val="00932120"/>
    <w:rsid w:val="009321D7"/>
    <w:rsid w:val="00932214"/>
    <w:rsid w:val="009323E0"/>
    <w:rsid w:val="0093248A"/>
    <w:rsid w:val="0093254F"/>
    <w:rsid w:val="009325AC"/>
    <w:rsid w:val="0093293B"/>
    <w:rsid w:val="00932CB5"/>
    <w:rsid w:val="00932D50"/>
    <w:rsid w:val="00932F4C"/>
    <w:rsid w:val="0093321D"/>
    <w:rsid w:val="0093339D"/>
    <w:rsid w:val="0093344C"/>
    <w:rsid w:val="009334A8"/>
    <w:rsid w:val="009334E1"/>
    <w:rsid w:val="00933573"/>
    <w:rsid w:val="009335F1"/>
    <w:rsid w:val="00933704"/>
    <w:rsid w:val="00933726"/>
    <w:rsid w:val="00933976"/>
    <w:rsid w:val="00933D3C"/>
    <w:rsid w:val="00933F48"/>
    <w:rsid w:val="00933F5F"/>
    <w:rsid w:val="0093401B"/>
    <w:rsid w:val="00934172"/>
    <w:rsid w:val="009343DE"/>
    <w:rsid w:val="00934708"/>
    <w:rsid w:val="009347C6"/>
    <w:rsid w:val="009347E2"/>
    <w:rsid w:val="009347FD"/>
    <w:rsid w:val="00934A29"/>
    <w:rsid w:val="00934AC8"/>
    <w:rsid w:val="00934B3C"/>
    <w:rsid w:val="00934C00"/>
    <w:rsid w:val="00934C48"/>
    <w:rsid w:val="00934FA8"/>
    <w:rsid w:val="00934FCA"/>
    <w:rsid w:val="00935000"/>
    <w:rsid w:val="00935055"/>
    <w:rsid w:val="009351E4"/>
    <w:rsid w:val="00935272"/>
    <w:rsid w:val="009354E3"/>
    <w:rsid w:val="0093567C"/>
    <w:rsid w:val="009356A9"/>
    <w:rsid w:val="0093571E"/>
    <w:rsid w:val="009358D6"/>
    <w:rsid w:val="0093592E"/>
    <w:rsid w:val="009359DC"/>
    <w:rsid w:val="00935A1E"/>
    <w:rsid w:val="00935AF6"/>
    <w:rsid w:val="00935B41"/>
    <w:rsid w:val="00935D7C"/>
    <w:rsid w:val="00935DE9"/>
    <w:rsid w:val="00935E24"/>
    <w:rsid w:val="00936156"/>
    <w:rsid w:val="00936247"/>
    <w:rsid w:val="009363AC"/>
    <w:rsid w:val="00936532"/>
    <w:rsid w:val="00936665"/>
    <w:rsid w:val="009366A4"/>
    <w:rsid w:val="00936886"/>
    <w:rsid w:val="009368C3"/>
    <w:rsid w:val="00936AF0"/>
    <w:rsid w:val="00936B7A"/>
    <w:rsid w:val="00936F5F"/>
    <w:rsid w:val="00937021"/>
    <w:rsid w:val="009370C0"/>
    <w:rsid w:val="00937100"/>
    <w:rsid w:val="0093710F"/>
    <w:rsid w:val="009371CE"/>
    <w:rsid w:val="00937239"/>
    <w:rsid w:val="0093727D"/>
    <w:rsid w:val="009373E5"/>
    <w:rsid w:val="009373F1"/>
    <w:rsid w:val="009374C8"/>
    <w:rsid w:val="009375E8"/>
    <w:rsid w:val="009376D2"/>
    <w:rsid w:val="00937922"/>
    <w:rsid w:val="0093793C"/>
    <w:rsid w:val="00937A70"/>
    <w:rsid w:val="00937C40"/>
    <w:rsid w:val="00937C67"/>
    <w:rsid w:val="00937D41"/>
    <w:rsid w:val="00937E26"/>
    <w:rsid w:val="00937ECC"/>
    <w:rsid w:val="0094001A"/>
    <w:rsid w:val="0094005B"/>
    <w:rsid w:val="00940141"/>
    <w:rsid w:val="0094022E"/>
    <w:rsid w:val="009402AF"/>
    <w:rsid w:val="00940680"/>
    <w:rsid w:val="00940CD2"/>
    <w:rsid w:val="00940D90"/>
    <w:rsid w:val="00940DDC"/>
    <w:rsid w:val="00940E06"/>
    <w:rsid w:val="00940E1E"/>
    <w:rsid w:val="00940E23"/>
    <w:rsid w:val="00940E47"/>
    <w:rsid w:val="00940E55"/>
    <w:rsid w:val="00940EA4"/>
    <w:rsid w:val="00940FD8"/>
    <w:rsid w:val="0094102D"/>
    <w:rsid w:val="00941045"/>
    <w:rsid w:val="00941206"/>
    <w:rsid w:val="00941328"/>
    <w:rsid w:val="00941368"/>
    <w:rsid w:val="00941432"/>
    <w:rsid w:val="0094144E"/>
    <w:rsid w:val="009415B2"/>
    <w:rsid w:val="0094165A"/>
    <w:rsid w:val="0094181F"/>
    <w:rsid w:val="009418CD"/>
    <w:rsid w:val="00941A12"/>
    <w:rsid w:val="00941BF5"/>
    <w:rsid w:val="00941CC7"/>
    <w:rsid w:val="00941D0D"/>
    <w:rsid w:val="00941DE3"/>
    <w:rsid w:val="00941E90"/>
    <w:rsid w:val="0094203C"/>
    <w:rsid w:val="009420C8"/>
    <w:rsid w:val="00942110"/>
    <w:rsid w:val="009423A6"/>
    <w:rsid w:val="0094260F"/>
    <w:rsid w:val="0094263B"/>
    <w:rsid w:val="0094266A"/>
    <w:rsid w:val="009426CA"/>
    <w:rsid w:val="00942732"/>
    <w:rsid w:val="00942AFC"/>
    <w:rsid w:val="00942CFE"/>
    <w:rsid w:val="00942D49"/>
    <w:rsid w:val="00942D6B"/>
    <w:rsid w:val="00942F33"/>
    <w:rsid w:val="00942FB5"/>
    <w:rsid w:val="0094310E"/>
    <w:rsid w:val="00943569"/>
    <w:rsid w:val="00943616"/>
    <w:rsid w:val="009436FC"/>
    <w:rsid w:val="00943930"/>
    <w:rsid w:val="0094393F"/>
    <w:rsid w:val="00943B4A"/>
    <w:rsid w:val="00943C75"/>
    <w:rsid w:val="00943CBF"/>
    <w:rsid w:val="00943D78"/>
    <w:rsid w:val="00943DFF"/>
    <w:rsid w:val="00943F74"/>
    <w:rsid w:val="009444B8"/>
    <w:rsid w:val="009444C7"/>
    <w:rsid w:val="0094450D"/>
    <w:rsid w:val="00944529"/>
    <w:rsid w:val="00944602"/>
    <w:rsid w:val="009446CE"/>
    <w:rsid w:val="00944703"/>
    <w:rsid w:val="009447A7"/>
    <w:rsid w:val="00944899"/>
    <w:rsid w:val="00944920"/>
    <w:rsid w:val="00944968"/>
    <w:rsid w:val="00944A8E"/>
    <w:rsid w:val="00944C9D"/>
    <w:rsid w:val="00944CF7"/>
    <w:rsid w:val="009450D6"/>
    <w:rsid w:val="0094513F"/>
    <w:rsid w:val="009452F3"/>
    <w:rsid w:val="009452F4"/>
    <w:rsid w:val="00945411"/>
    <w:rsid w:val="00945418"/>
    <w:rsid w:val="009455C1"/>
    <w:rsid w:val="00945680"/>
    <w:rsid w:val="00945825"/>
    <w:rsid w:val="0094596A"/>
    <w:rsid w:val="009459DD"/>
    <w:rsid w:val="009459E1"/>
    <w:rsid w:val="00945C35"/>
    <w:rsid w:val="00945D92"/>
    <w:rsid w:val="00945E1E"/>
    <w:rsid w:val="00945E99"/>
    <w:rsid w:val="00945F76"/>
    <w:rsid w:val="00945FA2"/>
    <w:rsid w:val="00945FD2"/>
    <w:rsid w:val="00946031"/>
    <w:rsid w:val="00946124"/>
    <w:rsid w:val="009461BF"/>
    <w:rsid w:val="0094662D"/>
    <w:rsid w:val="0094682B"/>
    <w:rsid w:val="0094698A"/>
    <w:rsid w:val="00946B48"/>
    <w:rsid w:val="00946BAC"/>
    <w:rsid w:val="00946C86"/>
    <w:rsid w:val="00946DCF"/>
    <w:rsid w:val="00946E85"/>
    <w:rsid w:val="00947060"/>
    <w:rsid w:val="009470BE"/>
    <w:rsid w:val="009472B7"/>
    <w:rsid w:val="00947527"/>
    <w:rsid w:val="00947A38"/>
    <w:rsid w:val="00947D19"/>
    <w:rsid w:val="00947D7E"/>
    <w:rsid w:val="00950163"/>
    <w:rsid w:val="00950282"/>
    <w:rsid w:val="00950299"/>
    <w:rsid w:val="009502E2"/>
    <w:rsid w:val="0095040F"/>
    <w:rsid w:val="00950690"/>
    <w:rsid w:val="00950903"/>
    <w:rsid w:val="0095091A"/>
    <w:rsid w:val="00950ACB"/>
    <w:rsid w:val="00950B60"/>
    <w:rsid w:val="00950CE8"/>
    <w:rsid w:val="00950D09"/>
    <w:rsid w:val="00951070"/>
    <w:rsid w:val="0095128E"/>
    <w:rsid w:val="009512D9"/>
    <w:rsid w:val="00951322"/>
    <w:rsid w:val="0095142B"/>
    <w:rsid w:val="00951584"/>
    <w:rsid w:val="00951B0D"/>
    <w:rsid w:val="00951BB4"/>
    <w:rsid w:val="00951D41"/>
    <w:rsid w:val="00952004"/>
    <w:rsid w:val="0095205E"/>
    <w:rsid w:val="009520AF"/>
    <w:rsid w:val="00952259"/>
    <w:rsid w:val="0095226D"/>
    <w:rsid w:val="00952333"/>
    <w:rsid w:val="00952600"/>
    <w:rsid w:val="009529C1"/>
    <w:rsid w:val="009529C8"/>
    <w:rsid w:val="00952B51"/>
    <w:rsid w:val="00952E22"/>
    <w:rsid w:val="00952E9A"/>
    <w:rsid w:val="00952EC5"/>
    <w:rsid w:val="00953229"/>
    <w:rsid w:val="0095329E"/>
    <w:rsid w:val="009533E1"/>
    <w:rsid w:val="00953451"/>
    <w:rsid w:val="009535E4"/>
    <w:rsid w:val="00953750"/>
    <w:rsid w:val="00953982"/>
    <w:rsid w:val="00953A0E"/>
    <w:rsid w:val="00953B98"/>
    <w:rsid w:val="00953D3D"/>
    <w:rsid w:val="00953D72"/>
    <w:rsid w:val="00953E1E"/>
    <w:rsid w:val="00953E4E"/>
    <w:rsid w:val="00953F45"/>
    <w:rsid w:val="00954113"/>
    <w:rsid w:val="00954124"/>
    <w:rsid w:val="00954156"/>
    <w:rsid w:val="009541EA"/>
    <w:rsid w:val="00954416"/>
    <w:rsid w:val="009546EC"/>
    <w:rsid w:val="00954743"/>
    <w:rsid w:val="00954776"/>
    <w:rsid w:val="00954846"/>
    <w:rsid w:val="00954ACB"/>
    <w:rsid w:val="00954B57"/>
    <w:rsid w:val="00954E6C"/>
    <w:rsid w:val="00954F11"/>
    <w:rsid w:val="00954F19"/>
    <w:rsid w:val="00955141"/>
    <w:rsid w:val="009551BC"/>
    <w:rsid w:val="0095538F"/>
    <w:rsid w:val="00955531"/>
    <w:rsid w:val="009556F5"/>
    <w:rsid w:val="00955718"/>
    <w:rsid w:val="0095574E"/>
    <w:rsid w:val="009557D2"/>
    <w:rsid w:val="009557FB"/>
    <w:rsid w:val="00955833"/>
    <w:rsid w:val="00955BBA"/>
    <w:rsid w:val="00955C6B"/>
    <w:rsid w:val="00955C95"/>
    <w:rsid w:val="00955CCD"/>
    <w:rsid w:val="00955D57"/>
    <w:rsid w:val="00955DE0"/>
    <w:rsid w:val="00955E56"/>
    <w:rsid w:val="00955EC7"/>
    <w:rsid w:val="00956075"/>
    <w:rsid w:val="0095630A"/>
    <w:rsid w:val="00956346"/>
    <w:rsid w:val="00956379"/>
    <w:rsid w:val="0095640F"/>
    <w:rsid w:val="009564E9"/>
    <w:rsid w:val="009565D5"/>
    <w:rsid w:val="009567BC"/>
    <w:rsid w:val="009568F5"/>
    <w:rsid w:val="009568FD"/>
    <w:rsid w:val="00956996"/>
    <w:rsid w:val="00956A2C"/>
    <w:rsid w:val="00956AE1"/>
    <w:rsid w:val="00956E98"/>
    <w:rsid w:val="00956E9E"/>
    <w:rsid w:val="00956EAA"/>
    <w:rsid w:val="00956F7E"/>
    <w:rsid w:val="00956FF4"/>
    <w:rsid w:val="00957048"/>
    <w:rsid w:val="009570A4"/>
    <w:rsid w:val="009572D0"/>
    <w:rsid w:val="009573E7"/>
    <w:rsid w:val="009574E7"/>
    <w:rsid w:val="009576DA"/>
    <w:rsid w:val="009576E1"/>
    <w:rsid w:val="009577DA"/>
    <w:rsid w:val="009577EA"/>
    <w:rsid w:val="00957812"/>
    <w:rsid w:val="009578CF"/>
    <w:rsid w:val="00957A7A"/>
    <w:rsid w:val="00957BAC"/>
    <w:rsid w:val="00957DDD"/>
    <w:rsid w:val="00957FDF"/>
    <w:rsid w:val="0096023A"/>
    <w:rsid w:val="00960249"/>
    <w:rsid w:val="0096025F"/>
    <w:rsid w:val="00960378"/>
    <w:rsid w:val="0096043C"/>
    <w:rsid w:val="00960683"/>
    <w:rsid w:val="0096070B"/>
    <w:rsid w:val="009607F7"/>
    <w:rsid w:val="00960850"/>
    <w:rsid w:val="00960999"/>
    <w:rsid w:val="00960AF0"/>
    <w:rsid w:val="00960CCD"/>
    <w:rsid w:val="00960F13"/>
    <w:rsid w:val="00960F76"/>
    <w:rsid w:val="00960F7C"/>
    <w:rsid w:val="00961007"/>
    <w:rsid w:val="00961114"/>
    <w:rsid w:val="009611D0"/>
    <w:rsid w:val="00961204"/>
    <w:rsid w:val="0096123F"/>
    <w:rsid w:val="009614B0"/>
    <w:rsid w:val="00961516"/>
    <w:rsid w:val="0096168D"/>
    <w:rsid w:val="0096180B"/>
    <w:rsid w:val="00961811"/>
    <w:rsid w:val="009618C3"/>
    <w:rsid w:val="00961919"/>
    <w:rsid w:val="00961AED"/>
    <w:rsid w:val="00961B6B"/>
    <w:rsid w:val="00961B9B"/>
    <w:rsid w:val="00961BC9"/>
    <w:rsid w:val="00961C03"/>
    <w:rsid w:val="00961CA5"/>
    <w:rsid w:val="00962305"/>
    <w:rsid w:val="00962321"/>
    <w:rsid w:val="0096235D"/>
    <w:rsid w:val="009623CE"/>
    <w:rsid w:val="0096245D"/>
    <w:rsid w:val="0096269A"/>
    <w:rsid w:val="00962A4F"/>
    <w:rsid w:val="00962BBE"/>
    <w:rsid w:val="00962BF1"/>
    <w:rsid w:val="00962E4D"/>
    <w:rsid w:val="009630E8"/>
    <w:rsid w:val="00963117"/>
    <w:rsid w:val="00963183"/>
    <w:rsid w:val="0096318F"/>
    <w:rsid w:val="009632DA"/>
    <w:rsid w:val="009634C9"/>
    <w:rsid w:val="009636E6"/>
    <w:rsid w:val="00963833"/>
    <w:rsid w:val="00963836"/>
    <w:rsid w:val="0096388E"/>
    <w:rsid w:val="00963B2E"/>
    <w:rsid w:val="00963BEB"/>
    <w:rsid w:val="00963E09"/>
    <w:rsid w:val="00963F1E"/>
    <w:rsid w:val="00963FBF"/>
    <w:rsid w:val="00964012"/>
    <w:rsid w:val="00964088"/>
    <w:rsid w:val="009642C5"/>
    <w:rsid w:val="00964324"/>
    <w:rsid w:val="009645EE"/>
    <w:rsid w:val="0096479F"/>
    <w:rsid w:val="009647BC"/>
    <w:rsid w:val="00964AE8"/>
    <w:rsid w:val="00964C2A"/>
    <w:rsid w:val="00964C45"/>
    <w:rsid w:val="00964D23"/>
    <w:rsid w:val="00964F0A"/>
    <w:rsid w:val="00964F2C"/>
    <w:rsid w:val="00964FCF"/>
    <w:rsid w:val="0096505E"/>
    <w:rsid w:val="00965217"/>
    <w:rsid w:val="00965266"/>
    <w:rsid w:val="0096530D"/>
    <w:rsid w:val="00965500"/>
    <w:rsid w:val="0096562D"/>
    <w:rsid w:val="00965A6C"/>
    <w:rsid w:val="00965AB4"/>
    <w:rsid w:val="00965C69"/>
    <w:rsid w:val="009660E7"/>
    <w:rsid w:val="0096610C"/>
    <w:rsid w:val="0096613C"/>
    <w:rsid w:val="0096613F"/>
    <w:rsid w:val="00966263"/>
    <w:rsid w:val="0096626E"/>
    <w:rsid w:val="00966329"/>
    <w:rsid w:val="0096638A"/>
    <w:rsid w:val="0096646F"/>
    <w:rsid w:val="00966520"/>
    <w:rsid w:val="0096655D"/>
    <w:rsid w:val="0096694F"/>
    <w:rsid w:val="009669AE"/>
    <w:rsid w:val="00966A1B"/>
    <w:rsid w:val="00966A7B"/>
    <w:rsid w:val="00966CF6"/>
    <w:rsid w:val="00966E75"/>
    <w:rsid w:val="00966EE4"/>
    <w:rsid w:val="00966F76"/>
    <w:rsid w:val="00967208"/>
    <w:rsid w:val="00967604"/>
    <w:rsid w:val="009678AB"/>
    <w:rsid w:val="00967962"/>
    <w:rsid w:val="00967A0F"/>
    <w:rsid w:val="00967C0B"/>
    <w:rsid w:val="00967C38"/>
    <w:rsid w:val="00967CE6"/>
    <w:rsid w:val="00970019"/>
    <w:rsid w:val="009700B8"/>
    <w:rsid w:val="00970156"/>
    <w:rsid w:val="0097018F"/>
    <w:rsid w:val="00970667"/>
    <w:rsid w:val="009707C3"/>
    <w:rsid w:val="009707D3"/>
    <w:rsid w:val="00970821"/>
    <w:rsid w:val="009709B3"/>
    <w:rsid w:val="009709EF"/>
    <w:rsid w:val="00970ABC"/>
    <w:rsid w:val="00970B24"/>
    <w:rsid w:val="00970C60"/>
    <w:rsid w:val="00970C9B"/>
    <w:rsid w:val="0097103D"/>
    <w:rsid w:val="009710F6"/>
    <w:rsid w:val="00971156"/>
    <w:rsid w:val="0097123F"/>
    <w:rsid w:val="009713F4"/>
    <w:rsid w:val="00971403"/>
    <w:rsid w:val="009716F4"/>
    <w:rsid w:val="00971718"/>
    <w:rsid w:val="009717BF"/>
    <w:rsid w:val="00971855"/>
    <w:rsid w:val="009718DF"/>
    <w:rsid w:val="00971988"/>
    <w:rsid w:val="00971BB3"/>
    <w:rsid w:val="00971E55"/>
    <w:rsid w:val="00971F05"/>
    <w:rsid w:val="00971FC7"/>
    <w:rsid w:val="00971FED"/>
    <w:rsid w:val="009720AC"/>
    <w:rsid w:val="0097213B"/>
    <w:rsid w:val="00972141"/>
    <w:rsid w:val="00972388"/>
    <w:rsid w:val="009723D8"/>
    <w:rsid w:val="00972520"/>
    <w:rsid w:val="00972980"/>
    <w:rsid w:val="00972994"/>
    <w:rsid w:val="00972ABC"/>
    <w:rsid w:val="00972B23"/>
    <w:rsid w:val="00972C37"/>
    <w:rsid w:val="00972C40"/>
    <w:rsid w:val="00972C8A"/>
    <w:rsid w:val="00972D70"/>
    <w:rsid w:val="00972E7C"/>
    <w:rsid w:val="00973702"/>
    <w:rsid w:val="00973740"/>
    <w:rsid w:val="00973859"/>
    <w:rsid w:val="009739EF"/>
    <w:rsid w:val="00973B3B"/>
    <w:rsid w:val="00973B61"/>
    <w:rsid w:val="00973B97"/>
    <w:rsid w:val="00973ECA"/>
    <w:rsid w:val="00974062"/>
    <w:rsid w:val="009740AD"/>
    <w:rsid w:val="009741BE"/>
    <w:rsid w:val="009741D1"/>
    <w:rsid w:val="009741ED"/>
    <w:rsid w:val="0097429B"/>
    <w:rsid w:val="009742DC"/>
    <w:rsid w:val="0097440C"/>
    <w:rsid w:val="009744CC"/>
    <w:rsid w:val="00974537"/>
    <w:rsid w:val="009745EC"/>
    <w:rsid w:val="009746B8"/>
    <w:rsid w:val="0097490E"/>
    <w:rsid w:val="0097494C"/>
    <w:rsid w:val="00974AD7"/>
    <w:rsid w:val="00974BE8"/>
    <w:rsid w:val="00974C9C"/>
    <w:rsid w:val="00974CE6"/>
    <w:rsid w:val="00974D85"/>
    <w:rsid w:val="00974E1D"/>
    <w:rsid w:val="009752A2"/>
    <w:rsid w:val="009753C6"/>
    <w:rsid w:val="009753FC"/>
    <w:rsid w:val="009756D4"/>
    <w:rsid w:val="00975702"/>
    <w:rsid w:val="00975865"/>
    <w:rsid w:val="009758FD"/>
    <w:rsid w:val="00975970"/>
    <w:rsid w:val="00975985"/>
    <w:rsid w:val="00975A5A"/>
    <w:rsid w:val="00975B45"/>
    <w:rsid w:val="00975CFD"/>
    <w:rsid w:val="00975F7B"/>
    <w:rsid w:val="009760AD"/>
    <w:rsid w:val="009760F9"/>
    <w:rsid w:val="00976318"/>
    <w:rsid w:val="00976374"/>
    <w:rsid w:val="009763CD"/>
    <w:rsid w:val="009763FA"/>
    <w:rsid w:val="0097646C"/>
    <w:rsid w:val="00976543"/>
    <w:rsid w:val="0097658E"/>
    <w:rsid w:val="00976818"/>
    <w:rsid w:val="0097684B"/>
    <w:rsid w:val="00976944"/>
    <w:rsid w:val="00976A0B"/>
    <w:rsid w:val="00976C88"/>
    <w:rsid w:val="00976D64"/>
    <w:rsid w:val="00976EEC"/>
    <w:rsid w:val="00976F16"/>
    <w:rsid w:val="00977069"/>
    <w:rsid w:val="0097707C"/>
    <w:rsid w:val="009770B1"/>
    <w:rsid w:val="00977207"/>
    <w:rsid w:val="009772AB"/>
    <w:rsid w:val="00977344"/>
    <w:rsid w:val="009773AD"/>
    <w:rsid w:val="009773FE"/>
    <w:rsid w:val="00977464"/>
    <w:rsid w:val="009774F5"/>
    <w:rsid w:val="009779D1"/>
    <w:rsid w:val="00977B66"/>
    <w:rsid w:val="00977D82"/>
    <w:rsid w:val="00977EB2"/>
    <w:rsid w:val="00977F0C"/>
    <w:rsid w:val="00977FFA"/>
    <w:rsid w:val="0098001E"/>
    <w:rsid w:val="00980057"/>
    <w:rsid w:val="009801B2"/>
    <w:rsid w:val="009802B5"/>
    <w:rsid w:val="009802E4"/>
    <w:rsid w:val="009803BD"/>
    <w:rsid w:val="00980614"/>
    <w:rsid w:val="00980677"/>
    <w:rsid w:val="0098079B"/>
    <w:rsid w:val="0098083E"/>
    <w:rsid w:val="0098087E"/>
    <w:rsid w:val="00980897"/>
    <w:rsid w:val="00980A92"/>
    <w:rsid w:val="00980CA8"/>
    <w:rsid w:val="00980FE2"/>
    <w:rsid w:val="00981057"/>
    <w:rsid w:val="009810DA"/>
    <w:rsid w:val="00981195"/>
    <w:rsid w:val="00981544"/>
    <w:rsid w:val="009815B6"/>
    <w:rsid w:val="009815BE"/>
    <w:rsid w:val="0098168A"/>
    <w:rsid w:val="009816D6"/>
    <w:rsid w:val="009817F9"/>
    <w:rsid w:val="00981829"/>
    <w:rsid w:val="0098182E"/>
    <w:rsid w:val="009819C4"/>
    <w:rsid w:val="009819C5"/>
    <w:rsid w:val="00981A03"/>
    <w:rsid w:val="00981A8F"/>
    <w:rsid w:val="00981AEC"/>
    <w:rsid w:val="00981C40"/>
    <w:rsid w:val="00981C58"/>
    <w:rsid w:val="00981E00"/>
    <w:rsid w:val="00981E14"/>
    <w:rsid w:val="009820E6"/>
    <w:rsid w:val="0098217B"/>
    <w:rsid w:val="009822E4"/>
    <w:rsid w:val="0098232E"/>
    <w:rsid w:val="00982574"/>
    <w:rsid w:val="00982579"/>
    <w:rsid w:val="00982694"/>
    <w:rsid w:val="009828F3"/>
    <w:rsid w:val="009829B8"/>
    <w:rsid w:val="009829DC"/>
    <w:rsid w:val="00982BB2"/>
    <w:rsid w:val="00982F37"/>
    <w:rsid w:val="00983142"/>
    <w:rsid w:val="0098315F"/>
    <w:rsid w:val="00983180"/>
    <w:rsid w:val="009832CD"/>
    <w:rsid w:val="0098342C"/>
    <w:rsid w:val="0098346D"/>
    <w:rsid w:val="009834A7"/>
    <w:rsid w:val="009836E2"/>
    <w:rsid w:val="00983A26"/>
    <w:rsid w:val="00983BC8"/>
    <w:rsid w:val="00983BD1"/>
    <w:rsid w:val="00983C7F"/>
    <w:rsid w:val="00983D79"/>
    <w:rsid w:val="00983DDC"/>
    <w:rsid w:val="009841EB"/>
    <w:rsid w:val="0098425A"/>
    <w:rsid w:val="0098425C"/>
    <w:rsid w:val="00984327"/>
    <w:rsid w:val="009843B8"/>
    <w:rsid w:val="00984523"/>
    <w:rsid w:val="0098463E"/>
    <w:rsid w:val="00984737"/>
    <w:rsid w:val="00984856"/>
    <w:rsid w:val="00984AFD"/>
    <w:rsid w:val="00984BFA"/>
    <w:rsid w:val="00984FEE"/>
    <w:rsid w:val="009852DB"/>
    <w:rsid w:val="0098595F"/>
    <w:rsid w:val="00985A31"/>
    <w:rsid w:val="00985B1C"/>
    <w:rsid w:val="00985D06"/>
    <w:rsid w:val="00986188"/>
    <w:rsid w:val="0098618D"/>
    <w:rsid w:val="00986336"/>
    <w:rsid w:val="0098643E"/>
    <w:rsid w:val="009864C7"/>
    <w:rsid w:val="009865D6"/>
    <w:rsid w:val="00986704"/>
    <w:rsid w:val="009867EE"/>
    <w:rsid w:val="00986A60"/>
    <w:rsid w:val="00986BD8"/>
    <w:rsid w:val="00986C58"/>
    <w:rsid w:val="00986D11"/>
    <w:rsid w:val="00987018"/>
    <w:rsid w:val="0098706F"/>
    <w:rsid w:val="009870CE"/>
    <w:rsid w:val="0098714D"/>
    <w:rsid w:val="0098738E"/>
    <w:rsid w:val="009873FB"/>
    <w:rsid w:val="00987735"/>
    <w:rsid w:val="0098776B"/>
    <w:rsid w:val="009878A7"/>
    <w:rsid w:val="009879B1"/>
    <w:rsid w:val="00987B71"/>
    <w:rsid w:val="00987B74"/>
    <w:rsid w:val="00987D46"/>
    <w:rsid w:val="00987EC5"/>
    <w:rsid w:val="00990372"/>
    <w:rsid w:val="00990424"/>
    <w:rsid w:val="0099058C"/>
    <w:rsid w:val="0099058E"/>
    <w:rsid w:val="00990680"/>
    <w:rsid w:val="009907F4"/>
    <w:rsid w:val="00990985"/>
    <w:rsid w:val="00990A1D"/>
    <w:rsid w:val="00990DA7"/>
    <w:rsid w:val="00990DD1"/>
    <w:rsid w:val="00990EF8"/>
    <w:rsid w:val="0099132A"/>
    <w:rsid w:val="0099133A"/>
    <w:rsid w:val="00991567"/>
    <w:rsid w:val="009915E0"/>
    <w:rsid w:val="00991889"/>
    <w:rsid w:val="0099192D"/>
    <w:rsid w:val="009919E8"/>
    <w:rsid w:val="00991B80"/>
    <w:rsid w:val="00991C92"/>
    <w:rsid w:val="00991D04"/>
    <w:rsid w:val="00991D3F"/>
    <w:rsid w:val="00991FF1"/>
    <w:rsid w:val="009920DD"/>
    <w:rsid w:val="0099250D"/>
    <w:rsid w:val="00992580"/>
    <w:rsid w:val="009925A9"/>
    <w:rsid w:val="009926D9"/>
    <w:rsid w:val="00992825"/>
    <w:rsid w:val="00992A76"/>
    <w:rsid w:val="00992CC1"/>
    <w:rsid w:val="00992F67"/>
    <w:rsid w:val="00992FA7"/>
    <w:rsid w:val="009932AD"/>
    <w:rsid w:val="009933FD"/>
    <w:rsid w:val="00993460"/>
    <w:rsid w:val="0099350F"/>
    <w:rsid w:val="00993669"/>
    <w:rsid w:val="009936A9"/>
    <w:rsid w:val="0099383A"/>
    <w:rsid w:val="00993AD6"/>
    <w:rsid w:val="00993C6F"/>
    <w:rsid w:val="00993FC5"/>
    <w:rsid w:val="009941C5"/>
    <w:rsid w:val="009942BD"/>
    <w:rsid w:val="009942FC"/>
    <w:rsid w:val="00994364"/>
    <w:rsid w:val="00994490"/>
    <w:rsid w:val="00994581"/>
    <w:rsid w:val="00994598"/>
    <w:rsid w:val="009945A7"/>
    <w:rsid w:val="00994640"/>
    <w:rsid w:val="009946C3"/>
    <w:rsid w:val="009946E2"/>
    <w:rsid w:val="0099470D"/>
    <w:rsid w:val="0099472F"/>
    <w:rsid w:val="00994841"/>
    <w:rsid w:val="009948AA"/>
    <w:rsid w:val="00994958"/>
    <w:rsid w:val="009949B8"/>
    <w:rsid w:val="009949D8"/>
    <w:rsid w:val="00994C37"/>
    <w:rsid w:val="00994D2D"/>
    <w:rsid w:val="00994D6E"/>
    <w:rsid w:val="009950D8"/>
    <w:rsid w:val="0099536E"/>
    <w:rsid w:val="00995397"/>
    <w:rsid w:val="009953B3"/>
    <w:rsid w:val="00995599"/>
    <w:rsid w:val="00995A20"/>
    <w:rsid w:val="00995ABC"/>
    <w:rsid w:val="00995DA5"/>
    <w:rsid w:val="00995E84"/>
    <w:rsid w:val="00996023"/>
    <w:rsid w:val="009965E2"/>
    <w:rsid w:val="0099681D"/>
    <w:rsid w:val="009969B0"/>
    <w:rsid w:val="00996AB7"/>
    <w:rsid w:val="00996D2D"/>
    <w:rsid w:val="00996EEF"/>
    <w:rsid w:val="00997056"/>
    <w:rsid w:val="00997273"/>
    <w:rsid w:val="009974BE"/>
    <w:rsid w:val="00997703"/>
    <w:rsid w:val="009A023E"/>
    <w:rsid w:val="009A0253"/>
    <w:rsid w:val="009A0293"/>
    <w:rsid w:val="009A03AC"/>
    <w:rsid w:val="009A04B8"/>
    <w:rsid w:val="009A05E2"/>
    <w:rsid w:val="009A089F"/>
    <w:rsid w:val="009A0ACE"/>
    <w:rsid w:val="009A0AF8"/>
    <w:rsid w:val="009A0CDD"/>
    <w:rsid w:val="009A0EAC"/>
    <w:rsid w:val="009A0F9E"/>
    <w:rsid w:val="009A1264"/>
    <w:rsid w:val="009A13AC"/>
    <w:rsid w:val="009A1435"/>
    <w:rsid w:val="009A14DB"/>
    <w:rsid w:val="009A1546"/>
    <w:rsid w:val="009A1719"/>
    <w:rsid w:val="009A17C7"/>
    <w:rsid w:val="009A1863"/>
    <w:rsid w:val="009A1AB8"/>
    <w:rsid w:val="009A1BD3"/>
    <w:rsid w:val="009A1E9B"/>
    <w:rsid w:val="009A1F53"/>
    <w:rsid w:val="009A21DF"/>
    <w:rsid w:val="009A22A3"/>
    <w:rsid w:val="009A2323"/>
    <w:rsid w:val="009A2399"/>
    <w:rsid w:val="009A23D2"/>
    <w:rsid w:val="009A254A"/>
    <w:rsid w:val="009A2790"/>
    <w:rsid w:val="009A27BC"/>
    <w:rsid w:val="009A2B28"/>
    <w:rsid w:val="009A2B42"/>
    <w:rsid w:val="009A2C19"/>
    <w:rsid w:val="009A2C53"/>
    <w:rsid w:val="009A2E25"/>
    <w:rsid w:val="009A3119"/>
    <w:rsid w:val="009A3238"/>
    <w:rsid w:val="009A33C4"/>
    <w:rsid w:val="009A33CB"/>
    <w:rsid w:val="009A3645"/>
    <w:rsid w:val="009A3680"/>
    <w:rsid w:val="009A37C1"/>
    <w:rsid w:val="009A37EF"/>
    <w:rsid w:val="009A386B"/>
    <w:rsid w:val="009A39E5"/>
    <w:rsid w:val="009A3A17"/>
    <w:rsid w:val="009A3B08"/>
    <w:rsid w:val="009A3D7C"/>
    <w:rsid w:val="009A3E4D"/>
    <w:rsid w:val="009A3F44"/>
    <w:rsid w:val="009A3F8D"/>
    <w:rsid w:val="009A3FF8"/>
    <w:rsid w:val="009A4090"/>
    <w:rsid w:val="009A426A"/>
    <w:rsid w:val="009A4291"/>
    <w:rsid w:val="009A4313"/>
    <w:rsid w:val="009A448F"/>
    <w:rsid w:val="009A4704"/>
    <w:rsid w:val="009A491C"/>
    <w:rsid w:val="009A4977"/>
    <w:rsid w:val="009A4B9B"/>
    <w:rsid w:val="009A4C4A"/>
    <w:rsid w:val="009A4C56"/>
    <w:rsid w:val="009A4D43"/>
    <w:rsid w:val="009A5114"/>
    <w:rsid w:val="009A513E"/>
    <w:rsid w:val="009A5206"/>
    <w:rsid w:val="009A5291"/>
    <w:rsid w:val="009A5389"/>
    <w:rsid w:val="009A53BD"/>
    <w:rsid w:val="009A53F8"/>
    <w:rsid w:val="009A5502"/>
    <w:rsid w:val="009A5604"/>
    <w:rsid w:val="009A5689"/>
    <w:rsid w:val="009A5738"/>
    <w:rsid w:val="009A5779"/>
    <w:rsid w:val="009A58D1"/>
    <w:rsid w:val="009A58F3"/>
    <w:rsid w:val="009A5963"/>
    <w:rsid w:val="009A5983"/>
    <w:rsid w:val="009A5A8B"/>
    <w:rsid w:val="009A5CA7"/>
    <w:rsid w:val="009A5EDC"/>
    <w:rsid w:val="009A6072"/>
    <w:rsid w:val="009A61A2"/>
    <w:rsid w:val="009A61EB"/>
    <w:rsid w:val="009A622E"/>
    <w:rsid w:val="009A630F"/>
    <w:rsid w:val="009A639A"/>
    <w:rsid w:val="009A656B"/>
    <w:rsid w:val="009A6A45"/>
    <w:rsid w:val="009A6A8C"/>
    <w:rsid w:val="009A6B7B"/>
    <w:rsid w:val="009A6BDF"/>
    <w:rsid w:val="009A6DBC"/>
    <w:rsid w:val="009A6E39"/>
    <w:rsid w:val="009A7020"/>
    <w:rsid w:val="009A7068"/>
    <w:rsid w:val="009A70D2"/>
    <w:rsid w:val="009A7331"/>
    <w:rsid w:val="009A736B"/>
    <w:rsid w:val="009A7374"/>
    <w:rsid w:val="009A73D6"/>
    <w:rsid w:val="009A7486"/>
    <w:rsid w:val="009A7791"/>
    <w:rsid w:val="009A77C4"/>
    <w:rsid w:val="009A793F"/>
    <w:rsid w:val="009A7AA0"/>
    <w:rsid w:val="009A7AA6"/>
    <w:rsid w:val="009A7C31"/>
    <w:rsid w:val="009A7C46"/>
    <w:rsid w:val="009A7D14"/>
    <w:rsid w:val="009A7D35"/>
    <w:rsid w:val="009A7D5B"/>
    <w:rsid w:val="009A7DB8"/>
    <w:rsid w:val="009A7ED3"/>
    <w:rsid w:val="009A7EE9"/>
    <w:rsid w:val="009A7F26"/>
    <w:rsid w:val="009B018F"/>
    <w:rsid w:val="009B04DA"/>
    <w:rsid w:val="009B05EF"/>
    <w:rsid w:val="009B061C"/>
    <w:rsid w:val="009B0745"/>
    <w:rsid w:val="009B0843"/>
    <w:rsid w:val="009B0A48"/>
    <w:rsid w:val="009B0A64"/>
    <w:rsid w:val="009B0D28"/>
    <w:rsid w:val="009B0DAE"/>
    <w:rsid w:val="009B0E90"/>
    <w:rsid w:val="009B0EC0"/>
    <w:rsid w:val="009B0F5F"/>
    <w:rsid w:val="009B0F71"/>
    <w:rsid w:val="009B115F"/>
    <w:rsid w:val="009B1212"/>
    <w:rsid w:val="009B12AC"/>
    <w:rsid w:val="009B1326"/>
    <w:rsid w:val="009B1327"/>
    <w:rsid w:val="009B1445"/>
    <w:rsid w:val="009B1551"/>
    <w:rsid w:val="009B15B8"/>
    <w:rsid w:val="009B1A48"/>
    <w:rsid w:val="009B1A8B"/>
    <w:rsid w:val="009B1B06"/>
    <w:rsid w:val="009B1E28"/>
    <w:rsid w:val="009B208A"/>
    <w:rsid w:val="009B20BC"/>
    <w:rsid w:val="009B2152"/>
    <w:rsid w:val="009B21A8"/>
    <w:rsid w:val="009B2231"/>
    <w:rsid w:val="009B2375"/>
    <w:rsid w:val="009B2563"/>
    <w:rsid w:val="009B2648"/>
    <w:rsid w:val="009B28D9"/>
    <w:rsid w:val="009B2A27"/>
    <w:rsid w:val="009B2AB3"/>
    <w:rsid w:val="009B2AE2"/>
    <w:rsid w:val="009B2B9C"/>
    <w:rsid w:val="009B2BB7"/>
    <w:rsid w:val="009B2CE3"/>
    <w:rsid w:val="009B2DC0"/>
    <w:rsid w:val="009B2DD0"/>
    <w:rsid w:val="009B2FDB"/>
    <w:rsid w:val="009B3113"/>
    <w:rsid w:val="009B314F"/>
    <w:rsid w:val="009B3296"/>
    <w:rsid w:val="009B3575"/>
    <w:rsid w:val="009B35D5"/>
    <w:rsid w:val="009B36B4"/>
    <w:rsid w:val="009B37F4"/>
    <w:rsid w:val="009B3853"/>
    <w:rsid w:val="009B3893"/>
    <w:rsid w:val="009B3A0D"/>
    <w:rsid w:val="009B3A5B"/>
    <w:rsid w:val="009B3C64"/>
    <w:rsid w:val="009B3F0D"/>
    <w:rsid w:val="009B3F91"/>
    <w:rsid w:val="009B3FD0"/>
    <w:rsid w:val="009B412B"/>
    <w:rsid w:val="009B4130"/>
    <w:rsid w:val="009B41F3"/>
    <w:rsid w:val="009B4273"/>
    <w:rsid w:val="009B430A"/>
    <w:rsid w:val="009B43FF"/>
    <w:rsid w:val="009B4761"/>
    <w:rsid w:val="009B4837"/>
    <w:rsid w:val="009B497F"/>
    <w:rsid w:val="009B49B4"/>
    <w:rsid w:val="009B4AFC"/>
    <w:rsid w:val="009B4BE3"/>
    <w:rsid w:val="009B4C09"/>
    <w:rsid w:val="009B4E79"/>
    <w:rsid w:val="009B50C1"/>
    <w:rsid w:val="009B52AB"/>
    <w:rsid w:val="009B5440"/>
    <w:rsid w:val="009B5443"/>
    <w:rsid w:val="009B5649"/>
    <w:rsid w:val="009B5806"/>
    <w:rsid w:val="009B586D"/>
    <w:rsid w:val="009B5D0F"/>
    <w:rsid w:val="009B5D57"/>
    <w:rsid w:val="009B5D99"/>
    <w:rsid w:val="009B5E38"/>
    <w:rsid w:val="009B5FD1"/>
    <w:rsid w:val="009B6031"/>
    <w:rsid w:val="009B614A"/>
    <w:rsid w:val="009B61B1"/>
    <w:rsid w:val="009B6504"/>
    <w:rsid w:val="009B68E8"/>
    <w:rsid w:val="009B69D1"/>
    <w:rsid w:val="009B6ABA"/>
    <w:rsid w:val="009B73C3"/>
    <w:rsid w:val="009B741D"/>
    <w:rsid w:val="009B74CA"/>
    <w:rsid w:val="009B75D2"/>
    <w:rsid w:val="009B760F"/>
    <w:rsid w:val="009B7723"/>
    <w:rsid w:val="009B7797"/>
    <w:rsid w:val="009B7AD9"/>
    <w:rsid w:val="009B7B28"/>
    <w:rsid w:val="009B7C5C"/>
    <w:rsid w:val="009B7D3C"/>
    <w:rsid w:val="009B7E35"/>
    <w:rsid w:val="009B7F0A"/>
    <w:rsid w:val="009B7FD2"/>
    <w:rsid w:val="009B7FF7"/>
    <w:rsid w:val="009C033D"/>
    <w:rsid w:val="009C03AB"/>
    <w:rsid w:val="009C0576"/>
    <w:rsid w:val="009C05E8"/>
    <w:rsid w:val="009C05EE"/>
    <w:rsid w:val="009C0605"/>
    <w:rsid w:val="009C0728"/>
    <w:rsid w:val="009C0743"/>
    <w:rsid w:val="009C085A"/>
    <w:rsid w:val="009C0AA6"/>
    <w:rsid w:val="009C0B32"/>
    <w:rsid w:val="009C0C2C"/>
    <w:rsid w:val="009C0DDB"/>
    <w:rsid w:val="009C0EEE"/>
    <w:rsid w:val="009C0F1A"/>
    <w:rsid w:val="009C0FBA"/>
    <w:rsid w:val="009C1060"/>
    <w:rsid w:val="009C1190"/>
    <w:rsid w:val="009C1545"/>
    <w:rsid w:val="009C16C9"/>
    <w:rsid w:val="009C1AEE"/>
    <w:rsid w:val="009C1CEE"/>
    <w:rsid w:val="009C1D79"/>
    <w:rsid w:val="009C1D7F"/>
    <w:rsid w:val="009C22B8"/>
    <w:rsid w:val="009C2491"/>
    <w:rsid w:val="009C25CF"/>
    <w:rsid w:val="009C260E"/>
    <w:rsid w:val="009C2743"/>
    <w:rsid w:val="009C2774"/>
    <w:rsid w:val="009C27FC"/>
    <w:rsid w:val="009C2800"/>
    <w:rsid w:val="009C287A"/>
    <w:rsid w:val="009C2AD5"/>
    <w:rsid w:val="009C2B3A"/>
    <w:rsid w:val="009C2C33"/>
    <w:rsid w:val="009C2D57"/>
    <w:rsid w:val="009C2F30"/>
    <w:rsid w:val="009C2F97"/>
    <w:rsid w:val="009C3092"/>
    <w:rsid w:val="009C3584"/>
    <w:rsid w:val="009C35EA"/>
    <w:rsid w:val="009C361F"/>
    <w:rsid w:val="009C3642"/>
    <w:rsid w:val="009C38C6"/>
    <w:rsid w:val="009C3933"/>
    <w:rsid w:val="009C3A42"/>
    <w:rsid w:val="009C3BCF"/>
    <w:rsid w:val="009C3C03"/>
    <w:rsid w:val="009C3CD1"/>
    <w:rsid w:val="009C3DC8"/>
    <w:rsid w:val="009C3DE9"/>
    <w:rsid w:val="009C3FE8"/>
    <w:rsid w:val="009C40DA"/>
    <w:rsid w:val="009C4100"/>
    <w:rsid w:val="009C4233"/>
    <w:rsid w:val="009C43E2"/>
    <w:rsid w:val="009C443F"/>
    <w:rsid w:val="009C45A9"/>
    <w:rsid w:val="009C4670"/>
    <w:rsid w:val="009C4810"/>
    <w:rsid w:val="009C49C9"/>
    <w:rsid w:val="009C4A48"/>
    <w:rsid w:val="009C4C14"/>
    <w:rsid w:val="009C4C38"/>
    <w:rsid w:val="009C4CD4"/>
    <w:rsid w:val="009C4DB3"/>
    <w:rsid w:val="009C50D8"/>
    <w:rsid w:val="009C516B"/>
    <w:rsid w:val="009C5281"/>
    <w:rsid w:val="009C5426"/>
    <w:rsid w:val="009C5495"/>
    <w:rsid w:val="009C5530"/>
    <w:rsid w:val="009C55A0"/>
    <w:rsid w:val="009C59C4"/>
    <w:rsid w:val="009C5D85"/>
    <w:rsid w:val="009C5E98"/>
    <w:rsid w:val="009C602E"/>
    <w:rsid w:val="009C62DD"/>
    <w:rsid w:val="009C64A9"/>
    <w:rsid w:val="009C656A"/>
    <w:rsid w:val="009C66A4"/>
    <w:rsid w:val="009C678D"/>
    <w:rsid w:val="009C6853"/>
    <w:rsid w:val="009C687C"/>
    <w:rsid w:val="009C68D7"/>
    <w:rsid w:val="009C694E"/>
    <w:rsid w:val="009C698B"/>
    <w:rsid w:val="009C6B9E"/>
    <w:rsid w:val="009C6D59"/>
    <w:rsid w:val="009C6D9D"/>
    <w:rsid w:val="009C6E13"/>
    <w:rsid w:val="009C6E29"/>
    <w:rsid w:val="009C6FF8"/>
    <w:rsid w:val="009C6FFC"/>
    <w:rsid w:val="009C758A"/>
    <w:rsid w:val="009C75B8"/>
    <w:rsid w:val="009C7703"/>
    <w:rsid w:val="009C7745"/>
    <w:rsid w:val="009C7873"/>
    <w:rsid w:val="009C78A5"/>
    <w:rsid w:val="009C790C"/>
    <w:rsid w:val="009C7962"/>
    <w:rsid w:val="009C7980"/>
    <w:rsid w:val="009C7A0B"/>
    <w:rsid w:val="009C7AF6"/>
    <w:rsid w:val="009C7B87"/>
    <w:rsid w:val="009C7CF2"/>
    <w:rsid w:val="009C7DF5"/>
    <w:rsid w:val="009C7F5A"/>
    <w:rsid w:val="009D0079"/>
    <w:rsid w:val="009D0373"/>
    <w:rsid w:val="009D0487"/>
    <w:rsid w:val="009D04B7"/>
    <w:rsid w:val="009D07A2"/>
    <w:rsid w:val="009D0AD8"/>
    <w:rsid w:val="009D0BFF"/>
    <w:rsid w:val="009D0CF1"/>
    <w:rsid w:val="009D0D34"/>
    <w:rsid w:val="009D10F2"/>
    <w:rsid w:val="009D10F4"/>
    <w:rsid w:val="009D12D2"/>
    <w:rsid w:val="009D1370"/>
    <w:rsid w:val="009D14F2"/>
    <w:rsid w:val="009D161E"/>
    <w:rsid w:val="009D1923"/>
    <w:rsid w:val="009D1968"/>
    <w:rsid w:val="009D196D"/>
    <w:rsid w:val="009D19AD"/>
    <w:rsid w:val="009D1A5A"/>
    <w:rsid w:val="009D1B50"/>
    <w:rsid w:val="009D1E5C"/>
    <w:rsid w:val="009D1F2B"/>
    <w:rsid w:val="009D2110"/>
    <w:rsid w:val="009D233D"/>
    <w:rsid w:val="009D2379"/>
    <w:rsid w:val="009D2590"/>
    <w:rsid w:val="009D26DD"/>
    <w:rsid w:val="009D271D"/>
    <w:rsid w:val="009D281A"/>
    <w:rsid w:val="009D29A4"/>
    <w:rsid w:val="009D2B96"/>
    <w:rsid w:val="009D2C05"/>
    <w:rsid w:val="009D2CDF"/>
    <w:rsid w:val="009D2DE0"/>
    <w:rsid w:val="009D2F8F"/>
    <w:rsid w:val="009D3002"/>
    <w:rsid w:val="009D3215"/>
    <w:rsid w:val="009D326C"/>
    <w:rsid w:val="009D3421"/>
    <w:rsid w:val="009D35A9"/>
    <w:rsid w:val="009D36B6"/>
    <w:rsid w:val="009D39C1"/>
    <w:rsid w:val="009D3AD4"/>
    <w:rsid w:val="009D3D17"/>
    <w:rsid w:val="009D3E68"/>
    <w:rsid w:val="009D3F66"/>
    <w:rsid w:val="009D4057"/>
    <w:rsid w:val="009D40D1"/>
    <w:rsid w:val="009D40F4"/>
    <w:rsid w:val="009D4171"/>
    <w:rsid w:val="009D423A"/>
    <w:rsid w:val="009D4412"/>
    <w:rsid w:val="009D4477"/>
    <w:rsid w:val="009D44E3"/>
    <w:rsid w:val="009D47FC"/>
    <w:rsid w:val="009D4840"/>
    <w:rsid w:val="009D486E"/>
    <w:rsid w:val="009D4BBF"/>
    <w:rsid w:val="009D5126"/>
    <w:rsid w:val="009D5133"/>
    <w:rsid w:val="009D5269"/>
    <w:rsid w:val="009D5281"/>
    <w:rsid w:val="009D558C"/>
    <w:rsid w:val="009D55C6"/>
    <w:rsid w:val="009D56A1"/>
    <w:rsid w:val="009D57E2"/>
    <w:rsid w:val="009D581F"/>
    <w:rsid w:val="009D5AD7"/>
    <w:rsid w:val="009D5E2E"/>
    <w:rsid w:val="009D5F28"/>
    <w:rsid w:val="009D5FDB"/>
    <w:rsid w:val="009D629A"/>
    <w:rsid w:val="009D6583"/>
    <w:rsid w:val="009D6649"/>
    <w:rsid w:val="009D66B0"/>
    <w:rsid w:val="009D66DF"/>
    <w:rsid w:val="009D66FB"/>
    <w:rsid w:val="009D67D9"/>
    <w:rsid w:val="009D680C"/>
    <w:rsid w:val="009D6814"/>
    <w:rsid w:val="009D68B7"/>
    <w:rsid w:val="009D6C49"/>
    <w:rsid w:val="009D6D19"/>
    <w:rsid w:val="009D6DFF"/>
    <w:rsid w:val="009D6EE8"/>
    <w:rsid w:val="009D6F67"/>
    <w:rsid w:val="009D6FB6"/>
    <w:rsid w:val="009D77A5"/>
    <w:rsid w:val="009D796B"/>
    <w:rsid w:val="009D7A86"/>
    <w:rsid w:val="009D7CDB"/>
    <w:rsid w:val="009D7D6C"/>
    <w:rsid w:val="009E0116"/>
    <w:rsid w:val="009E0155"/>
    <w:rsid w:val="009E0204"/>
    <w:rsid w:val="009E03E8"/>
    <w:rsid w:val="009E0542"/>
    <w:rsid w:val="009E054B"/>
    <w:rsid w:val="009E0638"/>
    <w:rsid w:val="009E0794"/>
    <w:rsid w:val="009E084E"/>
    <w:rsid w:val="009E0C70"/>
    <w:rsid w:val="009E0EA3"/>
    <w:rsid w:val="009E0ED6"/>
    <w:rsid w:val="009E0EE0"/>
    <w:rsid w:val="009E1194"/>
    <w:rsid w:val="009E11DB"/>
    <w:rsid w:val="009E1237"/>
    <w:rsid w:val="009E12C2"/>
    <w:rsid w:val="009E137F"/>
    <w:rsid w:val="009E139B"/>
    <w:rsid w:val="009E1702"/>
    <w:rsid w:val="009E1833"/>
    <w:rsid w:val="009E1B52"/>
    <w:rsid w:val="009E1C83"/>
    <w:rsid w:val="009E1DCA"/>
    <w:rsid w:val="009E1E89"/>
    <w:rsid w:val="009E1F23"/>
    <w:rsid w:val="009E210E"/>
    <w:rsid w:val="009E2167"/>
    <w:rsid w:val="009E217B"/>
    <w:rsid w:val="009E259E"/>
    <w:rsid w:val="009E25C1"/>
    <w:rsid w:val="009E272F"/>
    <w:rsid w:val="009E275B"/>
    <w:rsid w:val="009E275E"/>
    <w:rsid w:val="009E2A80"/>
    <w:rsid w:val="009E2B60"/>
    <w:rsid w:val="009E2E77"/>
    <w:rsid w:val="009E346E"/>
    <w:rsid w:val="009E3483"/>
    <w:rsid w:val="009E34CD"/>
    <w:rsid w:val="009E376A"/>
    <w:rsid w:val="009E397F"/>
    <w:rsid w:val="009E3CC4"/>
    <w:rsid w:val="009E3DA3"/>
    <w:rsid w:val="009E3DF7"/>
    <w:rsid w:val="009E3EF3"/>
    <w:rsid w:val="009E3EF9"/>
    <w:rsid w:val="009E42BB"/>
    <w:rsid w:val="009E4406"/>
    <w:rsid w:val="009E4447"/>
    <w:rsid w:val="009E4709"/>
    <w:rsid w:val="009E473F"/>
    <w:rsid w:val="009E483A"/>
    <w:rsid w:val="009E48B8"/>
    <w:rsid w:val="009E48D6"/>
    <w:rsid w:val="009E49AF"/>
    <w:rsid w:val="009E4AED"/>
    <w:rsid w:val="009E4B10"/>
    <w:rsid w:val="009E4D10"/>
    <w:rsid w:val="009E4E90"/>
    <w:rsid w:val="009E5490"/>
    <w:rsid w:val="009E56A8"/>
    <w:rsid w:val="009E58BB"/>
    <w:rsid w:val="009E59CC"/>
    <w:rsid w:val="009E5B00"/>
    <w:rsid w:val="009E5DB9"/>
    <w:rsid w:val="009E5E5B"/>
    <w:rsid w:val="009E6064"/>
    <w:rsid w:val="009E60A6"/>
    <w:rsid w:val="009E60CF"/>
    <w:rsid w:val="009E60EE"/>
    <w:rsid w:val="009E6226"/>
    <w:rsid w:val="009E64A8"/>
    <w:rsid w:val="009E6545"/>
    <w:rsid w:val="009E657F"/>
    <w:rsid w:val="009E6627"/>
    <w:rsid w:val="009E6898"/>
    <w:rsid w:val="009E6A15"/>
    <w:rsid w:val="009E6AE0"/>
    <w:rsid w:val="009E6DB1"/>
    <w:rsid w:val="009E6E1F"/>
    <w:rsid w:val="009E6E39"/>
    <w:rsid w:val="009E7015"/>
    <w:rsid w:val="009E70ED"/>
    <w:rsid w:val="009E7116"/>
    <w:rsid w:val="009E740C"/>
    <w:rsid w:val="009E75E1"/>
    <w:rsid w:val="009E78A3"/>
    <w:rsid w:val="009E7943"/>
    <w:rsid w:val="009E7E5A"/>
    <w:rsid w:val="009F0045"/>
    <w:rsid w:val="009F0163"/>
    <w:rsid w:val="009F025D"/>
    <w:rsid w:val="009F02A5"/>
    <w:rsid w:val="009F058F"/>
    <w:rsid w:val="009F0636"/>
    <w:rsid w:val="009F081C"/>
    <w:rsid w:val="009F0CA0"/>
    <w:rsid w:val="009F0E72"/>
    <w:rsid w:val="009F0E9C"/>
    <w:rsid w:val="009F119A"/>
    <w:rsid w:val="009F1520"/>
    <w:rsid w:val="009F15D0"/>
    <w:rsid w:val="009F1636"/>
    <w:rsid w:val="009F1BA5"/>
    <w:rsid w:val="009F1BCD"/>
    <w:rsid w:val="009F1C51"/>
    <w:rsid w:val="009F1C98"/>
    <w:rsid w:val="009F1CB7"/>
    <w:rsid w:val="009F1CBF"/>
    <w:rsid w:val="009F1DBE"/>
    <w:rsid w:val="009F1E8E"/>
    <w:rsid w:val="009F1F4A"/>
    <w:rsid w:val="009F1F62"/>
    <w:rsid w:val="009F2283"/>
    <w:rsid w:val="009F2426"/>
    <w:rsid w:val="009F2676"/>
    <w:rsid w:val="009F2726"/>
    <w:rsid w:val="009F28D9"/>
    <w:rsid w:val="009F2A88"/>
    <w:rsid w:val="009F2B6B"/>
    <w:rsid w:val="009F2BC0"/>
    <w:rsid w:val="009F2C03"/>
    <w:rsid w:val="009F2C16"/>
    <w:rsid w:val="009F2C4B"/>
    <w:rsid w:val="009F2C53"/>
    <w:rsid w:val="009F2C8A"/>
    <w:rsid w:val="009F2D53"/>
    <w:rsid w:val="009F2DEC"/>
    <w:rsid w:val="009F32E0"/>
    <w:rsid w:val="009F3321"/>
    <w:rsid w:val="009F35C2"/>
    <w:rsid w:val="009F3640"/>
    <w:rsid w:val="009F3658"/>
    <w:rsid w:val="009F374A"/>
    <w:rsid w:val="009F3814"/>
    <w:rsid w:val="009F38E0"/>
    <w:rsid w:val="009F3C4F"/>
    <w:rsid w:val="009F3D38"/>
    <w:rsid w:val="009F3F68"/>
    <w:rsid w:val="009F4130"/>
    <w:rsid w:val="009F421A"/>
    <w:rsid w:val="009F4298"/>
    <w:rsid w:val="009F4323"/>
    <w:rsid w:val="009F4374"/>
    <w:rsid w:val="009F44A5"/>
    <w:rsid w:val="009F466F"/>
    <w:rsid w:val="009F468A"/>
    <w:rsid w:val="009F46D9"/>
    <w:rsid w:val="009F4755"/>
    <w:rsid w:val="009F4769"/>
    <w:rsid w:val="009F4E69"/>
    <w:rsid w:val="009F50AF"/>
    <w:rsid w:val="009F51EC"/>
    <w:rsid w:val="009F52AE"/>
    <w:rsid w:val="009F53D8"/>
    <w:rsid w:val="009F548F"/>
    <w:rsid w:val="009F57B4"/>
    <w:rsid w:val="009F58E8"/>
    <w:rsid w:val="009F5985"/>
    <w:rsid w:val="009F5AB1"/>
    <w:rsid w:val="009F5B05"/>
    <w:rsid w:val="009F5B2E"/>
    <w:rsid w:val="009F5C54"/>
    <w:rsid w:val="009F5CA3"/>
    <w:rsid w:val="009F5D33"/>
    <w:rsid w:val="009F5D5D"/>
    <w:rsid w:val="009F60E5"/>
    <w:rsid w:val="009F67DC"/>
    <w:rsid w:val="009F68FD"/>
    <w:rsid w:val="009F69D4"/>
    <w:rsid w:val="009F6C4F"/>
    <w:rsid w:val="009F6F12"/>
    <w:rsid w:val="009F6F87"/>
    <w:rsid w:val="009F6FD9"/>
    <w:rsid w:val="009F7043"/>
    <w:rsid w:val="009F705F"/>
    <w:rsid w:val="009F7159"/>
    <w:rsid w:val="009F7341"/>
    <w:rsid w:val="009F7387"/>
    <w:rsid w:val="009F7448"/>
    <w:rsid w:val="009F7500"/>
    <w:rsid w:val="009F7536"/>
    <w:rsid w:val="009F7569"/>
    <w:rsid w:val="009F756B"/>
    <w:rsid w:val="009F75BD"/>
    <w:rsid w:val="009F764A"/>
    <w:rsid w:val="009F7B9E"/>
    <w:rsid w:val="009F7C27"/>
    <w:rsid w:val="009F7D6F"/>
    <w:rsid w:val="009F7DFC"/>
    <w:rsid w:val="009F7DFD"/>
    <w:rsid w:val="009F7F12"/>
    <w:rsid w:val="00A00211"/>
    <w:rsid w:val="00A003A1"/>
    <w:rsid w:val="00A00564"/>
    <w:rsid w:val="00A006AE"/>
    <w:rsid w:val="00A0086F"/>
    <w:rsid w:val="00A00927"/>
    <w:rsid w:val="00A0093F"/>
    <w:rsid w:val="00A00958"/>
    <w:rsid w:val="00A00B0D"/>
    <w:rsid w:val="00A00BA4"/>
    <w:rsid w:val="00A0148E"/>
    <w:rsid w:val="00A017B3"/>
    <w:rsid w:val="00A01887"/>
    <w:rsid w:val="00A01A79"/>
    <w:rsid w:val="00A01C2C"/>
    <w:rsid w:val="00A01CAD"/>
    <w:rsid w:val="00A01E86"/>
    <w:rsid w:val="00A02277"/>
    <w:rsid w:val="00A023E9"/>
    <w:rsid w:val="00A02513"/>
    <w:rsid w:val="00A026E1"/>
    <w:rsid w:val="00A02A15"/>
    <w:rsid w:val="00A02BAA"/>
    <w:rsid w:val="00A02C01"/>
    <w:rsid w:val="00A02DBE"/>
    <w:rsid w:val="00A02E6F"/>
    <w:rsid w:val="00A02FB6"/>
    <w:rsid w:val="00A03132"/>
    <w:rsid w:val="00A032B5"/>
    <w:rsid w:val="00A033F3"/>
    <w:rsid w:val="00A036C1"/>
    <w:rsid w:val="00A03829"/>
    <w:rsid w:val="00A038E3"/>
    <w:rsid w:val="00A03B1F"/>
    <w:rsid w:val="00A03B27"/>
    <w:rsid w:val="00A03BA8"/>
    <w:rsid w:val="00A03C0A"/>
    <w:rsid w:val="00A03C30"/>
    <w:rsid w:val="00A03C38"/>
    <w:rsid w:val="00A03E4A"/>
    <w:rsid w:val="00A03F98"/>
    <w:rsid w:val="00A0400D"/>
    <w:rsid w:val="00A04053"/>
    <w:rsid w:val="00A0425C"/>
    <w:rsid w:val="00A04668"/>
    <w:rsid w:val="00A04EEA"/>
    <w:rsid w:val="00A051C2"/>
    <w:rsid w:val="00A05218"/>
    <w:rsid w:val="00A0524C"/>
    <w:rsid w:val="00A0527F"/>
    <w:rsid w:val="00A05317"/>
    <w:rsid w:val="00A05347"/>
    <w:rsid w:val="00A05377"/>
    <w:rsid w:val="00A053B1"/>
    <w:rsid w:val="00A054D6"/>
    <w:rsid w:val="00A05534"/>
    <w:rsid w:val="00A055B4"/>
    <w:rsid w:val="00A05F6D"/>
    <w:rsid w:val="00A0621B"/>
    <w:rsid w:val="00A06323"/>
    <w:rsid w:val="00A06367"/>
    <w:rsid w:val="00A066AE"/>
    <w:rsid w:val="00A0678A"/>
    <w:rsid w:val="00A06A2F"/>
    <w:rsid w:val="00A06A48"/>
    <w:rsid w:val="00A06AB1"/>
    <w:rsid w:val="00A06B4C"/>
    <w:rsid w:val="00A06B8F"/>
    <w:rsid w:val="00A06D74"/>
    <w:rsid w:val="00A06DDE"/>
    <w:rsid w:val="00A07193"/>
    <w:rsid w:val="00A07258"/>
    <w:rsid w:val="00A07398"/>
    <w:rsid w:val="00A0742C"/>
    <w:rsid w:val="00A07526"/>
    <w:rsid w:val="00A07809"/>
    <w:rsid w:val="00A07941"/>
    <w:rsid w:val="00A07B51"/>
    <w:rsid w:val="00A07D8C"/>
    <w:rsid w:val="00A07DCC"/>
    <w:rsid w:val="00A07FB9"/>
    <w:rsid w:val="00A07FE4"/>
    <w:rsid w:val="00A10027"/>
    <w:rsid w:val="00A1023C"/>
    <w:rsid w:val="00A1032D"/>
    <w:rsid w:val="00A10497"/>
    <w:rsid w:val="00A106D1"/>
    <w:rsid w:val="00A10877"/>
    <w:rsid w:val="00A10BD1"/>
    <w:rsid w:val="00A10BEF"/>
    <w:rsid w:val="00A10DA1"/>
    <w:rsid w:val="00A10EBA"/>
    <w:rsid w:val="00A10F5F"/>
    <w:rsid w:val="00A11047"/>
    <w:rsid w:val="00A110DC"/>
    <w:rsid w:val="00A1116F"/>
    <w:rsid w:val="00A111ED"/>
    <w:rsid w:val="00A112CD"/>
    <w:rsid w:val="00A112D4"/>
    <w:rsid w:val="00A112E2"/>
    <w:rsid w:val="00A115A6"/>
    <w:rsid w:val="00A117A4"/>
    <w:rsid w:val="00A11C1F"/>
    <w:rsid w:val="00A11CDF"/>
    <w:rsid w:val="00A11E00"/>
    <w:rsid w:val="00A120B4"/>
    <w:rsid w:val="00A121C4"/>
    <w:rsid w:val="00A1223E"/>
    <w:rsid w:val="00A12271"/>
    <w:rsid w:val="00A12432"/>
    <w:rsid w:val="00A12670"/>
    <w:rsid w:val="00A127E2"/>
    <w:rsid w:val="00A1285F"/>
    <w:rsid w:val="00A1289F"/>
    <w:rsid w:val="00A129B6"/>
    <w:rsid w:val="00A12AE6"/>
    <w:rsid w:val="00A12ED9"/>
    <w:rsid w:val="00A1305D"/>
    <w:rsid w:val="00A130F7"/>
    <w:rsid w:val="00A13541"/>
    <w:rsid w:val="00A137BF"/>
    <w:rsid w:val="00A13F9B"/>
    <w:rsid w:val="00A14010"/>
    <w:rsid w:val="00A1425F"/>
    <w:rsid w:val="00A144C0"/>
    <w:rsid w:val="00A14634"/>
    <w:rsid w:val="00A1463E"/>
    <w:rsid w:val="00A14641"/>
    <w:rsid w:val="00A1496F"/>
    <w:rsid w:val="00A14E7F"/>
    <w:rsid w:val="00A14EFF"/>
    <w:rsid w:val="00A14FF7"/>
    <w:rsid w:val="00A1500C"/>
    <w:rsid w:val="00A150CF"/>
    <w:rsid w:val="00A150FA"/>
    <w:rsid w:val="00A1522D"/>
    <w:rsid w:val="00A152A8"/>
    <w:rsid w:val="00A153AD"/>
    <w:rsid w:val="00A15547"/>
    <w:rsid w:val="00A156EB"/>
    <w:rsid w:val="00A15728"/>
    <w:rsid w:val="00A158F5"/>
    <w:rsid w:val="00A15B6B"/>
    <w:rsid w:val="00A15BD2"/>
    <w:rsid w:val="00A15D69"/>
    <w:rsid w:val="00A161A4"/>
    <w:rsid w:val="00A161A7"/>
    <w:rsid w:val="00A162C4"/>
    <w:rsid w:val="00A16565"/>
    <w:rsid w:val="00A16729"/>
    <w:rsid w:val="00A16774"/>
    <w:rsid w:val="00A16817"/>
    <w:rsid w:val="00A16A23"/>
    <w:rsid w:val="00A16BBD"/>
    <w:rsid w:val="00A16D1D"/>
    <w:rsid w:val="00A16D54"/>
    <w:rsid w:val="00A16E1D"/>
    <w:rsid w:val="00A16ED2"/>
    <w:rsid w:val="00A171C6"/>
    <w:rsid w:val="00A1723E"/>
    <w:rsid w:val="00A172F7"/>
    <w:rsid w:val="00A1734E"/>
    <w:rsid w:val="00A17378"/>
    <w:rsid w:val="00A175E5"/>
    <w:rsid w:val="00A1775F"/>
    <w:rsid w:val="00A1791A"/>
    <w:rsid w:val="00A179B7"/>
    <w:rsid w:val="00A17A8C"/>
    <w:rsid w:val="00A17E30"/>
    <w:rsid w:val="00A17EC2"/>
    <w:rsid w:val="00A20186"/>
    <w:rsid w:val="00A20189"/>
    <w:rsid w:val="00A20270"/>
    <w:rsid w:val="00A2029E"/>
    <w:rsid w:val="00A202A0"/>
    <w:rsid w:val="00A2045F"/>
    <w:rsid w:val="00A2086A"/>
    <w:rsid w:val="00A20A1E"/>
    <w:rsid w:val="00A20ACA"/>
    <w:rsid w:val="00A20BBA"/>
    <w:rsid w:val="00A20C05"/>
    <w:rsid w:val="00A20CAE"/>
    <w:rsid w:val="00A21174"/>
    <w:rsid w:val="00A212D5"/>
    <w:rsid w:val="00A2169A"/>
    <w:rsid w:val="00A218BF"/>
    <w:rsid w:val="00A218FA"/>
    <w:rsid w:val="00A219E3"/>
    <w:rsid w:val="00A21A1A"/>
    <w:rsid w:val="00A21A85"/>
    <w:rsid w:val="00A21ADA"/>
    <w:rsid w:val="00A21B12"/>
    <w:rsid w:val="00A21B83"/>
    <w:rsid w:val="00A21CB2"/>
    <w:rsid w:val="00A21CEE"/>
    <w:rsid w:val="00A21DDD"/>
    <w:rsid w:val="00A220F4"/>
    <w:rsid w:val="00A221C3"/>
    <w:rsid w:val="00A2220F"/>
    <w:rsid w:val="00A2228F"/>
    <w:rsid w:val="00A22355"/>
    <w:rsid w:val="00A223C6"/>
    <w:rsid w:val="00A224EB"/>
    <w:rsid w:val="00A225BC"/>
    <w:rsid w:val="00A225DD"/>
    <w:rsid w:val="00A22825"/>
    <w:rsid w:val="00A2296E"/>
    <w:rsid w:val="00A22B6F"/>
    <w:rsid w:val="00A22B88"/>
    <w:rsid w:val="00A22CE3"/>
    <w:rsid w:val="00A22E67"/>
    <w:rsid w:val="00A22E6C"/>
    <w:rsid w:val="00A22F68"/>
    <w:rsid w:val="00A2310D"/>
    <w:rsid w:val="00A23582"/>
    <w:rsid w:val="00A235EA"/>
    <w:rsid w:val="00A236D2"/>
    <w:rsid w:val="00A2377F"/>
    <w:rsid w:val="00A237AE"/>
    <w:rsid w:val="00A23805"/>
    <w:rsid w:val="00A2401C"/>
    <w:rsid w:val="00A240F8"/>
    <w:rsid w:val="00A2411E"/>
    <w:rsid w:val="00A241C1"/>
    <w:rsid w:val="00A2423C"/>
    <w:rsid w:val="00A24243"/>
    <w:rsid w:val="00A245EB"/>
    <w:rsid w:val="00A2462E"/>
    <w:rsid w:val="00A2487C"/>
    <w:rsid w:val="00A24AA4"/>
    <w:rsid w:val="00A24B99"/>
    <w:rsid w:val="00A24BDC"/>
    <w:rsid w:val="00A24CE4"/>
    <w:rsid w:val="00A24DB6"/>
    <w:rsid w:val="00A24E4E"/>
    <w:rsid w:val="00A24FF3"/>
    <w:rsid w:val="00A2520C"/>
    <w:rsid w:val="00A254B8"/>
    <w:rsid w:val="00A2572C"/>
    <w:rsid w:val="00A25799"/>
    <w:rsid w:val="00A25931"/>
    <w:rsid w:val="00A25960"/>
    <w:rsid w:val="00A259D7"/>
    <w:rsid w:val="00A25D2A"/>
    <w:rsid w:val="00A25FA1"/>
    <w:rsid w:val="00A262B5"/>
    <w:rsid w:val="00A262CC"/>
    <w:rsid w:val="00A2652D"/>
    <w:rsid w:val="00A26551"/>
    <w:rsid w:val="00A265AF"/>
    <w:rsid w:val="00A2665B"/>
    <w:rsid w:val="00A266C8"/>
    <w:rsid w:val="00A267DE"/>
    <w:rsid w:val="00A26905"/>
    <w:rsid w:val="00A26AEB"/>
    <w:rsid w:val="00A26BAA"/>
    <w:rsid w:val="00A26BCD"/>
    <w:rsid w:val="00A26C09"/>
    <w:rsid w:val="00A26D2C"/>
    <w:rsid w:val="00A26DC5"/>
    <w:rsid w:val="00A26EBC"/>
    <w:rsid w:val="00A26F76"/>
    <w:rsid w:val="00A27351"/>
    <w:rsid w:val="00A2736C"/>
    <w:rsid w:val="00A27532"/>
    <w:rsid w:val="00A2759D"/>
    <w:rsid w:val="00A27863"/>
    <w:rsid w:val="00A27867"/>
    <w:rsid w:val="00A27952"/>
    <w:rsid w:val="00A279E1"/>
    <w:rsid w:val="00A27A1C"/>
    <w:rsid w:val="00A3016D"/>
    <w:rsid w:val="00A3018B"/>
    <w:rsid w:val="00A30233"/>
    <w:rsid w:val="00A30254"/>
    <w:rsid w:val="00A30689"/>
    <w:rsid w:val="00A30A9E"/>
    <w:rsid w:val="00A30BA2"/>
    <w:rsid w:val="00A30C94"/>
    <w:rsid w:val="00A30CE1"/>
    <w:rsid w:val="00A30D4C"/>
    <w:rsid w:val="00A3114A"/>
    <w:rsid w:val="00A31236"/>
    <w:rsid w:val="00A3127D"/>
    <w:rsid w:val="00A313F6"/>
    <w:rsid w:val="00A3158C"/>
    <w:rsid w:val="00A318F4"/>
    <w:rsid w:val="00A31B34"/>
    <w:rsid w:val="00A31CBF"/>
    <w:rsid w:val="00A31EDB"/>
    <w:rsid w:val="00A32373"/>
    <w:rsid w:val="00A325A1"/>
    <w:rsid w:val="00A325C4"/>
    <w:rsid w:val="00A325FA"/>
    <w:rsid w:val="00A32766"/>
    <w:rsid w:val="00A329C5"/>
    <w:rsid w:val="00A32BCC"/>
    <w:rsid w:val="00A32D4C"/>
    <w:rsid w:val="00A32D92"/>
    <w:rsid w:val="00A32E1A"/>
    <w:rsid w:val="00A32E3D"/>
    <w:rsid w:val="00A32F03"/>
    <w:rsid w:val="00A32F18"/>
    <w:rsid w:val="00A32F67"/>
    <w:rsid w:val="00A32FB8"/>
    <w:rsid w:val="00A33053"/>
    <w:rsid w:val="00A33206"/>
    <w:rsid w:val="00A3325E"/>
    <w:rsid w:val="00A33287"/>
    <w:rsid w:val="00A3329F"/>
    <w:rsid w:val="00A33367"/>
    <w:rsid w:val="00A334E8"/>
    <w:rsid w:val="00A33517"/>
    <w:rsid w:val="00A335DC"/>
    <w:rsid w:val="00A33672"/>
    <w:rsid w:val="00A3377E"/>
    <w:rsid w:val="00A337AA"/>
    <w:rsid w:val="00A338A2"/>
    <w:rsid w:val="00A339A1"/>
    <w:rsid w:val="00A33C77"/>
    <w:rsid w:val="00A33E32"/>
    <w:rsid w:val="00A343DF"/>
    <w:rsid w:val="00A34422"/>
    <w:rsid w:val="00A344A0"/>
    <w:rsid w:val="00A3481D"/>
    <w:rsid w:val="00A34822"/>
    <w:rsid w:val="00A3488B"/>
    <w:rsid w:val="00A348E1"/>
    <w:rsid w:val="00A348FE"/>
    <w:rsid w:val="00A349FD"/>
    <w:rsid w:val="00A34D3E"/>
    <w:rsid w:val="00A35216"/>
    <w:rsid w:val="00A35324"/>
    <w:rsid w:val="00A35383"/>
    <w:rsid w:val="00A35A3D"/>
    <w:rsid w:val="00A35B81"/>
    <w:rsid w:val="00A35CA2"/>
    <w:rsid w:val="00A35D8F"/>
    <w:rsid w:val="00A35D9F"/>
    <w:rsid w:val="00A35F80"/>
    <w:rsid w:val="00A36057"/>
    <w:rsid w:val="00A3608F"/>
    <w:rsid w:val="00A3609E"/>
    <w:rsid w:val="00A360C9"/>
    <w:rsid w:val="00A361EC"/>
    <w:rsid w:val="00A36285"/>
    <w:rsid w:val="00A363B8"/>
    <w:rsid w:val="00A364CC"/>
    <w:rsid w:val="00A36773"/>
    <w:rsid w:val="00A3683B"/>
    <w:rsid w:val="00A36884"/>
    <w:rsid w:val="00A36C97"/>
    <w:rsid w:val="00A36D4E"/>
    <w:rsid w:val="00A36E57"/>
    <w:rsid w:val="00A36FB5"/>
    <w:rsid w:val="00A36FD6"/>
    <w:rsid w:val="00A370C5"/>
    <w:rsid w:val="00A37541"/>
    <w:rsid w:val="00A37607"/>
    <w:rsid w:val="00A37837"/>
    <w:rsid w:val="00A378F8"/>
    <w:rsid w:val="00A37B1D"/>
    <w:rsid w:val="00A37B42"/>
    <w:rsid w:val="00A37C7C"/>
    <w:rsid w:val="00A37FB3"/>
    <w:rsid w:val="00A40003"/>
    <w:rsid w:val="00A40107"/>
    <w:rsid w:val="00A401A7"/>
    <w:rsid w:val="00A40338"/>
    <w:rsid w:val="00A404A5"/>
    <w:rsid w:val="00A404F5"/>
    <w:rsid w:val="00A40501"/>
    <w:rsid w:val="00A406A7"/>
    <w:rsid w:val="00A407F2"/>
    <w:rsid w:val="00A40822"/>
    <w:rsid w:val="00A408AA"/>
    <w:rsid w:val="00A40A5E"/>
    <w:rsid w:val="00A40C97"/>
    <w:rsid w:val="00A40D9C"/>
    <w:rsid w:val="00A40F15"/>
    <w:rsid w:val="00A4112C"/>
    <w:rsid w:val="00A4112D"/>
    <w:rsid w:val="00A411CC"/>
    <w:rsid w:val="00A411CE"/>
    <w:rsid w:val="00A41405"/>
    <w:rsid w:val="00A414FC"/>
    <w:rsid w:val="00A415EA"/>
    <w:rsid w:val="00A41681"/>
    <w:rsid w:val="00A4177E"/>
    <w:rsid w:val="00A417E9"/>
    <w:rsid w:val="00A417F1"/>
    <w:rsid w:val="00A41829"/>
    <w:rsid w:val="00A419AC"/>
    <w:rsid w:val="00A41A06"/>
    <w:rsid w:val="00A41B67"/>
    <w:rsid w:val="00A41BAD"/>
    <w:rsid w:val="00A41D07"/>
    <w:rsid w:val="00A41F4C"/>
    <w:rsid w:val="00A42010"/>
    <w:rsid w:val="00A42204"/>
    <w:rsid w:val="00A42303"/>
    <w:rsid w:val="00A42329"/>
    <w:rsid w:val="00A42535"/>
    <w:rsid w:val="00A42841"/>
    <w:rsid w:val="00A42944"/>
    <w:rsid w:val="00A4296F"/>
    <w:rsid w:val="00A429F4"/>
    <w:rsid w:val="00A43059"/>
    <w:rsid w:val="00A4312F"/>
    <w:rsid w:val="00A431D2"/>
    <w:rsid w:val="00A431D8"/>
    <w:rsid w:val="00A431FF"/>
    <w:rsid w:val="00A43208"/>
    <w:rsid w:val="00A43241"/>
    <w:rsid w:val="00A43291"/>
    <w:rsid w:val="00A432DD"/>
    <w:rsid w:val="00A43534"/>
    <w:rsid w:val="00A43606"/>
    <w:rsid w:val="00A43678"/>
    <w:rsid w:val="00A436F5"/>
    <w:rsid w:val="00A43732"/>
    <w:rsid w:val="00A43988"/>
    <w:rsid w:val="00A43B69"/>
    <w:rsid w:val="00A43B77"/>
    <w:rsid w:val="00A43BEA"/>
    <w:rsid w:val="00A43BEB"/>
    <w:rsid w:val="00A43C41"/>
    <w:rsid w:val="00A43DCE"/>
    <w:rsid w:val="00A43E99"/>
    <w:rsid w:val="00A43FCC"/>
    <w:rsid w:val="00A440AE"/>
    <w:rsid w:val="00A441EF"/>
    <w:rsid w:val="00A442F3"/>
    <w:rsid w:val="00A44467"/>
    <w:rsid w:val="00A444C3"/>
    <w:rsid w:val="00A44769"/>
    <w:rsid w:val="00A44861"/>
    <w:rsid w:val="00A4488B"/>
    <w:rsid w:val="00A44928"/>
    <w:rsid w:val="00A44A31"/>
    <w:rsid w:val="00A44A7B"/>
    <w:rsid w:val="00A44DE6"/>
    <w:rsid w:val="00A44E5F"/>
    <w:rsid w:val="00A45062"/>
    <w:rsid w:val="00A4512B"/>
    <w:rsid w:val="00A457A6"/>
    <w:rsid w:val="00A45A32"/>
    <w:rsid w:val="00A45DE5"/>
    <w:rsid w:val="00A45EE3"/>
    <w:rsid w:val="00A4639B"/>
    <w:rsid w:val="00A46463"/>
    <w:rsid w:val="00A464D2"/>
    <w:rsid w:val="00A464D6"/>
    <w:rsid w:val="00A46606"/>
    <w:rsid w:val="00A467A7"/>
    <w:rsid w:val="00A4684D"/>
    <w:rsid w:val="00A468FC"/>
    <w:rsid w:val="00A46936"/>
    <w:rsid w:val="00A4694B"/>
    <w:rsid w:val="00A469B9"/>
    <w:rsid w:val="00A46A11"/>
    <w:rsid w:val="00A46B20"/>
    <w:rsid w:val="00A46CB9"/>
    <w:rsid w:val="00A46D8D"/>
    <w:rsid w:val="00A46F6C"/>
    <w:rsid w:val="00A47021"/>
    <w:rsid w:val="00A47045"/>
    <w:rsid w:val="00A47193"/>
    <w:rsid w:val="00A4734C"/>
    <w:rsid w:val="00A473AA"/>
    <w:rsid w:val="00A47507"/>
    <w:rsid w:val="00A4764A"/>
    <w:rsid w:val="00A476F2"/>
    <w:rsid w:val="00A47748"/>
    <w:rsid w:val="00A47877"/>
    <w:rsid w:val="00A47878"/>
    <w:rsid w:val="00A4787A"/>
    <w:rsid w:val="00A47DA1"/>
    <w:rsid w:val="00A47DC0"/>
    <w:rsid w:val="00A47EDA"/>
    <w:rsid w:val="00A50049"/>
    <w:rsid w:val="00A50050"/>
    <w:rsid w:val="00A500BE"/>
    <w:rsid w:val="00A5048B"/>
    <w:rsid w:val="00A5050A"/>
    <w:rsid w:val="00A505D9"/>
    <w:rsid w:val="00A50633"/>
    <w:rsid w:val="00A506FA"/>
    <w:rsid w:val="00A50906"/>
    <w:rsid w:val="00A5098A"/>
    <w:rsid w:val="00A509AB"/>
    <w:rsid w:val="00A50C14"/>
    <w:rsid w:val="00A50C35"/>
    <w:rsid w:val="00A50C41"/>
    <w:rsid w:val="00A50C5D"/>
    <w:rsid w:val="00A50C8D"/>
    <w:rsid w:val="00A50D38"/>
    <w:rsid w:val="00A50D6D"/>
    <w:rsid w:val="00A50EA4"/>
    <w:rsid w:val="00A50F2B"/>
    <w:rsid w:val="00A51351"/>
    <w:rsid w:val="00A51405"/>
    <w:rsid w:val="00A51443"/>
    <w:rsid w:val="00A514B7"/>
    <w:rsid w:val="00A517C2"/>
    <w:rsid w:val="00A5182B"/>
    <w:rsid w:val="00A51901"/>
    <w:rsid w:val="00A51A15"/>
    <w:rsid w:val="00A51EF2"/>
    <w:rsid w:val="00A51F12"/>
    <w:rsid w:val="00A5231D"/>
    <w:rsid w:val="00A52460"/>
    <w:rsid w:val="00A527CF"/>
    <w:rsid w:val="00A5288F"/>
    <w:rsid w:val="00A529B2"/>
    <w:rsid w:val="00A52AF2"/>
    <w:rsid w:val="00A52CB7"/>
    <w:rsid w:val="00A52DE1"/>
    <w:rsid w:val="00A52ED8"/>
    <w:rsid w:val="00A52FC3"/>
    <w:rsid w:val="00A530B7"/>
    <w:rsid w:val="00A535C1"/>
    <w:rsid w:val="00A5378F"/>
    <w:rsid w:val="00A538A2"/>
    <w:rsid w:val="00A539D5"/>
    <w:rsid w:val="00A53A21"/>
    <w:rsid w:val="00A53C18"/>
    <w:rsid w:val="00A53CA3"/>
    <w:rsid w:val="00A53FE0"/>
    <w:rsid w:val="00A54151"/>
    <w:rsid w:val="00A5418D"/>
    <w:rsid w:val="00A542DF"/>
    <w:rsid w:val="00A542F7"/>
    <w:rsid w:val="00A544B6"/>
    <w:rsid w:val="00A544DE"/>
    <w:rsid w:val="00A5458E"/>
    <w:rsid w:val="00A54721"/>
    <w:rsid w:val="00A54741"/>
    <w:rsid w:val="00A54824"/>
    <w:rsid w:val="00A54838"/>
    <w:rsid w:val="00A548D1"/>
    <w:rsid w:val="00A54A97"/>
    <w:rsid w:val="00A54C15"/>
    <w:rsid w:val="00A54C53"/>
    <w:rsid w:val="00A54F57"/>
    <w:rsid w:val="00A5507A"/>
    <w:rsid w:val="00A55246"/>
    <w:rsid w:val="00A55696"/>
    <w:rsid w:val="00A5589A"/>
    <w:rsid w:val="00A55944"/>
    <w:rsid w:val="00A55ADC"/>
    <w:rsid w:val="00A55C21"/>
    <w:rsid w:val="00A55CD8"/>
    <w:rsid w:val="00A55D3D"/>
    <w:rsid w:val="00A55D89"/>
    <w:rsid w:val="00A56205"/>
    <w:rsid w:val="00A56286"/>
    <w:rsid w:val="00A5651B"/>
    <w:rsid w:val="00A56824"/>
    <w:rsid w:val="00A568AE"/>
    <w:rsid w:val="00A5692E"/>
    <w:rsid w:val="00A56B4A"/>
    <w:rsid w:val="00A56CB6"/>
    <w:rsid w:val="00A56F4F"/>
    <w:rsid w:val="00A5708E"/>
    <w:rsid w:val="00A5718A"/>
    <w:rsid w:val="00A57192"/>
    <w:rsid w:val="00A57631"/>
    <w:rsid w:val="00A5764C"/>
    <w:rsid w:val="00A578EB"/>
    <w:rsid w:val="00A57AA3"/>
    <w:rsid w:val="00A57B4F"/>
    <w:rsid w:val="00A57BF8"/>
    <w:rsid w:val="00A57C8B"/>
    <w:rsid w:val="00A57CA4"/>
    <w:rsid w:val="00A57E35"/>
    <w:rsid w:val="00A57EAD"/>
    <w:rsid w:val="00A57EFA"/>
    <w:rsid w:val="00A57F26"/>
    <w:rsid w:val="00A6006A"/>
    <w:rsid w:val="00A60191"/>
    <w:rsid w:val="00A60392"/>
    <w:rsid w:val="00A604B8"/>
    <w:rsid w:val="00A60806"/>
    <w:rsid w:val="00A608DE"/>
    <w:rsid w:val="00A6098A"/>
    <w:rsid w:val="00A60AC0"/>
    <w:rsid w:val="00A60BA3"/>
    <w:rsid w:val="00A60C2E"/>
    <w:rsid w:val="00A60CD2"/>
    <w:rsid w:val="00A60E4F"/>
    <w:rsid w:val="00A61049"/>
    <w:rsid w:val="00A611C9"/>
    <w:rsid w:val="00A61514"/>
    <w:rsid w:val="00A616FD"/>
    <w:rsid w:val="00A61758"/>
    <w:rsid w:val="00A61832"/>
    <w:rsid w:val="00A6187F"/>
    <w:rsid w:val="00A6191E"/>
    <w:rsid w:val="00A61B05"/>
    <w:rsid w:val="00A61E95"/>
    <w:rsid w:val="00A61F25"/>
    <w:rsid w:val="00A61FF2"/>
    <w:rsid w:val="00A61FF9"/>
    <w:rsid w:val="00A62070"/>
    <w:rsid w:val="00A62092"/>
    <w:rsid w:val="00A620FF"/>
    <w:rsid w:val="00A623EA"/>
    <w:rsid w:val="00A626FF"/>
    <w:rsid w:val="00A62703"/>
    <w:rsid w:val="00A62711"/>
    <w:rsid w:val="00A6272A"/>
    <w:rsid w:val="00A627D1"/>
    <w:rsid w:val="00A6284A"/>
    <w:rsid w:val="00A6291F"/>
    <w:rsid w:val="00A629FF"/>
    <w:rsid w:val="00A62B96"/>
    <w:rsid w:val="00A62CF6"/>
    <w:rsid w:val="00A62D63"/>
    <w:rsid w:val="00A62E8F"/>
    <w:rsid w:val="00A62FE4"/>
    <w:rsid w:val="00A6309D"/>
    <w:rsid w:val="00A630BD"/>
    <w:rsid w:val="00A631AE"/>
    <w:rsid w:val="00A631F3"/>
    <w:rsid w:val="00A63406"/>
    <w:rsid w:val="00A63609"/>
    <w:rsid w:val="00A6367A"/>
    <w:rsid w:val="00A63728"/>
    <w:rsid w:val="00A637D8"/>
    <w:rsid w:val="00A63801"/>
    <w:rsid w:val="00A63A9E"/>
    <w:rsid w:val="00A63B76"/>
    <w:rsid w:val="00A63C35"/>
    <w:rsid w:val="00A63C38"/>
    <w:rsid w:val="00A63C44"/>
    <w:rsid w:val="00A63DE0"/>
    <w:rsid w:val="00A63F0F"/>
    <w:rsid w:val="00A64020"/>
    <w:rsid w:val="00A64220"/>
    <w:rsid w:val="00A6426B"/>
    <w:rsid w:val="00A642C7"/>
    <w:rsid w:val="00A64335"/>
    <w:rsid w:val="00A64373"/>
    <w:rsid w:val="00A643C6"/>
    <w:rsid w:val="00A643D5"/>
    <w:rsid w:val="00A64485"/>
    <w:rsid w:val="00A644CF"/>
    <w:rsid w:val="00A6458A"/>
    <w:rsid w:val="00A64590"/>
    <w:rsid w:val="00A64595"/>
    <w:rsid w:val="00A646F0"/>
    <w:rsid w:val="00A6498D"/>
    <w:rsid w:val="00A64A72"/>
    <w:rsid w:val="00A64B22"/>
    <w:rsid w:val="00A64B63"/>
    <w:rsid w:val="00A64B99"/>
    <w:rsid w:val="00A64C5B"/>
    <w:rsid w:val="00A64E4C"/>
    <w:rsid w:val="00A64E97"/>
    <w:rsid w:val="00A64EC1"/>
    <w:rsid w:val="00A64FC8"/>
    <w:rsid w:val="00A6500D"/>
    <w:rsid w:val="00A65028"/>
    <w:rsid w:val="00A654B2"/>
    <w:rsid w:val="00A657CD"/>
    <w:rsid w:val="00A6587F"/>
    <w:rsid w:val="00A658B5"/>
    <w:rsid w:val="00A65B33"/>
    <w:rsid w:val="00A65CA0"/>
    <w:rsid w:val="00A65DD4"/>
    <w:rsid w:val="00A65EF9"/>
    <w:rsid w:val="00A65F52"/>
    <w:rsid w:val="00A65F85"/>
    <w:rsid w:val="00A6600C"/>
    <w:rsid w:val="00A660CD"/>
    <w:rsid w:val="00A660ED"/>
    <w:rsid w:val="00A66131"/>
    <w:rsid w:val="00A661DC"/>
    <w:rsid w:val="00A661F9"/>
    <w:rsid w:val="00A66211"/>
    <w:rsid w:val="00A66226"/>
    <w:rsid w:val="00A6640A"/>
    <w:rsid w:val="00A66583"/>
    <w:rsid w:val="00A6661F"/>
    <w:rsid w:val="00A666CA"/>
    <w:rsid w:val="00A669DE"/>
    <w:rsid w:val="00A66A8B"/>
    <w:rsid w:val="00A66AD8"/>
    <w:rsid w:val="00A66D3C"/>
    <w:rsid w:val="00A66D51"/>
    <w:rsid w:val="00A66E32"/>
    <w:rsid w:val="00A674E2"/>
    <w:rsid w:val="00A675A1"/>
    <w:rsid w:val="00A676DC"/>
    <w:rsid w:val="00A677ED"/>
    <w:rsid w:val="00A67823"/>
    <w:rsid w:val="00A67BA6"/>
    <w:rsid w:val="00A67BC5"/>
    <w:rsid w:val="00A67D07"/>
    <w:rsid w:val="00A67FF0"/>
    <w:rsid w:val="00A7007C"/>
    <w:rsid w:val="00A70114"/>
    <w:rsid w:val="00A701EC"/>
    <w:rsid w:val="00A7029F"/>
    <w:rsid w:val="00A70337"/>
    <w:rsid w:val="00A7034E"/>
    <w:rsid w:val="00A703FE"/>
    <w:rsid w:val="00A704CD"/>
    <w:rsid w:val="00A70607"/>
    <w:rsid w:val="00A7076E"/>
    <w:rsid w:val="00A70807"/>
    <w:rsid w:val="00A709AB"/>
    <w:rsid w:val="00A70A5C"/>
    <w:rsid w:val="00A70B8E"/>
    <w:rsid w:val="00A70C8D"/>
    <w:rsid w:val="00A70CA2"/>
    <w:rsid w:val="00A70D5D"/>
    <w:rsid w:val="00A70FCF"/>
    <w:rsid w:val="00A70FEF"/>
    <w:rsid w:val="00A7100E"/>
    <w:rsid w:val="00A71080"/>
    <w:rsid w:val="00A71679"/>
    <w:rsid w:val="00A716A4"/>
    <w:rsid w:val="00A7176C"/>
    <w:rsid w:val="00A71E1B"/>
    <w:rsid w:val="00A71E7F"/>
    <w:rsid w:val="00A71F5B"/>
    <w:rsid w:val="00A72014"/>
    <w:rsid w:val="00A72033"/>
    <w:rsid w:val="00A7207A"/>
    <w:rsid w:val="00A7237F"/>
    <w:rsid w:val="00A72430"/>
    <w:rsid w:val="00A72436"/>
    <w:rsid w:val="00A72480"/>
    <w:rsid w:val="00A7252A"/>
    <w:rsid w:val="00A72608"/>
    <w:rsid w:val="00A7268D"/>
    <w:rsid w:val="00A726DD"/>
    <w:rsid w:val="00A72806"/>
    <w:rsid w:val="00A72AD0"/>
    <w:rsid w:val="00A72C17"/>
    <w:rsid w:val="00A72F95"/>
    <w:rsid w:val="00A72F9E"/>
    <w:rsid w:val="00A72FA0"/>
    <w:rsid w:val="00A72FDD"/>
    <w:rsid w:val="00A73066"/>
    <w:rsid w:val="00A732BF"/>
    <w:rsid w:val="00A733B7"/>
    <w:rsid w:val="00A734BF"/>
    <w:rsid w:val="00A73734"/>
    <w:rsid w:val="00A73812"/>
    <w:rsid w:val="00A7390E"/>
    <w:rsid w:val="00A73AD1"/>
    <w:rsid w:val="00A73AFD"/>
    <w:rsid w:val="00A73BAC"/>
    <w:rsid w:val="00A73C59"/>
    <w:rsid w:val="00A73D0F"/>
    <w:rsid w:val="00A73EF2"/>
    <w:rsid w:val="00A7415D"/>
    <w:rsid w:val="00A74165"/>
    <w:rsid w:val="00A7416E"/>
    <w:rsid w:val="00A741CE"/>
    <w:rsid w:val="00A741F3"/>
    <w:rsid w:val="00A74385"/>
    <w:rsid w:val="00A743C7"/>
    <w:rsid w:val="00A7453D"/>
    <w:rsid w:val="00A7463E"/>
    <w:rsid w:val="00A746BE"/>
    <w:rsid w:val="00A748F9"/>
    <w:rsid w:val="00A7495A"/>
    <w:rsid w:val="00A74AAA"/>
    <w:rsid w:val="00A74B53"/>
    <w:rsid w:val="00A74B7C"/>
    <w:rsid w:val="00A74C85"/>
    <w:rsid w:val="00A74D6D"/>
    <w:rsid w:val="00A750A6"/>
    <w:rsid w:val="00A75367"/>
    <w:rsid w:val="00A753CF"/>
    <w:rsid w:val="00A7549A"/>
    <w:rsid w:val="00A756F3"/>
    <w:rsid w:val="00A75914"/>
    <w:rsid w:val="00A7594C"/>
    <w:rsid w:val="00A75C51"/>
    <w:rsid w:val="00A75CCE"/>
    <w:rsid w:val="00A75DD3"/>
    <w:rsid w:val="00A75EF5"/>
    <w:rsid w:val="00A7603F"/>
    <w:rsid w:val="00A76378"/>
    <w:rsid w:val="00A7676A"/>
    <w:rsid w:val="00A76B92"/>
    <w:rsid w:val="00A76C7A"/>
    <w:rsid w:val="00A76C9D"/>
    <w:rsid w:val="00A76D6B"/>
    <w:rsid w:val="00A76D9A"/>
    <w:rsid w:val="00A76FF8"/>
    <w:rsid w:val="00A77098"/>
    <w:rsid w:val="00A770AB"/>
    <w:rsid w:val="00A77532"/>
    <w:rsid w:val="00A77597"/>
    <w:rsid w:val="00A7767A"/>
    <w:rsid w:val="00A776B9"/>
    <w:rsid w:val="00A776DD"/>
    <w:rsid w:val="00A777AB"/>
    <w:rsid w:val="00A77808"/>
    <w:rsid w:val="00A77898"/>
    <w:rsid w:val="00A778CD"/>
    <w:rsid w:val="00A77A55"/>
    <w:rsid w:val="00A77B65"/>
    <w:rsid w:val="00A77FA9"/>
    <w:rsid w:val="00A80060"/>
    <w:rsid w:val="00A80175"/>
    <w:rsid w:val="00A801C1"/>
    <w:rsid w:val="00A80214"/>
    <w:rsid w:val="00A8029B"/>
    <w:rsid w:val="00A80330"/>
    <w:rsid w:val="00A8034D"/>
    <w:rsid w:val="00A8048A"/>
    <w:rsid w:val="00A804F7"/>
    <w:rsid w:val="00A80667"/>
    <w:rsid w:val="00A8066C"/>
    <w:rsid w:val="00A80673"/>
    <w:rsid w:val="00A80747"/>
    <w:rsid w:val="00A8083A"/>
    <w:rsid w:val="00A8087E"/>
    <w:rsid w:val="00A80C6D"/>
    <w:rsid w:val="00A80E07"/>
    <w:rsid w:val="00A80E7F"/>
    <w:rsid w:val="00A80F20"/>
    <w:rsid w:val="00A8125B"/>
    <w:rsid w:val="00A812D0"/>
    <w:rsid w:val="00A81333"/>
    <w:rsid w:val="00A817C1"/>
    <w:rsid w:val="00A8196E"/>
    <w:rsid w:val="00A819BF"/>
    <w:rsid w:val="00A81A3D"/>
    <w:rsid w:val="00A81ACE"/>
    <w:rsid w:val="00A81CE9"/>
    <w:rsid w:val="00A81DCF"/>
    <w:rsid w:val="00A81DE3"/>
    <w:rsid w:val="00A81EFE"/>
    <w:rsid w:val="00A82001"/>
    <w:rsid w:val="00A82174"/>
    <w:rsid w:val="00A8224D"/>
    <w:rsid w:val="00A82409"/>
    <w:rsid w:val="00A82870"/>
    <w:rsid w:val="00A828D9"/>
    <w:rsid w:val="00A82982"/>
    <w:rsid w:val="00A82A32"/>
    <w:rsid w:val="00A82C75"/>
    <w:rsid w:val="00A82D79"/>
    <w:rsid w:val="00A82F5A"/>
    <w:rsid w:val="00A82F75"/>
    <w:rsid w:val="00A82F90"/>
    <w:rsid w:val="00A830AF"/>
    <w:rsid w:val="00A8314A"/>
    <w:rsid w:val="00A831F4"/>
    <w:rsid w:val="00A83214"/>
    <w:rsid w:val="00A8321C"/>
    <w:rsid w:val="00A8324D"/>
    <w:rsid w:val="00A834BC"/>
    <w:rsid w:val="00A834F1"/>
    <w:rsid w:val="00A83588"/>
    <w:rsid w:val="00A835DB"/>
    <w:rsid w:val="00A83707"/>
    <w:rsid w:val="00A83C9B"/>
    <w:rsid w:val="00A83CE6"/>
    <w:rsid w:val="00A84086"/>
    <w:rsid w:val="00A842D3"/>
    <w:rsid w:val="00A843D6"/>
    <w:rsid w:val="00A845FB"/>
    <w:rsid w:val="00A846FC"/>
    <w:rsid w:val="00A848AF"/>
    <w:rsid w:val="00A84A20"/>
    <w:rsid w:val="00A84EA4"/>
    <w:rsid w:val="00A84ED6"/>
    <w:rsid w:val="00A8506E"/>
    <w:rsid w:val="00A8517E"/>
    <w:rsid w:val="00A85369"/>
    <w:rsid w:val="00A854E3"/>
    <w:rsid w:val="00A855B8"/>
    <w:rsid w:val="00A858EB"/>
    <w:rsid w:val="00A859AF"/>
    <w:rsid w:val="00A859E0"/>
    <w:rsid w:val="00A85A22"/>
    <w:rsid w:val="00A85A30"/>
    <w:rsid w:val="00A85ACF"/>
    <w:rsid w:val="00A85C36"/>
    <w:rsid w:val="00A85C59"/>
    <w:rsid w:val="00A85FE8"/>
    <w:rsid w:val="00A85FEE"/>
    <w:rsid w:val="00A863D6"/>
    <w:rsid w:val="00A8656F"/>
    <w:rsid w:val="00A865AF"/>
    <w:rsid w:val="00A86675"/>
    <w:rsid w:val="00A86698"/>
    <w:rsid w:val="00A8670B"/>
    <w:rsid w:val="00A86813"/>
    <w:rsid w:val="00A86847"/>
    <w:rsid w:val="00A86B91"/>
    <w:rsid w:val="00A86CB9"/>
    <w:rsid w:val="00A86D92"/>
    <w:rsid w:val="00A86E16"/>
    <w:rsid w:val="00A86F26"/>
    <w:rsid w:val="00A86FE5"/>
    <w:rsid w:val="00A87059"/>
    <w:rsid w:val="00A872A2"/>
    <w:rsid w:val="00A8735A"/>
    <w:rsid w:val="00A87494"/>
    <w:rsid w:val="00A874BB"/>
    <w:rsid w:val="00A87509"/>
    <w:rsid w:val="00A8751C"/>
    <w:rsid w:val="00A8754C"/>
    <w:rsid w:val="00A8768E"/>
    <w:rsid w:val="00A87885"/>
    <w:rsid w:val="00A87A33"/>
    <w:rsid w:val="00A87BAD"/>
    <w:rsid w:val="00A87DB2"/>
    <w:rsid w:val="00A87FCB"/>
    <w:rsid w:val="00A87FEA"/>
    <w:rsid w:val="00A90093"/>
    <w:rsid w:val="00A900B0"/>
    <w:rsid w:val="00A9011D"/>
    <w:rsid w:val="00A90455"/>
    <w:rsid w:val="00A90466"/>
    <w:rsid w:val="00A90489"/>
    <w:rsid w:val="00A904B2"/>
    <w:rsid w:val="00A905C5"/>
    <w:rsid w:val="00A90755"/>
    <w:rsid w:val="00A90972"/>
    <w:rsid w:val="00A90C97"/>
    <w:rsid w:val="00A90CB0"/>
    <w:rsid w:val="00A9106E"/>
    <w:rsid w:val="00A91163"/>
    <w:rsid w:val="00A91208"/>
    <w:rsid w:val="00A91251"/>
    <w:rsid w:val="00A9158E"/>
    <w:rsid w:val="00A916D2"/>
    <w:rsid w:val="00A91DE2"/>
    <w:rsid w:val="00A91DEE"/>
    <w:rsid w:val="00A91F9E"/>
    <w:rsid w:val="00A9202D"/>
    <w:rsid w:val="00A920FC"/>
    <w:rsid w:val="00A922C2"/>
    <w:rsid w:val="00A9244B"/>
    <w:rsid w:val="00A924A0"/>
    <w:rsid w:val="00A92539"/>
    <w:rsid w:val="00A9253F"/>
    <w:rsid w:val="00A9257A"/>
    <w:rsid w:val="00A925F6"/>
    <w:rsid w:val="00A928FE"/>
    <w:rsid w:val="00A92AB6"/>
    <w:rsid w:val="00A92B4B"/>
    <w:rsid w:val="00A92D05"/>
    <w:rsid w:val="00A92D67"/>
    <w:rsid w:val="00A92EE5"/>
    <w:rsid w:val="00A93054"/>
    <w:rsid w:val="00A9306D"/>
    <w:rsid w:val="00A9313A"/>
    <w:rsid w:val="00A93160"/>
    <w:rsid w:val="00A93315"/>
    <w:rsid w:val="00A935B4"/>
    <w:rsid w:val="00A935C2"/>
    <w:rsid w:val="00A93648"/>
    <w:rsid w:val="00A936B8"/>
    <w:rsid w:val="00A93833"/>
    <w:rsid w:val="00A93966"/>
    <w:rsid w:val="00A93996"/>
    <w:rsid w:val="00A93DD6"/>
    <w:rsid w:val="00A93ECA"/>
    <w:rsid w:val="00A93FA0"/>
    <w:rsid w:val="00A94121"/>
    <w:rsid w:val="00A94157"/>
    <w:rsid w:val="00A942AA"/>
    <w:rsid w:val="00A9431C"/>
    <w:rsid w:val="00A94366"/>
    <w:rsid w:val="00A9438E"/>
    <w:rsid w:val="00A94441"/>
    <w:rsid w:val="00A944C0"/>
    <w:rsid w:val="00A94B33"/>
    <w:rsid w:val="00A94BF0"/>
    <w:rsid w:val="00A94C61"/>
    <w:rsid w:val="00A94C6B"/>
    <w:rsid w:val="00A94D3E"/>
    <w:rsid w:val="00A94E28"/>
    <w:rsid w:val="00A94FFB"/>
    <w:rsid w:val="00A95090"/>
    <w:rsid w:val="00A9511B"/>
    <w:rsid w:val="00A951FC"/>
    <w:rsid w:val="00A952DF"/>
    <w:rsid w:val="00A95370"/>
    <w:rsid w:val="00A95467"/>
    <w:rsid w:val="00A95599"/>
    <w:rsid w:val="00A95948"/>
    <w:rsid w:val="00A95996"/>
    <w:rsid w:val="00A95AD0"/>
    <w:rsid w:val="00A95AFF"/>
    <w:rsid w:val="00A95CBF"/>
    <w:rsid w:val="00A95EB0"/>
    <w:rsid w:val="00A95FD6"/>
    <w:rsid w:val="00A95FDA"/>
    <w:rsid w:val="00A96237"/>
    <w:rsid w:val="00A96425"/>
    <w:rsid w:val="00A96475"/>
    <w:rsid w:val="00A964BE"/>
    <w:rsid w:val="00A96550"/>
    <w:rsid w:val="00A965B1"/>
    <w:rsid w:val="00A9666E"/>
    <w:rsid w:val="00A96691"/>
    <w:rsid w:val="00A96829"/>
    <w:rsid w:val="00A969BF"/>
    <w:rsid w:val="00A96A06"/>
    <w:rsid w:val="00A96A12"/>
    <w:rsid w:val="00A96D77"/>
    <w:rsid w:val="00A96D93"/>
    <w:rsid w:val="00A96E04"/>
    <w:rsid w:val="00A96E05"/>
    <w:rsid w:val="00A96E81"/>
    <w:rsid w:val="00A971E0"/>
    <w:rsid w:val="00A97396"/>
    <w:rsid w:val="00A97601"/>
    <w:rsid w:val="00A976B5"/>
    <w:rsid w:val="00A978CD"/>
    <w:rsid w:val="00A97910"/>
    <w:rsid w:val="00A97945"/>
    <w:rsid w:val="00A97B5E"/>
    <w:rsid w:val="00A97BB1"/>
    <w:rsid w:val="00A97C78"/>
    <w:rsid w:val="00A97F85"/>
    <w:rsid w:val="00AA004E"/>
    <w:rsid w:val="00AA020A"/>
    <w:rsid w:val="00AA03A7"/>
    <w:rsid w:val="00AA08CF"/>
    <w:rsid w:val="00AA0945"/>
    <w:rsid w:val="00AA0BB3"/>
    <w:rsid w:val="00AA0C1C"/>
    <w:rsid w:val="00AA0C2C"/>
    <w:rsid w:val="00AA0E49"/>
    <w:rsid w:val="00AA0E8F"/>
    <w:rsid w:val="00AA0E99"/>
    <w:rsid w:val="00AA0FDE"/>
    <w:rsid w:val="00AA1154"/>
    <w:rsid w:val="00AA1185"/>
    <w:rsid w:val="00AA12FC"/>
    <w:rsid w:val="00AA139D"/>
    <w:rsid w:val="00AA140E"/>
    <w:rsid w:val="00AA142C"/>
    <w:rsid w:val="00AA1527"/>
    <w:rsid w:val="00AA1666"/>
    <w:rsid w:val="00AA1A02"/>
    <w:rsid w:val="00AA1B76"/>
    <w:rsid w:val="00AA1CFB"/>
    <w:rsid w:val="00AA1D69"/>
    <w:rsid w:val="00AA1DBE"/>
    <w:rsid w:val="00AA25DB"/>
    <w:rsid w:val="00AA2612"/>
    <w:rsid w:val="00AA2A08"/>
    <w:rsid w:val="00AA2B5B"/>
    <w:rsid w:val="00AA2B7F"/>
    <w:rsid w:val="00AA2B8B"/>
    <w:rsid w:val="00AA2BC7"/>
    <w:rsid w:val="00AA2BCC"/>
    <w:rsid w:val="00AA2C9D"/>
    <w:rsid w:val="00AA3084"/>
    <w:rsid w:val="00AA334E"/>
    <w:rsid w:val="00AA340E"/>
    <w:rsid w:val="00AA356A"/>
    <w:rsid w:val="00AA360C"/>
    <w:rsid w:val="00AA3740"/>
    <w:rsid w:val="00AA3783"/>
    <w:rsid w:val="00AA3928"/>
    <w:rsid w:val="00AA39FF"/>
    <w:rsid w:val="00AA3A7D"/>
    <w:rsid w:val="00AA3ACC"/>
    <w:rsid w:val="00AA3B0B"/>
    <w:rsid w:val="00AA3B93"/>
    <w:rsid w:val="00AA3C94"/>
    <w:rsid w:val="00AA3CB4"/>
    <w:rsid w:val="00AA3E22"/>
    <w:rsid w:val="00AA3E9C"/>
    <w:rsid w:val="00AA3EA7"/>
    <w:rsid w:val="00AA42DF"/>
    <w:rsid w:val="00AA449C"/>
    <w:rsid w:val="00AA4643"/>
    <w:rsid w:val="00AA4848"/>
    <w:rsid w:val="00AA4AA4"/>
    <w:rsid w:val="00AA4AD6"/>
    <w:rsid w:val="00AA4C55"/>
    <w:rsid w:val="00AA4CDF"/>
    <w:rsid w:val="00AA4EB0"/>
    <w:rsid w:val="00AA4ECC"/>
    <w:rsid w:val="00AA5000"/>
    <w:rsid w:val="00AA534D"/>
    <w:rsid w:val="00AA541D"/>
    <w:rsid w:val="00AA562A"/>
    <w:rsid w:val="00AA56E8"/>
    <w:rsid w:val="00AA5AB9"/>
    <w:rsid w:val="00AA5C46"/>
    <w:rsid w:val="00AA5C84"/>
    <w:rsid w:val="00AA5DE6"/>
    <w:rsid w:val="00AA5E50"/>
    <w:rsid w:val="00AA5F0D"/>
    <w:rsid w:val="00AA6383"/>
    <w:rsid w:val="00AA63B5"/>
    <w:rsid w:val="00AA6581"/>
    <w:rsid w:val="00AA665E"/>
    <w:rsid w:val="00AA6686"/>
    <w:rsid w:val="00AA6700"/>
    <w:rsid w:val="00AA6745"/>
    <w:rsid w:val="00AA6D34"/>
    <w:rsid w:val="00AA724B"/>
    <w:rsid w:val="00AA73D3"/>
    <w:rsid w:val="00AA74AF"/>
    <w:rsid w:val="00AA7526"/>
    <w:rsid w:val="00AA7B1E"/>
    <w:rsid w:val="00AA7B29"/>
    <w:rsid w:val="00AA7C39"/>
    <w:rsid w:val="00AA7DD4"/>
    <w:rsid w:val="00AA7E9D"/>
    <w:rsid w:val="00AA7F18"/>
    <w:rsid w:val="00AA7FEB"/>
    <w:rsid w:val="00AB0045"/>
    <w:rsid w:val="00AB00D7"/>
    <w:rsid w:val="00AB019D"/>
    <w:rsid w:val="00AB0307"/>
    <w:rsid w:val="00AB0309"/>
    <w:rsid w:val="00AB048E"/>
    <w:rsid w:val="00AB0566"/>
    <w:rsid w:val="00AB0613"/>
    <w:rsid w:val="00AB0726"/>
    <w:rsid w:val="00AB0864"/>
    <w:rsid w:val="00AB08A0"/>
    <w:rsid w:val="00AB0A67"/>
    <w:rsid w:val="00AB0AA7"/>
    <w:rsid w:val="00AB0B4E"/>
    <w:rsid w:val="00AB0BC9"/>
    <w:rsid w:val="00AB0C1C"/>
    <w:rsid w:val="00AB0CCE"/>
    <w:rsid w:val="00AB0D1D"/>
    <w:rsid w:val="00AB0E26"/>
    <w:rsid w:val="00AB0ECC"/>
    <w:rsid w:val="00AB1099"/>
    <w:rsid w:val="00AB137D"/>
    <w:rsid w:val="00AB138C"/>
    <w:rsid w:val="00AB14F8"/>
    <w:rsid w:val="00AB1505"/>
    <w:rsid w:val="00AB168D"/>
    <w:rsid w:val="00AB16A6"/>
    <w:rsid w:val="00AB1997"/>
    <w:rsid w:val="00AB1A97"/>
    <w:rsid w:val="00AB1BCF"/>
    <w:rsid w:val="00AB1D84"/>
    <w:rsid w:val="00AB1F22"/>
    <w:rsid w:val="00AB2036"/>
    <w:rsid w:val="00AB2137"/>
    <w:rsid w:val="00AB21F8"/>
    <w:rsid w:val="00AB2297"/>
    <w:rsid w:val="00AB26F4"/>
    <w:rsid w:val="00AB2706"/>
    <w:rsid w:val="00AB276D"/>
    <w:rsid w:val="00AB284D"/>
    <w:rsid w:val="00AB2920"/>
    <w:rsid w:val="00AB2982"/>
    <w:rsid w:val="00AB2A23"/>
    <w:rsid w:val="00AB2A33"/>
    <w:rsid w:val="00AB2A6A"/>
    <w:rsid w:val="00AB305B"/>
    <w:rsid w:val="00AB31B7"/>
    <w:rsid w:val="00AB3212"/>
    <w:rsid w:val="00AB35FA"/>
    <w:rsid w:val="00AB38DC"/>
    <w:rsid w:val="00AB3928"/>
    <w:rsid w:val="00AB398F"/>
    <w:rsid w:val="00AB3AE5"/>
    <w:rsid w:val="00AB3C59"/>
    <w:rsid w:val="00AB3D3D"/>
    <w:rsid w:val="00AB3E4E"/>
    <w:rsid w:val="00AB3FE0"/>
    <w:rsid w:val="00AB412F"/>
    <w:rsid w:val="00AB42C8"/>
    <w:rsid w:val="00AB443C"/>
    <w:rsid w:val="00AB46A5"/>
    <w:rsid w:val="00AB49DD"/>
    <w:rsid w:val="00AB4A39"/>
    <w:rsid w:val="00AB4B1E"/>
    <w:rsid w:val="00AB4B5B"/>
    <w:rsid w:val="00AB4C4F"/>
    <w:rsid w:val="00AB4EDD"/>
    <w:rsid w:val="00AB5169"/>
    <w:rsid w:val="00AB53A8"/>
    <w:rsid w:val="00AB5417"/>
    <w:rsid w:val="00AB5658"/>
    <w:rsid w:val="00AB56C3"/>
    <w:rsid w:val="00AB5805"/>
    <w:rsid w:val="00AB581B"/>
    <w:rsid w:val="00AB58E3"/>
    <w:rsid w:val="00AB5923"/>
    <w:rsid w:val="00AB5A99"/>
    <w:rsid w:val="00AB5AC0"/>
    <w:rsid w:val="00AB5BA4"/>
    <w:rsid w:val="00AB5C14"/>
    <w:rsid w:val="00AB5DC7"/>
    <w:rsid w:val="00AB5DED"/>
    <w:rsid w:val="00AB5DFF"/>
    <w:rsid w:val="00AB5E6A"/>
    <w:rsid w:val="00AB5ED2"/>
    <w:rsid w:val="00AB5F7B"/>
    <w:rsid w:val="00AB5FEF"/>
    <w:rsid w:val="00AB6099"/>
    <w:rsid w:val="00AB6322"/>
    <w:rsid w:val="00AB650E"/>
    <w:rsid w:val="00AB6623"/>
    <w:rsid w:val="00AB6683"/>
    <w:rsid w:val="00AB696F"/>
    <w:rsid w:val="00AB69A2"/>
    <w:rsid w:val="00AB6A0C"/>
    <w:rsid w:val="00AB6AC6"/>
    <w:rsid w:val="00AB6ACB"/>
    <w:rsid w:val="00AB6AD3"/>
    <w:rsid w:val="00AB6BFD"/>
    <w:rsid w:val="00AB6D46"/>
    <w:rsid w:val="00AB6DEE"/>
    <w:rsid w:val="00AB6F22"/>
    <w:rsid w:val="00AB6FD4"/>
    <w:rsid w:val="00AB71D6"/>
    <w:rsid w:val="00AB726B"/>
    <w:rsid w:val="00AB74A5"/>
    <w:rsid w:val="00AB753A"/>
    <w:rsid w:val="00AB758D"/>
    <w:rsid w:val="00AB79E4"/>
    <w:rsid w:val="00AB79F5"/>
    <w:rsid w:val="00AB7A8D"/>
    <w:rsid w:val="00AB7BEA"/>
    <w:rsid w:val="00AB7D24"/>
    <w:rsid w:val="00AB7DE3"/>
    <w:rsid w:val="00AC0048"/>
    <w:rsid w:val="00AC0051"/>
    <w:rsid w:val="00AC00AA"/>
    <w:rsid w:val="00AC019E"/>
    <w:rsid w:val="00AC0B30"/>
    <w:rsid w:val="00AC0C70"/>
    <w:rsid w:val="00AC0C95"/>
    <w:rsid w:val="00AC0D0C"/>
    <w:rsid w:val="00AC0D0D"/>
    <w:rsid w:val="00AC0E6D"/>
    <w:rsid w:val="00AC0EBA"/>
    <w:rsid w:val="00AC0FDA"/>
    <w:rsid w:val="00AC0FF3"/>
    <w:rsid w:val="00AC10BC"/>
    <w:rsid w:val="00AC147A"/>
    <w:rsid w:val="00AC1553"/>
    <w:rsid w:val="00AC15E1"/>
    <w:rsid w:val="00AC1609"/>
    <w:rsid w:val="00AC1825"/>
    <w:rsid w:val="00AC187D"/>
    <w:rsid w:val="00AC19B5"/>
    <w:rsid w:val="00AC1A54"/>
    <w:rsid w:val="00AC1BAE"/>
    <w:rsid w:val="00AC1E11"/>
    <w:rsid w:val="00AC1EBC"/>
    <w:rsid w:val="00AC2129"/>
    <w:rsid w:val="00AC23F9"/>
    <w:rsid w:val="00AC252E"/>
    <w:rsid w:val="00AC2963"/>
    <w:rsid w:val="00AC2B0A"/>
    <w:rsid w:val="00AC2B61"/>
    <w:rsid w:val="00AC2BDF"/>
    <w:rsid w:val="00AC2C8A"/>
    <w:rsid w:val="00AC2CBA"/>
    <w:rsid w:val="00AC2E90"/>
    <w:rsid w:val="00AC2F42"/>
    <w:rsid w:val="00AC2F4E"/>
    <w:rsid w:val="00AC2F5C"/>
    <w:rsid w:val="00AC2F60"/>
    <w:rsid w:val="00AC2F77"/>
    <w:rsid w:val="00AC3315"/>
    <w:rsid w:val="00AC334E"/>
    <w:rsid w:val="00AC342E"/>
    <w:rsid w:val="00AC3436"/>
    <w:rsid w:val="00AC34CC"/>
    <w:rsid w:val="00AC35CF"/>
    <w:rsid w:val="00AC35FC"/>
    <w:rsid w:val="00AC38C8"/>
    <w:rsid w:val="00AC3910"/>
    <w:rsid w:val="00AC3932"/>
    <w:rsid w:val="00AC3955"/>
    <w:rsid w:val="00AC39FC"/>
    <w:rsid w:val="00AC3AE1"/>
    <w:rsid w:val="00AC3B1F"/>
    <w:rsid w:val="00AC3CD5"/>
    <w:rsid w:val="00AC3D4F"/>
    <w:rsid w:val="00AC3E7A"/>
    <w:rsid w:val="00AC3FE6"/>
    <w:rsid w:val="00AC4086"/>
    <w:rsid w:val="00AC4105"/>
    <w:rsid w:val="00AC41FF"/>
    <w:rsid w:val="00AC433F"/>
    <w:rsid w:val="00AC4354"/>
    <w:rsid w:val="00AC46A4"/>
    <w:rsid w:val="00AC46F9"/>
    <w:rsid w:val="00AC48E6"/>
    <w:rsid w:val="00AC4AFE"/>
    <w:rsid w:val="00AC4F63"/>
    <w:rsid w:val="00AC4FD2"/>
    <w:rsid w:val="00AC5387"/>
    <w:rsid w:val="00AC563B"/>
    <w:rsid w:val="00AC56AA"/>
    <w:rsid w:val="00AC5704"/>
    <w:rsid w:val="00AC57DF"/>
    <w:rsid w:val="00AC58A9"/>
    <w:rsid w:val="00AC5A12"/>
    <w:rsid w:val="00AC5AD6"/>
    <w:rsid w:val="00AC5B49"/>
    <w:rsid w:val="00AC5CD6"/>
    <w:rsid w:val="00AC5DEE"/>
    <w:rsid w:val="00AC5E15"/>
    <w:rsid w:val="00AC5EA2"/>
    <w:rsid w:val="00AC62E0"/>
    <w:rsid w:val="00AC6400"/>
    <w:rsid w:val="00AC6682"/>
    <w:rsid w:val="00AC677E"/>
    <w:rsid w:val="00AC6788"/>
    <w:rsid w:val="00AC6895"/>
    <w:rsid w:val="00AC6906"/>
    <w:rsid w:val="00AC6B97"/>
    <w:rsid w:val="00AC6C1D"/>
    <w:rsid w:val="00AC6D27"/>
    <w:rsid w:val="00AC6E07"/>
    <w:rsid w:val="00AC6E10"/>
    <w:rsid w:val="00AC7254"/>
    <w:rsid w:val="00AC725D"/>
    <w:rsid w:val="00AC7542"/>
    <w:rsid w:val="00AC75D6"/>
    <w:rsid w:val="00AC7655"/>
    <w:rsid w:val="00AC7740"/>
    <w:rsid w:val="00AC777A"/>
    <w:rsid w:val="00AC7782"/>
    <w:rsid w:val="00AC778E"/>
    <w:rsid w:val="00AC7835"/>
    <w:rsid w:val="00AC7851"/>
    <w:rsid w:val="00AC78E0"/>
    <w:rsid w:val="00AC79B6"/>
    <w:rsid w:val="00AC7B55"/>
    <w:rsid w:val="00AC7D62"/>
    <w:rsid w:val="00AC7EBC"/>
    <w:rsid w:val="00AC7F36"/>
    <w:rsid w:val="00AD010D"/>
    <w:rsid w:val="00AD027C"/>
    <w:rsid w:val="00AD02F8"/>
    <w:rsid w:val="00AD044C"/>
    <w:rsid w:val="00AD04EC"/>
    <w:rsid w:val="00AD05C1"/>
    <w:rsid w:val="00AD0623"/>
    <w:rsid w:val="00AD07F7"/>
    <w:rsid w:val="00AD1204"/>
    <w:rsid w:val="00AD13CD"/>
    <w:rsid w:val="00AD1898"/>
    <w:rsid w:val="00AD1B92"/>
    <w:rsid w:val="00AD1C46"/>
    <w:rsid w:val="00AD1DA0"/>
    <w:rsid w:val="00AD1DBB"/>
    <w:rsid w:val="00AD1DBD"/>
    <w:rsid w:val="00AD1DC1"/>
    <w:rsid w:val="00AD1DC6"/>
    <w:rsid w:val="00AD21AB"/>
    <w:rsid w:val="00AD22AE"/>
    <w:rsid w:val="00AD23FF"/>
    <w:rsid w:val="00AD2471"/>
    <w:rsid w:val="00AD24A2"/>
    <w:rsid w:val="00AD2593"/>
    <w:rsid w:val="00AD278D"/>
    <w:rsid w:val="00AD28AE"/>
    <w:rsid w:val="00AD2980"/>
    <w:rsid w:val="00AD29ED"/>
    <w:rsid w:val="00AD2ADB"/>
    <w:rsid w:val="00AD2E2B"/>
    <w:rsid w:val="00AD2EA5"/>
    <w:rsid w:val="00AD2F3B"/>
    <w:rsid w:val="00AD30A2"/>
    <w:rsid w:val="00AD30EB"/>
    <w:rsid w:val="00AD32E2"/>
    <w:rsid w:val="00AD3328"/>
    <w:rsid w:val="00AD3756"/>
    <w:rsid w:val="00AD38B1"/>
    <w:rsid w:val="00AD38BF"/>
    <w:rsid w:val="00AD3908"/>
    <w:rsid w:val="00AD3A4C"/>
    <w:rsid w:val="00AD3AF6"/>
    <w:rsid w:val="00AD3DF1"/>
    <w:rsid w:val="00AD3E87"/>
    <w:rsid w:val="00AD4027"/>
    <w:rsid w:val="00AD4207"/>
    <w:rsid w:val="00AD424B"/>
    <w:rsid w:val="00AD43D5"/>
    <w:rsid w:val="00AD446C"/>
    <w:rsid w:val="00AD45BA"/>
    <w:rsid w:val="00AD466F"/>
    <w:rsid w:val="00AD472A"/>
    <w:rsid w:val="00AD47FB"/>
    <w:rsid w:val="00AD4ADA"/>
    <w:rsid w:val="00AD4CAC"/>
    <w:rsid w:val="00AD4CD0"/>
    <w:rsid w:val="00AD4D27"/>
    <w:rsid w:val="00AD50EF"/>
    <w:rsid w:val="00AD524A"/>
    <w:rsid w:val="00AD53F5"/>
    <w:rsid w:val="00AD53F8"/>
    <w:rsid w:val="00AD5561"/>
    <w:rsid w:val="00AD5576"/>
    <w:rsid w:val="00AD569F"/>
    <w:rsid w:val="00AD5865"/>
    <w:rsid w:val="00AD598E"/>
    <w:rsid w:val="00AD5999"/>
    <w:rsid w:val="00AD59A3"/>
    <w:rsid w:val="00AD5C58"/>
    <w:rsid w:val="00AD5C5F"/>
    <w:rsid w:val="00AD5FF9"/>
    <w:rsid w:val="00AD625F"/>
    <w:rsid w:val="00AD646B"/>
    <w:rsid w:val="00AD64F5"/>
    <w:rsid w:val="00AD6621"/>
    <w:rsid w:val="00AD66EC"/>
    <w:rsid w:val="00AD6715"/>
    <w:rsid w:val="00AD675C"/>
    <w:rsid w:val="00AD680F"/>
    <w:rsid w:val="00AD683B"/>
    <w:rsid w:val="00AD6B4E"/>
    <w:rsid w:val="00AD6C1F"/>
    <w:rsid w:val="00AD6D00"/>
    <w:rsid w:val="00AD6DFC"/>
    <w:rsid w:val="00AD6E96"/>
    <w:rsid w:val="00AD6F64"/>
    <w:rsid w:val="00AD6F7C"/>
    <w:rsid w:val="00AD6FB6"/>
    <w:rsid w:val="00AD720E"/>
    <w:rsid w:val="00AD75BE"/>
    <w:rsid w:val="00AD75D4"/>
    <w:rsid w:val="00AD7635"/>
    <w:rsid w:val="00AD7815"/>
    <w:rsid w:val="00AD78E9"/>
    <w:rsid w:val="00AD79F3"/>
    <w:rsid w:val="00AD7A79"/>
    <w:rsid w:val="00AD7AB2"/>
    <w:rsid w:val="00AD7B80"/>
    <w:rsid w:val="00AD7EC4"/>
    <w:rsid w:val="00AE00AB"/>
    <w:rsid w:val="00AE0148"/>
    <w:rsid w:val="00AE0704"/>
    <w:rsid w:val="00AE097E"/>
    <w:rsid w:val="00AE0B74"/>
    <w:rsid w:val="00AE0E27"/>
    <w:rsid w:val="00AE0E47"/>
    <w:rsid w:val="00AE0EF0"/>
    <w:rsid w:val="00AE0FBC"/>
    <w:rsid w:val="00AE0FC4"/>
    <w:rsid w:val="00AE10FC"/>
    <w:rsid w:val="00AE111F"/>
    <w:rsid w:val="00AE11B6"/>
    <w:rsid w:val="00AE1251"/>
    <w:rsid w:val="00AE1297"/>
    <w:rsid w:val="00AE12EF"/>
    <w:rsid w:val="00AE1437"/>
    <w:rsid w:val="00AE175E"/>
    <w:rsid w:val="00AE193C"/>
    <w:rsid w:val="00AE196D"/>
    <w:rsid w:val="00AE1AB3"/>
    <w:rsid w:val="00AE1BEF"/>
    <w:rsid w:val="00AE1CCF"/>
    <w:rsid w:val="00AE1CE2"/>
    <w:rsid w:val="00AE1E12"/>
    <w:rsid w:val="00AE1E52"/>
    <w:rsid w:val="00AE2174"/>
    <w:rsid w:val="00AE217E"/>
    <w:rsid w:val="00AE2195"/>
    <w:rsid w:val="00AE2207"/>
    <w:rsid w:val="00AE239F"/>
    <w:rsid w:val="00AE23A2"/>
    <w:rsid w:val="00AE256E"/>
    <w:rsid w:val="00AE25C0"/>
    <w:rsid w:val="00AE2697"/>
    <w:rsid w:val="00AE26AB"/>
    <w:rsid w:val="00AE277D"/>
    <w:rsid w:val="00AE2910"/>
    <w:rsid w:val="00AE2925"/>
    <w:rsid w:val="00AE2ACE"/>
    <w:rsid w:val="00AE2C1B"/>
    <w:rsid w:val="00AE2C9F"/>
    <w:rsid w:val="00AE2CB2"/>
    <w:rsid w:val="00AE2E08"/>
    <w:rsid w:val="00AE2F9D"/>
    <w:rsid w:val="00AE31FA"/>
    <w:rsid w:val="00AE335C"/>
    <w:rsid w:val="00AE346D"/>
    <w:rsid w:val="00AE34C4"/>
    <w:rsid w:val="00AE34FD"/>
    <w:rsid w:val="00AE3619"/>
    <w:rsid w:val="00AE375C"/>
    <w:rsid w:val="00AE384C"/>
    <w:rsid w:val="00AE38F2"/>
    <w:rsid w:val="00AE39D6"/>
    <w:rsid w:val="00AE3C07"/>
    <w:rsid w:val="00AE3C7F"/>
    <w:rsid w:val="00AE3D19"/>
    <w:rsid w:val="00AE3D53"/>
    <w:rsid w:val="00AE3D8C"/>
    <w:rsid w:val="00AE3E61"/>
    <w:rsid w:val="00AE3EDC"/>
    <w:rsid w:val="00AE3F33"/>
    <w:rsid w:val="00AE3F38"/>
    <w:rsid w:val="00AE3FCB"/>
    <w:rsid w:val="00AE3FF2"/>
    <w:rsid w:val="00AE40CF"/>
    <w:rsid w:val="00AE4186"/>
    <w:rsid w:val="00AE4367"/>
    <w:rsid w:val="00AE4464"/>
    <w:rsid w:val="00AE479B"/>
    <w:rsid w:val="00AE48A2"/>
    <w:rsid w:val="00AE49D8"/>
    <w:rsid w:val="00AE4BAF"/>
    <w:rsid w:val="00AE4D2B"/>
    <w:rsid w:val="00AE4E4C"/>
    <w:rsid w:val="00AE4F76"/>
    <w:rsid w:val="00AE535C"/>
    <w:rsid w:val="00AE546F"/>
    <w:rsid w:val="00AE58ED"/>
    <w:rsid w:val="00AE5938"/>
    <w:rsid w:val="00AE59C6"/>
    <w:rsid w:val="00AE5A4C"/>
    <w:rsid w:val="00AE5B66"/>
    <w:rsid w:val="00AE5D85"/>
    <w:rsid w:val="00AE5DF8"/>
    <w:rsid w:val="00AE5E25"/>
    <w:rsid w:val="00AE5E6E"/>
    <w:rsid w:val="00AE5FBC"/>
    <w:rsid w:val="00AE6009"/>
    <w:rsid w:val="00AE61D9"/>
    <w:rsid w:val="00AE626D"/>
    <w:rsid w:val="00AE6429"/>
    <w:rsid w:val="00AE6440"/>
    <w:rsid w:val="00AE65BD"/>
    <w:rsid w:val="00AE6646"/>
    <w:rsid w:val="00AE66A6"/>
    <w:rsid w:val="00AE66E5"/>
    <w:rsid w:val="00AE6891"/>
    <w:rsid w:val="00AE68D9"/>
    <w:rsid w:val="00AE6962"/>
    <w:rsid w:val="00AE6A1E"/>
    <w:rsid w:val="00AE6ADA"/>
    <w:rsid w:val="00AE6C42"/>
    <w:rsid w:val="00AE6C9C"/>
    <w:rsid w:val="00AE6CE1"/>
    <w:rsid w:val="00AE7162"/>
    <w:rsid w:val="00AE741C"/>
    <w:rsid w:val="00AE7545"/>
    <w:rsid w:val="00AE7547"/>
    <w:rsid w:val="00AE76D0"/>
    <w:rsid w:val="00AE7782"/>
    <w:rsid w:val="00AE78A1"/>
    <w:rsid w:val="00AE7CCD"/>
    <w:rsid w:val="00AF0076"/>
    <w:rsid w:val="00AF0144"/>
    <w:rsid w:val="00AF0574"/>
    <w:rsid w:val="00AF0616"/>
    <w:rsid w:val="00AF068A"/>
    <w:rsid w:val="00AF09D6"/>
    <w:rsid w:val="00AF0CBA"/>
    <w:rsid w:val="00AF11D2"/>
    <w:rsid w:val="00AF1273"/>
    <w:rsid w:val="00AF1291"/>
    <w:rsid w:val="00AF14C6"/>
    <w:rsid w:val="00AF151D"/>
    <w:rsid w:val="00AF153A"/>
    <w:rsid w:val="00AF17B1"/>
    <w:rsid w:val="00AF18AD"/>
    <w:rsid w:val="00AF1A89"/>
    <w:rsid w:val="00AF1C69"/>
    <w:rsid w:val="00AF1D77"/>
    <w:rsid w:val="00AF1E29"/>
    <w:rsid w:val="00AF1E6C"/>
    <w:rsid w:val="00AF1EC7"/>
    <w:rsid w:val="00AF1FD3"/>
    <w:rsid w:val="00AF2167"/>
    <w:rsid w:val="00AF228E"/>
    <w:rsid w:val="00AF2534"/>
    <w:rsid w:val="00AF269E"/>
    <w:rsid w:val="00AF2808"/>
    <w:rsid w:val="00AF2881"/>
    <w:rsid w:val="00AF28B5"/>
    <w:rsid w:val="00AF297D"/>
    <w:rsid w:val="00AF2A5E"/>
    <w:rsid w:val="00AF2B4B"/>
    <w:rsid w:val="00AF2CD7"/>
    <w:rsid w:val="00AF2D4D"/>
    <w:rsid w:val="00AF2EF0"/>
    <w:rsid w:val="00AF2F1B"/>
    <w:rsid w:val="00AF2FB3"/>
    <w:rsid w:val="00AF2FBD"/>
    <w:rsid w:val="00AF301B"/>
    <w:rsid w:val="00AF30B1"/>
    <w:rsid w:val="00AF3331"/>
    <w:rsid w:val="00AF3345"/>
    <w:rsid w:val="00AF336A"/>
    <w:rsid w:val="00AF35E3"/>
    <w:rsid w:val="00AF365C"/>
    <w:rsid w:val="00AF3766"/>
    <w:rsid w:val="00AF37CB"/>
    <w:rsid w:val="00AF38EF"/>
    <w:rsid w:val="00AF3972"/>
    <w:rsid w:val="00AF39AF"/>
    <w:rsid w:val="00AF3AD1"/>
    <w:rsid w:val="00AF3AE3"/>
    <w:rsid w:val="00AF3D9F"/>
    <w:rsid w:val="00AF3DF1"/>
    <w:rsid w:val="00AF4050"/>
    <w:rsid w:val="00AF4086"/>
    <w:rsid w:val="00AF41ED"/>
    <w:rsid w:val="00AF43C2"/>
    <w:rsid w:val="00AF4426"/>
    <w:rsid w:val="00AF4456"/>
    <w:rsid w:val="00AF4562"/>
    <w:rsid w:val="00AF4613"/>
    <w:rsid w:val="00AF473B"/>
    <w:rsid w:val="00AF48B3"/>
    <w:rsid w:val="00AF499C"/>
    <w:rsid w:val="00AF4AB1"/>
    <w:rsid w:val="00AF4D28"/>
    <w:rsid w:val="00AF4D9D"/>
    <w:rsid w:val="00AF4DD9"/>
    <w:rsid w:val="00AF4F01"/>
    <w:rsid w:val="00AF50F1"/>
    <w:rsid w:val="00AF52B1"/>
    <w:rsid w:val="00AF5337"/>
    <w:rsid w:val="00AF5350"/>
    <w:rsid w:val="00AF5399"/>
    <w:rsid w:val="00AF53AC"/>
    <w:rsid w:val="00AF5506"/>
    <w:rsid w:val="00AF556A"/>
    <w:rsid w:val="00AF55B9"/>
    <w:rsid w:val="00AF56BA"/>
    <w:rsid w:val="00AF589C"/>
    <w:rsid w:val="00AF590D"/>
    <w:rsid w:val="00AF596C"/>
    <w:rsid w:val="00AF5A43"/>
    <w:rsid w:val="00AF5BAF"/>
    <w:rsid w:val="00AF5BC0"/>
    <w:rsid w:val="00AF5C97"/>
    <w:rsid w:val="00AF5F16"/>
    <w:rsid w:val="00AF6148"/>
    <w:rsid w:val="00AF62EF"/>
    <w:rsid w:val="00AF632C"/>
    <w:rsid w:val="00AF6543"/>
    <w:rsid w:val="00AF67F0"/>
    <w:rsid w:val="00AF6826"/>
    <w:rsid w:val="00AF6B61"/>
    <w:rsid w:val="00AF6C5A"/>
    <w:rsid w:val="00AF6E9E"/>
    <w:rsid w:val="00AF705B"/>
    <w:rsid w:val="00AF7112"/>
    <w:rsid w:val="00AF740E"/>
    <w:rsid w:val="00AF744A"/>
    <w:rsid w:val="00AF76E2"/>
    <w:rsid w:val="00AF77D3"/>
    <w:rsid w:val="00AF7967"/>
    <w:rsid w:val="00AF799F"/>
    <w:rsid w:val="00AF7A2C"/>
    <w:rsid w:val="00AF7A6F"/>
    <w:rsid w:val="00AF7B19"/>
    <w:rsid w:val="00AF7B69"/>
    <w:rsid w:val="00AF7D7A"/>
    <w:rsid w:val="00AF7E62"/>
    <w:rsid w:val="00AF7FB3"/>
    <w:rsid w:val="00AF7FEA"/>
    <w:rsid w:val="00B00049"/>
    <w:rsid w:val="00B00113"/>
    <w:rsid w:val="00B0015D"/>
    <w:rsid w:val="00B0025E"/>
    <w:rsid w:val="00B002AD"/>
    <w:rsid w:val="00B00391"/>
    <w:rsid w:val="00B00665"/>
    <w:rsid w:val="00B00862"/>
    <w:rsid w:val="00B00C57"/>
    <w:rsid w:val="00B00D31"/>
    <w:rsid w:val="00B01021"/>
    <w:rsid w:val="00B0119B"/>
    <w:rsid w:val="00B011B9"/>
    <w:rsid w:val="00B011C3"/>
    <w:rsid w:val="00B0137E"/>
    <w:rsid w:val="00B015E6"/>
    <w:rsid w:val="00B01660"/>
    <w:rsid w:val="00B0168B"/>
    <w:rsid w:val="00B016D6"/>
    <w:rsid w:val="00B01812"/>
    <w:rsid w:val="00B018ED"/>
    <w:rsid w:val="00B0197B"/>
    <w:rsid w:val="00B01A05"/>
    <w:rsid w:val="00B01A4B"/>
    <w:rsid w:val="00B01B32"/>
    <w:rsid w:val="00B01BB5"/>
    <w:rsid w:val="00B01D73"/>
    <w:rsid w:val="00B02169"/>
    <w:rsid w:val="00B02267"/>
    <w:rsid w:val="00B02346"/>
    <w:rsid w:val="00B02799"/>
    <w:rsid w:val="00B0293B"/>
    <w:rsid w:val="00B0294C"/>
    <w:rsid w:val="00B02953"/>
    <w:rsid w:val="00B02AF7"/>
    <w:rsid w:val="00B02C75"/>
    <w:rsid w:val="00B02D3A"/>
    <w:rsid w:val="00B02D8D"/>
    <w:rsid w:val="00B02E07"/>
    <w:rsid w:val="00B02E85"/>
    <w:rsid w:val="00B02EEE"/>
    <w:rsid w:val="00B0305B"/>
    <w:rsid w:val="00B0309F"/>
    <w:rsid w:val="00B0315F"/>
    <w:rsid w:val="00B03198"/>
    <w:rsid w:val="00B03377"/>
    <w:rsid w:val="00B03383"/>
    <w:rsid w:val="00B033A4"/>
    <w:rsid w:val="00B03544"/>
    <w:rsid w:val="00B0371E"/>
    <w:rsid w:val="00B03890"/>
    <w:rsid w:val="00B03A63"/>
    <w:rsid w:val="00B03A69"/>
    <w:rsid w:val="00B03B25"/>
    <w:rsid w:val="00B03B89"/>
    <w:rsid w:val="00B03BAF"/>
    <w:rsid w:val="00B03C34"/>
    <w:rsid w:val="00B03C7A"/>
    <w:rsid w:val="00B03CB5"/>
    <w:rsid w:val="00B03CD6"/>
    <w:rsid w:val="00B03D1F"/>
    <w:rsid w:val="00B03D72"/>
    <w:rsid w:val="00B03E9D"/>
    <w:rsid w:val="00B03EBE"/>
    <w:rsid w:val="00B03F0A"/>
    <w:rsid w:val="00B04014"/>
    <w:rsid w:val="00B04173"/>
    <w:rsid w:val="00B04386"/>
    <w:rsid w:val="00B043F5"/>
    <w:rsid w:val="00B04A8A"/>
    <w:rsid w:val="00B04AFC"/>
    <w:rsid w:val="00B04C06"/>
    <w:rsid w:val="00B04D01"/>
    <w:rsid w:val="00B04EC5"/>
    <w:rsid w:val="00B04EFD"/>
    <w:rsid w:val="00B04F87"/>
    <w:rsid w:val="00B05059"/>
    <w:rsid w:val="00B0509E"/>
    <w:rsid w:val="00B05259"/>
    <w:rsid w:val="00B052AE"/>
    <w:rsid w:val="00B052EB"/>
    <w:rsid w:val="00B0552E"/>
    <w:rsid w:val="00B05628"/>
    <w:rsid w:val="00B05947"/>
    <w:rsid w:val="00B05982"/>
    <w:rsid w:val="00B059FE"/>
    <w:rsid w:val="00B05B53"/>
    <w:rsid w:val="00B05BF0"/>
    <w:rsid w:val="00B05D82"/>
    <w:rsid w:val="00B05D9A"/>
    <w:rsid w:val="00B05DA6"/>
    <w:rsid w:val="00B05EEE"/>
    <w:rsid w:val="00B05FD1"/>
    <w:rsid w:val="00B060F6"/>
    <w:rsid w:val="00B0617B"/>
    <w:rsid w:val="00B06260"/>
    <w:rsid w:val="00B0628D"/>
    <w:rsid w:val="00B063C0"/>
    <w:rsid w:val="00B067F3"/>
    <w:rsid w:val="00B068F9"/>
    <w:rsid w:val="00B06A16"/>
    <w:rsid w:val="00B06B32"/>
    <w:rsid w:val="00B06CBE"/>
    <w:rsid w:val="00B06D4B"/>
    <w:rsid w:val="00B06E8D"/>
    <w:rsid w:val="00B06F6C"/>
    <w:rsid w:val="00B070AE"/>
    <w:rsid w:val="00B07136"/>
    <w:rsid w:val="00B0726A"/>
    <w:rsid w:val="00B075E3"/>
    <w:rsid w:val="00B075EB"/>
    <w:rsid w:val="00B076B4"/>
    <w:rsid w:val="00B07776"/>
    <w:rsid w:val="00B07A31"/>
    <w:rsid w:val="00B07C63"/>
    <w:rsid w:val="00B07C98"/>
    <w:rsid w:val="00B07C9C"/>
    <w:rsid w:val="00B07C9D"/>
    <w:rsid w:val="00B07F2B"/>
    <w:rsid w:val="00B10078"/>
    <w:rsid w:val="00B1042B"/>
    <w:rsid w:val="00B10653"/>
    <w:rsid w:val="00B10709"/>
    <w:rsid w:val="00B10852"/>
    <w:rsid w:val="00B10B2D"/>
    <w:rsid w:val="00B10EDD"/>
    <w:rsid w:val="00B11018"/>
    <w:rsid w:val="00B11143"/>
    <w:rsid w:val="00B11186"/>
    <w:rsid w:val="00B1118D"/>
    <w:rsid w:val="00B11296"/>
    <w:rsid w:val="00B112F9"/>
    <w:rsid w:val="00B11678"/>
    <w:rsid w:val="00B1186C"/>
    <w:rsid w:val="00B11B0E"/>
    <w:rsid w:val="00B11CAC"/>
    <w:rsid w:val="00B11DA4"/>
    <w:rsid w:val="00B11DB9"/>
    <w:rsid w:val="00B11E31"/>
    <w:rsid w:val="00B12002"/>
    <w:rsid w:val="00B123AB"/>
    <w:rsid w:val="00B123FF"/>
    <w:rsid w:val="00B12481"/>
    <w:rsid w:val="00B127D4"/>
    <w:rsid w:val="00B1285C"/>
    <w:rsid w:val="00B128A8"/>
    <w:rsid w:val="00B128FA"/>
    <w:rsid w:val="00B12913"/>
    <w:rsid w:val="00B1299D"/>
    <w:rsid w:val="00B129CC"/>
    <w:rsid w:val="00B12BD9"/>
    <w:rsid w:val="00B12BF5"/>
    <w:rsid w:val="00B12DD9"/>
    <w:rsid w:val="00B12E22"/>
    <w:rsid w:val="00B12F00"/>
    <w:rsid w:val="00B13000"/>
    <w:rsid w:val="00B130CC"/>
    <w:rsid w:val="00B13234"/>
    <w:rsid w:val="00B13440"/>
    <w:rsid w:val="00B1351F"/>
    <w:rsid w:val="00B1356D"/>
    <w:rsid w:val="00B13596"/>
    <w:rsid w:val="00B1372C"/>
    <w:rsid w:val="00B138F1"/>
    <w:rsid w:val="00B13B93"/>
    <w:rsid w:val="00B13C8B"/>
    <w:rsid w:val="00B13CEE"/>
    <w:rsid w:val="00B13CFD"/>
    <w:rsid w:val="00B13D12"/>
    <w:rsid w:val="00B13D35"/>
    <w:rsid w:val="00B13D38"/>
    <w:rsid w:val="00B13D55"/>
    <w:rsid w:val="00B13D57"/>
    <w:rsid w:val="00B140E2"/>
    <w:rsid w:val="00B1417E"/>
    <w:rsid w:val="00B141FD"/>
    <w:rsid w:val="00B1428F"/>
    <w:rsid w:val="00B14678"/>
    <w:rsid w:val="00B14711"/>
    <w:rsid w:val="00B1474A"/>
    <w:rsid w:val="00B14947"/>
    <w:rsid w:val="00B14A18"/>
    <w:rsid w:val="00B14B98"/>
    <w:rsid w:val="00B14B99"/>
    <w:rsid w:val="00B14C06"/>
    <w:rsid w:val="00B14D55"/>
    <w:rsid w:val="00B14D59"/>
    <w:rsid w:val="00B14D6D"/>
    <w:rsid w:val="00B14D8B"/>
    <w:rsid w:val="00B1521F"/>
    <w:rsid w:val="00B15241"/>
    <w:rsid w:val="00B152A8"/>
    <w:rsid w:val="00B152FD"/>
    <w:rsid w:val="00B1531E"/>
    <w:rsid w:val="00B15638"/>
    <w:rsid w:val="00B15773"/>
    <w:rsid w:val="00B15A6E"/>
    <w:rsid w:val="00B15A93"/>
    <w:rsid w:val="00B15A9D"/>
    <w:rsid w:val="00B15B27"/>
    <w:rsid w:val="00B15BAA"/>
    <w:rsid w:val="00B15C0F"/>
    <w:rsid w:val="00B15C21"/>
    <w:rsid w:val="00B15F15"/>
    <w:rsid w:val="00B160D9"/>
    <w:rsid w:val="00B16311"/>
    <w:rsid w:val="00B16477"/>
    <w:rsid w:val="00B16482"/>
    <w:rsid w:val="00B16509"/>
    <w:rsid w:val="00B16607"/>
    <w:rsid w:val="00B16639"/>
    <w:rsid w:val="00B16731"/>
    <w:rsid w:val="00B1692C"/>
    <w:rsid w:val="00B16991"/>
    <w:rsid w:val="00B169D0"/>
    <w:rsid w:val="00B16B7B"/>
    <w:rsid w:val="00B16D7E"/>
    <w:rsid w:val="00B16DDD"/>
    <w:rsid w:val="00B170D8"/>
    <w:rsid w:val="00B17132"/>
    <w:rsid w:val="00B173A1"/>
    <w:rsid w:val="00B173A3"/>
    <w:rsid w:val="00B1741B"/>
    <w:rsid w:val="00B1748D"/>
    <w:rsid w:val="00B17606"/>
    <w:rsid w:val="00B177E3"/>
    <w:rsid w:val="00B17857"/>
    <w:rsid w:val="00B179F9"/>
    <w:rsid w:val="00B17B6F"/>
    <w:rsid w:val="00B17C83"/>
    <w:rsid w:val="00B17E69"/>
    <w:rsid w:val="00B20131"/>
    <w:rsid w:val="00B201ED"/>
    <w:rsid w:val="00B20374"/>
    <w:rsid w:val="00B20427"/>
    <w:rsid w:val="00B20951"/>
    <w:rsid w:val="00B20ACB"/>
    <w:rsid w:val="00B20C2F"/>
    <w:rsid w:val="00B20CEE"/>
    <w:rsid w:val="00B20FB4"/>
    <w:rsid w:val="00B211EF"/>
    <w:rsid w:val="00B212A9"/>
    <w:rsid w:val="00B2132B"/>
    <w:rsid w:val="00B213E8"/>
    <w:rsid w:val="00B214CD"/>
    <w:rsid w:val="00B21500"/>
    <w:rsid w:val="00B21590"/>
    <w:rsid w:val="00B215E3"/>
    <w:rsid w:val="00B216CF"/>
    <w:rsid w:val="00B21793"/>
    <w:rsid w:val="00B21818"/>
    <w:rsid w:val="00B21873"/>
    <w:rsid w:val="00B21AA1"/>
    <w:rsid w:val="00B21BE5"/>
    <w:rsid w:val="00B21CBD"/>
    <w:rsid w:val="00B21E11"/>
    <w:rsid w:val="00B21F95"/>
    <w:rsid w:val="00B21FE4"/>
    <w:rsid w:val="00B21FF6"/>
    <w:rsid w:val="00B22101"/>
    <w:rsid w:val="00B2210B"/>
    <w:rsid w:val="00B2221D"/>
    <w:rsid w:val="00B222E3"/>
    <w:rsid w:val="00B2230F"/>
    <w:rsid w:val="00B2233E"/>
    <w:rsid w:val="00B2259A"/>
    <w:rsid w:val="00B2260D"/>
    <w:rsid w:val="00B2283B"/>
    <w:rsid w:val="00B22A9D"/>
    <w:rsid w:val="00B22AA9"/>
    <w:rsid w:val="00B22AD0"/>
    <w:rsid w:val="00B22C0E"/>
    <w:rsid w:val="00B22CA9"/>
    <w:rsid w:val="00B22DD6"/>
    <w:rsid w:val="00B22E02"/>
    <w:rsid w:val="00B22ECC"/>
    <w:rsid w:val="00B23098"/>
    <w:rsid w:val="00B231E6"/>
    <w:rsid w:val="00B23203"/>
    <w:rsid w:val="00B2325F"/>
    <w:rsid w:val="00B2334B"/>
    <w:rsid w:val="00B237DF"/>
    <w:rsid w:val="00B238E1"/>
    <w:rsid w:val="00B23924"/>
    <w:rsid w:val="00B2393D"/>
    <w:rsid w:val="00B23A8F"/>
    <w:rsid w:val="00B23E14"/>
    <w:rsid w:val="00B23E4A"/>
    <w:rsid w:val="00B23E95"/>
    <w:rsid w:val="00B23F3D"/>
    <w:rsid w:val="00B23FC0"/>
    <w:rsid w:val="00B23FC1"/>
    <w:rsid w:val="00B24282"/>
    <w:rsid w:val="00B242EB"/>
    <w:rsid w:val="00B2430E"/>
    <w:rsid w:val="00B24331"/>
    <w:rsid w:val="00B2452D"/>
    <w:rsid w:val="00B2455A"/>
    <w:rsid w:val="00B245A6"/>
    <w:rsid w:val="00B24A53"/>
    <w:rsid w:val="00B24A60"/>
    <w:rsid w:val="00B24CB3"/>
    <w:rsid w:val="00B24DE0"/>
    <w:rsid w:val="00B24F75"/>
    <w:rsid w:val="00B25082"/>
    <w:rsid w:val="00B25133"/>
    <w:rsid w:val="00B2515E"/>
    <w:rsid w:val="00B25572"/>
    <w:rsid w:val="00B259C9"/>
    <w:rsid w:val="00B259DD"/>
    <w:rsid w:val="00B25A7A"/>
    <w:rsid w:val="00B25B70"/>
    <w:rsid w:val="00B25DD9"/>
    <w:rsid w:val="00B25E0A"/>
    <w:rsid w:val="00B262F0"/>
    <w:rsid w:val="00B264BB"/>
    <w:rsid w:val="00B2659C"/>
    <w:rsid w:val="00B26726"/>
    <w:rsid w:val="00B26829"/>
    <w:rsid w:val="00B26883"/>
    <w:rsid w:val="00B26AC0"/>
    <w:rsid w:val="00B26AD7"/>
    <w:rsid w:val="00B26BA2"/>
    <w:rsid w:val="00B26C36"/>
    <w:rsid w:val="00B26CFB"/>
    <w:rsid w:val="00B26E27"/>
    <w:rsid w:val="00B26FD3"/>
    <w:rsid w:val="00B2710A"/>
    <w:rsid w:val="00B272DF"/>
    <w:rsid w:val="00B27338"/>
    <w:rsid w:val="00B273FD"/>
    <w:rsid w:val="00B2762C"/>
    <w:rsid w:val="00B27716"/>
    <w:rsid w:val="00B278E1"/>
    <w:rsid w:val="00B27901"/>
    <w:rsid w:val="00B27A1A"/>
    <w:rsid w:val="00B27A3B"/>
    <w:rsid w:val="00B3001C"/>
    <w:rsid w:val="00B30029"/>
    <w:rsid w:val="00B30047"/>
    <w:rsid w:val="00B30152"/>
    <w:rsid w:val="00B302E2"/>
    <w:rsid w:val="00B302F5"/>
    <w:rsid w:val="00B3049A"/>
    <w:rsid w:val="00B30569"/>
    <w:rsid w:val="00B3059C"/>
    <w:rsid w:val="00B305B7"/>
    <w:rsid w:val="00B305D8"/>
    <w:rsid w:val="00B3060B"/>
    <w:rsid w:val="00B30724"/>
    <w:rsid w:val="00B3083E"/>
    <w:rsid w:val="00B30A27"/>
    <w:rsid w:val="00B30B44"/>
    <w:rsid w:val="00B30C37"/>
    <w:rsid w:val="00B30E2F"/>
    <w:rsid w:val="00B30E65"/>
    <w:rsid w:val="00B30EAC"/>
    <w:rsid w:val="00B3115E"/>
    <w:rsid w:val="00B3132D"/>
    <w:rsid w:val="00B31335"/>
    <w:rsid w:val="00B313BC"/>
    <w:rsid w:val="00B31407"/>
    <w:rsid w:val="00B31491"/>
    <w:rsid w:val="00B315A5"/>
    <w:rsid w:val="00B3168D"/>
    <w:rsid w:val="00B31944"/>
    <w:rsid w:val="00B319D7"/>
    <w:rsid w:val="00B31A52"/>
    <w:rsid w:val="00B31BFC"/>
    <w:rsid w:val="00B31F9F"/>
    <w:rsid w:val="00B3203D"/>
    <w:rsid w:val="00B3244F"/>
    <w:rsid w:val="00B32605"/>
    <w:rsid w:val="00B326F7"/>
    <w:rsid w:val="00B3282F"/>
    <w:rsid w:val="00B328CE"/>
    <w:rsid w:val="00B328D6"/>
    <w:rsid w:val="00B329EE"/>
    <w:rsid w:val="00B32AB4"/>
    <w:rsid w:val="00B32C2E"/>
    <w:rsid w:val="00B32E19"/>
    <w:rsid w:val="00B32EC9"/>
    <w:rsid w:val="00B32EFC"/>
    <w:rsid w:val="00B32F08"/>
    <w:rsid w:val="00B3307E"/>
    <w:rsid w:val="00B330B6"/>
    <w:rsid w:val="00B33463"/>
    <w:rsid w:val="00B337A6"/>
    <w:rsid w:val="00B3380C"/>
    <w:rsid w:val="00B33853"/>
    <w:rsid w:val="00B3385D"/>
    <w:rsid w:val="00B33867"/>
    <w:rsid w:val="00B33AA8"/>
    <w:rsid w:val="00B33B4B"/>
    <w:rsid w:val="00B33BAA"/>
    <w:rsid w:val="00B33E3B"/>
    <w:rsid w:val="00B33FC2"/>
    <w:rsid w:val="00B34229"/>
    <w:rsid w:val="00B3423E"/>
    <w:rsid w:val="00B342E4"/>
    <w:rsid w:val="00B34407"/>
    <w:rsid w:val="00B34440"/>
    <w:rsid w:val="00B34529"/>
    <w:rsid w:val="00B34790"/>
    <w:rsid w:val="00B3484A"/>
    <w:rsid w:val="00B3487C"/>
    <w:rsid w:val="00B34909"/>
    <w:rsid w:val="00B34AE2"/>
    <w:rsid w:val="00B34F5E"/>
    <w:rsid w:val="00B3506E"/>
    <w:rsid w:val="00B35072"/>
    <w:rsid w:val="00B350C3"/>
    <w:rsid w:val="00B350CC"/>
    <w:rsid w:val="00B3524A"/>
    <w:rsid w:val="00B3527C"/>
    <w:rsid w:val="00B353C3"/>
    <w:rsid w:val="00B35403"/>
    <w:rsid w:val="00B35592"/>
    <w:rsid w:val="00B35624"/>
    <w:rsid w:val="00B35730"/>
    <w:rsid w:val="00B35838"/>
    <w:rsid w:val="00B35861"/>
    <w:rsid w:val="00B35912"/>
    <w:rsid w:val="00B35999"/>
    <w:rsid w:val="00B35BE1"/>
    <w:rsid w:val="00B35BEF"/>
    <w:rsid w:val="00B35E9E"/>
    <w:rsid w:val="00B360F4"/>
    <w:rsid w:val="00B36405"/>
    <w:rsid w:val="00B364B2"/>
    <w:rsid w:val="00B366D1"/>
    <w:rsid w:val="00B367A9"/>
    <w:rsid w:val="00B369A4"/>
    <w:rsid w:val="00B36A02"/>
    <w:rsid w:val="00B36B10"/>
    <w:rsid w:val="00B36CF4"/>
    <w:rsid w:val="00B36D20"/>
    <w:rsid w:val="00B36D41"/>
    <w:rsid w:val="00B36D75"/>
    <w:rsid w:val="00B36E2E"/>
    <w:rsid w:val="00B36E35"/>
    <w:rsid w:val="00B36EFA"/>
    <w:rsid w:val="00B36FAB"/>
    <w:rsid w:val="00B371A0"/>
    <w:rsid w:val="00B371C4"/>
    <w:rsid w:val="00B373D0"/>
    <w:rsid w:val="00B37494"/>
    <w:rsid w:val="00B374E9"/>
    <w:rsid w:val="00B3754F"/>
    <w:rsid w:val="00B376B8"/>
    <w:rsid w:val="00B37919"/>
    <w:rsid w:val="00B379ED"/>
    <w:rsid w:val="00B37B11"/>
    <w:rsid w:val="00B37D98"/>
    <w:rsid w:val="00B37E0C"/>
    <w:rsid w:val="00B37F35"/>
    <w:rsid w:val="00B37FBA"/>
    <w:rsid w:val="00B37FFC"/>
    <w:rsid w:val="00B40245"/>
    <w:rsid w:val="00B40326"/>
    <w:rsid w:val="00B404AF"/>
    <w:rsid w:val="00B405D5"/>
    <w:rsid w:val="00B406EA"/>
    <w:rsid w:val="00B4072C"/>
    <w:rsid w:val="00B4074D"/>
    <w:rsid w:val="00B4094D"/>
    <w:rsid w:val="00B40AA3"/>
    <w:rsid w:val="00B40CF5"/>
    <w:rsid w:val="00B40EBF"/>
    <w:rsid w:val="00B40F5F"/>
    <w:rsid w:val="00B4102B"/>
    <w:rsid w:val="00B41163"/>
    <w:rsid w:val="00B412EC"/>
    <w:rsid w:val="00B413E1"/>
    <w:rsid w:val="00B41402"/>
    <w:rsid w:val="00B4144A"/>
    <w:rsid w:val="00B414F0"/>
    <w:rsid w:val="00B4159D"/>
    <w:rsid w:val="00B41981"/>
    <w:rsid w:val="00B419CD"/>
    <w:rsid w:val="00B41CAC"/>
    <w:rsid w:val="00B41D4F"/>
    <w:rsid w:val="00B41D88"/>
    <w:rsid w:val="00B41E66"/>
    <w:rsid w:val="00B4209E"/>
    <w:rsid w:val="00B422DA"/>
    <w:rsid w:val="00B4232D"/>
    <w:rsid w:val="00B4242A"/>
    <w:rsid w:val="00B42677"/>
    <w:rsid w:val="00B4273C"/>
    <w:rsid w:val="00B42A3D"/>
    <w:rsid w:val="00B42B80"/>
    <w:rsid w:val="00B42D9B"/>
    <w:rsid w:val="00B42FCE"/>
    <w:rsid w:val="00B43080"/>
    <w:rsid w:val="00B430DB"/>
    <w:rsid w:val="00B43160"/>
    <w:rsid w:val="00B43518"/>
    <w:rsid w:val="00B4366C"/>
    <w:rsid w:val="00B43A05"/>
    <w:rsid w:val="00B43A2B"/>
    <w:rsid w:val="00B43A38"/>
    <w:rsid w:val="00B43AC6"/>
    <w:rsid w:val="00B43BFF"/>
    <w:rsid w:val="00B43C93"/>
    <w:rsid w:val="00B43E9B"/>
    <w:rsid w:val="00B43F0B"/>
    <w:rsid w:val="00B441A8"/>
    <w:rsid w:val="00B44269"/>
    <w:rsid w:val="00B44738"/>
    <w:rsid w:val="00B44757"/>
    <w:rsid w:val="00B44A1F"/>
    <w:rsid w:val="00B44B0C"/>
    <w:rsid w:val="00B44BC9"/>
    <w:rsid w:val="00B44DC6"/>
    <w:rsid w:val="00B44E80"/>
    <w:rsid w:val="00B44F8A"/>
    <w:rsid w:val="00B456A3"/>
    <w:rsid w:val="00B45778"/>
    <w:rsid w:val="00B45931"/>
    <w:rsid w:val="00B45A23"/>
    <w:rsid w:val="00B45A99"/>
    <w:rsid w:val="00B45BFF"/>
    <w:rsid w:val="00B45D75"/>
    <w:rsid w:val="00B45E29"/>
    <w:rsid w:val="00B45E60"/>
    <w:rsid w:val="00B4617B"/>
    <w:rsid w:val="00B46538"/>
    <w:rsid w:val="00B46868"/>
    <w:rsid w:val="00B46A12"/>
    <w:rsid w:val="00B46C26"/>
    <w:rsid w:val="00B46CC5"/>
    <w:rsid w:val="00B46E1F"/>
    <w:rsid w:val="00B46E95"/>
    <w:rsid w:val="00B46FE3"/>
    <w:rsid w:val="00B470CA"/>
    <w:rsid w:val="00B47231"/>
    <w:rsid w:val="00B47534"/>
    <w:rsid w:val="00B4759B"/>
    <w:rsid w:val="00B47748"/>
    <w:rsid w:val="00B4774D"/>
    <w:rsid w:val="00B47B6A"/>
    <w:rsid w:val="00B47B75"/>
    <w:rsid w:val="00B47B9D"/>
    <w:rsid w:val="00B47DF1"/>
    <w:rsid w:val="00B47E36"/>
    <w:rsid w:val="00B5005B"/>
    <w:rsid w:val="00B5014B"/>
    <w:rsid w:val="00B5040D"/>
    <w:rsid w:val="00B50412"/>
    <w:rsid w:val="00B5049D"/>
    <w:rsid w:val="00B50505"/>
    <w:rsid w:val="00B50566"/>
    <w:rsid w:val="00B506EB"/>
    <w:rsid w:val="00B50707"/>
    <w:rsid w:val="00B50B35"/>
    <w:rsid w:val="00B50D66"/>
    <w:rsid w:val="00B50DBF"/>
    <w:rsid w:val="00B50F5E"/>
    <w:rsid w:val="00B51086"/>
    <w:rsid w:val="00B51132"/>
    <w:rsid w:val="00B51236"/>
    <w:rsid w:val="00B51431"/>
    <w:rsid w:val="00B51907"/>
    <w:rsid w:val="00B51A8F"/>
    <w:rsid w:val="00B51B81"/>
    <w:rsid w:val="00B51BD4"/>
    <w:rsid w:val="00B51C7E"/>
    <w:rsid w:val="00B51CA5"/>
    <w:rsid w:val="00B521EE"/>
    <w:rsid w:val="00B52239"/>
    <w:rsid w:val="00B524AB"/>
    <w:rsid w:val="00B5281D"/>
    <w:rsid w:val="00B529CC"/>
    <w:rsid w:val="00B52A00"/>
    <w:rsid w:val="00B52CBE"/>
    <w:rsid w:val="00B52DE2"/>
    <w:rsid w:val="00B52DF2"/>
    <w:rsid w:val="00B52EF4"/>
    <w:rsid w:val="00B52F1E"/>
    <w:rsid w:val="00B53137"/>
    <w:rsid w:val="00B531F6"/>
    <w:rsid w:val="00B532D3"/>
    <w:rsid w:val="00B532E9"/>
    <w:rsid w:val="00B53458"/>
    <w:rsid w:val="00B53535"/>
    <w:rsid w:val="00B53616"/>
    <w:rsid w:val="00B537AD"/>
    <w:rsid w:val="00B537BA"/>
    <w:rsid w:val="00B538DF"/>
    <w:rsid w:val="00B538E8"/>
    <w:rsid w:val="00B538EA"/>
    <w:rsid w:val="00B53E8E"/>
    <w:rsid w:val="00B5416B"/>
    <w:rsid w:val="00B54398"/>
    <w:rsid w:val="00B54428"/>
    <w:rsid w:val="00B54515"/>
    <w:rsid w:val="00B545CE"/>
    <w:rsid w:val="00B546FF"/>
    <w:rsid w:val="00B5475B"/>
    <w:rsid w:val="00B54939"/>
    <w:rsid w:val="00B54996"/>
    <w:rsid w:val="00B54ADA"/>
    <w:rsid w:val="00B54BE8"/>
    <w:rsid w:val="00B54C3E"/>
    <w:rsid w:val="00B54DA0"/>
    <w:rsid w:val="00B551CA"/>
    <w:rsid w:val="00B55485"/>
    <w:rsid w:val="00B559BF"/>
    <w:rsid w:val="00B55A79"/>
    <w:rsid w:val="00B55A7F"/>
    <w:rsid w:val="00B55C65"/>
    <w:rsid w:val="00B560D0"/>
    <w:rsid w:val="00B56172"/>
    <w:rsid w:val="00B56223"/>
    <w:rsid w:val="00B5624E"/>
    <w:rsid w:val="00B56598"/>
    <w:rsid w:val="00B56AF5"/>
    <w:rsid w:val="00B56B03"/>
    <w:rsid w:val="00B56B07"/>
    <w:rsid w:val="00B56C88"/>
    <w:rsid w:val="00B56CD9"/>
    <w:rsid w:val="00B56E79"/>
    <w:rsid w:val="00B56E7D"/>
    <w:rsid w:val="00B56E82"/>
    <w:rsid w:val="00B57132"/>
    <w:rsid w:val="00B57227"/>
    <w:rsid w:val="00B5722C"/>
    <w:rsid w:val="00B57476"/>
    <w:rsid w:val="00B574F7"/>
    <w:rsid w:val="00B575F2"/>
    <w:rsid w:val="00B576B4"/>
    <w:rsid w:val="00B576E5"/>
    <w:rsid w:val="00B57915"/>
    <w:rsid w:val="00B57938"/>
    <w:rsid w:val="00B5794D"/>
    <w:rsid w:val="00B57955"/>
    <w:rsid w:val="00B57B2E"/>
    <w:rsid w:val="00B57B9C"/>
    <w:rsid w:val="00B57BF9"/>
    <w:rsid w:val="00B57C02"/>
    <w:rsid w:val="00B57DAF"/>
    <w:rsid w:val="00B57DBB"/>
    <w:rsid w:val="00B57E62"/>
    <w:rsid w:val="00B60107"/>
    <w:rsid w:val="00B602C1"/>
    <w:rsid w:val="00B602C9"/>
    <w:rsid w:val="00B602CD"/>
    <w:rsid w:val="00B6032E"/>
    <w:rsid w:val="00B6071D"/>
    <w:rsid w:val="00B6083E"/>
    <w:rsid w:val="00B6092F"/>
    <w:rsid w:val="00B609A6"/>
    <w:rsid w:val="00B609B8"/>
    <w:rsid w:val="00B60BEF"/>
    <w:rsid w:val="00B60E1F"/>
    <w:rsid w:val="00B612E3"/>
    <w:rsid w:val="00B61354"/>
    <w:rsid w:val="00B613A1"/>
    <w:rsid w:val="00B61464"/>
    <w:rsid w:val="00B61523"/>
    <w:rsid w:val="00B61576"/>
    <w:rsid w:val="00B615C3"/>
    <w:rsid w:val="00B61870"/>
    <w:rsid w:val="00B61964"/>
    <w:rsid w:val="00B61B5A"/>
    <w:rsid w:val="00B61BEA"/>
    <w:rsid w:val="00B61C77"/>
    <w:rsid w:val="00B61DB4"/>
    <w:rsid w:val="00B61EAA"/>
    <w:rsid w:val="00B61EAD"/>
    <w:rsid w:val="00B62002"/>
    <w:rsid w:val="00B620E7"/>
    <w:rsid w:val="00B628A9"/>
    <w:rsid w:val="00B629D2"/>
    <w:rsid w:val="00B62A19"/>
    <w:rsid w:val="00B62B0E"/>
    <w:rsid w:val="00B62D2F"/>
    <w:rsid w:val="00B62D84"/>
    <w:rsid w:val="00B63136"/>
    <w:rsid w:val="00B6316D"/>
    <w:rsid w:val="00B63686"/>
    <w:rsid w:val="00B638EF"/>
    <w:rsid w:val="00B63AAD"/>
    <w:rsid w:val="00B63C17"/>
    <w:rsid w:val="00B63D6D"/>
    <w:rsid w:val="00B63EAB"/>
    <w:rsid w:val="00B63F81"/>
    <w:rsid w:val="00B64040"/>
    <w:rsid w:val="00B640AA"/>
    <w:rsid w:val="00B64164"/>
    <w:rsid w:val="00B64274"/>
    <w:rsid w:val="00B644A2"/>
    <w:rsid w:val="00B64526"/>
    <w:rsid w:val="00B645D5"/>
    <w:rsid w:val="00B646C8"/>
    <w:rsid w:val="00B647C8"/>
    <w:rsid w:val="00B647FF"/>
    <w:rsid w:val="00B6494B"/>
    <w:rsid w:val="00B64B2E"/>
    <w:rsid w:val="00B64D62"/>
    <w:rsid w:val="00B6501E"/>
    <w:rsid w:val="00B65091"/>
    <w:rsid w:val="00B650E3"/>
    <w:rsid w:val="00B65117"/>
    <w:rsid w:val="00B6525B"/>
    <w:rsid w:val="00B65359"/>
    <w:rsid w:val="00B6536F"/>
    <w:rsid w:val="00B65429"/>
    <w:rsid w:val="00B655B5"/>
    <w:rsid w:val="00B65752"/>
    <w:rsid w:val="00B6598F"/>
    <w:rsid w:val="00B65ACA"/>
    <w:rsid w:val="00B65B8E"/>
    <w:rsid w:val="00B65DD0"/>
    <w:rsid w:val="00B65DD9"/>
    <w:rsid w:val="00B6611C"/>
    <w:rsid w:val="00B66373"/>
    <w:rsid w:val="00B6638C"/>
    <w:rsid w:val="00B66608"/>
    <w:rsid w:val="00B666DA"/>
    <w:rsid w:val="00B668B7"/>
    <w:rsid w:val="00B6695E"/>
    <w:rsid w:val="00B669E9"/>
    <w:rsid w:val="00B66A0D"/>
    <w:rsid w:val="00B66AAC"/>
    <w:rsid w:val="00B66BEE"/>
    <w:rsid w:val="00B66BFA"/>
    <w:rsid w:val="00B66C0F"/>
    <w:rsid w:val="00B66CAE"/>
    <w:rsid w:val="00B66D1A"/>
    <w:rsid w:val="00B66F75"/>
    <w:rsid w:val="00B67096"/>
    <w:rsid w:val="00B67194"/>
    <w:rsid w:val="00B672C3"/>
    <w:rsid w:val="00B6738C"/>
    <w:rsid w:val="00B674BE"/>
    <w:rsid w:val="00B674D7"/>
    <w:rsid w:val="00B677CF"/>
    <w:rsid w:val="00B67890"/>
    <w:rsid w:val="00B67AAA"/>
    <w:rsid w:val="00B67B1B"/>
    <w:rsid w:val="00B67B4E"/>
    <w:rsid w:val="00B67CFF"/>
    <w:rsid w:val="00B67D62"/>
    <w:rsid w:val="00B67D88"/>
    <w:rsid w:val="00B70192"/>
    <w:rsid w:val="00B70365"/>
    <w:rsid w:val="00B70552"/>
    <w:rsid w:val="00B7055F"/>
    <w:rsid w:val="00B70606"/>
    <w:rsid w:val="00B70663"/>
    <w:rsid w:val="00B7080E"/>
    <w:rsid w:val="00B708FF"/>
    <w:rsid w:val="00B709C4"/>
    <w:rsid w:val="00B70CAD"/>
    <w:rsid w:val="00B70F2D"/>
    <w:rsid w:val="00B70F99"/>
    <w:rsid w:val="00B71244"/>
    <w:rsid w:val="00B7130D"/>
    <w:rsid w:val="00B71340"/>
    <w:rsid w:val="00B7143C"/>
    <w:rsid w:val="00B7155C"/>
    <w:rsid w:val="00B71742"/>
    <w:rsid w:val="00B717A2"/>
    <w:rsid w:val="00B7188D"/>
    <w:rsid w:val="00B718A7"/>
    <w:rsid w:val="00B71956"/>
    <w:rsid w:val="00B71996"/>
    <w:rsid w:val="00B71A40"/>
    <w:rsid w:val="00B71AEE"/>
    <w:rsid w:val="00B71B80"/>
    <w:rsid w:val="00B71C63"/>
    <w:rsid w:val="00B71CA5"/>
    <w:rsid w:val="00B71D45"/>
    <w:rsid w:val="00B71D64"/>
    <w:rsid w:val="00B72049"/>
    <w:rsid w:val="00B720A2"/>
    <w:rsid w:val="00B720F3"/>
    <w:rsid w:val="00B72109"/>
    <w:rsid w:val="00B72324"/>
    <w:rsid w:val="00B723AF"/>
    <w:rsid w:val="00B723C5"/>
    <w:rsid w:val="00B723E2"/>
    <w:rsid w:val="00B7244B"/>
    <w:rsid w:val="00B72831"/>
    <w:rsid w:val="00B72A07"/>
    <w:rsid w:val="00B72BED"/>
    <w:rsid w:val="00B72DDA"/>
    <w:rsid w:val="00B72E1B"/>
    <w:rsid w:val="00B72E31"/>
    <w:rsid w:val="00B72F1F"/>
    <w:rsid w:val="00B72FA4"/>
    <w:rsid w:val="00B7304A"/>
    <w:rsid w:val="00B730BF"/>
    <w:rsid w:val="00B73435"/>
    <w:rsid w:val="00B734C2"/>
    <w:rsid w:val="00B735B7"/>
    <w:rsid w:val="00B735E1"/>
    <w:rsid w:val="00B738BF"/>
    <w:rsid w:val="00B73994"/>
    <w:rsid w:val="00B73AEE"/>
    <w:rsid w:val="00B73B8B"/>
    <w:rsid w:val="00B73BA0"/>
    <w:rsid w:val="00B73C96"/>
    <w:rsid w:val="00B73CF3"/>
    <w:rsid w:val="00B73DEA"/>
    <w:rsid w:val="00B73E05"/>
    <w:rsid w:val="00B73F80"/>
    <w:rsid w:val="00B73F82"/>
    <w:rsid w:val="00B74045"/>
    <w:rsid w:val="00B741F0"/>
    <w:rsid w:val="00B7423E"/>
    <w:rsid w:val="00B744DF"/>
    <w:rsid w:val="00B74504"/>
    <w:rsid w:val="00B746A0"/>
    <w:rsid w:val="00B746E2"/>
    <w:rsid w:val="00B747D4"/>
    <w:rsid w:val="00B747EA"/>
    <w:rsid w:val="00B7481C"/>
    <w:rsid w:val="00B7490D"/>
    <w:rsid w:val="00B749B4"/>
    <w:rsid w:val="00B74A10"/>
    <w:rsid w:val="00B74B48"/>
    <w:rsid w:val="00B74B79"/>
    <w:rsid w:val="00B74B80"/>
    <w:rsid w:val="00B74BF4"/>
    <w:rsid w:val="00B74C43"/>
    <w:rsid w:val="00B74E13"/>
    <w:rsid w:val="00B74EB7"/>
    <w:rsid w:val="00B75255"/>
    <w:rsid w:val="00B75330"/>
    <w:rsid w:val="00B75348"/>
    <w:rsid w:val="00B754CE"/>
    <w:rsid w:val="00B75502"/>
    <w:rsid w:val="00B756E8"/>
    <w:rsid w:val="00B7573C"/>
    <w:rsid w:val="00B75821"/>
    <w:rsid w:val="00B7582C"/>
    <w:rsid w:val="00B7587B"/>
    <w:rsid w:val="00B7595B"/>
    <w:rsid w:val="00B759AD"/>
    <w:rsid w:val="00B759B5"/>
    <w:rsid w:val="00B75A63"/>
    <w:rsid w:val="00B75EA8"/>
    <w:rsid w:val="00B76030"/>
    <w:rsid w:val="00B76065"/>
    <w:rsid w:val="00B7606E"/>
    <w:rsid w:val="00B76235"/>
    <w:rsid w:val="00B76395"/>
    <w:rsid w:val="00B763BD"/>
    <w:rsid w:val="00B763C6"/>
    <w:rsid w:val="00B763F0"/>
    <w:rsid w:val="00B76429"/>
    <w:rsid w:val="00B76541"/>
    <w:rsid w:val="00B76621"/>
    <w:rsid w:val="00B76764"/>
    <w:rsid w:val="00B768DB"/>
    <w:rsid w:val="00B76A9E"/>
    <w:rsid w:val="00B76C72"/>
    <w:rsid w:val="00B76C82"/>
    <w:rsid w:val="00B76CD6"/>
    <w:rsid w:val="00B7702B"/>
    <w:rsid w:val="00B77036"/>
    <w:rsid w:val="00B770A9"/>
    <w:rsid w:val="00B77179"/>
    <w:rsid w:val="00B77288"/>
    <w:rsid w:val="00B7736E"/>
    <w:rsid w:val="00B7764F"/>
    <w:rsid w:val="00B7765E"/>
    <w:rsid w:val="00B7778E"/>
    <w:rsid w:val="00B77845"/>
    <w:rsid w:val="00B77AE2"/>
    <w:rsid w:val="00B77B8F"/>
    <w:rsid w:val="00B77EF4"/>
    <w:rsid w:val="00B77EF8"/>
    <w:rsid w:val="00B77F40"/>
    <w:rsid w:val="00B77FAE"/>
    <w:rsid w:val="00B77FDA"/>
    <w:rsid w:val="00B80036"/>
    <w:rsid w:val="00B803B8"/>
    <w:rsid w:val="00B80539"/>
    <w:rsid w:val="00B80685"/>
    <w:rsid w:val="00B80759"/>
    <w:rsid w:val="00B80785"/>
    <w:rsid w:val="00B807F7"/>
    <w:rsid w:val="00B8083B"/>
    <w:rsid w:val="00B80866"/>
    <w:rsid w:val="00B808C7"/>
    <w:rsid w:val="00B80AC2"/>
    <w:rsid w:val="00B80AD9"/>
    <w:rsid w:val="00B80C7F"/>
    <w:rsid w:val="00B80E39"/>
    <w:rsid w:val="00B80EDC"/>
    <w:rsid w:val="00B80FED"/>
    <w:rsid w:val="00B81118"/>
    <w:rsid w:val="00B81123"/>
    <w:rsid w:val="00B812B1"/>
    <w:rsid w:val="00B81313"/>
    <w:rsid w:val="00B81723"/>
    <w:rsid w:val="00B8172E"/>
    <w:rsid w:val="00B81775"/>
    <w:rsid w:val="00B8192C"/>
    <w:rsid w:val="00B81B0D"/>
    <w:rsid w:val="00B81B45"/>
    <w:rsid w:val="00B81B9E"/>
    <w:rsid w:val="00B81EA2"/>
    <w:rsid w:val="00B81EBD"/>
    <w:rsid w:val="00B820D5"/>
    <w:rsid w:val="00B82267"/>
    <w:rsid w:val="00B82284"/>
    <w:rsid w:val="00B822AC"/>
    <w:rsid w:val="00B8233C"/>
    <w:rsid w:val="00B824FE"/>
    <w:rsid w:val="00B826B9"/>
    <w:rsid w:val="00B826E2"/>
    <w:rsid w:val="00B828CA"/>
    <w:rsid w:val="00B82DE7"/>
    <w:rsid w:val="00B82ED2"/>
    <w:rsid w:val="00B8326A"/>
    <w:rsid w:val="00B83397"/>
    <w:rsid w:val="00B8343B"/>
    <w:rsid w:val="00B83497"/>
    <w:rsid w:val="00B834AA"/>
    <w:rsid w:val="00B836D6"/>
    <w:rsid w:val="00B837EF"/>
    <w:rsid w:val="00B83826"/>
    <w:rsid w:val="00B83989"/>
    <w:rsid w:val="00B839F6"/>
    <w:rsid w:val="00B83A13"/>
    <w:rsid w:val="00B83A31"/>
    <w:rsid w:val="00B83A37"/>
    <w:rsid w:val="00B83B58"/>
    <w:rsid w:val="00B83BAC"/>
    <w:rsid w:val="00B83BC2"/>
    <w:rsid w:val="00B83CC9"/>
    <w:rsid w:val="00B83DA2"/>
    <w:rsid w:val="00B83E00"/>
    <w:rsid w:val="00B84275"/>
    <w:rsid w:val="00B843F8"/>
    <w:rsid w:val="00B8458D"/>
    <w:rsid w:val="00B847D2"/>
    <w:rsid w:val="00B84871"/>
    <w:rsid w:val="00B84ADD"/>
    <w:rsid w:val="00B84CA2"/>
    <w:rsid w:val="00B84D1D"/>
    <w:rsid w:val="00B8505A"/>
    <w:rsid w:val="00B85082"/>
    <w:rsid w:val="00B85148"/>
    <w:rsid w:val="00B85173"/>
    <w:rsid w:val="00B85463"/>
    <w:rsid w:val="00B8547B"/>
    <w:rsid w:val="00B85753"/>
    <w:rsid w:val="00B85A3F"/>
    <w:rsid w:val="00B85AB6"/>
    <w:rsid w:val="00B85C72"/>
    <w:rsid w:val="00B85DA5"/>
    <w:rsid w:val="00B85E6D"/>
    <w:rsid w:val="00B86032"/>
    <w:rsid w:val="00B86038"/>
    <w:rsid w:val="00B8606A"/>
    <w:rsid w:val="00B86103"/>
    <w:rsid w:val="00B86109"/>
    <w:rsid w:val="00B8616D"/>
    <w:rsid w:val="00B86268"/>
    <w:rsid w:val="00B862E5"/>
    <w:rsid w:val="00B866AF"/>
    <w:rsid w:val="00B86763"/>
    <w:rsid w:val="00B869E0"/>
    <w:rsid w:val="00B86B6C"/>
    <w:rsid w:val="00B86BF4"/>
    <w:rsid w:val="00B86C53"/>
    <w:rsid w:val="00B871A0"/>
    <w:rsid w:val="00B87374"/>
    <w:rsid w:val="00B8737B"/>
    <w:rsid w:val="00B87454"/>
    <w:rsid w:val="00B87461"/>
    <w:rsid w:val="00B87A2D"/>
    <w:rsid w:val="00B87A98"/>
    <w:rsid w:val="00B87B2B"/>
    <w:rsid w:val="00B87C98"/>
    <w:rsid w:val="00B87CAE"/>
    <w:rsid w:val="00B87D57"/>
    <w:rsid w:val="00B87D60"/>
    <w:rsid w:val="00B87E16"/>
    <w:rsid w:val="00B87E39"/>
    <w:rsid w:val="00B900D2"/>
    <w:rsid w:val="00B9032E"/>
    <w:rsid w:val="00B904FB"/>
    <w:rsid w:val="00B90691"/>
    <w:rsid w:val="00B9070E"/>
    <w:rsid w:val="00B90864"/>
    <w:rsid w:val="00B90913"/>
    <w:rsid w:val="00B90A0F"/>
    <w:rsid w:val="00B90FB1"/>
    <w:rsid w:val="00B911F6"/>
    <w:rsid w:val="00B915AD"/>
    <w:rsid w:val="00B915BB"/>
    <w:rsid w:val="00B91740"/>
    <w:rsid w:val="00B91758"/>
    <w:rsid w:val="00B918A7"/>
    <w:rsid w:val="00B919D3"/>
    <w:rsid w:val="00B91D2D"/>
    <w:rsid w:val="00B91D92"/>
    <w:rsid w:val="00B91E1D"/>
    <w:rsid w:val="00B91FAA"/>
    <w:rsid w:val="00B92039"/>
    <w:rsid w:val="00B92161"/>
    <w:rsid w:val="00B9216B"/>
    <w:rsid w:val="00B921A7"/>
    <w:rsid w:val="00B92203"/>
    <w:rsid w:val="00B9220A"/>
    <w:rsid w:val="00B9230B"/>
    <w:rsid w:val="00B92325"/>
    <w:rsid w:val="00B9239C"/>
    <w:rsid w:val="00B92427"/>
    <w:rsid w:val="00B92495"/>
    <w:rsid w:val="00B925A5"/>
    <w:rsid w:val="00B925A8"/>
    <w:rsid w:val="00B926FE"/>
    <w:rsid w:val="00B928D0"/>
    <w:rsid w:val="00B92A1D"/>
    <w:rsid w:val="00B92B9A"/>
    <w:rsid w:val="00B92DE0"/>
    <w:rsid w:val="00B92F23"/>
    <w:rsid w:val="00B931D9"/>
    <w:rsid w:val="00B934E0"/>
    <w:rsid w:val="00B935CB"/>
    <w:rsid w:val="00B93641"/>
    <w:rsid w:val="00B9367D"/>
    <w:rsid w:val="00B9373B"/>
    <w:rsid w:val="00B93768"/>
    <w:rsid w:val="00B9382E"/>
    <w:rsid w:val="00B93881"/>
    <w:rsid w:val="00B9388F"/>
    <w:rsid w:val="00B93941"/>
    <w:rsid w:val="00B93AF1"/>
    <w:rsid w:val="00B93CF9"/>
    <w:rsid w:val="00B93D2C"/>
    <w:rsid w:val="00B93D45"/>
    <w:rsid w:val="00B93D6A"/>
    <w:rsid w:val="00B93E5B"/>
    <w:rsid w:val="00B94110"/>
    <w:rsid w:val="00B94213"/>
    <w:rsid w:val="00B94301"/>
    <w:rsid w:val="00B94413"/>
    <w:rsid w:val="00B9441B"/>
    <w:rsid w:val="00B9442C"/>
    <w:rsid w:val="00B94711"/>
    <w:rsid w:val="00B94830"/>
    <w:rsid w:val="00B9494C"/>
    <w:rsid w:val="00B9495F"/>
    <w:rsid w:val="00B94A47"/>
    <w:rsid w:val="00B94B52"/>
    <w:rsid w:val="00B94D80"/>
    <w:rsid w:val="00B94EF9"/>
    <w:rsid w:val="00B950A2"/>
    <w:rsid w:val="00B954D4"/>
    <w:rsid w:val="00B9553F"/>
    <w:rsid w:val="00B95722"/>
    <w:rsid w:val="00B95886"/>
    <w:rsid w:val="00B9589D"/>
    <w:rsid w:val="00B95997"/>
    <w:rsid w:val="00B95A37"/>
    <w:rsid w:val="00B95BEC"/>
    <w:rsid w:val="00B95F3E"/>
    <w:rsid w:val="00B96031"/>
    <w:rsid w:val="00B960B1"/>
    <w:rsid w:val="00B96128"/>
    <w:rsid w:val="00B96206"/>
    <w:rsid w:val="00B96281"/>
    <w:rsid w:val="00B96543"/>
    <w:rsid w:val="00B966FC"/>
    <w:rsid w:val="00B96755"/>
    <w:rsid w:val="00B9686D"/>
    <w:rsid w:val="00B96A25"/>
    <w:rsid w:val="00B96A94"/>
    <w:rsid w:val="00B96A9C"/>
    <w:rsid w:val="00B96ABC"/>
    <w:rsid w:val="00B96AC5"/>
    <w:rsid w:val="00B96C7F"/>
    <w:rsid w:val="00B96DE2"/>
    <w:rsid w:val="00B96E16"/>
    <w:rsid w:val="00B96E4D"/>
    <w:rsid w:val="00B9703A"/>
    <w:rsid w:val="00B970F1"/>
    <w:rsid w:val="00B9710C"/>
    <w:rsid w:val="00B9720D"/>
    <w:rsid w:val="00B972B8"/>
    <w:rsid w:val="00B972FA"/>
    <w:rsid w:val="00B97341"/>
    <w:rsid w:val="00B97359"/>
    <w:rsid w:val="00B973FE"/>
    <w:rsid w:val="00B97455"/>
    <w:rsid w:val="00B9748E"/>
    <w:rsid w:val="00B97537"/>
    <w:rsid w:val="00B9759B"/>
    <w:rsid w:val="00B977DE"/>
    <w:rsid w:val="00B977F0"/>
    <w:rsid w:val="00B97874"/>
    <w:rsid w:val="00B978B1"/>
    <w:rsid w:val="00B978DC"/>
    <w:rsid w:val="00B979CF"/>
    <w:rsid w:val="00B97A5F"/>
    <w:rsid w:val="00B97B57"/>
    <w:rsid w:val="00B97D70"/>
    <w:rsid w:val="00B97E4F"/>
    <w:rsid w:val="00BA0168"/>
    <w:rsid w:val="00BA0299"/>
    <w:rsid w:val="00BA02B4"/>
    <w:rsid w:val="00BA05DA"/>
    <w:rsid w:val="00BA07BA"/>
    <w:rsid w:val="00BA0881"/>
    <w:rsid w:val="00BA090E"/>
    <w:rsid w:val="00BA0A7F"/>
    <w:rsid w:val="00BA0B9E"/>
    <w:rsid w:val="00BA0DA3"/>
    <w:rsid w:val="00BA0E57"/>
    <w:rsid w:val="00BA0E64"/>
    <w:rsid w:val="00BA0E88"/>
    <w:rsid w:val="00BA0E9B"/>
    <w:rsid w:val="00BA10AD"/>
    <w:rsid w:val="00BA1302"/>
    <w:rsid w:val="00BA1690"/>
    <w:rsid w:val="00BA1774"/>
    <w:rsid w:val="00BA1878"/>
    <w:rsid w:val="00BA1897"/>
    <w:rsid w:val="00BA1986"/>
    <w:rsid w:val="00BA19F8"/>
    <w:rsid w:val="00BA1A15"/>
    <w:rsid w:val="00BA1BEE"/>
    <w:rsid w:val="00BA1C92"/>
    <w:rsid w:val="00BA201F"/>
    <w:rsid w:val="00BA2032"/>
    <w:rsid w:val="00BA2147"/>
    <w:rsid w:val="00BA2398"/>
    <w:rsid w:val="00BA252D"/>
    <w:rsid w:val="00BA2636"/>
    <w:rsid w:val="00BA2674"/>
    <w:rsid w:val="00BA27A9"/>
    <w:rsid w:val="00BA2815"/>
    <w:rsid w:val="00BA2A17"/>
    <w:rsid w:val="00BA2A23"/>
    <w:rsid w:val="00BA2B70"/>
    <w:rsid w:val="00BA2C47"/>
    <w:rsid w:val="00BA2DAC"/>
    <w:rsid w:val="00BA2E78"/>
    <w:rsid w:val="00BA3071"/>
    <w:rsid w:val="00BA30DF"/>
    <w:rsid w:val="00BA30FD"/>
    <w:rsid w:val="00BA341E"/>
    <w:rsid w:val="00BA3500"/>
    <w:rsid w:val="00BA3514"/>
    <w:rsid w:val="00BA379A"/>
    <w:rsid w:val="00BA38E6"/>
    <w:rsid w:val="00BA3CB9"/>
    <w:rsid w:val="00BA41AC"/>
    <w:rsid w:val="00BA42C7"/>
    <w:rsid w:val="00BA4422"/>
    <w:rsid w:val="00BA4442"/>
    <w:rsid w:val="00BA45DE"/>
    <w:rsid w:val="00BA464D"/>
    <w:rsid w:val="00BA488F"/>
    <w:rsid w:val="00BA48F8"/>
    <w:rsid w:val="00BA4932"/>
    <w:rsid w:val="00BA4A78"/>
    <w:rsid w:val="00BA4A9D"/>
    <w:rsid w:val="00BA4BC9"/>
    <w:rsid w:val="00BA4F62"/>
    <w:rsid w:val="00BA4FE5"/>
    <w:rsid w:val="00BA503E"/>
    <w:rsid w:val="00BA5237"/>
    <w:rsid w:val="00BA53D3"/>
    <w:rsid w:val="00BA53DD"/>
    <w:rsid w:val="00BA53E4"/>
    <w:rsid w:val="00BA5487"/>
    <w:rsid w:val="00BA5499"/>
    <w:rsid w:val="00BA551F"/>
    <w:rsid w:val="00BA5593"/>
    <w:rsid w:val="00BA55CA"/>
    <w:rsid w:val="00BA56DB"/>
    <w:rsid w:val="00BA56EF"/>
    <w:rsid w:val="00BA5883"/>
    <w:rsid w:val="00BA5BC3"/>
    <w:rsid w:val="00BA5D06"/>
    <w:rsid w:val="00BA5D55"/>
    <w:rsid w:val="00BA5F2C"/>
    <w:rsid w:val="00BA6042"/>
    <w:rsid w:val="00BA6056"/>
    <w:rsid w:val="00BA6204"/>
    <w:rsid w:val="00BA637F"/>
    <w:rsid w:val="00BA63D9"/>
    <w:rsid w:val="00BA6500"/>
    <w:rsid w:val="00BA67E4"/>
    <w:rsid w:val="00BA68B0"/>
    <w:rsid w:val="00BA6990"/>
    <w:rsid w:val="00BA6AAC"/>
    <w:rsid w:val="00BA6AFC"/>
    <w:rsid w:val="00BA6B66"/>
    <w:rsid w:val="00BA6C4F"/>
    <w:rsid w:val="00BA6DB7"/>
    <w:rsid w:val="00BA6F2C"/>
    <w:rsid w:val="00BA6FDE"/>
    <w:rsid w:val="00BA7019"/>
    <w:rsid w:val="00BA72C5"/>
    <w:rsid w:val="00BA73BC"/>
    <w:rsid w:val="00BA73E5"/>
    <w:rsid w:val="00BA7500"/>
    <w:rsid w:val="00BA752F"/>
    <w:rsid w:val="00BA75E4"/>
    <w:rsid w:val="00BA7602"/>
    <w:rsid w:val="00BA7811"/>
    <w:rsid w:val="00BA78E3"/>
    <w:rsid w:val="00BA791A"/>
    <w:rsid w:val="00BA796C"/>
    <w:rsid w:val="00BA797F"/>
    <w:rsid w:val="00BA79BF"/>
    <w:rsid w:val="00BA7C52"/>
    <w:rsid w:val="00BA7DC2"/>
    <w:rsid w:val="00BA7EF1"/>
    <w:rsid w:val="00BA7F0D"/>
    <w:rsid w:val="00BB01D6"/>
    <w:rsid w:val="00BB03CD"/>
    <w:rsid w:val="00BB04C3"/>
    <w:rsid w:val="00BB06B4"/>
    <w:rsid w:val="00BB095B"/>
    <w:rsid w:val="00BB0AC3"/>
    <w:rsid w:val="00BB0BA0"/>
    <w:rsid w:val="00BB0CA2"/>
    <w:rsid w:val="00BB0E53"/>
    <w:rsid w:val="00BB0E8A"/>
    <w:rsid w:val="00BB0ECB"/>
    <w:rsid w:val="00BB0F03"/>
    <w:rsid w:val="00BB0FEC"/>
    <w:rsid w:val="00BB11D4"/>
    <w:rsid w:val="00BB1408"/>
    <w:rsid w:val="00BB1653"/>
    <w:rsid w:val="00BB1769"/>
    <w:rsid w:val="00BB1858"/>
    <w:rsid w:val="00BB19A9"/>
    <w:rsid w:val="00BB1CC2"/>
    <w:rsid w:val="00BB1CC4"/>
    <w:rsid w:val="00BB1CF3"/>
    <w:rsid w:val="00BB2290"/>
    <w:rsid w:val="00BB231A"/>
    <w:rsid w:val="00BB2355"/>
    <w:rsid w:val="00BB24BF"/>
    <w:rsid w:val="00BB2554"/>
    <w:rsid w:val="00BB2587"/>
    <w:rsid w:val="00BB25B8"/>
    <w:rsid w:val="00BB281B"/>
    <w:rsid w:val="00BB2854"/>
    <w:rsid w:val="00BB2900"/>
    <w:rsid w:val="00BB291B"/>
    <w:rsid w:val="00BB2BA3"/>
    <w:rsid w:val="00BB2E07"/>
    <w:rsid w:val="00BB2ED9"/>
    <w:rsid w:val="00BB2F78"/>
    <w:rsid w:val="00BB30CF"/>
    <w:rsid w:val="00BB3159"/>
    <w:rsid w:val="00BB3252"/>
    <w:rsid w:val="00BB32BD"/>
    <w:rsid w:val="00BB32D9"/>
    <w:rsid w:val="00BB32DF"/>
    <w:rsid w:val="00BB33BD"/>
    <w:rsid w:val="00BB350F"/>
    <w:rsid w:val="00BB36AA"/>
    <w:rsid w:val="00BB3928"/>
    <w:rsid w:val="00BB39B2"/>
    <w:rsid w:val="00BB3BB9"/>
    <w:rsid w:val="00BB3C14"/>
    <w:rsid w:val="00BB3CF3"/>
    <w:rsid w:val="00BB3D9C"/>
    <w:rsid w:val="00BB3E38"/>
    <w:rsid w:val="00BB45BB"/>
    <w:rsid w:val="00BB4602"/>
    <w:rsid w:val="00BB4622"/>
    <w:rsid w:val="00BB4678"/>
    <w:rsid w:val="00BB4867"/>
    <w:rsid w:val="00BB4877"/>
    <w:rsid w:val="00BB49BF"/>
    <w:rsid w:val="00BB4C54"/>
    <w:rsid w:val="00BB4CEF"/>
    <w:rsid w:val="00BB4E36"/>
    <w:rsid w:val="00BB5048"/>
    <w:rsid w:val="00BB5302"/>
    <w:rsid w:val="00BB532E"/>
    <w:rsid w:val="00BB5621"/>
    <w:rsid w:val="00BB56FD"/>
    <w:rsid w:val="00BB5711"/>
    <w:rsid w:val="00BB5777"/>
    <w:rsid w:val="00BB577A"/>
    <w:rsid w:val="00BB5919"/>
    <w:rsid w:val="00BB5B79"/>
    <w:rsid w:val="00BB5D30"/>
    <w:rsid w:val="00BB5E91"/>
    <w:rsid w:val="00BB5EC3"/>
    <w:rsid w:val="00BB5FFC"/>
    <w:rsid w:val="00BB613C"/>
    <w:rsid w:val="00BB616F"/>
    <w:rsid w:val="00BB6407"/>
    <w:rsid w:val="00BB67DA"/>
    <w:rsid w:val="00BB67FA"/>
    <w:rsid w:val="00BB6882"/>
    <w:rsid w:val="00BB689E"/>
    <w:rsid w:val="00BB6971"/>
    <w:rsid w:val="00BB69E0"/>
    <w:rsid w:val="00BB6A6A"/>
    <w:rsid w:val="00BB6BF5"/>
    <w:rsid w:val="00BB6D62"/>
    <w:rsid w:val="00BB6E89"/>
    <w:rsid w:val="00BB6F9C"/>
    <w:rsid w:val="00BB6FC0"/>
    <w:rsid w:val="00BB7356"/>
    <w:rsid w:val="00BB73AF"/>
    <w:rsid w:val="00BB7599"/>
    <w:rsid w:val="00BB78EA"/>
    <w:rsid w:val="00BB7927"/>
    <w:rsid w:val="00BB792F"/>
    <w:rsid w:val="00BB7A2E"/>
    <w:rsid w:val="00BB7A62"/>
    <w:rsid w:val="00BB7AD2"/>
    <w:rsid w:val="00BB7EF6"/>
    <w:rsid w:val="00BB7F70"/>
    <w:rsid w:val="00BB7F97"/>
    <w:rsid w:val="00BC016D"/>
    <w:rsid w:val="00BC02BA"/>
    <w:rsid w:val="00BC0323"/>
    <w:rsid w:val="00BC033B"/>
    <w:rsid w:val="00BC0454"/>
    <w:rsid w:val="00BC04ED"/>
    <w:rsid w:val="00BC0B94"/>
    <w:rsid w:val="00BC0C0C"/>
    <w:rsid w:val="00BC0C4F"/>
    <w:rsid w:val="00BC0C9C"/>
    <w:rsid w:val="00BC0CD4"/>
    <w:rsid w:val="00BC0D1D"/>
    <w:rsid w:val="00BC0D91"/>
    <w:rsid w:val="00BC0E13"/>
    <w:rsid w:val="00BC0E1C"/>
    <w:rsid w:val="00BC0E78"/>
    <w:rsid w:val="00BC0F7B"/>
    <w:rsid w:val="00BC105D"/>
    <w:rsid w:val="00BC1191"/>
    <w:rsid w:val="00BC11B0"/>
    <w:rsid w:val="00BC1254"/>
    <w:rsid w:val="00BC12A4"/>
    <w:rsid w:val="00BC1A08"/>
    <w:rsid w:val="00BC1A80"/>
    <w:rsid w:val="00BC1C3E"/>
    <w:rsid w:val="00BC1CBC"/>
    <w:rsid w:val="00BC1CC1"/>
    <w:rsid w:val="00BC1D00"/>
    <w:rsid w:val="00BC2093"/>
    <w:rsid w:val="00BC22C0"/>
    <w:rsid w:val="00BC247F"/>
    <w:rsid w:val="00BC25D7"/>
    <w:rsid w:val="00BC25F5"/>
    <w:rsid w:val="00BC2754"/>
    <w:rsid w:val="00BC2760"/>
    <w:rsid w:val="00BC27B0"/>
    <w:rsid w:val="00BC2C94"/>
    <w:rsid w:val="00BC2CC2"/>
    <w:rsid w:val="00BC2D7B"/>
    <w:rsid w:val="00BC2DFE"/>
    <w:rsid w:val="00BC2E3C"/>
    <w:rsid w:val="00BC2EF5"/>
    <w:rsid w:val="00BC30FE"/>
    <w:rsid w:val="00BC3593"/>
    <w:rsid w:val="00BC35D7"/>
    <w:rsid w:val="00BC38EF"/>
    <w:rsid w:val="00BC3907"/>
    <w:rsid w:val="00BC39E7"/>
    <w:rsid w:val="00BC3A07"/>
    <w:rsid w:val="00BC3A89"/>
    <w:rsid w:val="00BC3AC7"/>
    <w:rsid w:val="00BC3C0D"/>
    <w:rsid w:val="00BC3F0F"/>
    <w:rsid w:val="00BC42C6"/>
    <w:rsid w:val="00BC449C"/>
    <w:rsid w:val="00BC45C8"/>
    <w:rsid w:val="00BC46B2"/>
    <w:rsid w:val="00BC46B4"/>
    <w:rsid w:val="00BC473D"/>
    <w:rsid w:val="00BC4A69"/>
    <w:rsid w:val="00BC4CE4"/>
    <w:rsid w:val="00BC4FA6"/>
    <w:rsid w:val="00BC5029"/>
    <w:rsid w:val="00BC5073"/>
    <w:rsid w:val="00BC519D"/>
    <w:rsid w:val="00BC5335"/>
    <w:rsid w:val="00BC547A"/>
    <w:rsid w:val="00BC5545"/>
    <w:rsid w:val="00BC55E9"/>
    <w:rsid w:val="00BC5791"/>
    <w:rsid w:val="00BC5938"/>
    <w:rsid w:val="00BC598E"/>
    <w:rsid w:val="00BC5A60"/>
    <w:rsid w:val="00BC6248"/>
    <w:rsid w:val="00BC62DB"/>
    <w:rsid w:val="00BC6304"/>
    <w:rsid w:val="00BC63AE"/>
    <w:rsid w:val="00BC64A7"/>
    <w:rsid w:val="00BC64AB"/>
    <w:rsid w:val="00BC65AD"/>
    <w:rsid w:val="00BC674E"/>
    <w:rsid w:val="00BC67FD"/>
    <w:rsid w:val="00BC684E"/>
    <w:rsid w:val="00BC6854"/>
    <w:rsid w:val="00BC685D"/>
    <w:rsid w:val="00BC687D"/>
    <w:rsid w:val="00BC6B09"/>
    <w:rsid w:val="00BC6B59"/>
    <w:rsid w:val="00BC6B91"/>
    <w:rsid w:val="00BC6C3F"/>
    <w:rsid w:val="00BC6FAD"/>
    <w:rsid w:val="00BC7053"/>
    <w:rsid w:val="00BC70F6"/>
    <w:rsid w:val="00BC716B"/>
    <w:rsid w:val="00BC7206"/>
    <w:rsid w:val="00BC727F"/>
    <w:rsid w:val="00BC72EE"/>
    <w:rsid w:val="00BC73BC"/>
    <w:rsid w:val="00BC743F"/>
    <w:rsid w:val="00BC752A"/>
    <w:rsid w:val="00BC797E"/>
    <w:rsid w:val="00BC7A3D"/>
    <w:rsid w:val="00BC7DBF"/>
    <w:rsid w:val="00BC7DEE"/>
    <w:rsid w:val="00BC7EF7"/>
    <w:rsid w:val="00BD039A"/>
    <w:rsid w:val="00BD03B0"/>
    <w:rsid w:val="00BD040A"/>
    <w:rsid w:val="00BD069F"/>
    <w:rsid w:val="00BD0741"/>
    <w:rsid w:val="00BD0859"/>
    <w:rsid w:val="00BD0A7C"/>
    <w:rsid w:val="00BD0BC2"/>
    <w:rsid w:val="00BD0D28"/>
    <w:rsid w:val="00BD0DF9"/>
    <w:rsid w:val="00BD0E15"/>
    <w:rsid w:val="00BD0EAB"/>
    <w:rsid w:val="00BD1068"/>
    <w:rsid w:val="00BD11D8"/>
    <w:rsid w:val="00BD12CA"/>
    <w:rsid w:val="00BD1414"/>
    <w:rsid w:val="00BD150D"/>
    <w:rsid w:val="00BD15D3"/>
    <w:rsid w:val="00BD15E1"/>
    <w:rsid w:val="00BD1867"/>
    <w:rsid w:val="00BD1885"/>
    <w:rsid w:val="00BD18AF"/>
    <w:rsid w:val="00BD1911"/>
    <w:rsid w:val="00BD1B78"/>
    <w:rsid w:val="00BD1C9F"/>
    <w:rsid w:val="00BD1CCD"/>
    <w:rsid w:val="00BD1D03"/>
    <w:rsid w:val="00BD1DD6"/>
    <w:rsid w:val="00BD20C6"/>
    <w:rsid w:val="00BD212F"/>
    <w:rsid w:val="00BD21EA"/>
    <w:rsid w:val="00BD222C"/>
    <w:rsid w:val="00BD2232"/>
    <w:rsid w:val="00BD244C"/>
    <w:rsid w:val="00BD24DE"/>
    <w:rsid w:val="00BD24FB"/>
    <w:rsid w:val="00BD2507"/>
    <w:rsid w:val="00BD2568"/>
    <w:rsid w:val="00BD257F"/>
    <w:rsid w:val="00BD26F8"/>
    <w:rsid w:val="00BD27F5"/>
    <w:rsid w:val="00BD2A44"/>
    <w:rsid w:val="00BD2C0B"/>
    <w:rsid w:val="00BD2CDA"/>
    <w:rsid w:val="00BD2F2A"/>
    <w:rsid w:val="00BD2F81"/>
    <w:rsid w:val="00BD3038"/>
    <w:rsid w:val="00BD312E"/>
    <w:rsid w:val="00BD31CB"/>
    <w:rsid w:val="00BD3211"/>
    <w:rsid w:val="00BD32CE"/>
    <w:rsid w:val="00BD332F"/>
    <w:rsid w:val="00BD355A"/>
    <w:rsid w:val="00BD35A2"/>
    <w:rsid w:val="00BD35B5"/>
    <w:rsid w:val="00BD3732"/>
    <w:rsid w:val="00BD3787"/>
    <w:rsid w:val="00BD38DA"/>
    <w:rsid w:val="00BD3A7F"/>
    <w:rsid w:val="00BD3AB7"/>
    <w:rsid w:val="00BD3BA9"/>
    <w:rsid w:val="00BD3C39"/>
    <w:rsid w:val="00BD3C71"/>
    <w:rsid w:val="00BD4010"/>
    <w:rsid w:val="00BD4286"/>
    <w:rsid w:val="00BD4350"/>
    <w:rsid w:val="00BD43A1"/>
    <w:rsid w:val="00BD4491"/>
    <w:rsid w:val="00BD4556"/>
    <w:rsid w:val="00BD472D"/>
    <w:rsid w:val="00BD4773"/>
    <w:rsid w:val="00BD47FA"/>
    <w:rsid w:val="00BD492B"/>
    <w:rsid w:val="00BD4A2F"/>
    <w:rsid w:val="00BD4A85"/>
    <w:rsid w:val="00BD4B60"/>
    <w:rsid w:val="00BD4CC4"/>
    <w:rsid w:val="00BD4F06"/>
    <w:rsid w:val="00BD5495"/>
    <w:rsid w:val="00BD57A4"/>
    <w:rsid w:val="00BD58CC"/>
    <w:rsid w:val="00BD5BE5"/>
    <w:rsid w:val="00BD5C16"/>
    <w:rsid w:val="00BD5C9F"/>
    <w:rsid w:val="00BD5CB5"/>
    <w:rsid w:val="00BD5CF5"/>
    <w:rsid w:val="00BD5D6D"/>
    <w:rsid w:val="00BD5E34"/>
    <w:rsid w:val="00BD624B"/>
    <w:rsid w:val="00BD62BC"/>
    <w:rsid w:val="00BD646D"/>
    <w:rsid w:val="00BD65A0"/>
    <w:rsid w:val="00BD6736"/>
    <w:rsid w:val="00BD691B"/>
    <w:rsid w:val="00BD694E"/>
    <w:rsid w:val="00BD6982"/>
    <w:rsid w:val="00BD6A47"/>
    <w:rsid w:val="00BD6A4B"/>
    <w:rsid w:val="00BD6C74"/>
    <w:rsid w:val="00BD6CC6"/>
    <w:rsid w:val="00BD6CE9"/>
    <w:rsid w:val="00BD6DE3"/>
    <w:rsid w:val="00BD6FA0"/>
    <w:rsid w:val="00BD735E"/>
    <w:rsid w:val="00BD7602"/>
    <w:rsid w:val="00BD761A"/>
    <w:rsid w:val="00BD776C"/>
    <w:rsid w:val="00BD7B87"/>
    <w:rsid w:val="00BD7C15"/>
    <w:rsid w:val="00BD7E40"/>
    <w:rsid w:val="00BD7EE4"/>
    <w:rsid w:val="00BD7FCA"/>
    <w:rsid w:val="00BE00ED"/>
    <w:rsid w:val="00BE0405"/>
    <w:rsid w:val="00BE0491"/>
    <w:rsid w:val="00BE0520"/>
    <w:rsid w:val="00BE062F"/>
    <w:rsid w:val="00BE0811"/>
    <w:rsid w:val="00BE0842"/>
    <w:rsid w:val="00BE0CF6"/>
    <w:rsid w:val="00BE0D7A"/>
    <w:rsid w:val="00BE0E7F"/>
    <w:rsid w:val="00BE111F"/>
    <w:rsid w:val="00BE11E2"/>
    <w:rsid w:val="00BE1250"/>
    <w:rsid w:val="00BE12B7"/>
    <w:rsid w:val="00BE1323"/>
    <w:rsid w:val="00BE132A"/>
    <w:rsid w:val="00BE15DE"/>
    <w:rsid w:val="00BE18CF"/>
    <w:rsid w:val="00BE1A03"/>
    <w:rsid w:val="00BE1A7C"/>
    <w:rsid w:val="00BE1B02"/>
    <w:rsid w:val="00BE1BCA"/>
    <w:rsid w:val="00BE1C50"/>
    <w:rsid w:val="00BE1F93"/>
    <w:rsid w:val="00BE213E"/>
    <w:rsid w:val="00BE2223"/>
    <w:rsid w:val="00BE2332"/>
    <w:rsid w:val="00BE237A"/>
    <w:rsid w:val="00BE2536"/>
    <w:rsid w:val="00BE262B"/>
    <w:rsid w:val="00BE2826"/>
    <w:rsid w:val="00BE289D"/>
    <w:rsid w:val="00BE28AF"/>
    <w:rsid w:val="00BE28CB"/>
    <w:rsid w:val="00BE294E"/>
    <w:rsid w:val="00BE2950"/>
    <w:rsid w:val="00BE2CB7"/>
    <w:rsid w:val="00BE304E"/>
    <w:rsid w:val="00BE30FB"/>
    <w:rsid w:val="00BE31BC"/>
    <w:rsid w:val="00BE3463"/>
    <w:rsid w:val="00BE353D"/>
    <w:rsid w:val="00BE3569"/>
    <w:rsid w:val="00BE357E"/>
    <w:rsid w:val="00BE3695"/>
    <w:rsid w:val="00BE39C7"/>
    <w:rsid w:val="00BE3AC8"/>
    <w:rsid w:val="00BE3BC5"/>
    <w:rsid w:val="00BE4086"/>
    <w:rsid w:val="00BE439B"/>
    <w:rsid w:val="00BE443E"/>
    <w:rsid w:val="00BE45F5"/>
    <w:rsid w:val="00BE4664"/>
    <w:rsid w:val="00BE47F6"/>
    <w:rsid w:val="00BE4AFA"/>
    <w:rsid w:val="00BE4B55"/>
    <w:rsid w:val="00BE4C5A"/>
    <w:rsid w:val="00BE4CC4"/>
    <w:rsid w:val="00BE51D3"/>
    <w:rsid w:val="00BE529C"/>
    <w:rsid w:val="00BE52A1"/>
    <w:rsid w:val="00BE52AF"/>
    <w:rsid w:val="00BE5496"/>
    <w:rsid w:val="00BE556C"/>
    <w:rsid w:val="00BE59EF"/>
    <w:rsid w:val="00BE5AA9"/>
    <w:rsid w:val="00BE5B9D"/>
    <w:rsid w:val="00BE5C70"/>
    <w:rsid w:val="00BE607B"/>
    <w:rsid w:val="00BE60C3"/>
    <w:rsid w:val="00BE6331"/>
    <w:rsid w:val="00BE6490"/>
    <w:rsid w:val="00BE6624"/>
    <w:rsid w:val="00BE67E8"/>
    <w:rsid w:val="00BE68AF"/>
    <w:rsid w:val="00BE6B2F"/>
    <w:rsid w:val="00BE6BF1"/>
    <w:rsid w:val="00BE6DA0"/>
    <w:rsid w:val="00BE6EA3"/>
    <w:rsid w:val="00BE6F8F"/>
    <w:rsid w:val="00BE7187"/>
    <w:rsid w:val="00BE71D1"/>
    <w:rsid w:val="00BE72D0"/>
    <w:rsid w:val="00BE7432"/>
    <w:rsid w:val="00BE74BB"/>
    <w:rsid w:val="00BE7AC5"/>
    <w:rsid w:val="00BE7B01"/>
    <w:rsid w:val="00BE7B03"/>
    <w:rsid w:val="00BE7B36"/>
    <w:rsid w:val="00BE7C32"/>
    <w:rsid w:val="00BE7C5F"/>
    <w:rsid w:val="00BE7D6E"/>
    <w:rsid w:val="00BE7FE3"/>
    <w:rsid w:val="00BF0069"/>
    <w:rsid w:val="00BF0124"/>
    <w:rsid w:val="00BF01C5"/>
    <w:rsid w:val="00BF069E"/>
    <w:rsid w:val="00BF07DF"/>
    <w:rsid w:val="00BF0875"/>
    <w:rsid w:val="00BF0900"/>
    <w:rsid w:val="00BF09C7"/>
    <w:rsid w:val="00BF0A0C"/>
    <w:rsid w:val="00BF0B05"/>
    <w:rsid w:val="00BF0BA8"/>
    <w:rsid w:val="00BF0C42"/>
    <w:rsid w:val="00BF0D8C"/>
    <w:rsid w:val="00BF1089"/>
    <w:rsid w:val="00BF1313"/>
    <w:rsid w:val="00BF1463"/>
    <w:rsid w:val="00BF150D"/>
    <w:rsid w:val="00BF152E"/>
    <w:rsid w:val="00BF1610"/>
    <w:rsid w:val="00BF1619"/>
    <w:rsid w:val="00BF1647"/>
    <w:rsid w:val="00BF18E5"/>
    <w:rsid w:val="00BF1918"/>
    <w:rsid w:val="00BF1C69"/>
    <w:rsid w:val="00BF1DC8"/>
    <w:rsid w:val="00BF2084"/>
    <w:rsid w:val="00BF208F"/>
    <w:rsid w:val="00BF2213"/>
    <w:rsid w:val="00BF22C0"/>
    <w:rsid w:val="00BF2428"/>
    <w:rsid w:val="00BF2526"/>
    <w:rsid w:val="00BF25CD"/>
    <w:rsid w:val="00BF25F5"/>
    <w:rsid w:val="00BF2643"/>
    <w:rsid w:val="00BF293F"/>
    <w:rsid w:val="00BF2A70"/>
    <w:rsid w:val="00BF2A88"/>
    <w:rsid w:val="00BF2D94"/>
    <w:rsid w:val="00BF2FEF"/>
    <w:rsid w:val="00BF3651"/>
    <w:rsid w:val="00BF3677"/>
    <w:rsid w:val="00BF36D7"/>
    <w:rsid w:val="00BF38AE"/>
    <w:rsid w:val="00BF391E"/>
    <w:rsid w:val="00BF39C8"/>
    <w:rsid w:val="00BF3B12"/>
    <w:rsid w:val="00BF3B66"/>
    <w:rsid w:val="00BF3C26"/>
    <w:rsid w:val="00BF3CCA"/>
    <w:rsid w:val="00BF3E87"/>
    <w:rsid w:val="00BF3EAA"/>
    <w:rsid w:val="00BF3EC7"/>
    <w:rsid w:val="00BF3F96"/>
    <w:rsid w:val="00BF3FC2"/>
    <w:rsid w:val="00BF42C0"/>
    <w:rsid w:val="00BF4589"/>
    <w:rsid w:val="00BF46B6"/>
    <w:rsid w:val="00BF47A5"/>
    <w:rsid w:val="00BF4965"/>
    <w:rsid w:val="00BF4DBB"/>
    <w:rsid w:val="00BF4EBA"/>
    <w:rsid w:val="00BF4FA5"/>
    <w:rsid w:val="00BF50EE"/>
    <w:rsid w:val="00BF5153"/>
    <w:rsid w:val="00BF5306"/>
    <w:rsid w:val="00BF5395"/>
    <w:rsid w:val="00BF53BC"/>
    <w:rsid w:val="00BF5552"/>
    <w:rsid w:val="00BF559D"/>
    <w:rsid w:val="00BF5691"/>
    <w:rsid w:val="00BF56A1"/>
    <w:rsid w:val="00BF570A"/>
    <w:rsid w:val="00BF59DB"/>
    <w:rsid w:val="00BF5C0B"/>
    <w:rsid w:val="00BF5DAE"/>
    <w:rsid w:val="00BF5DC4"/>
    <w:rsid w:val="00BF5E1E"/>
    <w:rsid w:val="00BF5E8E"/>
    <w:rsid w:val="00BF5EF8"/>
    <w:rsid w:val="00BF609B"/>
    <w:rsid w:val="00BF60B1"/>
    <w:rsid w:val="00BF6225"/>
    <w:rsid w:val="00BF64FE"/>
    <w:rsid w:val="00BF65DD"/>
    <w:rsid w:val="00BF6832"/>
    <w:rsid w:val="00BF6991"/>
    <w:rsid w:val="00BF69F8"/>
    <w:rsid w:val="00BF6D71"/>
    <w:rsid w:val="00BF6EE5"/>
    <w:rsid w:val="00BF708F"/>
    <w:rsid w:val="00BF7295"/>
    <w:rsid w:val="00BF733D"/>
    <w:rsid w:val="00BF73FB"/>
    <w:rsid w:val="00BF746D"/>
    <w:rsid w:val="00BF7501"/>
    <w:rsid w:val="00BF76FA"/>
    <w:rsid w:val="00BF7714"/>
    <w:rsid w:val="00BF7970"/>
    <w:rsid w:val="00BF7A3D"/>
    <w:rsid w:val="00BF7A51"/>
    <w:rsid w:val="00BF7ACF"/>
    <w:rsid w:val="00BF7AE1"/>
    <w:rsid w:val="00BF7E9D"/>
    <w:rsid w:val="00C00057"/>
    <w:rsid w:val="00C0018F"/>
    <w:rsid w:val="00C00317"/>
    <w:rsid w:val="00C0061A"/>
    <w:rsid w:val="00C006A6"/>
    <w:rsid w:val="00C006C1"/>
    <w:rsid w:val="00C0083E"/>
    <w:rsid w:val="00C00B73"/>
    <w:rsid w:val="00C00C6E"/>
    <w:rsid w:val="00C00CB9"/>
    <w:rsid w:val="00C00D14"/>
    <w:rsid w:val="00C01261"/>
    <w:rsid w:val="00C012C7"/>
    <w:rsid w:val="00C01462"/>
    <w:rsid w:val="00C017DE"/>
    <w:rsid w:val="00C01B37"/>
    <w:rsid w:val="00C01D8B"/>
    <w:rsid w:val="00C01EC8"/>
    <w:rsid w:val="00C0218F"/>
    <w:rsid w:val="00C0223A"/>
    <w:rsid w:val="00C022FE"/>
    <w:rsid w:val="00C02404"/>
    <w:rsid w:val="00C02647"/>
    <w:rsid w:val="00C02713"/>
    <w:rsid w:val="00C027B3"/>
    <w:rsid w:val="00C027CE"/>
    <w:rsid w:val="00C02966"/>
    <w:rsid w:val="00C02AA7"/>
    <w:rsid w:val="00C02CD5"/>
    <w:rsid w:val="00C02D26"/>
    <w:rsid w:val="00C02D94"/>
    <w:rsid w:val="00C02EA5"/>
    <w:rsid w:val="00C02F1E"/>
    <w:rsid w:val="00C02FA2"/>
    <w:rsid w:val="00C03158"/>
    <w:rsid w:val="00C03272"/>
    <w:rsid w:val="00C0348F"/>
    <w:rsid w:val="00C034A0"/>
    <w:rsid w:val="00C03590"/>
    <w:rsid w:val="00C035CA"/>
    <w:rsid w:val="00C03699"/>
    <w:rsid w:val="00C03AEA"/>
    <w:rsid w:val="00C03BE7"/>
    <w:rsid w:val="00C03C44"/>
    <w:rsid w:val="00C03CD0"/>
    <w:rsid w:val="00C03E36"/>
    <w:rsid w:val="00C040B4"/>
    <w:rsid w:val="00C044D1"/>
    <w:rsid w:val="00C0451C"/>
    <w:rsid w:val="00C04620"/>
    <w:rsid w:val="00C046D2"/>
    <w:rsid w:val="00C0472B"/>
    <w:rsid w:val="00C04858"/>
    <w:rsid w:val="00C049BA"/>
    <w:rsid w:val="00C04AA0"/>
    <w:rsid w:val="00C04B1C"/>
    <w:rsid w:val="00C04CA6"/>
    <w:rsid w:val="00C04DE1"/>
    <w:rsid w:val="00C04E19"/>
    <w:rsid w:val="00C04F35"/>
    <w:rsid w:val="00C05123"/>
    <w:rsid w:val="00C05632"/>
    <w:rsid w:val="00C05950"/>
    <w:rsid w:val="00C05CEE"/>
    <w:rsid w:val="00C05D66"/>
    <w:rsid w:val="00C05DA2"/>
    <w:rsid w:val="00C05F97"/>
    <w:rsid w:val="00C06001"/>
    <w:rsid w:val="00C06295"/>
    <w:rsid w:val="00C062EE"/>
    <w:rsid w:val="00C06674"/>
    <w:rsid w:val="00C067F7"/>
    <w:rsid w:val="00C06A6A"/>
    <w:rsid w:val="00C06AD8"/>
    <w:rsid w:val="00C06ADE"/>
    <w:rsid w:val="00C06B15"/>
    <w:rsid w:val="00C06D57"/>
    <w:rsid w:val="00C06D65"/>
    <w:rsid w:val="00C07319"/>
    <w:rsid w:val="00C0744B"/>
    <w:rsid w:val="00C07578"/>
    <w:rsid w:val="00C07682"/>
    <w:rsid w:val="00C076D2"/>
    <w:rsid w:val="00C077F3"/>
    <w:rsid w:val="00C0789C"/>
    <w:rsid w:val="00C07965"/>
    <w:rsid w:val="00C07A02"/>
    <w:rsid w:val="00C07AA7"/>
    <w:rsid w:val="00C07BA1"/>
    <w:rsid w:val="00C07CF8"/>
    <w:rsid w:val="00C1004C"/>
    <w:rsid w:val="00C10200"/>
    <w:rsid w:val="00C104C0"/>
    <w:rsid w:val="00C1050A"/>
    <w:rsid w:val="00C1059A"/>
    <w:rsid w:val="00C106A3"/>
    <w:rsid w:val="00C106D1"/>
    <w:rsid w:val="00C1080A"/>
    <w:rsid w:val="00C10AB5"/>
    <w:rsid w:val="00C10AF0"/>
    <w:rsid w:val="00C10BCD"/>
    <w:rsid w:val="00C10D67"/>
    <w:rsid w:val="00C11387"/>
    <w:rsid w:val="00C116D4"/>
    <w:rsid w:val="00C11776"/>
    <w:rsid w:val="00C11869"/>
    <w:rsid w:val="00C11874"/>
    <w:rsid w:val="00C11908"/>
    <w:rsid w:val="00C11971"/>
    <w:rsid w:val="00C119C6"/>
    <w:rsid w:val="00C119C8"/>
    <w:rsid w:val="00C11A45"/>
    <w:rsid w:val="00C11E1D"/>
    <w:rsid w:val="00C11EC5"/>
    <w:rsid w:val="00C11F5A"/>
    <w:rsid w:val="00C11FAC"/>
    <w:rsid w:val="00C12008"/>
    <w:rsid w:val="00C12183"/>
    <w:rsid w:val="00C1220E"/>
    <w:rsid w:val="00C124B7"/>
    <w:rsid w:val="00C1250B"/>
    <w:rsid w:val="00C1251D"/>
    <w:rsid w:val="00C12694"/>
    <w:rsid w:val="00C12A5A"/>
    <w:rsid w:val="00C12BFF"/>
    <w:rsid w:val="00C12EFB"/>
    <w:rsid w:val="00C12F73"/>
    <w:rsid w:val="00C13086"/>
    <w:rsid w:val="00C13118"/>
    <w:rsid w:val="00C1327E"/>
    <w:rsid w:val="00C1347C"/>
    <w:rsid w:val="00C13784"/>
    <w:rsid w:val="00C1382B"/>
    <w:rsid w:val="00C139E1"/>
    <w:rsid w:val="00C13A73"/>
    <w:rsid w:val="00C13AFA"/>
    <w:rsid w:val="00C13CF9"/>
    <w:rsid w:val="00C13FD4"/>
    <w:rsid w:val="00C13FDF"/>
    <w:rsid w:val="00C14049"/>
    <w:rsid w:val="00C1410B"/>
    <w:rsid w:val="00C1416B"/>
    <w:rsid w:val="00C144E3"/>
    <w:rsid w:val="00C14582"/>
    <w:rsid w:val="00C14843"/>
    <w:rsid w:val="00C148FE"/>
    <w:rsid w:val="00C14A8A"/>
    <w:rsid w:val="00C14DDB"/>
    <w:rsid w:val="00C14E3F"/>
    <w:rsid w:val="00C14F17"/>
    <w:rsid w:val="00C14F3A"/>
    <w:rsid w:val="00C15130"/>
    <w:rsid w:val="00C1523F"/>
    <w:rsid w:val="00C15322"/>
    <w:rsid w:val="00C153B5"/>
    <w:rsid w:val="00C156C1"/>
    <w:rsid w:val="00C1594F"/>
    <w:rsid w:val="00C15AE0"/>
    <w:rsid w:val="00C15C2C"/>
    <w:rsid w:val="00C15E77"/>
    <w:rsid w:val="00C15F1F"/>
    <w:rsid w:val="00C1613A"/>
    <w:rsid w:val="00C16347"/>
    <w:rsid w:val="00C1638B"/>
    <w:rsid w:val="00C1644C"/>
    <w:rsid w:val="00C165B9"/>
    <w:rsid w:val="00C16708"/>
    <w:rsid w:val="00C16717"/>
    <w:rsid w:val="00C167DE"/>
    <w:rsid w:val="00C167FA"/>
    <w:rsid w:val="00C1699C"/>
    <w:rsid w:val="00C16A49"/>
    <w:rsid w:val="00C16BDF"/>
    <w:rsid w:val="00C16BE6"/>
    <w:rsid w:val="00C16E50"/>
    <w:rsid w:val="00C16EE1"/>
    <w:rsid w:val="00C16F03"/>
    <w:rsid w:val="00C16FB9"/>
    <w:rsid w:val="00C1707F"/>
    <w:rsid w:val="00C170A6"/>
    <w:rsid w:val="00C17281"/>
    <w:rsid w:val="00C172C1"/>
    <w:rsid w:val="00C172E2"/>
    <w:rsid w:val="00C17A3B"/>
    <w:rsid w:val="00C17C9B"/>
    <w:rsid w:val="00C17D89"/>
    <w:rsid w:val="00C17E2F"/>
    <w:rsid w:val="00C17FBA"/>
    <w:rsid w:val="00C201C7"/>
    <w:rsid w:val="00C201ED"/>
    <w:rsid w:val="00C2025C"/>
    <w:rsid w:val="00C20339"/>
    <w:rsid w:val="00C20461"/>
    <w:rsid w:val="00C20604"/>
    <w:rsid w:val="00C2090C"/>
    <w:rsid w:val="00C20953"/>
    <w:rsid w:val="00C2097C"/>
    <w:rsid w:val="00C209CA"/>
    <w:rsid w:val="00C20C81"/>
    <w:rsid w:val="00C20FB8"/>
    <w:rsid w:val="00C20FC3"/>
    <w:rsid w:val="00C2115C"/>
    <w:rsid w:val="00C211E8"/>
    <w:rsid w:val="00C21267"/>
    <w:rsid w:val="00C2127B"/>
    <w:rsid w:val="00C212E1"/>
    <w:rsid w:val="00C21347"/>
    <w:rsid w:val="00C2134B"/>
    <w:rsid w:val="00C2143A"/>
    <w:rsid w:val="00C214B5"/>
    <w:rsid w:val="00C214FC"/>
    <w:rsid w:val="00C21524"/>
    <w:rsid w:val="00C2157C"/>
    <w:rsid w:val="00C21844"/>
    <w:rsid w:val="00C2190F"/>
    <w:rsid w:val="00C219E5"/>
    <w:rsid w:val="00C21A23"/>
    <w:rsid w:val="00C21B28"/>
    <w:rsid w:val="00C21D75"/>
    <w:rsid w:val="00C21F23"/>
    <w:rsid w:val="00C21FD5"/>
    <w:rsid w:val="00C21FF7"/>
    <w:rsid w:val="00C22055"/>
    <w:rsid w:val="00C221F6"/>
    <w:rsid w:val="00C223B0"/>
    <w:rsid w:val="00C224B6"/>
    <w:rsid w:val="00C226B7"/>
    <w:rsid w:val="00C22A4B"/>
    <w:rsid w:val="00C22B38"/>
    <w:rsid w:val="00C22BA3"/>
    <w:rsid w:val="00C22C49"/>
    <w:rsid w:val="00C22C7C"/>
    <w:rsid w:val="00C22E1F"/>
    <w:rsid w:val="00C22F7C"/>
    <w:rsid w:val="00C22FA4"/>
    <w:rsid w:val="00C2303C"/>
    <w:rsid w:val="00C230C7"/>
    <w:rsid w:val="00C230F4"/>
    <w:rsid w:val="00C23340"/>
    <w:rsid w:val="00C23363"/>
    <w:rsid w:val="00C234EB"/>
    <w:rsid w:val="00C234EF"/>
    <w:rsid w:val="00C2367D"/>
    <w:rsid w:val="00C236E1"/>
    <w:rsid w:val="00C237E9"/>
    <w:rsid w:val="00C239B3"/>
    <w:rsid w:val="00C239F0"/>
    <w:rsid w:val="00C23B28"/>
    <w:rsid w:val="00C23CCA"/>
    <w:rsid w:val="00C23E06"/>
    <w:rsid w:val="00C23E53"/>
    <w:rsid w:val="00C24044"/>
    <w:rsid w:val="00C24065"/>
    <w:rsid w:val="00C2449E"/>
    <w:rsid w:val="00C24648"/>
    <w:rsid w:val="00C24738"/>
    <w:rsid w:val="00C2474A"/>
    <w:rsid w:val="00C2483B"/>
    <w:rsid w:val="00C24877"/>
    <w:rsid w:val="00C24BC6"/>
    <w:rsid w:val="00C24CAE"/>
    <w:rsid w:val="00C24CDC"/>
    <w:rsid w:val="00C24D6F"/>
    <w:rsid w:val="00C24DD1"/>
    <w:rsid w:val="00C24FDA"/>
    <w:rsid w:val="00C25113"/>
    <w:rsid w:val="00C25192"/>
    <w:rsid w:val="00C25327"/>
    <w:rsid w:val="00C25329"/>
    <w:rsid w:val="00C25488"/>
    <w:rsid w:val="00C258C8"/>
    <w:rsid w:val="00C25AD4"/>
    <w:rsid w:val="00C25B0F"/>
    <w:rsid w:val="00C25D89"/>
    <w:rsid w:val="00C25E98"/>
    <w:rsid w:val="00C264B0"/>
    <w:rsid w:val="00C26570"/>
    <w:rsid w:val="00C26662"/>
    <w:rsid w:val="00C26865"/>
    <w:rsid w:val="00C268AD"/>
    <w:rsid w:val="00C26981"/>
    <w:rsid w:val="00C269A5"/>
    <w:rsid w:val="00C26C28"/>
    <w:rsid w:val="00C26CAB"/>
    <w:rsid w:val="00C27279"/>
    <w:rsid w:val="00C27347"/>
    <w:rsid w:val="00C274B2"/>
    <w:rsid w:val="00C2759A"/>
    <w:rsid w:val="00C276F1"/>
    <w:rsid w:val="00C277C0"/>
    <w:rsid w:val="00C27866"/>
    <w:rsid w:val="00C2799A"/>
    <w:rsid w:val="00C27ADF"/>
    <w:rsid w:val="00C27B1B"/>
    <w:rsid w:val="00C27C0E"/>
    <w:rsid w:val="00C27C26"/>
    <w:rsid w:val="00C27DF8"/>
    <w:rsid w:val="00C30029"/>
    <w:rsid w:val="00C3015A"/>
    <w:rsid w:val="00C30207"/>
    <w:rsid w:val="00C30327"/>
    <w:rsid w:val="00C3045C"/>
    <w:rsid w:val="00C3074A"/>
    <w:rsid w:val="00C3089A"/>
    <w:rsid w:val="00C3094F"/>
    <w:rsid w:val="00C30A04"/>
    <w:rsid w:val="00C30AFA"/>
    <w:rsid w:val="00C30E08"/>
    <w:rsid w:val="00C30E1D"/>
    <w:rsid w:val="00C30E3D"/>
    <w:rsid w:val="00C31031"/>
    <w:rsid w:val="00C310A7"/>
    <w:rsid w:val="00C310DE"/>
    <w:rsid w:val="00C3113F"/>
    <w:rsid w:val="00C31337"/>
    <w:rsid w:val="00C31435"/>
    <w:rsid w:val="00C316FA"/>
    <w:rsid w:val="00C31728"/>
    <w:rsid w:val="00C318F9"/>
    <w:rsid w:val="00C3199C"/>
    <w:rsid w:val="00C319DA"/>
    <w:rsid w:val="00C31B19"/>
    <w:rsid w:val="00C31C35"/>
    <w:rsid w:val="00C31D99"/>
    <w:rsid w:val="00C32025"/>
    <w:rsid w:val="00C320CF"/>
    <w:rsid w:val="00C323A9"/>
    <w:rsid w:val="00C3256B"/>
    <w:rsid w:val="00C325E2"/>
    <w:rsid w:val="00C3264B"/>
    <w:rsid w:val="00C32686"/>
    <w:rsid w:val="00C32783"/>
    <w:rsid w:val="00C327B6"/>
    <w:rsid w:val="00C32AAC"/>
    <w:rsid w:val="00C32B2F"/>
    <w:rsid w:val="00C32B93"/>
    <w:rsid w:val="00C32F85"/>
    <w:rsid w:val="00C3319B"/>
    <w:rsid w:val="00C332A7"/>
    <w:rsid w:val="00C33316"/>
    <w:rsid w:val="00C33496"/>
    <w:rsid w:val="00C335EC"/>
    <w:rsid w:val="00C338CE"/>
    <w:rsid w:val="00C338E0"/>
    <w:rsid w:val="00C33A81"/>
    <w:rsid w:val="00C33D64"/>
    <w:rsid w:val="00C33F66"/>
    <w:rsid w:val="00C340B1"/>
    <w:rsid w:val="00C3414F"/>
    <w:rsid w:val="00C342D1"/>
    <w:rsid w:val="00C3438E"/>
    <w:rsid w:val="00C3439C"/>
    <w:rsid w:val="00C343C0"/>
    <w:rsid w:val="00C34616"/>
    <w:rsid w:val="00C3461A"/>
    <w:rsid w:val="00C346B0"/>
    <w:rsid w:val="00C348C7"/>
    <w:rsid w:val="00C34901"/>
    <w:rsid w:val="00C34A03"/>
    <w:rsid w:val="00C34AD6"/>
    <w:rsid w:val="00C34B0D"/>
    <w:rsid w:val="00C34B32"/>
    <w:rsid w:val="00C34C80"/>
    <w:rsid w:val="00C34DB3"/>
    <w:rsid w:val="00C34DDC"/>
    <w:rsid w:val="00C35358"/>
    <w:rsid w:val="00C35505"/>
    <w:rsid w:val="00C35514"/>
    <w:rsid w:val="00C3560D"/>
    <w:rsid w:val="00C35785"/>
    <w:rsid w:val="00C358F7"/>
    <w:rsid w:val="00C35CFA"/>
    <w:rsid w:val="00C35FC4"/>
    <w:rsid w:val="00C36251"/>
    <w:rsid w:val="00C36402"/>
    <w:rsid w:val="00C36436"/>
    <w:rsid w:val="00C36475"/>
    <w:rsid w:val="00C36606"/>
    <w:rsid w:val="00C36718"/>
    <w:rsid w:val="00C36821"/>
    <w:rsid w:val="00C368A9"/>
    <w:rsid w:val="00C3696E"/>
    <w:rsid w:val="00C36A8A"/>
    <w:rsid w:val="00C36DA5"/>
    <w:rsid w:val="00C36EA4"/>
    <w:rsid w:val="00C370E2"/>
    <w:rsid w:val="00C37210"/>
    <w:rsid w:val="00C37225"/>
    <w:rsid w:val="00C37362"/>
    <w:rsid w:val="00C37409"/>
    <w:rsid w:val="00C375FF"/>
    <w:rsid w:val="00C3763D"/>
    <w:rsid w:val="00C376B5"/>
    <w:rsid w:val="00C376FC"/>
    <w:rsid w:val="00C3781E"/>
    <w:rsid w:val="00C37899"/>
    <w:rsid w:val="00C3790C"/>
    <w:rsid w:val="00C37A3C"/>
    <w:rsid w:val="00C37C83"/>
    <w:rsid w:val="00C37D03"/>
    <w:rsid w:val="00C40266"/>
    <w:rsid w:val="00C4037D"/>
    <w:rsid w:val="00C40694"/>
    <w:rsid w:val="00C40721"/>
    <w:rsid w:val="00C4097B"/>
    <w:rsid w:val="00C40A45"/>
    <w:rsid w:val="00C40AD9"/>
    <w:rsid w:val="00C40D34"/>
    <w:rsid w:val="00C40D3D"/>
    <w:rsid w:val="00C413A9"/>
    <w:rsid w:val="00C415A6"/>
    <w:rsid w:val="00C41655"/>
    <w:rsid w:val="00C41662"/>
    <w:rsid w:val="00C417EE"/>
    <w:rsid w:val="00C419AD"/>
    <w:rsid w:val="00C41AA3"/>
    <w:rsid w:val="00C41AF3"/>
    <w:rsid w:val="00C41C70"/>
    <w:rsid w:val="00C41C7C"/>
    <w:rsid w:val="00C41DF9"/>
    <w:rsid w:val="00C41F04"/>
    <w:rsid w:val="00C41F0E"/>
    <w:rsid w:val="00C4224E"/>
    <w:rsid w:val="00C422B2"/>
    <w:rsid w:val="00C422E8"/>
    <w:rsid w:val="00C4232A"/>
    <w:rsid w:val="00C423C6"/>
    <w:rsid w:val="00C425C2"/>
    <w:rsid w:val="00C42886"/>
    <w:rsid w:val="00C42891"/>
    <w:rsid w:val="00C428BD"/>
    <w:rsid w:val="00C428E1"/>
    <w:rsid w:val="00C42941"/>
    <w:rsid w:val="00C42A7A"/>
    <w:rsid w:val="00C42AA4"/>
    <w:rsid w:val="00C42EA7"/>
    <w:rsid w:val="00C42F16"/>
    <w:rsid w:val="00C42F52"/>
    <w:rsid w:val="00C43058"/>
    <w:rsid w:val="00C433FD"/>
    <w:rsid w:val="00C4346C"/>
    <w:rsid w:val="00C43741"/>
    <w:rsid w:val="00C43856"/>
    <w:rsid w:val="00C438D5"/>
    <w:rsid w:val="00C43C42"/>
    <w:rsid w:val="00C43DBD"/>
    <w:rsid w:val="00C43E7A"/>
    <w:rsid w:val="00C43FC5"/>
    <w:rsid w:val="00C440D8"/>
    <w:rsid w:val="00C44259"/>
    <w:rsid w:val="00C442FB"/>
    <w:rsid w:val="00C44392"/>
    <w:rsid w:val="00C44521"/>
    <w:rsid w:val="00C4452F"/>
    <w:rsid w:val="00C4483D"/>
    <w:rsid w:val="00C44BEA"/>
    <w:rsid w:val="00C44E76"/>
    <w:rsid w:val="00C44EDF"/>
    <w:rsid w:val="00C44FA3"/>
    <w:rsid w:val="00C45038"/>
    <w:rsid w:val="00C45072"/>
    <w:rsid w:val="00C45095"/>
    <w:rsid w:val="00C45259"/>
    <w:rsid w:val="00C45311"/>
    <w:rsid w:val="00C45399"/>
    <w:rsid w:val="00C454E9"/>
    <w:rsid w:val="00C455A4"/>
    <w:rsid w:val="00C45709"/>
    <w:rsid w:val="00C45A05"/>
    <w:rsid w:val="00C45CBC"/>
    <w:rsid w:val="00C45CDA"/>
    <w:rsid w:val="00C45D41"/>
    <w:rsid w:val="00C46000"/>
    <w:rsid w:val="00C460BF"/>
    <w:rsid w:val="00C462CA"/>
    <w:rsid w:val="00C4631E"/>
    <w:rsid w:val="00C4646A"/>
    <w:rsid w:val="00C466B9"/>
    <w:rsid w:val="00C46759"/>
    <w:rsid w:val="00C4677B"/>
    <w:rsid w:val="00C46B64"/>
    <w:rsid w:val="00C46BE4"/>
    <w:rsid w:val="00C47044"/>
    <w:rsid w:val="00C4704D"/>
    <w:rsid w:val="00C4717D"/>
    <w:rsid w:val="00C47203"/>
    <w:rsid w:val="00C472E8"/>
    <w:rsid w:val="00C47485"/>
    <w:rsid w:val="00C478E7"/>
    <w:rsid w:val="00C47A39"/>
    <w:rsid w:val="00C47CA1"/>
    <w:rsid w:val="00C47CD1"/>
    <w:rsid w:val="00C47DB9"/>
    <w:rsid w:val="00C47DD5"/>
    <w:rsid w:val="00C47F49"/>
    <w:rsid w:val="00C47F84"/>
    <w:rsid w:val="00C5012A"/>
    <w:rsid w:val="00C50154"/>
    <w:rsid w:val="00C501FC"/>
    <w:rsid w:val="00C50420"/>
    <w:rsid w:val="00C504D2"/>
    <w:rsid w:val="00C50506"/>
    <w:rsid w:val="00C507B2"/>
    <w:rsid w:val="00C50818"/>
    <w:rsid w:val="00C50837"/>
    <w:rsid w:val="00C5097E"/>
    <w:rsid w:val="00C509F2"/>
    <w:rsid w:val="00C50AF6"/>
    <w:rsid w:val="00C50BCA"/>
    <w:rsid w:val="00C50C1A"/>
    <w:rsid w:val="00C50C99"/>
    <w:rsid w:val="00C50D24"/>
    <w:rsid w:val="00C50E93"/>
    <w:rsid w:val="00C50FAC"/>
    <w:rsid w:val="00C5101D"/>
    <w:rsid w:val="00C51156"/>
    <w:rsid w:val="00C511C9"/>
    <w:rsid w:val="00C511D0"/>
    <w:rsid w:val="00C5130B"/>
    <w:rsid w:val="00C51538"/>
    <w:rsid w:val="00C515A8"/>
    <w:rsid w:val="00C515EC"/>
    <w:rsid w:val="00C519FF"/>
    <w:rsid w:val="00C51A1E"/>
    <w:rsid w:val="00C51CA4"/>
    <w:rsid w:val="00C51CD2"/>
    <w:rsid w:val="00C51D5B"/>
    <w:rsid w:val="00C51D7C"/>
    <w:rsid w:val="00C51D91"/>
    <w:rsid w:val="00C52089"/>
    <w:rsid w:val="00C52091"/>
    <w:rsid w:val="00C52510"/>
    <w:rsid w:val="00C525A8"/>
    <w:rsid w:val="00C5286A"/>
    <w:rsid w:val="00C52989"/>
    <w:rsid w:val="00C52B3D"/>
    <w:rsid w:val="00C52B7B"/>
    <w:rsid w:val="00C52BCA"/>
    <w:rsid w:val="00C52C98"/>
    <w:rsid w:val="00C52EA6"/>
    <w:rsid w:val="00C53199"/>
    <w:rsid w:val="00C53228"/>
    <w:rsid w:val="00C53236"/>
    <w:rsid w:val="00C532F1"/>
    <w:rsid w:val="00C5333D"/>
    <w:rsid w:val="00C53448"/>
    <w:rsid w:val="00C535A0"/>
    <w:rsid w:val="00C537D1"/>
    <w:rsid w:val="00C5393F"/>
    <w:rsid w:val="00C539BC"/>
    <w:rsid w:val="00C53A77"/>
    <w:rsid w:val="00C53ABB"/>
    <w:rsid w:val="00C53AE6"/>
    <w:rsid w:val="00C53BB4"/>
    <w:rsid w:val="00C53F64"/>
    <w:rsid w:val="00C53FE0"/>
    <w:rsid w:val="00C54349"/>
    <w:rsid w:val="00C545E1"/>
    <w:rsid w:val="00C54684"/>
    <w:rsid w:val="00C547D2"/>
    <w:rsid w:val="00C547D5"/>
    <w:rsid w:val="00C548CD"/>
    <w:rsid w:val="00C54919"/>
    <w:rsid w:val="00C5491B"/>
    <w:rsid w:val="00C54DB8"/>
    <w:rsid w:val="00C54DC2"/>
    <w:rsid w:val="00C54DE7"/>
    <w:rsid w:val="00C54DF5"/>
    <w:rsid w:val="00C54F11"/>
    <w:rsid w:val="00C54FD5"/>
    <w:rsid w:val="00C552DB"/>
    <w:rsid w:val="00C55519"/>
    <w:rsid w:val="00C5585A"/>
    <w:rsid w:val="00C558C9"/>
    <w:rsid w:val="00C55A16"/>
    <w:rsid w:val="00C55A50"/>
    <w:rsid w:val="00C55A70"/>
    <w:rsid w:val="00C55A8D"/>
    <w:rsid w:val="00C55ABC"/>
    <w:rsid w:val="00C55EF0"/>
    <w:rsid w:val="00C55F6E"/>
    <w:rsid w:val="00C56317"/>
    <w:rsid w:val="00C56363"/>
    <w:rsid w:val="00C563C2"/>
    <w:rsid w:val="00C563FA"/>
    <w:rsid w:val="00C5655F"/>
    <w:rsid w:val="00C566BB"/>
    <w:rsid w:val="00C56847"/>
    <w:rsid w:val="00C56848"/>
    <w:rsid w:val="00C56999"/>
    <w:rsid w:val="00C56C12"/>
    <w:rsid w:val="00C56ECE"/>
    <w:rsid w:val="00C56ED0"/>
    <w:rsid w:val="00C56F30"/>
    <w:rsid w:val="00C5704A"/>
    <w:rsid w:val="00C57070"/>
    <w:rsid w:val="00C571C6"/>
    <w:rsid w:val="00C57453"/>
    <w:rsid w:val="00C575CD"/>
    <w:rsid w:val="00C576A3"/>
    <w:rsid w:val="00C57844"/>
    <w:rsid w:val="00C578D9"/>
    <w:rsid w:val="00C57A7F"/>
    <w:rsid w:val="00C57B83"/>
    <w:rsid w:val="00C57CDD"/>
    <w:rsid w:val="00C601F9"/>
    <w:rsid w:val="00C6037E"/>
    <w:rsid w:val="00C603C2"/>
    <w:rsid w:val="00C60421"/>
    <w:rsid w:val="00C60527"/>
    <w:rsid w:val="00C6076F"/>
    <w:rsid w:val="00C608AC"/>
    <w:rsid w:val="00C608C4"/>
    <w:rsid w:val="00C6094A"/>
    <w:rsid w:val="00C60A9B"/>
    <w:rsid w:val="00C60AF0"/>
    <w:rsid w:val="00C60B9F"/>
    <w:rsid w:val="00C60D10"/>
    <w:rsid w:val="00C60E80"/>
    <w:rsid w:val="00C60F8A"/>
    <w:rsid w:val="00C61019"/>
    <w:rsid w:val="00C61071"/>
    <w:rsid w:val="00C610D9"/>
    <w:rsid w:val="00C6111A"/>
    <w:rsid w:val="00C61185"/>
    <w:rsid w:val="00C61488"/>
    <w:rsid w:val="00C614C8"/>
    <w:rsid w:val="00C615FF"/>
    <w:rsid w:val="00C6179F"/>
    <w:rsid w:val="00C61832"/>
    <w:rsid w:val="00C61946"/>
    <w:rsid w:val="00C61D47"/>
    <w:rsid w:val="00C6221C"/>
    <w:rsid w:val="00C623A2"/>
    <w:rsid w:val="00C623CE"/>
    <w:rsid w:val="00C62626"/>
    <w:rsid w:val="00C626B2"/>
    <w:rsid w:val="00C6280D"/>
    <w:rsid w:val="00C628AF"/>
    <w:rsid w:val="00C62C7C"/>
    <w:rsid w:val="00C630B8"/>
    <w:rsid w:val="00C630C9"/>
    <w:rsid w:val="00C630F8"/>
    <w:rsid w:val="00C6313B"/>
    <w:rsid w:val="00C634CF"/>
    <w:rsid w:val="00C63610"/>
    <w:rsid w:val="00C637B5"/>
    <w:rsid w:val="00C637ED"/>
    <w:rsid w:val="00C63A2F"/>
    <w:rsid w:val="00C63B79"/>
    <w:rsid w:val="00C63BD2"/>
    <w:rsid w:val="00C63BD3"/>
    <w:rsid w:val="00C63C8A"/>
    <w:rsid w:val="00C63ED0"/>
    <w:rsid w:val="00C63F10"/>
    <w:rsid w:val="00C6400E"/>
    <w:rsid w:val="00C64048"/>
    <w:rsid w:val="00C64251"/>
    <w:rsid w:val="00C64337"/>
    <w:rsid w:val="00C645D2"/>
    <w:rsid w:val="00C64835"/>
    <w:rsid w:val="00C648D2"/>
    <w:rsid w:val="00C64BEA"/>
    <w:rsid w:val="00C64D28"/>
    <w:rsid w:val="00C64E9F"/>
    <w:rsid w:val="00C64ECC"/>
    <w:rsid w:val="00C65031"/>
    <w:rsid w:val="00C65159"/>
    <w:rsid w:val="00C65180"/>
    <w:rsid w:val="00C6523A"/>
    <w:rsid w:val="00C652E2"/>
    <w:rsid w:val="00C6538E"/>
    <w:rsid w:val="00C6551D"/>
    <w:rsid w:val="00C659A1"/>
    <w:rsid w:val="00C659F9"/>
    <w:rsid w:val="00C65A3A"/>
    <w:rsid w:val="00C65A73"/>
    <w:rsid w:val="00C65B3C"/>
    <w:rsid w:val="00C65D8F"/>
    <w:rsid w:val="00C65E09"/>
    <w:rsid w:val="00C65F19"/>
    <w:rsid w:val="00C66075"/>
    <w:rsid w:val="00C6635F"/>
    <w:rsid w:val="00C66497"/>
    <w:rsid w:val="00C66563"/>
    <w:rsid w:val="00C666EF"/>
    <w:rsid w:val="00C66757"/>
    <w:rsid w:val="00C66842"/>
    <w:rsid w:val="00C668ED"/>
    <w:rsid w:val="00C66951"/>
    <w:rsid w:val="00C66955"/>
    <w:rsid w:val="00C669EE"/>
    <w:rsid w:val="00C66C12"/>
    <w:rsid w:val="00C66C3B"/>
    <w:rsid w:val="00C66D3A"/>
    <w:rsid w:val="00C66D87"/>
    <w:rsid w:val="00C672D6"/>
    <w:rsid w:val="00C6737C"/>
    <w:rsid w:val="00C6741D"/>
    <w:rsid w:val="00C6744A"/>
    <w:rsid w:val="00C6755D"/>
    <w:rsid w:val="00C675AE"/>
    <w:rsid w:val="00C676FB"/>
    <w:rsid w:val="00C67796"/>
    <w:rsid w:val="00C6785B"/>
    <w:rsid w:val="00C679CE"/>
    <w:rsid w:val="00C67A06"/>
    <w:rsid w:val="00C67A80"/>
    <w:rsid w:val="00C67BC6"/>
    <w:rsid w:val="00C67E2C"/>
    <w:rsid w:val="00C67E4A"/>
    <w:rsid w:val="00C67E59"/>
    <w:rsid w:val="00C67F29"/>
    <w:rsid w:val="00C70072"/>
    <w:rsid w:val="00C7017D"/>
    <w:rsid w:val="00C7028A"/>
    <w:rsid w:val="00C702B1"/>
    <w:rsid w:val="00C705F4"/>
    <w:rsid w:val="00C70613"/>
    <w:rsid w:val="00C7078F"/>
    <w:rsid w:val="00C70A28"/>
    <w:rsid w:val="00C70AF0"/>
    <w:rsid w:val="00C70B91"/>
    <w:rsid w:val="00C710E6"/>
    <w:rsid w:val="00C71416"/>
    <w:rsid w:val="00C715A8"/>
    <w:rsid w:val="00C71943"/>
    <w:rsid w:val="00C71966"/>
    <w:rsid w:val="00C71A74"/>
    <w:rsid w:val="00C71DDA"/>
    <w:rsid w:val="00C72317"/>
    <w:rsid w:val="00C724AC"/>
    <w:rsid w:val="00C7285A"/>
    <w:rsid w:val="00C72AD6"/>
    <w:rsid w:val="00C731EB"/>
    <w:rsid w:val="00C732EB"/>
    <w:rsid w:val="00C73717"/>
    <w:rsid w:val="00C7374F"/>
    <w:rsid w:val="00C737AD"/>
    <w:rsid w:val="00C738F5"/>
    <w:rsid w:val="00C73AA7"/>
    <w:rsid w:val="00C73EDF"/>
    <w:rsid w:val="00C73F29"/>
    <w:rsid w:val="00C73F4F"/>
    <w:rsid w:val="00C73FA5"/>
    <w:rsid w:val="00C7401E"/>
    <w:rsid w:val="00C74156"/>
    <w:rsid w:val="00C742AB"/>
    <w:rsid w:val="00C74308"/>
    <w:rsid w:val="00C743D4"/>
    <w:rsid w:val="00C7455D"/>
    <w:rsid w:val="00C74799"/>
    <w:rsid w:val="00C748A5"/>
    <w:rsid w:val="00C74BD1"/>
    <w:rsid w:val="00C74C28"/>
    <w:rsid w:val="00C74E19"/>
    <w:rsid w:val="00C7502B"/>
    <w:rsid w:val="00C7513A"/>
    <w:rsid w:val="00C7514D"/>
    <w:rsid w:val="00C7542D"/>
    <w:rsid w:val="00C7544F"/>
    <w:rsid w:val="00C75584"/>
    <w:rsid w:val="00C755CA"/>
    <w:rsid w:val="00C75625"/>
    <w:rsid w:val="00C758D2"/>
    <w:rsid w:val="00C7596D"/>
    <w:rsid w:val="00C75AD1"/>
    <w:rsid w:val="00C75D68"/>
    <w:rsid w:val="00C76152"/>
    <w:rsid w:val="00C76194"/>
    <w:rsid w:val="00C7628D"/>
    <w:rsid w:val="00C762F3"/>
    <w:rsid w:val="00C76387"/>
    <w:rsid w:val="00C764AC"/>
    <w:rsid w:val="00C765D7"/>
    <w:rsid w:val="00C7685C"/>
    <w:rsid w:val="00C76885"/>
    <w:rsid w:val="00C768A3"/>
    <w:rsid w:val="00C76ADE"/>
    <w:rsid w:val="00C76DF8"/>
    <w:rsid w:val="00C76E79"/>
    <w:rsid w:val="00C77018"/>
    <w:rsid w:val="00C7703C"/>
    <w:rsid w:val="00C7710A"/>
    <w:rsid w:val="00C771CA"/>
    <w:rsid w:val="00C7735D"/>
    <w:rsid w:val="00C77422"/>
    <w:rsid w:val="00C7756B"/>
    <w:rsid w:val="00C77586"/>
    <w:rsid w:val="00C7761D"/>
    <w:rsid w:val="00C779F9"/>
    <w:rsid w:val="00C77A48"/>
    <w:rsid w:val="00C77A83"/>
    <w:rsid w:val="00C77B4C"/>
    <w:rsid w:val="00C77BAB"/>
    <w:rsid w:val="00C77EDF"/>
    <w:rsid w:val="00C77F0F"/>
    <w:rsid w:val="00C77F43"/>
    <w:rsid w:val="00C77F65"/>
    <w:rsid w:val="00C8029D"/>
    <w:rsid w:val="00C802F4"/>
    <w:rsid w:val="00C804C1"/>
    <w:rsid w:val="00C805F0"/>
    <w:rsid w:val="00C80615"/>
    <w:rsid w:val="00C8082C"/>
    <w:rsid w:val="00C80889"/>
    <w:rsid w:val="00C8127F"/>
    <w:rsid w:val="00C812F8"/>
    <w:rsid w:val="00C814F2"/>
    <w:rsid w:val="00C8153F"/>
    <w:rsid w:val="00C815F6"/>
    <w:rsid w:val="00C817B6"/>
    <w:rsid w:val="00C81830"/>
    <w:rsid w:val="00C81831"/>
    <w:rsid w:val="00C819D3"/>
    <w:rsid w:val="00C81BAA"/>
    <w:rsid w:val="00C81C01"/>
    <w:rsid w:val="00C81CAC"/>
    <w:rsid w:val="00C81CC4"/>
    <w:rsid w:val="00C81E24"/>
    <w:rsid w:val="00C81F7D"/>
    <w:rsid w:val="00C827B5"/>
    <w:rsid w:val="00C828FF"/>
    <w:rsid w:val="00C82BF8"/>
    <w:rsid w:val="00C82FA5"/>
    <w:rsid w:val="00C83168"/>
    <w:rsid w:val="00C832C9"/>
    <w:rsid w:val="00C8337F"/>
    <w:rsid w:val="00C833E9"/>
    <w:rsid w:val="00C8352E"/>
    <w:rsid w:val="00C83588"/>
    <w:rsid w:val="00C836BF"/>
    <w:rsid w:val="00C836F7"/>
    <w:rsid w:val="00C83829"/>
    <w:rsid w:val="00C83980"/>
    <w:rsid w:val="00C839B1"/>
    <w:rsid w:val="00C83B25"/>
    <w:rsid w:val="00C83C15"/>
    <w:rsid w:val="00C83C88"/>
    <w:rsid w:val="00C83EA4"/>
    <w:rsid w:val="00C83EF2"/>
    <w:rsid w:val="00C83F53"/>
    <w:rsid w:val="00C84237"/>
    <w:rsid w:val="00C8423D"/>
    <w:rsid w:val="00C8426B"/>
    <w:rsid w:val="00C84372"/>
    <w:rsid w:val="00C846D9"/>
    <w:rsid w:val="00C847C0"/>
    <w:rsid w:val="00C848EE"/>
    <w:rsid w:val="00C84AFC"/>
    <w:rsid w:val="00C84B2A"/>
    <w:rsid w:val="00C84B39"/>
    <w:rsid w:val="00C84D8B"/>
    <w:rsid w:val="00C84E9C"/>
    <w:rsid w:val="00C84EDD"/>
    <w:rsid w:val="00C84F37"/>
    <w:rsid w:val="00C84F65"/>
    <w:rsid w:val="00C8555C"/>
    <w:rsid w:val="00C85A37"/>
    <w:rsid w:val="00C85AD1"/>
    <w:rsid w:val="00C85B14"/>
    <w:rsid w:val="00C85C90"/>
    <w:rsid w:val="00C85D48"/>
    <w:rsid w:val="00C85D8B"/>
    <w:rsid w:val="00C85DC5"/>
    <w:rsid w:val="00C85DDD"/>
    <w:rsid w:val="00C85EAA"/>
    <w:rsid w:val="00C861C5"/>
    <w:rsid w:val="00C86269"/>
    <w:rsid w:val="00C8626B"/>
    <w:rsid w:val="00C86434"/>
    <w:rsid w:val="00C864F5"/>
    <w:rsid w:val="00C86656"/>
    <w:rsid w:val="00C8679C"/>
    <w:rsid w:val="00C8683B"/>
    <w:rsid w:val="00C86855"/>
    <w:rsid w:val="00C8686A"/>
    <w:rsid w:val="00C869C5"/>
    <w:rsid w:val="00C86B02"/>
    <w:rsid w:val="00C86B8A"/>
    <w:rsid w:val="00C86EB9"/>
    <w:rsid w:val="00C86F08"/>
    <w:rsid w:val="00C86F7D"/>
    <w:rsid w:val="00C87076"/>
    <w:rsid w:val="00C870B0"/>
    <w:rsid w:val="00C87135"/>
    <w:rsid w:val="00C87201"/>
    <w:rsid w:val="00C87277"/>
    <w:rsid w:val="00C87314"/>
    <w:rsid w:val="00C8737A"/>
    <w:rsid w:val="00C87521"/>
    <w:rsid w:val="00C876D3"/>
    <w:rsid w:val="00C8778E"/>
    <w:rsid w:val="00C87A15"/>
    <w:rsid w:val="00C87B89"/>
    <w:rsid w:val="00C87E2A"/>
    <w:rsid w:val="00C90014"/>
    <w:rsid w:val="00C9003A"/>
    <w:rsid w:val="00C90175"/>
    <w:rsid w:val="00C90195"/>
    <w:rsid w:val="00C905FC"/>
    <w:rsid w:val="00C9076A"/>
    <w:rsid w:val="00C90A62"/>
    <w:rsid w:val="00C90E53"/>
    <w:rsid w:val="00C911CF"/>
    <w:rsid w:val="00C91278"/>
    <w:rsid w:val="00C914F1"/>
    <w:rsid w:val="00C9175A"/>
    <w:rsid w:val="00C91782"/>
    <w:rsid w:val="00C9178E"/>
    <w:rsid w:val="00C91B51"/>
    <w:rsid w:val="00C91CA4"/>
    <w:rsid w:val="00C91F87"/>
    <w:rsid w:val="00C91FB2"/>
    <w:rsid w:val="00C92007"/>
    <w:rsid w:val="00C92021"/>
    <w:rsid w:val="00C9215D"/>
    <w:rsid w:val="00C92188"/>
    <w:rsid w:val="00C9240A"/>
    <w:rsid w:val="00C92735"/>
    <w:rsid w:val="00C92774"/>
    <w:rsid w:val="00C927E7"/>
    <w:rsid w:val="00C92AB9"/>
    <w:rsid w:val="00C93290"/>
    <w:rsid w:val="00C932D3"/>
    <w:rsid w:val="00C934A6"/>
    <w:rsid w:val="00C936F0"/>
    <w:rsid w:val="00C93727"/>
    <w:rsid w:val="00C9389A"/>
    <w:rsid w:val="00C93ADD"/>
    <w:rsid w:val="00C93BBB"/>
    <w:rsid w:val="00C93C52"/>
    <w:rsid w:val="00C93D5E"/>
    <w:rsid w:val="00C93E6D"/>
    <w:rsid w:val="00C93EB4"/>
    <w:rsid w:val="00C93ED6"/>
    <w:rsid w:val="00C93F80"/>
    <w:rsid w:val="00C9401B"/>
    <w:rsid w:val="00C941D0"/>
    <w:rsid w:val="00C94301"/>
    <w:rsid w:val="00C94335"/>
    <w:rsid w:val="00C94474"/>
    <w:rsid w:val="00C945D4"/>
    <w:rsid w:val="00C946D5"/>
    <w:rsid w:val="00C94857"/>
    <w:rsid w:val="00C94999"/>
    <w:rsid w:val="00C94D5E"/>
    <w:rsid w:val="00C94DAB"/>
    <w:rsid w:val="00C94E24"/>
    <w:rsid w:val="00C95027"/>
    <w:rsid w:val="00C9520D"/>
    <w:rsid w:val="00C954BC"/>
    <w:rsid w:val="00C954DF"/>
    <w:rsid w:val="00C95794"/>
    <w:rsid w:val="00C957F2"/>
    <w:rsid w:val="00C9582E"/>
    <w:rsid w:val="00C958B1"/>
    <w:rsid w:val="00C95C12"/>
    <w:rsid w:val="00C95C4C"/>
    <w:rsid w:val="00C95C5E"/>
    <w:rsid w:val="00C95DEF"/>
    <w:rsid w:val="00C95E4B"/>
    <w:rsid w:val="00C95E5F"/>
    <w:rsid w:val="00C95E62"/>
    <w:rsid w:val="00C95EE9"/>
    <w:rsid w:val="00C95F9D"/>
    <w:rsid w:val="00C9602E"/>
    <w:rsid w:val="00C96066"/>
    <w:rsid w:val="00C96135"/>
    <w:rsid w:val="00C96156"/>
    <w:rsid w:val="00C964D7"/>
    <w:rsid w:val="00C9656F"/>
    <w:rsid w:val="00C967E1"/>
    <w:rsid w:val="00C96901"/>
    <w:rsid w:val="00C96915"/>
    <w:rsid w:val="00C96B75"/>
    <w:rsid w:val="00C96D59"/>
    <w:rsid w:val="00C96EAE"/>
    <w:rsid w:val="00C96EF7"/>
    <w:rsid w:val="00C96F37"/>
    <w:rsid w:val="00C97120"/>
    <w:rsid w:val="00C97171"/>
    <w:rsid w:val="00C973B3"/>
    <w:rsid w:val="00C9755C"/>
    <w:rsid w:val="00C9775B"/>
    <w:rsid w:val="00C9786F"/>
    <w:rsid w:val="00C978D1"/>
    <w:rsid w:val="00C97995"/>
    <w:rsid w:val="00C97A35"/>
    <w:rsid w:val="00C97ACB"/>
    <w:rsid w:val="00C97AD6"/>
    <w:rsid w:val="00C97B3C"/>
    <w:rsid w:val="00C97D04"/>
    <w:rsid w:val="00C97DD4"/>
    <w:rsid w:val="00C97FE2"/>
    <w:rsid w:val="00CA0042"/>
    <w:rsid w:val="00CA03AA"/>
    <w:rsid w:val="00CA03FB"/>
    <w:rsid w:val="00CA0402"/>
    <w:rsid w:val="00CA0523"/>
    <w:rsid w:val="00CA0552"/>
    <w:rsid w:val="00CA06F5"/>
    <w:rsid w:val="00CA06FB"/>
    <w:rsid w:val="00CA091C"/>
    <w:rsid w:val="00CA0B81"/>
    <w:rsid w:val="00CA0DB7"/>
    <w:rsid w:val="00CA0EF0"/>
    <w:rsid w:val="00CA12AD"/>
    <w:rsid w:val="00CA12DD"/>
    <w:rsid w:val="00CA1320"/>
    <w:rsid w:val="00CA13F5"/>
    <w:rsid w:val="00CA142C"/>
    <w:rsid w:val="00CA16E2"/>
    <w:rsid w:val="00CA1801"/>
    <w:rsid w:val="00CA1820"/>
    <w:rsid w:val="00CA18BE"/>
    <w:rsid w:val="00CA1A19"/>
    <w:rsid w:val="00CA1B6B"/>
    <w:rsid w:val="00CA1D27"/>
    <w:rsid w:val="00CA1DE3"/>
    <w:rsid w:val="00CA20FD"/>
    <w:rsid w:val="00CA2170"/>
    <w:rsid w:val="00CA217C"/>
    <w:rsid w:val="00CA22DD"/>
    <w:rsid w:val="00CA25B5"/>
    <w:rsid w:val="00CA25E3"/>
    <w:rsid w:val="00CA2600"/>
    <w:rsid w:val="00CA264D"/>
    <w:rsid w:val="00CA283A"/>
    <w:rsid w:val="00CA2846"/>
    <w:rsid w:val="00CA2C4B"/>
    <w:rsid w:val="00CA2D9F"/>
    <w:rsid w:val="00CA2E65"/>
    <w:rsid w:val="00CA2E97"/>
    <w:rsid w:val="00CA3104"/>
    <w:rsid w:val="00CA314C"/>
    <w:rsid w:val="00CA327C"/>
    <w:rsid w:val="00CA37B3"/>
    <w:rsid w:val="00CA3917"/>
    <w:rsid w:val="00CA396A"/>
    <w:rsid w:val="00CA3ABA"/>
    <w:rsid w:val="00CA3C8C"/>
    <w:rsid w:val="00CA3F6D"/>
    <w:rsid w:val="00CA40B7"/>
    <w:rsid w:val="00CA40C3"/>
    <w:rsid w:val="00CA4167"/>
    <w:rsid w:val="00CA4424"/>
    <w:rsid w:val="00CA47BE"/>
    <w:rsid w:val="00CA49C2"/>
    <w:rsid w:val="00CA4D5C"/>
    <w:rsid w:val="00CA4F71"/>
    <w:rsid w:val="00CA4FD3"/>
    <w:rsid w:val="00CA5022"/>
    <w:rsid w:val="00CA5073"/>
    <w:rsid w:val="00CA5174"/>
    <w:rsid w:val="00CA5215"/>
    <w:rsid w:val="00CA5557"/>
    <w:rsid w:val="00CA555E"/>
    <w:rsid w:val="00CA55C2"/>
    <w:rsid w:val="00CA5825"/>
    <w:rsid w:val="00CA5C46"/>
    <w:rsid w:val="00CA5D1D"/>
    <w:rsid w:val="00CA5D6E"/>
    <w:rsid w:val="00CA5FE9"/>
    <w:rsid w:val="00CA60AD"/>
    <w:rsid w:val="00CA611A"/>
    <w:rsid w:val="00CA6188"/>
    <w:rsid w:val="00CA61B3"/>
    <w:rsid w:val="00CA6237"/>
    <w:rsid w:val="00CA632D"/>
    <w:rsid w:val="00CA637C"/>
    <w:rsid w:val="00CA63BE"/>
    <w:rsid w:val="00CA644F"/>
    <w:rsid w:val="00CA64AF"/>
    <w:rsid w:val="00CA66FC"/>
    <w:rsid w:val="00CA6A87"/>
    <w:rsid w:val="00CA6BFE"/>
    <w:rsid w:val="00CA6C70"/>
    <w:rsid w:val="00CA6CD0"/>
    <w:rsid w:val="00CA6D20"/>
    <w:rsid w:val="00CA6E7E"/>
    <w:rsid w:val="00CA6FE9"/>
    <w:rsid w:val="00CA70B5"/>
    <w:rsid w:val="00CA70D7"/>
    <w:rsid w:val="00CA7138"/>
    <w:rsid w:val="00CA72B3"/>
    <w:rsid w:val="00CA72B5"/>
    <w:rsid w:val="00CA72CC"/>
    <w:rsid w:val="00CA7479"/>
    <w:rsid w:val="00CA77D7"/>
    <w:rsid w:val="00CA79D6"/>
    <w:rsid w:val="00CA7C5E"/>
    <w:rsid w:val="00CB002F"/>
    <w:rsid w:val="00CB00FC"/>
    <w:rsid w:val="00CB01CE"/>
    <w:rsid w:val="00CB01D7"/>
    <w:rsid w:val="00CB037F"/>
    <w:rsid w:val="00CB0481"/>
    <w:rsid w:val="00CB0767"/>
    <w:rsid w:val="00CB08E8"/>
    <w:rsid w:val="00CB0D34"/>
    <w:rsid w:val="00CB0D52"/>
    <w:rsid w:val="00CB0E5C"/>
    <w:rsid w:val="00CB0E61"/>
    <w:rsid w:val="00CB0F5F"/>
    <w:rsid w:val="00CB10D9"/>
    <w:rsid w:val="00CB11C0"/>
    <w:rsid w:val="00CB1337"/>
    <w:rsid w:val="00CB157B"/>
    <w:rsid w:val="00CB1605"/>
    <w:rsid w:val="00CB16C1"/>
    <w:rsid w:val="00CB1880"/>
    <w:rsid w:val="00CB1A0B"/>
    <w:rsid w:val="00CB1A1B"/>
    <w:rsid w:val="00CB1C1D"/>
    <w:rsid w:val="00CB1D52"/>
    <w:rsid w:val="00CB1EB1"/>
    <w:rsid w:val="00CB1F6F"/>
    <w:rsid w:val="00CB2046"/>
    <w:rsid w:val="00CB22B3"/>
    <w:rsid w:val="00CB22D7"/>
    <w:rsid w:val="00CB2385"/>
    <w:rsid w:val="00CB2434"/>
    <w:rsid w:val="00CB2489"/>
    <w:rsid w:val="00CB251E"/>
    <w:rsid w:val="00CB2531"/>
    <w:rsid w:val="00CB2557"/>
    <w:rsid w:val="00CB2656"/>
    <w:rsid w:val="00CB265A"/>
    <w:rsid w:val="00CB2710"/>
    <w:rsid w:val="00CB27AD"/>
    <w:rsid w:val="00CB2859"/>
    <w:rsid w:val="00CB2923"/>
    <w:rsid w:val="00CB2940"/>
    <w:rsid w:val="00CB2978"/>
    <w:rsid w:val="00CB2B06"/>
    <w:rsid w:val="00CB2B96"/>
    <w:rsid w:val="00CB2BA9"/>
    <w:rsid w:val="00CB2CDD"/>
    <w:rsid w:val="00CB2D76"/>
    <w:rsid w:val="00CB2EB6"/>
    <w:rsid w:val="00CB2EDF"/>
    <w:rsid w:val="00CB31F5"/>
    <w:rsid w:val="00CB3498"/>
    <w:rsid w:val="00CB3578"/>
    <w:rsid w:val="00CB35E9"/>
    <w:rsid w:val="00CB366C"/>
    <w:rsid w:val="00CB3695"/>
    <w:rsid w:val="00CB379F"/>
    <w:rsid w:val="00CB37E6"/>
    <w:rsid w:val="00CB380D"/>
    <w:rsid w:val="00CB389D"/>
    <w:rsid w:val="00CB39BF"/>
    <w:rsid w:val="00CB3A8F"/>
    <w:rsid w:val="00CB3B04"/>
    <w:rsid w:val="00CB3F0D"/>
    <w:rsid w:val="00CB3FDF"/>
    <w:rsid w:val="00CB4079"/>
    <w:rsid w:val="00CB412E"/>
    <w:rsid w:val="00CB41E3"/>
    <w:rsid w:val="00CB44BD"/>
    <w:rsid w:val="00CB455D"/>
    <w:rsid w:val="00CB4652"/>
    <w:rsid w:val="00CB482C"/>
    <w:rsid w:val="00CB48D6"/>
    <w:rsid w:val="00CB48FD"/>
    <w:rsid w:val="00CB49E3"/>
    <w:rsid w:val="00CB4D6E"/>
    <w:rsid w:val="00CB4D7E"/>
    <w:rsid w:val="00CB513C"/>
    <w:rsid w:val="00CB5231"/>
    <w:rsid w:val="00CB526C"/>
    <w:rsid w:val="00CB54C0"/>
    <w:rsid w:val="00CB556E"/>
    <w:rsid w:val="00CB55D6"/>
    <w:rsid w:val="00CB5607"/>
    <w:rsid w:val="00CB56C2"/>
    <w:rsid w:val="00CB5841"/>
    <w:rsid w:val="00CB585F"/>
    <w:rsid w:val="00CB58EF"/>
    <w:rsid w:val="00CB5BD2"/>
    <w:rsid w:val="00CB5C19"/>
    <w:rsid w:val="00CB5C22"/>
    <w:rsid w:val="00CB5C6E"/>
    <w:rsid w:val="00CB632F"/>
    <w:rsid w:val="00CB63F4"/>
    <w:rsid w:val="00CB67D2"/>
    <w:rsid w:val="00CB68D1"/>
    <w:rsid w:val="00CB69AF"/>
    <w:rsid w:val="00CB6BFD"/>
    <w:rsid w:val="00CB6DD6"/>
    <w:rsid w:val="00CB6F08"/>
    <w:rsid w:val="00CB6FC7"/>
    <w:rsid w:val="00CB7478"/>
    <w:rsid w:val="00CB77D3"/>
    <w:rsid w:val="00CB7AFB"/>
    <w:rsid w:val="00CB7B6A"/>
    <w:rsid w:val="00CB7C25"/>
    <w:rsid w:val="00CB7DC8"/>
    <w:rsid w:val="00CB7FF9"/>
    <w:rsid w:val="00CC026C"/>
    <w:rsid w:val="00CC03AF"/>
    <w:rsid w:val="00CC07D6"/>
    <w:rsid w:val="00CC0870"/>
    <w:rsid w:val="00CC094A"/>
    <w:rsid w:val="00CC09A5"/>
    <w:rsid w:val="00CC0A09"/>
    <w:rsid w:val="00CC0A34"/>
    <w:rsid w:val="00CC0A67"/>
    <w:rsid w:val="00CC0A6E"/>
    <w:rsid w:val="00CC0B5A"/>
    <w:rsid w:val="00CC0C0C"/>
    <w:rsid w:val="00CC0C3D"/>
    <w:rsid w:val="00CC0F34"/>
    <w:rsid w:val="00CC1044"/>
    <w:rsid w:val="00CC10B9"/>
    <w:rsid w:val="00CC10FA"/>
    <w:rsid w:val="00CC1107"/>
    <w:rsid w:val="00CC119C"/>
    <w:rsid w:val="00CC1243"/>
    <w:rsid w:val="00CC12DF"/>
    <w:rsid w:val="00CC13CA"/>
    <w:rsid w:val="00CC1440"/>
    <w:rsid w:val="00CC144D"/>
    <w:rsid w:val="00CC1451"/>
    <w:rsid w:val="00CC14BF"/>
    <w:rsid w:val="00CC155D"/>
    <w:rsid w:val="00CC1776"/>
    <w:rsid w:val="00CC1A82"/>
    <w:rsid w:val="00CC1C28"/>
    <w:rsid w:val="00CC1C52"/>
    <w:rsid w:val="00CC20D8"/>
    <w:rsid w:val="00CC2143"/>
    <w:rsid w:val="00CC2206"/>
    <w:rsid w:val="00CC23BC"/>
    <w:rsid w:val="00CC2750"/>
    <w:rsid w:val="00CC290B"/>
    <w:rsid w:val="00CC29EE"/>
    <w:rsid w:val="00CC2A8D"/>
    <w:rsid w:val="00CC2EEC"/>
    <w:rsid w:val="00CC31AA"/>
    <w:rsid w:val="00CC31E0"/>
    <w:rsid w:val="00CC327F"/>
    <w:rsid w:val="00CC3472"/>
    <w:rsid w:val="00CC3499"/>
    <w:rsid w:val="00CC34C5"/>
    <w:rsid w:val="00CC36B4"/>
    <w:rsid w:val="00CC3A43"/>
    <w:rsid w:val="00CC3B43"/>
    <w:rsid w:val="00CC3BCA"/>
    <w:rsid w:val="00CC3D64"/>
    <w:rsid w:val="00CC3DFB"/>
    <w:rsid w:val="00CC4344"/>
    <w:rsid w:val="00CC4479"/>
    <w:rsid w:val="00CC4596"/>
    <w:rsid w:val="00CC46AD"/>
    <w:rsid w:val="00CC497A"/>
    <w:rsid w:val="00CC4C1E"/>
    <w:rsid w:val="00CC4C56"/>
    <w:rsid w:val="00CC4EB4"/>
    <w:rsid w:val="00CC502F"/>
    <w:rsid w:val="00CC50E2"/>
    <w:rsid w:val="00CC52CB"/>
    <w:rsid w:val="00CC5362"/>
    <w:rsid w:val="00CC540D"/>
    <w:rsid w:val="00CC546A"/>
    <w:rsid w:val="00CC54C4"/>
    <w:rsid w:val="00CC5584"/>
    <w:rsid w:val="00CC574F"/>
    <w:rsid w:val="00CC57ED"/>
    <w:rsid w:val="00CC5B65"/>
    <w:rsid w:val="00CC5D3E"/>
    <w:rsid w:val="00CC5D6C"/>
    <w:rsid w:val="00CC5E50"/>
    <w:rsid w:val="00CC6003"/>
    <w:rsid w:val="00CC6060"/>
    <w:rsid w:val="00CC6190"/>
    <w:rsid w:val="00CC6230"/>
    <w:rsid w:val="00CC6244"/>
    <w:rsid w:val="00CC65B4"/>
    <w:rsid w:val="00CC65B7"/>
    <w:rsid w:val="00CC6684"/>
    <w:rsid w:val="00CC6723"/>
    <w:rsid w:val="00CC6979"/>
    <w:rsid w:val="00CC697B"/>
    <w:rsid w:val="00CC6AAF"/>
    <w:rsid w:val="00CC6B1C"/>
    <w:rsid w:val="00CC6BB3"/>
    <w:rsid w:val="00CC6BDE"/>
    <w:rsid w:val="00CC6CB8"/>
    <w:rsid w:val="00CC6CFD"/>
    <w:rsid w:val="00CC6E77"/>
    <w:rsid w:val="00CC6F77"/>
    <w:rsid w:val="00CC719F"/>
    <w:rsid w:val="00CC720D"/>
    <w:rsid w:val="00CC77AD"/>
    <w:rsid w:val="00CC77FD"/>
    <w:rsid w:val="00CC784E"/>
    <w:rsid w:val="00CC78D7"/>
    <w:rsid w:val="00CC79E7"/>
    <w:rsid w:val="00CC7C9C"/>
    <w:rsid w:val="00CC7DFD"/>
    <w:rsid w:val="00CC7E7E"/>
    <w:rsid w:val="00CC7ECD"/>
    <w:rsid w:val="00CC7F37"/>
    <w:rsid w:val="00CD0072"/>
    <w:rsid w:val="00CD021C"/>
    <w:rsid w:val="00CD0543"/>
    <w:rsid w:val="00CD055C"/>
    <w:rsid w:val="00CD0567"/>
    <w:rsid w:val="00CD061F"/>
    <w:rsid w:val="00CD0774"/>
    <w:rsid w:val="00CD0941"/>
    <w:rsid w:val="00CD0A9A"/>
    <w:rsid w:val="00CD0BD8"/>
    <w:rsid w:val="00CD0DBE"/>
    <w:rsid w:val="00CD119E"/>
    <w:rsid w:val="00CD11B5"/>
    <w:rsid w:val="00CD11F9"/>
    <w:rsid w:val="00CD1818"/>
    <w:rsid w:val="00CD1B63"/>
    <w:rsid w:val="00CD1BF4"/>
    <w:rsid w:val="00CD1C1A"/>
    <w:rsid w:val="00CD1EB5"/>
    <w:rsid w:val="00CD2100"/>
    <w:rsid w:val="00CD216D"/>
    <w:rsid w:val="00CD2360"/>
    <w:rsid w:val="00CD243C"/>
    <w:rsid w:val="00CD2472"/>
    <w:rsid w:val="00CD24A3"/>
    <w:rsid w:val="00CD25F0"/>
    <w:rsid w:val="00CD26A2"/>
    <w:rsid w:val="00CD270B"/>
    <w:rsid w:val="00CD2753"/>
    <w:rsid w:val="00CD27F7"/>
    <w:rsid w:val="00CD2910"/>
    <w:rsid w:val="00CD2A03"/>
    <w:rsid w:val="00CD2A9E"/>
    <w:rsid w:val="00CD2C34"/>
    <w:rsid w:val="00CD2C3F"/>
    <w:rsid w:val="00CD2E0B"/>
    <w:rsid w:val="00CD303A"/>
    <w:rsid w:val="00CD320A"/>
    <w:rsid w:val="00CD32DD"/>
    <w:rsid w:val="00CD33E9"/>
    <w:rsid w:val="00CD34A1"/>
    <w:rsid w:val="00CD3553"/>
    <w:rsid w:val="00CD3627"/>
    <w:rsid w:val="00CD3644"/>
    <w:rsid w:val="00CD3870"/>
    <w:rsid w:val="00CD38BF"/>
    <w:rsid w:val="00CD3925"/>
    <w:rsid w:val="00CD39C4"/>
    <w:rsid w:val="00CD3A0C"/>
    <w:rsid w:val="00CD3BF4"/>
    <w:rsid w:val="00CD3EC3"/>
    <w:rsid w:val="00CD3FEF"/>
    <w:rsid w:val="00CD408C"/>
    <w:rsid w:val="00CD430F"/>
    <w:rsid w:val="00CD49F1"/>
    <w:rsid w:val="00CD49F7"/>
    <w:rsid w:val="00CD4A23"/>
    <w:rsid w:val="00CD4B19"/>
    <w:rsid w:val="00CD4C98"/>
    <w:rsid w:val="00CD4CFA"/>
    <w:rsid w:val="00CD4F90"/>
    <w:rsid w:val="00CD5196"/>
    <w:rsid w:val="00CD529E"/>
    <w:rsid w:val="00CD52A0"/>
    <w:rsid w:val="00CD55EC"/>
    <w:rsid w:val="00CD57C3"/>
    <w:rsid w:val="00CD58DA"/>
    <w:rsid w:val="00CD5B70"/>
    <w:rsid w:val="00CD5D75"/>
    <w:rsid w:val="00CD5EB7"/>
    <w:rsid w:val="00CD6057"/>
    <w:rsid w:val="00CD6074"/>
    <w:rsid w:val="00CD6252"/>
    <w:rsid w:val="00CD62B8"/>
    <w:rsid w:val="00CD62EF"/>
    <w:rsid w:val="00CD6310"/>
    <w:rsid w:val="00CD63CD"/>
    <w:rsid w:val="00CD6474"/>
    <w:rsid w:val="00CD65BF"/>
    <w:rsid w:val="00CD65CE"/>
    <w:rsid w:val="00CD665D"/>
    <w:rsid w:val="00CD66B5"/>
    <w:rsid w:val="00CD673D"/>
    <w:rsid w:val="00CD67AE"/>
    <w:rsid w:val="00CD682A"/>
    <w:rsid w:val="00CD6865"/>
    <w:rsid w:val="00CD68F1"/>
    <w:rsid w:val="00CD6C48"/>
    <w:rsid w:val="00CD6CA0"/>
    <w:rsid w:val="00CD6D8D"/>
    <w:rsid w:val="00CD6DA3"/>
    <w:rsid w:val="00CD71A6"/>
    <w:rsid w:val="00CD7295"/>
    <w:rsid w:val="00CD7347"/>
    <w:rsid w:val="00CD745A"/>
    <w:rsid w:val="00CD7538"/>
    <w:rsid w:val="00CD767B"/>
    <w:rsid w:val="00CD794C"/>
    <w:rsid w:val="00CD7A79"/>
    <w:rsid w:val="00CD7D2A"/>
    <w:rsid w:val="00CD7E34"/>
    <w:rsid w:val="00CD7E4B"/>
    <w:rsid w:val="00CD7EFC"/>
    <w:rsid w:val="00CD7F50"/>
    <w:rsid w:val="00CE009E"/>
    <w:rsid w:val="00CE0103"/>
    <w:rsid w:val="00CE013C"/>
    <w:rsid w:val="00CE022B"/>
    <w:rsid w:val="00CE0357"/>
    <w:rsid w:val="00CE035C"/>
    <w:rsid w:val="00CE0467"/>
    <w:rsid w:val="00CE0598"/>
    <w:rsid w:val="00CE0654"/>
    <w:rsid w:val="00CE06DC"/>
    <w:rsid w:val="00CE0856"/>
    <w:rsid w:val="00CE0862"/>
    <w:rsid w:val="00CE0891"/>
    <w:rsid w:val="00CE08BB"/>
    <w:rsid w:val="00CE0952"/>
    <w:rsid w:val="00CE0AB2"/>
    <w:rsid w:val="00CE0B26"/>
    <w:rsid w:val="00CE0C23"/>
    <w:rsid w:val="00CE0C31"/>
    <w:rsid w:val="00CE0E24"/>
    <w:rsid w:val="00CE0E26"/>
    <w:rsid w:val="00CE0E41"/>
    <w:rsid w:val="00CE0FCE"/>
    <w:rsid w:val="00CE0FDF"/>
    <w:rsid w:val="00CE1178"/>
    <w:rsid w:val="00CE121F"/>
    <w:rsid w:val="00CE12BC"/>
    <w:rsid w:val="00CE12C4"/>
    <w:rsid w:val="00CE1551"/>
    <w:rsid w:val="00CE16BE"/>
    <w:rsid w:val="00CE17C8"/>
    <w:rsid w:val="00CE17E2"/>
    <w:rsid w:val="00CE1A8A"/>
    <w:rsid w:val="00CE1B68"/>
    <w:rsid w:val="00CE1CC9"/>
    <w:rsid w:val="00CE1E78"/>
    <w:rsid w:val="00CE1F1E"/>
    <w:rsid w:val="00CE2011"/>
    <w:rsid w:val="00CE20E2"/>
    <w:rsid w:val="00CE2305"/>
    <w:rsid w:val="00CE230F"/>
    <w:rsid w:val="00CE246B"/>
    <w:rsid w:val="00CE27F7"/>
    <w:rsid w:val="00CE2923"/>
    <w:rsid w:val="00CE296A"/>
    <w:rsid w:val="00CE29A0"/>
    <w:rsid w:val="00CE2A68"/>
    <w:rsid w:val="00CE2AF3"/>
    <w:rsid w:val="00CE2B92"/>
    <w:rsid w:val="00CE2D2B"/>
    <w:rsid w:val="00CE309C"/>
    <w:rsid w:val="00CE32E1"/>
    <w:rsid w:val="00CE33FD"/>
    <w:rsid w:val="00CE34BB"/>
    <w:rsid w:val="00CE34FB"/>
    <w:rsid w:val="00CE370F"/>
    <w:rsid w:val="00CE3A08"/>
    <w:rsid w:val="00CE3CD5"/>
    <w:rsid w:val="00CE3CE4"/>
    <w:rsid w:val="00CE3E33"/>
    <w:rsid w:val="00CE3E8D"/>
    <w:rsid w:val="00CE3EAF"/>
    <w:rsid w:val="00CE3F8D"/>
    <w:rsid w:val="00CE3FB7"/>
    <w:rsid w:val="00CE403B"/>
    <w:rsid w:val="00CE42AF"/>
    <w:rsid w:val="00CE4380"/>
    <w:rsid w:val="00CE43D8"/>
    <w:rsid w:val="00CE444D"/>
    <w:rsid w:val="00CE44D4"/>
    <w:rsid w:val="00CE4702"/>
    <w:rsid w:val="00CE47CF"/>
    <w:rsid w:val="00CE48E0"/>
    <w:rsid w:val="00CE4BDC"/>
    <w:rsid w:val="00CE4E37"/>
    <w:rsid w:val="00CE4F31"/>
    <w:rsid w:val="00CE5020"/>
    <w:rsid w:val="00CE50DB"/>
    <w:rsid w:val="00CE52EA"/>
    <w:rsid w:val="00CE5428"/>
    <w:rsid w:val="00CE54C2"/>
    <w:rsid w:val="00CE5503"/>
    <w:rsid w:val="00CE55AC"/>
    <w:rsid w:val="00CE5896"/>
    <w:rsid w:val="00CE5908"/>
    <w:rsid w:val="00CE5CA3"/>
    <w:rsid w:val="00CE5D20"/>
    <w:rsid w:val="00CE5DDF"/>
    <w:rsid w:val="00CE5E4D"/>
    <w:rsid w:val="00CE5EA7"/>
    <w:rsid w:val="00CE6161"/>
    <w:rsid w:val="00CE6241"/>
    <w:rsid w:val="00CE62A4"/>
    <w:rsid w:val="00CE65B6"/>
    <w:rsid w:val="00CE66DE"/>
    <w:rsid w:val="00CE676A"/>
    <w:rsid w:val="00CE67A1"/>
    <w:rsid w:val="00CE68C9"/>
    <w:rsid w:val="00CE691F"/>
    <w:rsid w:val="00CE6921"/>
    <w:rsid w:val="00CE6A44"/>
    <w:rsid w:val="00CE6A64"/>
    <w:rsid w:val="00CE6A8A"/>
    <w:rsid w:val="00CE6B29"/>
    <w:rsid w:val="00CE6BE7"/>
    <w:rsid w:val="00CE6C1D"/>
    <w:rsid w:val="00CE6CC2"/>
    <w:rsid w:val="00CE6D36"/>
    <w:rsid w:val="00CE6EF7"/>
    <w:rsid w:val="00CE6F80"/>
    <w:rsid w:val="00CE70A6"/>
    <w:rsid w:val="00CE70E9"/>
    <w:rsid w:val="00CE7175"/>
    <w:rsid w:val="00CE71E6"/>
    <w:rsid w:val="00CE72B5"/>
    <w:rsid w:val="00CE73F6"/>
    <w:rsid w:val="00CE74E5"/>
    <w:rsid w:val="00CE74F5"/>
    <w:rsid w:val="00CE768F"/>
    <w:rsid w:val="00CE7A7C"/>
    <w:rsid w:val="00CE7B66"/>
    <w:rsid w:val="00CE7F58"/>
    <w:rsid w:val="00CF053E"/>
    <w:rsid w:val="00CF0581"/>
    <w:rsid w:val="00CF08C6"/>
    <w:rsid w:val="00CF09A0"/>
    <w:rsid w:val="00CF0A03"/>
    <w:rsid w:val="00CF0B91"/>
    <w:rsid w:val="00CF0F8D"/>
    <w:rsid w:val="00CF1024"/>
    <w:rsid w:val="00CF10FF"/>
    <w:rsid w:val="00CF1188"/>
    <w:rsid w:val="00CF12EF"/>
    <w:rsid w:val="00CF1435"/>
    <w:rsid w:val="00CF1488"/>
    <w:rsid w:val="00CF14E4"/>
    <w:rsid w:val="00CF1933"/>
    <w:rsid w:val="00CF19DD"/>
    <w:rsid w:val="00CF1D2E"/>
    <w:rsid w:val="00CF1DA6"/>
    <w:rsid w:val="00CF1EC1"/>
    <w:rsid w:val="00CF1F15"/>
    <w:rsid w:val="00CF1F2E"/>
    <w:rsid w:val="00CF1FCC"/>
    <w:rsid w:val="00CF1FDC"/>
    <w:rsid w:val="00CF201F"/>
    <w:rsid w:val="00CF202B"/>
    <w:rsid w:val="00CF20A4"/>
    <w:rsid w:val="00CF23BD"/>
    <w:rsid w:val="00CF2414"/>
    <w:rsid w:val="00CF26DF"/>
    <w:rsid w:val="00CF2759"/>
    <w:rsid w:val="00CF28D4"/>
    <w:rsid w:val="00CF29A8"/>
    <w:rsid w:val="00CF2A6B"/>
    <w:rsid w:val="00CF2C12"/>
    <w:rsid w:val="00CF2C1A"/>
    <w:rsid w:val="00CF2C85"/>
    <w:rsid w:val="00CF2CAE"/>
    <w:rsid w:val="00CF2E09"/>
    <w:rsid w:val="00CF2F3A"/>
    <w:rsid w:val="00CF2FAD"/>
    <w:rsid w:val="00CF30B6"/>
    <w:rsid w:val="00CF3691"/>
    <w:rsid w:val="00CF3800"/>
    <w:rsid w:val="00CF3899"/>
    <w:rsid w:val="00CF3A53"/>
    <w:rsid w:val="00CF3B7C"/>
    <w:rsid w:val="00CF3CFC"/>
    <w:rsid w:val="00CF3D08"/>
    <w:rsid w:val="00CF3F0D"/>
    <w:rsid w:val="00CF4094"/>
    <w:rsid w:val="00CF40BE"/>
    <w:rsid w:val="00CF4102"/>
    <w:rsid w:val="00CF41F0"/>
    <w:rsid w:val="00CF453B"/>
    <w:rsid w:val="00CF4644"/>
    <w:rsid w:val="00CF477F"/>
    <w:rsid w:val="00CF48EC"/>
    <w:rsid w:val="00CF48ED"/>
    <w:rsid w:val="00CF491A"/>
    <w:rsid w:val="00CF493B"/>
    <w:rsid w:val="00CF4940"/>
    <w:rsid w:val="00CF4A3D"/>
    <w:rsid w:val="00CF4A62"/>
    <w:rsid w:val="00CF4B46"/>
    <w:rsid w:val="00CF4C3E"/>
    <w:rsid w:val="00CF4DDE"/>
    <w:rsid w:val="00CF5068"/>
    <w:rsid w:val="00CF5142"/>
    <w:rsid w:val="00CF514B"/>
    <w:rsid w:val="00CF52D2"/>
    <w:rsid w:val="00CF54FD"/>
    <w:rsid w:val="00CF550A"/>
    <w:rsid w:val="00CF565D"/>
    <w:rsid w:val="00CF5666"/>
    <w:rsid w:val="00CF56D2"/>
    <w:rsid w:val="00CF59A9"/>
    <w:rsid w:val="00CF5A95"/>
    <w:rsid w:val="00CF5C90"/>
    <w:rsid w:val="00CF6034"/>
    <w:rsid w:val="00CF6324"/>
    <w:rsid w:val="00CF65C2"/>
    <w:rsid w:val="00CF681F"/>
    <w:rsid w:val="00CF6B7B"/>
    <w:rsid w:val="00CF6C75"/>
    <w:rsid w:val="00CF6CC5"/>
    <w:rsid w:val="00CF6CD2"/>
    <w:rsid w:val="00CF6DCC"/>
    <w:rsid w:val="00CF6F07"/>
    <w:rsid w:val="00CF7156"/>
    <w:rsid w:val="00CF725B"/>
    <w:rsid w:val="00CF7372"/>
    <w:rsid w:val="00CF75C6"/>
    <w:rsid w:val="00CF76DC"/>
    <w:rsid w:val="00CF7A14"/>
    <w:rsid w:val="00CF7A40"/>
    <w:rsid w:val="00CF7CA4"/>
    <w:rsid w:val="00CF7F00"/>
    <w:rsid w:val="00D00009"/>
    <w:rsid w:val="00D0047D"/>
    <w:rsid w:val="00D0050B"/>
    <w:rsid w:val="00D0057A"/>
    <w:rsid w:val="00D006EE"/>
    <w:rsid w:val="00D00724"/>
    <w:rsid w:val="00D00912"/>
    <w:rsid w:val="00D00B91"/>
    <w:rsid w:val="00D00BBA"/>
    <w:rsid w:val="00D00E68"/>
    <w:rsid w:val="00D00FD3"/>
    <w:rsid w:val="00D0100B"/>
    <w:rsid w:val="00D0109E"/>
    <w:rsid w:val="00D011D8"/>
    <w:rsid w:val="00D0134B"/>
    <w:rsid w:val="00D0139B"/>
    <w:rsid w:val="00D014D7"/>
    <w:rsid w:val="00D0150B"/>
    <w:rsid w:val="00D015FC"/>
    <w:rsid w:val="00D01753"/>
    <w:rsid w:val="00D019EE"/>
    <w:rsid w:val="00D01A02"/>
    <w:rsid w:val="00D01A83"/>
    <w:rsid w:val="00D01B3A"/>
    <w:rsid w:val="00D01BCD"/>
    <w:rsid w:val="00D01C86"/>
    <w:rsid w:val="00D01CB7"/>
    <w:rsid w:val="00D02031"/>
    <w:rsid w:val="00D02057"/>
    <w:rsid w:val="00D02380"/>
    <w:rsid w:val="00D0248D"/>
    <w:rsid w:val="00D0250F"/>
    <w:rsid w:val="00D02654"/>
    <w:rsid w:val="00D028A3"/>
    <w:rsid w:val="00D028B6"/>
    <w:rsid w:val="00D02B3B"/>
    <w:rsid w:val="00D02CB7"/>
    <w:rsid w:val="00D02EAC"/>
    <w:rsid w:val="00D02ECE"/>
    <w:rsid w:val="00D0303E"/>
    <w:rsid w:val="00D0307D"/>
    <w:rsid w:val="00D0329A"/>
    <w:rsid w:val="00D03450"/>
    <w:rsid w:val="00D03548"/>
    <w:rsid w:val="00D03915"/>
    <w:rsid w:val="00D0391A"/>
    <w:rsid w:val="00D0393A"/>
    <w:rsid w:val="00D03AEB"/>
    <w:rsid w:val="00D03BA6"/>
    <w:rsid w:val="00D03CD0"/>
    <w:rsid w:val="00D03E7B"/>
    <w:rsid w:val="00D03ED0"/>
    <w:rsid w:val="00D03F62"/>
    <w:rsid w:val="00D03FE1"/>
    <w:rsid w:val="00D0410C"/>
    <w:rsid w:val="00D041B2"/>
    <w:rsid w:val="00D04267"/>
    <w:rsid w:val="00D04505"/>
    <w:rsid w:val="00D0459D"/>
    <w:rsid w:val="00D0460A"/>
    <w:rsid w:val="00D0477F"/>
    <w:rsid w:val="00D047DA"/>
    <w:rsid w:val="00D048CF"/>
    <w:rsid w:val="00D049D8"/>
    <w:rsid w:val="00D049E8"/>
    <w:rsid w:val="00D04A3A"/>
    <w:rsid w:val="00D04ACF"/>
    <w:rsid w:val="00D04C59"/>
    <w:rsid w:val="00D04C64"/>
    <w:rsid w:val="00D04C76"/>
    <w:rsid w:val="00D0500E"/>
    <w:rsid w:val="00D055D2"/>
    <w:rsid w:val="00D057C9"/>
    <w:rsid w:val="00D059AC"/>
    <w:rsid w:val="00D05A7C"/>
    <w:rsid w:val="00D05AC6"/>
    <w:rsid w:val="00D05AD3"/>
    <w:rsid w:val="00D05AF1"/>
    <w:rsid w:val="00D05BF1"/>
    <w:rsid w:val="00D05D9F"/>
    <w:rsid w:val="00D05F9E"/>
    <w:rsid w:val="00D05FE7"/>
    <w:rsid w:val="00D06003"/>
    <w:rsid w:val="00D06068"/>
    <w:rsid w:val="00D060C6"/>
    <w:rsid w:val="00D0618F"/>
    <w:rsid w:val="00D063B5"/>
    <w:rsid w:val="00D063D3"/>
    <w:rsid w:val="00D0645F"/>
    <w:rsid w:val="00D064B9"/>
    <w:rsid w:val="00D064F1"/>
    <w:rsid w:val="00D065C6"/>
    <w:rsid w:val="00D0668E"/>
    <w:rsid w:val="00D06695"/>
    <w:rsid w:val="00D067AF"/>
    <w:rsid w:val="00D06901"/>
    <w:rsid w:val="00D069B6"/>
    <w:rsid w:val="00D06A52"/>
    <w:rsid w:val="00D06B9C"/>
    <w:rsid w:val="00D06C64"/>
    <w:rsid w:val="00D06D9D"/>
    <w:rsid w:val="00D06F28"/>
    <w:rsid w:val="00D06F5B"/>
    <w:rsid w:val="00D07073"/>
    <w:rsid w:val="00D070FF"/>
    <w:rsid w:val="00D0717E"/>
    <w:rsid w:val="00D071B4"/>
    <w:rsid w:val="00D07492"/>
    <w:rsid w:val="00D074A6"/>
    <w:rsid w:val="00D074B1"/>
    <w:rsid w:val="00D074D6"/>
    <w:rsid w:val="00D07917"/>
    <w:rsid w:val="00D07D2B"/>
    <w:rsid w:val="00D10018"/>
    <w:rsid w:val="00D102B6"/>
    <w:rsid w:val="00D102F7"/>
    <w:rsid w:val="00D106FE"/>
    <w:rsid w:val="00D107B2"/>
    <w:rsid w:val="00D107FF"/>
    <w:rsid w:val="00D10825"/>
    <w:rsid w:val="00D10853"/>
    <w:rsid w:val="00D1093D"/>
    <w:rsid w:val="00D10A58"/>
    <w:rsid w:val="00D10A7A"/>
    <w:rsid w:val="00D10F52"/>
    <w:rsid w:val="00D10FA9"/>
    <w:rsid w:val="00D10FE3"/>
    <w:rsid w:val="00D11017"/>
    <w:rsid w:val="00D11216"/>
    <w:rsid w:val="00D11297"/>
    <w:rsid w:val="00D116F5"/>
    <w:rsid w:val="00D11733"/>
    <w:rsid w:val="00D11925"/>
    <w:rsid w:val="00D11956"/>
    <w:rsid w:val="00D119A9"/>
    <w:rsid w:val="00D11A5A"/>
    <w:rsid w:val="00D11BF0"/>
    <w:rsid w:val="00D11D6E"/>
    <w:rsid w:val="00D11DAA"/>
    <w:rsid w:val="00D11F41"/>
    <w:rsid w:val="00D1229C"/>
    <w:rsid w:val="00D12367"/>
    <w:rsid w:val="00D12469"/>
    <w:rsid w:val="00D124D9"/>
    <w:rsid w:val="00D12647"/>
    <w:rsid w:val="00D1286A"/>
    <w:rsid w:val="00D12B0E"/>
    <w:rsid w:val="00D12C23"/>
    <w:rsid w:val="00D12C6D"/>
    <w:rsid w:val="00D12D6E"/>
    <w:rsid w:val="00D12D71"/>
    <w:rsid w:val="00D12DFB"/>
    <w:rsid w:val="00D12E02"/>
    <w:rsid w:val="00D13122"/>
    <w:rsid w:val="00D131F6"/>
    <w:rsid w:val="00D13396"/>
    <w:rsid w:val="00D134A4"/>
    <w:rsid w:val="00D134B9"/>
    <w:rsid w:val="00D135B4"/>
    <w:rsid w:val="00D1361C"/>
    <w:rsid w:val="00D137D0"/>
    <w:rsid w:val="00D137F3"/>
    <w:rsid w:val="00D13870"/>
    <w:rsid w:val="00D139F7"/>
    <w:rsid w:val="00D13A11"/>
    <w:rsid w:val="00D13A51"/>
    <w:rsid w:val="00D13C6B"/>
    <w:rsid w:val="00D13EC1"/>
    <w:rsid w:val="00D13FB6"/>
    <w:rsid w:val="00D14240"/>
    <w:rsid w:val="00D1434A"/>
    <w:rsid w:val="00D14369"/>
    <w:rsid w:val="00D144E4"/>
    <w:rsid w:val="00D1457C"/>
    <w:rsid w:val="00D1461B"/>
    <w:rsid w:val="00D146C4"/>
    <w:rsid w:val="00D14767"/>
    <w:rsid w:val="00D14A3D"/>
    <w:rsid w:val="00D14CA3"/>
    <w:rsid w:val="00D14CBA"/>
    <w:rsid w:val="00D14D17"/>
    <w:rsid w:val="00D14E34"/>
    <w:rsid w:val="00D14EB2"/>
    <w:rsid w:val="00D153CD"/>
    <w:rsid w:val="00D15465"/>
    <w:rsid w:val="00D154E6"/>
    <w:rsid w:val="00D154FA"/>
    <w:rsid w:val="00D15796"/>
    <w:rsid w:val="00D157C3"/>
    <w:rsid w:val="00D15894"/>
    <w:rsid w:val="00D158D7"/>
    <w:rsid w:val="00D15A03"/>
    <w:rsid w:val="00D15E59"/>
    <w:rsid w:val="00D16030"/>
    <w:rsid w:val="00D16070"/>
    <w:rsid w:val="00D16322"/>
    <w:rsid w:val="00D1662E"/>
    <w:rsid w:val="00D16652"/>
    <w:rsid w:val="00D16691"/>
    <w:rsid w:val="00D16764"/>
    <w:rsid w:val="00D167CE"/>
    <w:rsid w:val="00D16882"/>
    <w:rsid w:val="00D16886"/>
    <w:rsid w:val="00D16AEA"/>
    <w:rsid w:val="00D16B71"/>
    <w:rsid w:val="00D16C3F"/>
    <w:rsid w:val="00D16C5B"/>
    <w:rsid w:val="00D16CA7"/>
    <w:rsid w:val="00D16EBC"/>
    <w:rsid w:val="00D16F08"/>
    <w:rsid w:val="00D1702F"/>
    <w:rsid w:val="00D173A3"/>
    <w:rsid w:val="00D17585"/>
    <w:rsid w:val="00D178D4"/>
    <w:rsid w:val="00D17BA9"/>
    <w:rsid w:val="00D17C54"/>
    <w:rsid w:val="00D17C89"/>
    <w:rsid w:val="00D17E1B"/>
    <w:rsid w:val="00D17EB9"/>
    <w:rsid w:val="00D17F58"/>
    <w:rsid w:val="00D17FD0"/>
    <w:rsid w:val="00D2003B"/>
    <w:rsid w:val="00D20053"/>
    <w:rsid w:val="00D2008C"/>
    <w:rsid w:val="00D204EF"/>
    <w:rsid w:val="00D204F8"/>
    <w:rsid w:val="00D20562"/>
    <w:rsid w:val="00D205CB"/>
    <w:rsid w:val="00D205F3"/>
    <w:rsid w:val="00D2066C"/>
    <w:rsid w:val="00D20A4E"/>
    <w:rsid w:val="00D20F1C"/>
    <w:rsid w:val="00D20F86"/>
    <w:rsid w:val="00D2102A"/>
    <w:rsid w:val="00D21076"/>
    <w:rsid w:val="00D21170"/>
    <w:rsid w:val="00D2117B"/>
    <w:rsid w:val="00D212AD"/>
    <w:rsid w:val="00D212DB"/>
    <w:rsid w:val="00D2150C"/>
    <w:rsid w:val="00D21593"/>
    <w:rsid w:val="00D2184F"/>
    <w:rsid w:val="00D21851"/>
    <w:rsid w:val="00D2188E"/>
    <w:rsid w:val="00D218D5"/>
    <w:rsid w:val="00D21A09"/>
    <w:rsid w:val="00D21E45"/>
    <w:rsid w:val="00D21E55"/>
    <w:rsid w:val="00D21FC7"/>
    <w:rsid w:val="00D2201E"/>
    <w:rsid w:val="00D220B2"/>
    <w:rsid w:val="00D223BB"/>
    <w:rsid w:val="00D22431"/>
    <w:rsid w:val="00D2254D"/>
    <w:rsid w:val="00D22648"/>
    <w:rsid w:val="00D22760"/>
    <w:rsid w:val="00D227B9"/>
    <w:rsid w:val="00D2297E"/>
    <w:rsid w:val="00D22A74"/>
    <w:rsid w:val="00D22B9B"/>
    <w:rsid w:val="00D22E36"/>
    <w:rsid w:val="00D22EA5"/>
    <w:rsid w:val="00D22F48"/>
    <w:rsid w:val="00D22FDC"/>
    <w:rsid w:val="00D2307C"/>
    <w:rsid w:val="00D23088"/>
    <w:rsid w:val="00D23152"/>
    <w:rsid w:val="00D23491"/>
    <w:rsid w:val="00D23532"/>
    <w:rsid w:val="00D23614"/>
    <w:rsid w:val="00D23667"/>
    <w:rsid w:val="00D23726"/>
    <w:rsid w:val="00D2373A"/>
    <w:rsid w:val="00D2379D"/>
    <w:rsid w:val="00D237CB"/>
    <w:rsid w:val="00D23870"/>
    <w:rsid w:val="00D23D27"/>
    <w:rsid w:val="00D23DA4"/>
    <w:rsid w:val="00D23E90"/>
    <w:rsid w:val="00D240BC"/>
    <w:rsid w:val="00D241EE"/>
    <w:rsid w:val="00D242D7"/>
    <w:rsid w:val="00D24371"/>
    <w:rsid w:val="00D2439C"/>
    <w:rsid w:val="00D244EF"/>
    <w:rsid w:val="00D246E3"/>
    <w:rsid w:val="00D248BB"/>
    <w:rsid w:val="00D24A4C"/>
    <w:rsid w:val="00D24AB3"/>
    <w:rsid w:val="00D24AF5"/>
    <w:rsid w:val="00D24B16"/>
    <w:rsid w:val="00D24B78"/>
    <w:rsid w:val="00D24E76"/>
    <w:rsid w:val="00D24F6D"/>
    <w:rsid w:val="00D2503D"/>
    <w:rsid w:val="00D254E0"/>
    <w:rsid w:val="00D255CE"/>
    <w:rsid w:val="00D25730"/>
    <w:rsid w:val="00D25816"/>
    <w:rsid w:val="00D2582B"/>
    <w:rsid w:val="00D25906"/>
    <w:rsid w:val="00D25AF7"/>
    <w:rsid w:val="00D25AFB"/>
    <w:rsid w:val="00D25B3A"/>
    <w:rsid w:val="00D25B4C"/>
    <w:rsid w:val="00D25BBC"/>
    <w:rsid w:val="00D25C91"/>
    <w:rsid w:val="00D25D76"/>
    <w:rsid w:val="00D26085"/>
    <w:rsid w:val="00D26096"/>
    <w:rsid w:val="00D261CB"/>
    <w:rsid w:val="00D26308"/>
    <w:rsid w:val="00D2639E"/>
    <w:rsid w:val="00D2668B"/>
    <w:rsid w:val="00D26783"/>
    <w:rsid w:val="00D26BD0"/>
    <w:rsid w:val="00D26CCB"/>
    <w:rsid w:val="00D26FA2"/>
    <w:rsid w:val="00D2712E"/>
    <w:rsid w:val="00D27233"/>
    <w:rsid w:val="00D274BC"/>
    <w:rsid w:val="00D2767D"/>
    <w:rsid w:val="00D276E1"/>
    <w:rsid w:val="00D277C7"/>
    <w:rsid w:val="00D2784B"/>
    <w:rsid w:val="00D279F1"/>
    <w:rsid w:val="00D27A16"/>
    <w:rsid w:val="00D27D3A"/>
    <w:rsid w:val="00D27E2A"/>
    <w:rsid w:val="00D27E60"/>
    <w:rsid w:val="00D27EDC"/>
    <w:rsid w:val="00D27EEE"/>
    <w:rsid w:val="00D27FF8"/>
    <w:rsid w:val="00D3002D"/>
    <w:rsid w:val="00D302F8"/>
    <w:rsid w:val="00D305B6"/>
    <w:rsid w:val="00D305BF"/>
    <w:rsid w:val="00D30665"/>
    <w:rsid w:val="00D3073A"/>
    <w:rsid w:val="00D30791"/>
    <w:rsid w:val="00D308E2"/>
    <w:rsid w:val="00D309C0"/>
    <w:rsid w:val="00D30EB5"/>
    <w:rsid w:val="00D30F67"/>
    <w:rsid w:val="00D30FE4"/>
    <w:rsid w:val="00D311AD"/>
    <w:rsid w:val="00D311AF"/>
    <w:rsid w:val="00D3146F"/>
    <w:rsid w:val="00D3154C"/>
    <w:rsid w:val="00D3179A"/>
    <w:rsid w:val="00D31909"/>
    <w:rsid w:val="00D3195C"/>
    <w:rsid w:val="00D31A0B"/>
    <w:rsid w:val="00D31A5F"/>
    <w:rsid w:val="00D31B3D"/>
    <w:rsid w:val="00D31E39"/>
    <w:rsid w:val="00D31EF4"/>
    <w:rsid w:val="00D3217A"/>
    <w:rsid w:val="00D321D1"/>
    <w:rsid w:val="00D322C3"/>
    <w:rsid w:val="00D3267A"/>
    <w:rsid w:val="00D327BE"/>
    <w:rsid w:val="00D327E8"/>
    <w:rsid w:val="00D327F4"/>
    <w:rsid w:val="00D3282F"/>
    <w:rsid w:val="00D328F5"/>
    <w:rsid w:val="00D32B4B"/>
    <w:rsid w:val="00D32B8B"/>
    <w:rsid w:val="00D32D85"/>
    <w:rsid w:val="00D32F77"/>
    <w:rsid w:val="00D32FEA"/>
    <w:rsid w:val="00D330D9"/>
    <w:rsid w:val="00D332EF"/>
    <w:rsid w:val="00D333B9"/>
    <w:rsid w:val="00D333C9"/>
    <w:rsid w:val="00D335BC"/>
    <w:rsid w:val="00D3367A"/>
    <w:rsid w:val="00D337F7"/>
    <w:rsid w:val="00D33BBC"/>
    <w:rsid w:val="00D33BC5"/>
    <w:rsid w:val="00D33C5E"/>
    <w:rsid w:val="00D340F9"/>
    <w:rsid w:val="00D34113"/>
    <w:rsid w:val="00D34185"/>
    <w:rsid w:val="00D34191"/>
    <w:rsid w:val="00D341CF"/>
    <w:rsid w:val="00D34289"/>
    <w:rsid w:val="00D34406"/>
    <w:rsid w:val="00D344A5"/>
    <w:rsid w:val="00D34712"/>
    <w:rsid w:val="00D3486C"/>
    <w:rsid w:val="00D34A23"/>
    <w:rsid w:val="00D34B81"/>
    <w:rsid w:val="00D34BF4"/>
    <w:rsid w:val="00D34C0F"/>
    <w:rsid w:val="00D34D5E"/>
    <w:rsid w:val="00D34DAA"/>
    <w:rsid w:val="00D34E5F"/>
    <w:rsid w:val="00D34E60"/>
    <w:rsid w:val="00D35021"/>
    <w:rsid w:val="00D3509F"/>
    <w:rsid w:val="00D3516D"/>
    <w:rsid w:val="00D3524E"/>
    <w:rsid w:val="00D3536A"/>
    <w:rsid w:val="00D3548F"/>
    <w:rsid w:val="00D3555F"/>
    <w:rsid w:val="00D3559F"/>
    <w:rsid w:val="00D35685"/>
    <w:rsid w:val="00D356F5"/>
    <w:rsid w:val="00D35820"/>
    <w:rsid w:val="00D35895"/>
    <w:rsid w:val="00D35B78"/>
    <w:rsid w:val="00D35BEE"/>
    <w:rsid w:val="00D35C8A"/>
    <w:rsid w:val="00D35E7B"/>
    <w:rsid w:val="00D35F22"/>
    <w:rsid w:val="00D35F84"/>
    <w:rsid w:val="00D360B7"/>
    <w:rsid w:val="00D3624D"/>
    <w:rsid w:val="00D3630A"/>
    <w:rsid w:val="00D3658C"/>
    <w:rsid w:val="00D3663B"/>
    <w:rsid w:val="00D3669A"/>
    <w:rsid w:val="00D36712"/>
    <w:rsid w:val="00D3676C"/>
    <w:rsid w:val="00D3690B"/>
    <w:rsid w:val="00D36926"/>
    <w:rsid w:val="00D369A5"/>
    <w:rsid w:val="00D36AE3"/>
    <w:rsid w:val="00D36C06"/>
    <w:rsid w:val="00D36F89"/>
    <w:rsid w:val="00D3705F"/>
    <w:rsid w:val="00D370D6"/>
    <w:rsid w:val="00D370EB"/>
    <w:rsid w:val="00D372C0"/>
    <w:rsid w:val="00D373A0"/>
    <w:rsid w:val="00D37555"/>
    <w:rsid w:val="00D37719"/>
    <w:rsid w:val="00D37759"/>
    <w:rsid w:val="00D377A2"/>
    <w:rsid w:val="00D378B9"/>
    <w:rsid w:val="00D378D5"/>
    <w:rsid w:val="00D379A7"/>
    <w:rsid w:val="00D37AF2"/>
    <w:rsid w:val="00D37B3C"/>
    <w:rsid w:val="00D37CF9"/>
    <w:rsid w:val="00D37F05"/>
    <w:rsid w:val="00D4021B"/>
    <w:rsid w:val="00D402EE"/>
    <w:rsid w:val="00D40415"/>
    <w:rsid w:val="00D40444"/>
    <w:rsid w:val="00D40486"/>
    <w:rsid w:val="00D404AD"/>
    <w:rsid w:val="00D404D2"/>
    <w:rsid w:val="00D40520"/>
    <w:rsid w:val="00D40703"/>
    <w:rsid w:val="00D40781"/>
    <w:rsid w:val="00D407B4"/>
    <w:rsid w:val="00D40921"/>
    <w:rsid w:val="00D40992"/>
    <w:rsid w:val="00D40B43"/>
    <w:rsid w:val="00D40C92"/>
    <w:rsid w:val="00D40D57"/>
    <w:rsid w:val="00D40FB6"/>
    <w:rsid w:val="00D40FF4"/>
    <w:rsid w:val="00D4177B"/>
    <w:rsid w:val="00D41833"/>
    <w:rsid w:val="00D41964"/>
    <w:rsid w:val="00D41C2A"/>
    <w:rsid w:val="00D41D41"/>
    <w:rsid w:val="00D41DC3"/>
    <w:rsid w:val="00D41DD5"/>
    <w:rsid w:val="00D420B0"/>
    <w:rsid w:val="00D42118"/>
    <w:rsid w:val="00D422A6"/>
    <w:rsid w:val="00D422D1"/>
    <w:rsid w:val="00D422FD"/>
    <w:rsid w:val="00D42351"/>
    <w:rsid w:val="00D42508"/>
    <w:rsid w:val="00D427A2"/>
    <w:rsid w:val="00D42938"/>
    <w:rsid w:val="00D42960"/>
    <w:rsid w:val="00D42E0C"/>
    <w:rsid w:val="00D42EB8"/>
    <w:rsid w:val="00D42F12"/>
    <w:rsid w:val="00D42F45"/>
    <w:rsid w:val="00D42FEA"/>
    <w:rsid w:val="00D42FF9"/>
    <w:rsid w:val="00D43333"/>
    <w:rsid w:val="00D4335F"/>
    <w:rsid w:val="00D4340F"/>
    <w:rsid w:val="00D43477"/>
    <w:rsid w:val="00D435E3"/>
    <w:rsid w:val="00D43ADC"/>
    <w:rsid w:val="00D43B66"/>
    <w:rsid w:val="00D43E33"/>
    <w:rsid w:val="00D43ED4"/>
    <w:rsid w:val="00D43EF6"/>
    <w:rsid w:val="00D43F2D"/>
    <w:rsid w:val="00D43FCB"/>
    <w:rsid w:val="00D44066"/>
    <w:rsid w:val="00D442A6"/>
    <w:rsid w:val="00D44371"/>
    <w:rsid w:val="00D444E1"/>
    <w:rsid w:val="00D446F4"/>
    <w:rsid w:val="00D44838"/>
    <w:rsid w:val="00D4489D"/>
    <w:rsid w:val="00D448A4"/>
    <w:rsid w:val="00D4492F"/>
    <w:rsid w:val="00D44965"/>
    <w:rsid w:val="00D44B8C"/>
    <w:rsid w:val="00D44DFC"/>
    <w:rsid w:val="00D44F08"/>
    <w:rsid w:val="00D45030"/>
    <w:rsid w:val="00D451A4"/>
    <w:rsid w:val="00D45360"/>
    <w:rsid w:val="00D45754"/>
    <w:rsid w:val="00D457CE"/>
    <w:rsid w:val="00D45844"/>
    <w:rsid w:val="00D45958"/>
    <w:rsid w:val="00D45A04"/>
    <w:rsid w:val="00D45E15"/>
    <w:rsid w:val="00D45F89"/>
    <w:rsid w:val="00D46202"/>
    <w:rsid w:val="00D465A7"/>
    <w:rsid w:val="00D4660A"/>
    <w:rsid w:val="00D4664D"/>
    <w:rsid w:val="00D46669"/>
    <w:rsid w:val="00D4666B"/>
    <w:rsid w:val="00D467CC"/>
    <w:rsid w:val="00D468EE"/>
    <w:rsid w:val="00D46937"/>
    <w:rsid w:val="00D469E6"/>
    <w:rsid w:val="00D46A50"/>
    <w:rsid w:val="00D46CDF"/>
    <w:rsid w:val="00D46D7A"/>
    <w:rsid w:val="00D46E0C"/>
    <w:rsid w:val="00D46E4F"/>
    <w:rsid w:val="00D46E7D"/>
    <w:rsid w:val="00D46EEE"/>
    <w:rsid w:val="00D46FE6"/>
    <w:rsid w:val="00D46FF9"/>
    <w:rsid w:val="00D47091"/>
    <w:rsid w:val="00D4721C"/>
    <w:rsid w:val="00D4722C"/>
    <w:rsid w:val="00D47425"/>
    <w:rsid w:val="00D474FF"/>
    <w:rsid w:val="00D475E7"/>
    <w:rsid w:val="00D47604"/>
    <w:rsid w:val="00D47778"/>
    <w:rsid w:val="00D47944"/>
    <w:rsid w:val="00D47AF3"/>
    <w:rsid w:val="00D47B48"/>
    <w:rsid w:val="00D47B5D"/>
    <w:rsid w:val="00D47C51"/>
    <w:rsid w:val="00D47C76"/>
    <w:rsid w:val="00D47D81"/>
    <w:rsid w:val="00D47E39"/>
    <w:rsid w:val="00D47F48"/>
    <w:rsid w:val="00D50025"/>
    <w:rsid w:val="00D5026A"/>
    <w:rsid w:val="00D502FC"/>
    <w:rsid w:val="00D50570"/>
    <w:rsid w:val="00D5057D"/>
    <w:rsid w:val="00D50829"/>
    <w:rsid w:val="00D50844"/>
    <w:rsid w:val="00D50894"/>
    <w:rsid w:val="00D508B5"/>
    <w:rsid w:val="00D50B12"/>
    <w:rsid w:val="00D50B13"/>
    <w:rsid w:val="00D50B7C"/>
    <w:rsid w:val="00D50BAB"/>
    <w:rsid w:val="00D50CA0"/>
    <w:rsid w:val="00D50CBF"/>
    <w:rsid w:val="00D50D7A"/>
    <w:rsid w:val="00D50F7C"/>
    <w:rsid w:val="00D510C1"/>
    <w:rsid w:val="00D511C5"/>
    <w:rsid w:val="00D5138A"/>
    <w:rsid w:val="00D513BB"/>
    <w:rsid w:val="00D5156B"/>
    <w:rsid w:val="00D51576"/>
    <w:rsid w:val="00D515FD"/>
    <w:rsid w:val="00D51930"/>
    <w:rsid w:val="00D51989"/>
    <w:rsid w:val="00D51A72"/>
    <w:rsid w:val="00D51A82"/>
    <w:rsid w:val="00D51AC2"/>
    <w:rsid w:val="00D51ADA"/>
    <w:rsid w:val="00D51AFA"/>
    <w:rsid w:val="00D51C09"/>
    <w:rsid w:val="00D51C3D"/>
    <w:rsid w:val="00D51C89"/>
    <w:rsid w:val="00D51DAC"/>
    <w:rsid w:val="00D51DBB"/>
    <w:rsid w:val="00D51E55"/>
    <w:rsid w:val="00D51FED"/>
    <w:rsid w:val="00D52148"/>
    <w:rsid w:val="00D521E2"/>
    <w:rsid w:val="00D5233B"/>
    <w:rsid w:val="00D52424"/>
    <w:rsid w:val="00D5242B"/>
    <w:rsid w:val="00D52447"/>
    <w:rsid w:val="00D5255E"/>
    <w:rsid w:val="00D5286C"/>
    <w:rsid w:val="00D52B5D"/>
    <w:rsid w:val="00D52C19"/>
    <w:rsid w:val="00D52DDD"/>
    <w:rsid w:val="00D52E47"/>
    <w:rsid w:val="00D52EB0"/>
    <w:rsid w:val="00D52F72"/>
    <w:rsid w:val="00D530BA"/>
    <w:rsid w:val="00D53145"/>
    <w:rsid w:val="00D5323D"/>
    <w:rsid w:val="00D532DB"/>
    <w:rsid w:val="00D533D4"/>
    <w:rsid w:val="00D53479"/>
    <w:rsid w:val="00D534F8"/>
    <w:rsid w:val="00D535AD"/>
    <w:rsid w:val="00D536E2"/>
    <w:rsid w:val="00D537B3"/>
    <w:rsid w:val="00D539E3"/>
    <w:rsid w:val="00D53AD4"/>
    <w:rsid w:val="00D53C77"/>
    <w:rsid w:val="00D53CC4"/>
    <w:rsid w:val="00D53D48"/>
    <w:rsid w:val="00D53D6F"/>
    <w:rsid w:val="00D53F0F"/>
    <w:rsid w:val="00D53F31"/>
    <w:rsid w:val="00D5401F"/>
    <w:rsid w:val="00D5410B"/>
    <w:rsid w:val="00D54185"/>
    <w:rsid w:val="00D54330"/>
    <w:rsid w:val="00D543D1"/>
    <w:rsid w:val="00D543D5"/>
    <w:rsid w:val="00D54685"/>
    <w:rsid w:val="00D54709"/>
    <w:rsid w:val="00D54AC0"/>
    <w:rsid w:val="00D54C2A"/>
    <w:rsid w:val="00D54C37"/>
    <w:rsid w:val="00D54C49"/>
    <w:rsid w:val="00D54CA3"/>
    <w:rsid w:val="00D54CB4"/>
    <w:rsid w:val="00D54D0E"/>
    <w:rsid w:val="00D54E54"/>
    <w:rsid w:val="00D5505C"/>
    <w:rsid w:val="00D552BF"/>
    <w:rsid w:val="00D555AB"/>
    <w:rsid w:val="00D556B2"/>
    <w:rsid w:val="00D557AA"/>
    <w:rsid w:val="00D557C8"/>
    <w:rsid w:val="00D5583D"/>
    <w:rsid w:val="00D55897"/>
    <w:rsid w:val="00D559E0"/>
    <w:rsid w:val="00D55AA0"/>
    <w:rsid w:val="00D55AD5"/>
    <w:rsid w:val="00D55B53"/>
    <w:rsid w:val="00D55DFC"/>
    <w:rsid w:val="00D55F50"/>
    <w:rsid w:val="00D561CD"/>
    <w:rsid w:val="00D562DD"/>
    <w:rsid w:val="00D563AC"/>
    <w:rsid w:val="00D56524"/>
    <w:rsid w:val="00D56582"/>
    <w:rsid w:val="00D566B5"/>
    <w:rsid w:val="00D56728"/>
    <w:rsid w:val="00D56742"/>
    <w:rsid w:val="00D5688E"/>
    <w:rsid w:val="00D56944"/>
    <w:rsid w:val="00D5697B"/>
    <w:rsid w:val="00D56995"/>
    <w:rsid w:val="00D56B5F"/>
    <w:rsid w:val="00D56BF6"/>
    <w:rsid w:val="00D5743B"/>
    <w:rsid w:val="00D574D3"/>
    <w:rsid w:val="00D57521"/>
    <w:rsid w:val="00D57780"/>
    <w:rsid w:val="00D5792B"/>
    <w:rsid w:val="00D579C8"/>
    <w:rsid w:val="00D579CA"/>
    <w:rsid w:val="00D57A8A"/>
    <w:rsid w:val="00D57C02"/>
    <w:rsid w:val="00D60093"/>
    <w:rsid w:val="00D600E0"/>
    <w:rsid w:val="00D60199"/>
    <w:rsid w:val="00D602E7"/>
    <w:rsid w:val="00D602F4"/>
    <w:rsid w:val="00D604AF"/>
    <w:rsid w:val="00D60856"/>
    <w:rsid w:val="00D60CD4"/>
    <w:rsid w:val="00D60D63"/>
    <w:rsid w:val="00D60E97"/>
    <w:rsid w:val="00D60E98"/>
    <w:rsid w:val="00D61121"/>
    <w:rsid w:val="00D61526"/>
    <w:rsid w:val="00D6153E"/>
    <w:rsid w:val="00D61744"/>
    <w:rsid w:val="00D617D0"/>
    <w:rsid w:val="00D6184C"/>
    <w:rsid w:val="00D61AFB"/>
    <w:rsid w:val="00D61C4D"/>
    <w:rsid w:val="00D61EE2"/>
    <w:rsid w:val="00D62119"/>
    <w:rsid w:val="00D6229B"/>
    <w:rsid w:val="00D622E5"/>
    <w:rsid w:val="00D622F3"/>
    <w:rsid w:val="00D623BF"/>
    <w:rsid w:val="00D6250E"/>
    <w:rsid w:val="00D62536"/>
    <w:rsid w:val="00D62547"/>
    <w:rsid w:val="00D62552"/>
    <w:rsid w:val="00D625DC"/>
    <w:rsid w:val="00D626A3"/>
    <w:rsid w:val="00D6294C"/>
    <w:rsid w:val="00D629E8"/>
    <w:rsid w:val="00D62AEB"/>
    <w:rsid w:val="00D62DDC"/>
    <w:rsid w:val="00D62F47"/>
    <w:rsid w:val="00D630C7"/>
    <w:rsid w:val="00D63102"/>
    <w:rsid w:val="00D63373"/>
    <w:rsid w:val="00D63462"/>
    <w:rsid w:val="00D635E5"/>
    <w:rsid w:val="00D63611"/>
    <w:rsid w:val="00D6365C"/>
    <w:rsid w:val="00D63741"/>
    <w:rsid w:val="00D63795"/>
    <w:rsid w:val="00D637D9"/>
    <w:rsid w:val="00D63834"/>
    <w:rsid w:val="00D63907"/>
    <w:rsid w:val="00D63954"/>
    <w:rsid w:val="00D63D7E"/>
    <w:rsid w:val="00D63E14"/>
    <w:rsid w:val="00D63E6A"/>
    <w:rsid w:val="00D63FF5"/>
    <w:rsid w:val="00D64002"/>
    <w:rsid w:val="00D64005"/>
    <w:rsid w:val="00D64038"/>
    <w:rsid w:val="00D641A8"/>
    <w:rsid w:val="00D641DB"/>
    <w:rsid w:val="00D642BD"/>
    <w:rsid w:val="00D64678"/>
    <w:rsid w:val="00D646D6"/>
    <w:rsid w:val="00D646FA"/>
    <w:rsid w:val="00D6477D"/>
    <w:rsid w:val="00D64AA5"/>
    <w:rsid w:val="00D64B2E"/>
    <w:rsid w:val="00D64B9C"/>
    <w:rsid w:val="00D64BCF"/>
    <w:rsid w:val="00D64E37"/>
    <w:rsid w:val="00D64F45"/>
    <w:rsid w:val="00D651A9"/>
    <w:rsid w:val="00D651CD"/>
    <w:rsid w:val="00D651E4"/>
    <w:rsid w:val="00D65336"/>
    <w:rsid w:val="00D653DF"/>
    <w:rsid w:val="00D65449"/>
    <w:rsid w:val="00D6555F"/>
    <w:rsid w:val="00D65814"/>
    <w:rsid w:val="00D65908"/>
    <w:rsid w:val="00D65969"/>
    <w:rsid w:val="00D659A4"/>
    <w:rsid w:val="00D65ABF"/>
    <w:rsid w:val="00D65E8F"/>
    <w:rsid w:val="00D6603A"/>
    <w:rsid w:val="00D660D0"/>
    <w:rsid w:val="00D66327"/>
    <w:rsid w:val="00D66623"/>
    <w:rsid w:val="00D666E1"/>
    <w:rsid w:val="00D66858"/>
    <w:rsid w:val="00D66AEA"/>
    <w:rsid w:val="00D66C85"/>
    <w:rsid w:val="00D6703D"/>
    <w:rsid w:val="00D670C3"/>
    <w:rsid w:val="00D67104"/>
    <w:rsid w:val="00D674E4"/>
    <w:rsid w:val="00D675B9"/>
    <w:rsid w:val="00D675D0"/>
    <w:rsid w:val="00D67762"/>
    <w:rsid w:val="00D6778B"/>
    <w:rsid w:val="00D67929"/>
    <w:rsid w:val="00D67976"/>
    <w:rsid w:val="00D67A9F"/>
    <w:rsid w:val="00D67B30"/>
    <w:rsid w:val="00D67E7C"/>
    <w:rsid w:val="00D70036"/>
    <w:rsid w:val="00D700A7"/>
    <w:rsid w:val="00D700CE"/>
    <w:rsid w:val="00D70292"/>
    <w:rsid w:val="00D70327"/>
    <w:rsid w:val="00D705BB"/>
    <w:rsid w:val="00D7079A"/>
    <w:rsid w:val="00D707E3"/>
    <w:rsid w:val="00D70A11"/>
    <w:rsid w:val="00D70A47"/>
    <w:rsid w:val="00D70BB0"/>
    <w:rsid w:val="00D70DD9"/>
    <w:rsid w:val="00D70F39"/>
    <w:rsid w:val="00D70F46"/>
    <w:rsid w:val="00D713CA"/>
    <w:rsid w:val="00D714B1"/>
    <w:rsid w:val="00D714CF"/>
    <w:rsid w:val="00D7156B"/>
    <w:rsid w:val="00D715D7"/>
    <w:rsid w:val="00D71612"/>
    <w:rsid w:val="00D717BE"/>
    <w:rsid w:val="00D71ACE"/>
    <w:rsid w:val="00D71BC9"/>
    <w:rsid w:val="00D71C48"/>
    <w:rsid w:val="00D71DD3"/>
    <w:rsid w:val="00D71E4A"/>
    <w:rsid w:val="00D71E7D"/>
    <w:rsid w:val="00D71EE1"/>
    <w:rsid w:val="00D71EF4"/>
    <w:rsid w:val="00D71F7B"/>
    <w:rsid w:val="00D71FF3"/>
    <w:rsid w:val="00D722FC"/>
    <w:rsid w:val="00D724ED"/>
    <w:rsid w:val="00D726A3"/>
    <w:rsid w:val="00D726F7"/>
    <w:rsid w:val="00D728D1"/>
    <w:rsid w:val="00D72992"/>
    <w:rsid w:val="00D72BED"/>
    <w:rsid w:val="00D72CE3"/>
    <w:rsid w:val="00D72F17"/>
    <w:rsid w:val="00D73238"/>
    <w:rsid w:val="00D73246"/>
    <w:rsid w:val="00D73273"/>
    <w:rsid w:val="00D7332C"/>
    <w:rsid w:val="00D733A9"/>
    <w:rsid w:val="00D734FB"/>
    <w:rsid w:val="00D734FC"/>
    <w:rsid w:val="00D735E3"/>
    <w:rsid w:val="00D736A6"/>
    <w:rsid w:val="00D73888"/>
    <w:rsid w:val="00D73A7D"/>
    <w:rsid w:val="00D73AB9"/>
    <w:rsid w:val="00D73B13"/>
    <w:rsid w:val="00D73B6E"/>
    <w:rsid w:val="00D73DC0"/>
    <w:rsid w:val="00D73E4B"/>
    <w:rsid w:val="00D73E77"/>
    <w:rsid w:val="00D73F68"/>
    <w:rsid w:val="00D73F8C"/>
    <w:rsid w:val="00D74206"/>
    <w:rsid w:val="00D742A2"/>
    <w:rsid w:val="00D7433F"/>
    <w:rsid w:val="00D74360"/>
    <w:rsid w:val="00D74546"/>
    <w:rsid w:val="00D745C6"/>
    <w:rsid w:val="00D746F4"/>
    <w:rsid w:val="00D74A25"/>
    <w:rsid w:val="00D74B5D"/>
    <w:rsid w:val="00D74BFD"/>
    <w:rsid w:val="00D74C4F"/>
    <w:rsid w:val="00D74D03"/>
    <w:rsid w:val="00D74D17"/>
    <w:rsid w:val="00D74D59"/>
    <w:rsid w:val="00D74DE3"/>
    <w:rsid w:val="00D74EFC"/>
    <w:rsid w:val="00D74F53"/>
    <w:rsid w:val="00D74F83"/>
    <w:rsid w:val="00D750FB"/>
    <w:rsid w:val="00D7511F"/>
    <w:rsid w:val="00D75286"/>
    <w:rsid w:val="00D75572"/>
    <w:rsid w:val="00D75646"/>
    <w:rsid w:val="00D75751"/>
    <w:rsid w:val="00D758B7"/>
    <w:rsid w:val="00D75942"/>
    <w:rsid w:val="00D75A22"/>
    <w:rsid w:val="00D75AC1"/>
    <w:rsid w:val="00D75BC1"/>
    <w:rsid w:val="00D75D07"/>
    <w:rsid w:val="00D75E21"/>
    <w:rsid w:val="00D760C6"/>
    <w:rsid w:val="00D760F3"/>
    <w:rsid w:val="00D761A4"/>
    <w:rsid w:val="00D76401"/>
    <w:rsid w:val="00D76516"/>
    <w:rsid w:val="00D765DA"/>
    <w:rsid w:val="00D76A0F"/>
    <w:rsid w:val="00D76A4B"/>
    <w:rsid w:val="00D76D10"/>
    <w:rsid w:val="00D76FC0"/>
    <w:rsid w:val="00D77124"/>
    <w:rsid w:val="00D7721C"/>
    <w:rsid w:val="00D7731D"/>
    <w:rsid w:val="00D773A3"/>
    <w:rsid w:val="00D773BC"/>
    <w:rsid w:val="00D77471"/>
    <w:rsid w:val="00D774F5"/>
    <w:rsid w:val="00D775A5"/>
    <w:rsid w:val="00D775BD"/>
    <w:rsid w:val="00D775EF"/>
    <w:rsid w:val="00D775F3"/>
    <w:rsid w:val="00D776D7"/>
    <w:rsid w:val="00D777EA"/>
    <w:rsid w:val="00D77B45"/>
    <w:rsid w:val="00D77C8B"/>
    <w:rsid w:val="00D77CBC"/>
    <w:rsid w:val="00D77D48"/>
    <w:rsid w:val="00D77DCA"/>
    <w:rsid w:val="00D77EF7"/>
    <w:rsid w:val="00D77FBF"/>
    <w:rsid w:val="00D801C2"/>
    <w:rsid w:val="00D801F6"/>
    <w:rsid w:val="00D803E9"/>
    <w:rsid w:val="00D8046B"/>
    <w:rsid w:val="00D80792"/>
    <w:rsid w:val="00D807C0"/>
    <w:rsid w:val="00D808D9"/>
    <w:rsid w:val="00D80BD2"/>
    <w:rsid w:val="00D80C59"/>
    <w:rsid w:val="00D80D23"/>
    <w:rsid w:val="00D80E46"/>
    <w:rsid w:val="00D80E56"/>
    <w:rsid w:val="00D810DD"/>
    <w:rsid w:val="00D81113"/>
    <w:rsid w:val="00D812E0"/>
    <w:rsid w:val="00D81446"/>
    <w:rsid w:val="00D8144F"/>
    <w:rsid w:val="00D8152D"/>
    <w:rsid w:val="00D815D2"/>
    <w:rsid w:val="00D8162C"/>
    <w:rsid w:val="00D8172F"/>
    <w:rsid w:val="00D8186C"/>
    <w:rsid w:val="00D818ED"/>
    <w:rsid w:val="00D81A4B"/>
    <w:rsid w:val="00D81C25"/>
    <w:rsid w:val="00D81CF9"/>
    <w:rsid w:val="00D81D63"/>
    <w:rsid w:val="00D81D66"/>
    <w:rsid w:val="00D820DC"/>
    <w:rsid w:val="00D8211D"/>
    <w:rsid w:val="00D8218B"/>
    <w:rsid w:val="00D823F0"/>
    <w:rsid w:val="00D82755"/>
    <w:rsid w:val="00D82772"/>
    <w:rsid w:val="00D82923"/>
    <w:rsid w:val="00D82A8C"/>
    <w:rsid w:val="00D82AE0"/>
    <w:rsid w:val="00D82C16"/>
    <w:rsid w:val="00D82F9F"/>
    <w:rsid w:val="00D82FD0"/>
    <w:rsid w:val="00D8303A"/>
    <w:rsid w:val="00D833EE"/>
    <w:rsid w:val="00D8341C"/>
    <w:rsid w:val="00D8345A"/>
    <w:rsid w:val="00D83495"/>
    <w:rsid w:val="00D83575"/>
    <w:rsid w:val="00D835B2"/>
    <w:rsid w:val="00D8364E"/>
    <w:rsid w:val="00D8365F"/>
    <w:rsid w:val="00D83775"/>
    <w:rsid w:val="00D837C7"/>
    <w:rsid w:val="00D83871"/>
    <w:rsid w:val="00D839D1"/>
    <w:rsid w:val="00D83CD9"/>
    <w:rsid w:val="00D83CE2"/>
    <w:rsid w:val="00D83D06"/>
    <w:rsid w:val="00D8402A"/>
    <w:rsid w:val="00D84162"/>
    <w:rsid w:val="00D84212"/>
    <w:rsid w:val="00D84230"/>
    <w:rsid w:val="00D84558"/>
    <w:rsid w:val="00D84650"/>
    <w:rsid w:val="00D8483C"/>
    <w:rsid w:val="00D8498C"/>
    <w:rsid w:val="00D84A49"/>
    <w:rsid w:val="00D84C7D"/>
    <w:rsid w:val="00D84DAB"/>
    <w:rsid w:val="00D84DDF"/>
    <w:rsid w:val="00D84EDF"/>
    <w:rsid w:val="00D85214"/>
    <w:rsid w:val="00D8527B"/>
    <w:rsid w:val="00D85293"/>
    <w:rsid w:val="00D8533C"/>
    <w:rsid w:val="00D853BA"/>
    <w:rsid w:val="00D8545F"/>
    <w:rsid w:val="00D8583A"/>
    <w:rsid w:val="00D85869"/>
    <w:rsid w:val="00D85A30"/>
    <w:rsid w:val="00D85BC3"/>
    <w:rsid w:val="00D85D5A"/>
    <w:rsid w:val="00D85DAB"/>
    <w:rsid w:val="00D85F4C"/>
    <w:rsid w:val="00D86044"/>
    <w:rsid w:val="00D86124"/>
    <w:rsid w:val="00D861A8"/>
    <w:rsid w:val="00D8634A"/>
    <w:rsid w:val="00D86526"/>
    <w:rsid w:val="00D865E2"/>
    <w:rsid w:val="00D86A35"/>
    <w:rsid w:val="00D86B1C"/>
    <w:rsid w:val="00D86BFF"/>
    <w:rsid w:val="00D86C9A"/>
    <w:rsid w:val="00D86D44"/>
    <w:rsid w:val="00D86FBF"/>
    <w:rsid w:val="00D870F2"/>
    <w:rsid w:val="00D871A3"/>
    <w:rsid w:val="00D87262"/>
    <w:rsid w:val="00D87289"/>
    <w:rsid w:val="00D87639"/>
    <w:rsid w:val="00D90008"/>
    <w:rsid w:val="00D9003A"/>
    <w:rsid w:val="00D900E1"/>
    <w:rsid w:val="00D9031D"/>
    <w:rsid w:val="00D903CE"/>
    <w:rsid w:val="00D906AA"/>
    <w:rsid w:val="00D9070C"/>
    <w:rsid w:val="00D9081B"/>
    <w:rsid w:val="00D909F6"/>
    <w:rsid w:val="00D90B2F"/>
    <w:rsid w:val="00D90C10"/>
    <w:rsid w:val="00D90DF3"/>
    <w:rsid w:val="00D91079"/>
    <w:rsid w:val="00D9112E"/>
    <w:rsid w:val="00D911BF"/>
    <w:rsid w:val="00D911CB"/>
    <w:rsid w:val="00D9123D"/>
    <w:rsid w:val="00D912FB"/>
    <w:rsid w:val="00D91558"/>
    <w:rsid w:val="00D916C9"/>
    <w:rsid w:val="00D917EB"/>
    <w:rsid w:val="00D917EC"/>
    <w:rsid w:val="00D91842"/>
    <w:rsid w:val="00D91B76"/>
    <w:rsid w:val="00D91B9A"/>
    <w:rsid w:val="00D91C1D"/>
    <w:rsid w:val="00D91DFD"/>
    <w:rsid w:val="00D91E03"/>
    <w:rsid w:val="00D91E4C"/>
    <w:rsid w:val="00D921BC"/>
    <w:rsid w:val="00D924DC"/>
    <w:rsid w:val="00D924E8"/>
    <w:rsid w:val="00D9264F"/>
    <w:rsid w:val="00D92691"/>
    <w:rsid w:val="00D926AC"/>
    <w:rsid w:val="00D926B1"/>
    <w:rsid w:val="00D928EE"/>
    <w:rsid w:val="00D92966"/>
    <w:rsid w:val="00D92AAA"/>
    <w:rsid w:val="00D92B9C"/>
    <w:rsid w:val="00D92BD1"/>
    <w:rsid w:val="00D92D24"/>
    <w:rsid w:val="00D93029"/>
    <w:rsid w:val="00D93353"/>
    <w:rsid w:val="00D93373"/>
    <w:rsid w:val="00D93404"/>
    <w:rsid w:val="00D93450"/>
    <w:rsid w:val="00D9345A"/>
    <w:rsid w:val="00D934A2"/>
    <w:rsid w:val="00D93590"/>
    <w:rsid w:val="00D935A1"/>
    <w:rsid w:val="00D935BD"/>
    <w:rsid w:val="00D936FE"/>
    <w:rsid w:val="00D93BFB"/>
    <w:rsid w:val="00D93DD9"/>
    <w:rsid w:val="00D93E14"/>
    <w:rsid w:val="00D93E1D"/>
    <w:rsid w:val="00D93E39"/>
    <w:rsid w:val="00D93E81"/>
    <w:rsid w:val="00D93EEC"/>
    <w:rsid w:val="00D940D5"/>
    <w:rsid w:val="00D94195"/>
    <w:rsid w:val="00D9427D"/>
    <w:rsid w:val="00D9437A"/>
    <w:rsid w:val="00D943F0"/>
    <w:rsid w:val="00D94461"/>
    <w:rsid w:val="00D945B8"/>
    <w:rsid w:val="00D94648"/>
    <w:rsid w:val="00D9475F"/>
    <w:rsid w:val="00D9481B"/>
    <w:rsid w:val="00D949DC"/>
    <w:rsid w:val="00D94A6C"/>
    <w:rsid w:val="00D94B30"/>
    <w:rsid w:val="00D94B69"/>
    <w:rsid w:val="00D94C2C"/>
    <w:rsid w:val="00D94C58"/>
    <w:rsid w:val="00D94CD6"/>
    <w:rsid w:val="00D94D6E"/>
    <w:rsid w:val="00D94DEC"/>
    <w:rsid w:val="00D94ECF"/>
    <w:rsid w:val="00D9508F"/>
    <w:rsid w:val="00D952A8"/>
    <w:rsid w:val="00D957A2"/>
    <w:rsid w:val="00D9583E"/>
    <w:rsid w:val="00D95877"/>
    <w:rsid w:val="00D9597D"/>
    <w:rsid w:val="00D95BC6"/>
    <w:rsid w:val="00D95C36"/>
    <w:rsid w:val="00D95EE4"/>
    <w:rsid w:val="00D95F96"/>
    <w:rsid w:val="00D9605E"/>
    <w:rsid w:val="00D962AA"/>
    <w:rsid w:val="00D964D1"/>
    <w:rsid w:val="00D9671E"/>
    <w:rsid w:val="00D96D04"/>
    <w:rsid w:val="00D96D13"/>
    <w:rsid w:val="00D97273"/>
    <w:rsid w:val="00D9734C"/>
    <w:rsid w:val="00D97400"/>
    <w:rsid w:val="00D97454"/>
    <w:rsid w:val="00D97558"/>
    <w:rsid w:val="00D97750"/>
    <w:rsid w:val="00D977FA"/>
    <w:rsid w:val="00D978F5"/>
    <w:rsid w:val="00D9798F"/>
    <w:rsid w:val="00D97AE8"/>
    <w:rsid w:val="00D97DE5"/>
    <w:rsid w:val="00D97DF7"/>
    <w:rsid w:val="00D97E16"/>
    <w:rsid w:val="00DA003A"/>
    <w:rsid w:val="00DA0122"/>
    <w:rsid w:val="00DA0163"/>
    <w:rsid w:val="00DA0228"/>
    <w:rsid w:val="00DA038D"/>
    <w:rsid w:val="00DA050F"/>
    <w:rsid w:val="00DA0788"/>
    <w:rsid w:val="00DA09EA"/>
    <w:rsid w:val="00DA0B23"/>
    <w:rsid w:val="00DA0C01"/>
    <w:rsid w:val="00DA0DB4"/>
    <w:rsid w:val="00DA0EE8"/>
    <w:rsid w:val="00DA0EED"/>
    <w:rsid w:val="00DA1140"/>
    <w:rsid w:val="00DA14B3"/>
    <w:rsid w:val="00DA1535"/>
    <w:rsid w:val="00DA1560"/>
    <w:rsid w:val="00DA16E4"/>
    <w:rsid w:val="00DA174F"/>
    <w:rsid w:val="00DA17B3"/>
    <w:rsid w:val="00DA1818"/>
    <w:rsid w:val="00DA1A22"/>
    <w:rsid w:val="00DA1CB6"/>
    <w:rsid w:val="00DA1D29"/>
    <w:rsid w:val="00DA1F38"/>
    <w:rsid w:val="00DA1FD1"/>
    <w:rsid w:val="00DA1FE6"/>
    <w:rsid w:val="00DA207E"/>
    <w:rsid w:val="00DA209F"/>
    <w:rsid w:val="00DA20D2"/>
    <w:rsid w:val="00DA220D"/>
    <w:rsid w:val="00DA22B6"/>
    <w:rsid w:val="00DA2352"/>
    <w:rsid w:val="00DA24CB"/>
    <w:rsid w:val="00DA25A8"/>
    <w:rsid w:val="00DA26D6"/>
    <w:rsid w:val="00DA2A5E"/>
    <w:rsid w:val="00DA2CBF"/>
    <w:rsid w:val="00DA2D8A"/>
    <w:rsid w:val="00DA2E13"/>
    <w:rsid w:val="00DA2EFF"/>
    <w:rsid w:val="00DA3020"/>
    <w:rsid w:val="00DA31C1"/>
    <w:rsid w:val="00DA3207"/>
    <w:rsid w:val="00DA3348"/>
    <w:rsid w:val="00DA36A1"/>
    <w:rsid w:val="00DA36F0"/>
    <w:rsid w:val="00DA371E"/>
    <w:rsid w:val="00DA3824"/>
    <w:rsid w:val="00DA390F"/>
    <w:rsid w:val="00DA396B"/>
    <w:rsid w:val="00DA3B3E"/>
    <w:rsid w:val="00DA3B96"/>
    <w:rsid w:val="00DA3D70"/>
    <w:rsid w:val="00DA3E9C"/>
    <w:rsid w:val="00DA41B4"/>
    <w:rsid w:val="00DA4224"/>
    <w:rsid w:val="00DA42EA"/>
    <w:rsid w:val="00DA440D"/>
    <w:rsid w:val="00DA44E0"/>
    <w:rsid w:val="00DA4601"/>
    <w:rsid w:val="00DA46FE"/>
    <w:rsid w:val="00DA48CE"/>
    <w:rsid w:val="00DA4A43"/>
    <w:rsid w:val="00DA4A5A"/>
    <w:rsid w:val="00DA4A69"/>
    <w:rsid w:val="00DA4B0C"/>
    <w:rsid w:val="00DA507C"/>
    <w:rsid w:val="00DA50A1"/>
    <w:rsid w:val="00DA513B"/>
    <w:rsid w:val="00DA54FE"/>
    <w:rsid w:val="00DA5536"/>
    <w:rsid w:val="00DA55F6"/>
    <w:rsid w:val="00DA561C"/>
    <w:rsid w:val="00DA56BD"/>
    <w:rsid w:val="00DA57BA"/>
    <w:rsid w:val="00DA58B1"/>
    <w:rsid w:val="00DA595F"/>
    <w:rsid w:val="00DA5982"/>
    <w:rsid w:val="00DA59CD"/>
    <w:rsid w:val="00DA5A4D"/>
    <w:rsid w:val="00DA5B4F"/>
    <w:rsid w:val="00DA5CED"/>
    <w:rsid w:val="00DA5E1B"/>
    <w:rsid w:val="00DA5EB6"/>
    <w:rsid w:val="00DA5EF2"/>
    <w:rsid w:val="00DA5F48"/>
    <w:rsid w:val="00DA5F80"/>
    <w:rsid w:val="00DA5FCC"/>
    <w:rsid w:val="00DA6054"/>
    <w:rsid w:val="00DA6335"/>
    <w:rsid w:val="00DA645A"/>
    <w:rsid w:val="00DA650F"/>
    <w:rsid w:val="00DA66C6"/>
    <w:rsid w:val="00DA6819"/>
    <w:rsid w:val="00DA6863"/>
    <w:rsid w:val="00DA6992"/>
    <w:rsid w:val="00DA6B24"/>
    <w:rsid w:val="00DA6EC3"/>
    <w:rsid w:val="00DA7299"/>
    <w:rsid w:val="00DA7477"/>
    <w:rsid w:val="00DA76B2"/>
    <w:rsid w:val="00DA76F7"/>
    <w:rsid w:val="00DA779A"/>
    <w:rsid w:val="00DA7957"/>
    <w:rsid w:val="00DA7BCB"/>
    <w:rsid w:val="00DA7C02"/>
    <w:rsid w:val="00DA7C1C"/>
    <w:rsid w:val="00DA7C21"/>
    <w:rsid w:val="00DA7C2C"/>
    <w:rsid w:val="00DA7CD8"/>
    <w:rsid w:val="00DA7E93"/>
    <w:rsid w:val="00DA7FC6"/>
    <w:rsid w:val="00DB011B"/>
    <w:rsid w:val="00DB0429"/>
    <w:rsid w:val="00DB05DC"/>
    <w:rsid w:val="00DB05EB"/>
    <w:rsid w:val="00DB06CE"/>
    <w:rsid w:val="00DB06EA"/>
    <w:rsid w:val="00DB0A2F"/>
    <w:rsid w:val="00DB0A30"/>
    <w:rsid w:val="00DB0AD7"/>
    <w:rsid w:val="00DB0BE1"/>
    <w:rsid w:val="00DB0C50"/>
    <w:rsid w:val="00DB0CC4"/>
    <w:rsid w:val="00DB0D5B"/>
    <w:rsid w:val="00DB0D65"/>
    <w:rsid w:val="00DB0D9A"/>
    <w:rsid w:val="00DB0E7F"/>
    <w:rsid w:val="00DB0EFA"/>
    <w:rsid w:val="00DB1048"/>
    <w:rsid w:val="00DB10F1"/>
    <w:rsid w:val="00DB13C7"/>
    <w:rsid w:val="00DB14FA"/>
    <w:rsid w:val="00DB169A"/>
    <w:rsid w:val="00DB175D"/>
    <w:rsid w:val="00DB1779"/>
    <w:rsid w:val="00DB1924"/>
    <w:rsid w:val="00DB1CF0"/>
    <w:rsid w:val="00DB1E61"/>
    <w:rsid w:val="00DB1EA1"/>
    <w:rsid w:val="00DB21FD"/>
    <w:rsid w:val="00DB2337"/>
    <w:rsid w:val="00DB2488"/>
    <w:rsid w:val="00DB2854"/>
    <w:rsid w:val="00DB292A"/>
    <w:rsid w:val="00DB2BCC"/>
    <w:rsid w:val="00DB2D17"/>
    <w:rsid w:val="00DB2D45"/>
    <w:rsid w:val="00DB2FE8"/>
    <w:rsid w:val="00DB301B"/>
    <w:rsid w:val="00DB32A9"/>
    <w:rsid w:val="00DB32C0"/>
    <w:rsid w:val="00DB3434"/>
    <w:rsid w:val="00DB34A0"/>
    <w:rsid w:val="00DB355B"/>
    <w:rsid w:val="00DB35DC"/>
    <w:rsid w:val="00DB362B"/>
    <w:rsid w:val="00DB390A"/>
    <w:rsid w:val="00DB3A16"/>
    <w:rsid w:val="00DB3C19"/>
    <w:rsid w:val="00DB3E3C"/>
    <w:rsid w:val="00DB3E5D"/>
    <w:rsid w:val="00DB3FBD"/>
    <w:rsid w:val="00DB4097"/>
    <w:rsid w:val="00DB412F"/>
    <w:rsid w:val="00DB4208"/>
    <w:rsid w:val="00DB4340"/>
    <w:rsid w:val="00DB442E"/>
    <w:rsid w:val="00DB4442"/>
    <w:rsid w:val="00DB44D3"/>
    <w:rsid w:val="00DB4530"/>
    <w:rsid w:val="00DB4538"/>
    <w:rsid w:val="00DB45A7"/>
    <w:rsid w:val="00DB45B0"/>
    <w:rsid w:val="00DB46CB"/>
    <w:rsid w:val="00DB4784"/>
    <w:rsid w:val="00DB48DF"/>
    <w:rsid w:val="00DB4C44"/>
    <w:rsid w:val="00DB4C68"/>
    <w:rsid w:val="00DB4C73"/>
    <w:rsid w:val="00DB4E75"/>
    <w:rsid w:val="00DB51C2"/>
    <w:rsid w:val="00DB5228"/>
    <w:rsid w:val="00DB530E"/>
    <w:rsid w:val="00DB5385"/>
    <w:rsid w:val="00DB53A7"/>
    <w:rsid w:val="00DB546B"/>
    <w:rsid w:val="00DB56FB"/>
    <w:rsid w:val="00DB5767"/>
    <w:rsid w:val="00DB5864"/>
    <w:rsid w:val="00DB5BD5"/>
    <w:rsid w:val="00DB5CD2"/>
    <w:rsid w:val="00DB5ECE"/>
    <w:rsid w:val="00DB608B"/>
    <w:rsid w:val="00DB6313"/>
    <w:rsid w:val="00DB638D"/>
    <w:rsid w:val="00DB68BF"/>
    <w:rsid w:val="00DB68DD"/>
    <w:rsid w:val="00DB69A7"/>
    <w:rsid w:val="00DB69B6"/>
    <w:rsid w:val="00DB6C25"/>
    <w:rsid w:val="00DB6C38"/>
    <w:rsid w:val="00DB702D"/>
    <w:rsid w:val="00DB70E2"/>
    <w:rsid w:val="00DB726B"/>
    <w:rsid w:val="00DB745B"/>
    <w:rsid w:val="00DB74BE"/>
    <w:rsid w:val="00DB750B"/>
    <w:rsid w:val="00DB76A5"/>
    <w:rsid w:val="00DB76E5"/>
    <w:rsid w:val="00DB7765"/>
    <w:rsid w:val="00DB77C2"/>
    <w:rsid w:val="00DB784D"/>
    <w:rsid w:val="00DB7B6F"/>
    <w:rsid w:val="00DB7DDC"/>
    <w:rsid w:val="00DC0095"/>
    <w:rsid w:val="00DC0652"/>
    <w:rsid w:val="00DC075C"/>
    <w:rsid w:val="00DC09B6"/>
    <w:rsid w:val="00DC0B76"/>
    <w:rsid w:val="00DC0D87"/>
    <w:rsid w:val="00DC0DE2"/>
    <w:rsid w:val="00DC0EC9"/>
    <w:rsid w:val="00DC1097"/>
    <w:rsid w:val="00DC1171"/>
    <w:rsid w:val="00DC119E"/>
    <w:rsid w:val="00DC143A"/>
    <w:rsid w:val="00DC1519"/>
    <w:rsid w:val="00DC168E"/>
    <w:rsid w:val="00DC1915"/>
    <w:rsid w:val="00DC19F6"/>
    <w:rsid w:val="00DC1D71"/>
    <w:rsid w:val="00DC1FAB"/>
    <w:rsid w:val="00DC2050"/>
    <w:rsid w:val="00DC223C"/>
    <w:rsid w:val="00DC25A3"/>
    <w:rsid w:val="00DC267A"/>
    <w:rsid w:val="00DC2747"/>
    <w:rsid w:val="00DC28E8"/>
    <w:rsid w:val="00DC296F"/>
    <w:rsid w:val="00DC2BB1"/>
    <w:rsid w:val="00DC2E30"/>
    <w:rsid w:val="00DC2EBE"/>
    <w:rsid w:val="00DC3104"/>
    <w:rsid w:val="00DC31B0"/>
    <w:rsid w:val="00DC3226"/>
    <w:rsid w:val="00DC3338"/>
    <w:rsid w:val="00DC3370"/>
    <w:rsid w:val="00DC3499"/>
    <w:rsid w:val="00DC349E"/>
    <w:rsid w:val="00DC36A1"/>
    <w:rsid w:val="00DC38FA"/>
    <w:rsid w:val="00DC3A6D"/>
    <w:rsid w:val="00DC3B06"/>
    <w:rsid w:val="00DC3CE3"/>
    <w:rsid w:val="00DC3D21"/>
    <w:rsid w:val="00DC3FEC"/>
    <w:rsid w:val="00DC4036"/>
    <w:rsid w:val="00DC40EE"/>
    <w:rsid w:val="00DC44C2"/>
    <w:rsid w:val="00DC4744"/>
    <w:rsid w:val="00DC47A8"/>
    <w:rsid w:val="00DC47D8"/>
    <w:rsid w:val="00DC4909"/>
    <w:rsid w:val="00DC4B0D"/>
    <w:rsid w:val="00DC4B32"/>
    <w:rsid w:val="00DC4D0E"/>
    <w:rsid w:val="00DC4D7E"/>
    <w:rsid w:val="00DC4EC1"/>
    <w:rsid w:val="00DC501E"/>
    <w:rsid w:val="00DC50E0"/>
    <w:rsid w:val="00DC51AF"/>
    <w:rsid w:val="00DC51FC"/>
    <w:rsid w:val="00DC53EC"/>
    <w:rsid w:val="00DC56CD"/>
    <w:rsid w:val="00DC571E"/>
    <w:rsid w:val="00DC5A9C"/>
    <w:rsid w:val="00DC5C67"/>
    <w:rsid w:val="00DC5E54"/>
    <w:rsid w:val="00DC610C"/>
    <w:rsid w:val="00DC616C"/>
    <w:rsid w:val="00DC6497"/>
    <w:rsid w:val="00DC650D"/>
    <w:rsid w:val="00DC667C"/>
    <w:rsid w:val="00DC68D4"/>
    <w:rsid w:val="00DC68D6"/>
    <w:rsid w:val="00DC68F5"/>
    <w:rsid w:val="00DC69C1"/>
    <w:rsid w:val="00DC6B4A"/>
    <w:rsid w:val="00DC6BF1"/>
    <w:rsid w:val="00DC6D45"/>
    <w:rsid w:val="00DC6DBF"/>
    <w:rsid w:val="00DC6DC5"/>
    <w:rsid w:val="00DC71E3"/>
    <w:rsid w:val="00DC780B"/>
    <w:rsid w:val="00DC783B"/>
    <w:rsid w:val="00DC784F"/>
    <w:rsid w:val="00DC7AE4"/>
    <w:rsid w:val="00DC7B69"/>
    <w:rsid w:val="00DC7D60"/>
    <w:rsid w:val="00DC7FF2"/>
    <w:rsid w:val="00DD0025"/>
    <w:rsid w:val="00DD019A"/>
    <w:rsid w:val="00DD01F8"/>
    <w:rsid w:val="00DD024E"/>
    <w:rsid w:val="00DD0625"/>
    <w:rsid w:val="00DD0919"/>
    <w:rsid w:val="00DD09EA"/>
    <w:rsid w:val="00DD0A19"/>
    <w:rsid w:val="00DD0B00"/>
    <w:rsid w:val="00DD0B9D"/>
    <w:rsid w:val="00DD0C23"/>
    <w:rsid w:val="00DD0CE5"/>
    <w:rsid w:val="00DD0F2F"/>
    <w:rsid w:val="00DD10FE"/>
    <w:rsid w:val="00DD1448"/>
    <w:rsid w:val="00DD15DD"/>
    <w:rsid w:val="00DD1887"/>
    <w:rsid w:val="00DD1A55"/>
    <w:rsid w:val="00DD1CBE"/>
    <w:rsid w:val="00DD1DE9"/>
    <w:rsid w:val="00DD1EBC"/>
    <w:rsid w:val="00DD1EF9"/>
    <w:rsid w:val="00DD20E9"/>
    <w:rsid w:val="00DD20F8"/>
    <w:rsid w:val="00DD21E6"/>
    <w:rsid w:val="00DD23EE"/>
    <w:rsid w:val="00DD2488"/>
    <w:rsid w:val="00DD2564"/>
    <w:rsid w:val="00DD27C6"/>
    <w:rsid w:val="00DD28F9"/>
    <w:rsid w:val="00DD2967"/>
    <w:rsid w:val="00DD2ADF"/>
    <w:rsid w:val="00DD2B04"/>
    <w:rsid w:val="00DD2BD3"/>
    <w:rsid w:val="00DD2C2E"/>
    <w:rsid w:val="00DD2E77"/>
    <w:rsid w:val="00DD2F1D"/>
    <w:rsid w:val="00DD3034"/>
    <w:rsid w:val="00DD30A0"/>
    <w:rsid w:val="00DD30CF"/>
    <w:rsid w:val="00DD321F"/>
    <w:rsid w:val="00DD3229"/>
    <w:rsid w:val="00DD33A2"/>
    <w:rsid w:val="00DD3423"/>
    <w:rsid w:val="00DD344D"/>
    <w:rsid w:val="00DD3572"/>
    <w:rsid w:val="00DD3918"/>
    <w:rsid w:val="00DD3984"/>
    <w:rsid w:val="00DD3CFE"/>
    <w:rsid w:val="00DD3DA2"/>
    <w:rsid w:val="00DD3E0E"/>
    <w:rsid w:val="00DD47A6"/>
    <w:rsid w:val="00DD49E5"/>
    <w:rsid w:val="00DD4A74"/>
    <w:rsid w:val="00DD4CEF"/>
    <w:rsid w:val="00DD4E57"/>
    <w:rsid w:val="00DD4ECB"/>
    <w:rsid w:val="00DD4F01"/>
    <w:rsid w:val="00DD4F74"/>
    <w:rsid w:val="00DD5071"/>
    <w:rsid w:val="00DD51F4"/>
    <w:rsid w:val="00DD51FE"/>
    <w:rsid w:val="00DD52F1"/>
    <w:rsid w:val="00DD5524"/>
    <w:rsid w:val="00DD56F9"/>
    <w:rsid w:val="00DD5F34"/>
    <w:rsid w:val="00DD5F63"/>
    <w:rsid w:val="00DD602D"/>
    <w:rsid w:val="00DD6172"/>
    <w:rsid w:val="00DD62E7"/>
    <w:rsid w:val="00DD6471"/>
    <w:rsid w:val="00DD6724"/>
    <w:rsid w:val="00DD67D8"/>
    <w:rsid w:val="00DD67DA"/>
    <w:rsid w:val="00DD68F7"/>
    <w:rsid w:val="00DD695A"/>
    <w:rsid w:val="00DD69B5"/>
    <w:rsid w:val="00DD6AA1"/>
    <w:rsid w:val="00DD6B89"/>
    <w:rsid w:val="00DD6C0A"/>
    <w:rsid w:val="00DD6F93"/>
    <w:rsid w:val="00DD6FC7"/>
    <w:rsid w:val="00DD70A8"/>
    <w:rsid w:val="00DD7188"/>
    <w:rsid w:val="00DD71EC"/>
    <w:rsid w:val="00DD7278"/>
    <w:rsid w:val="00DD72A1"/>
    <w:rsid w:val="00DD72CB"/>
    <w:rsid w:val="00DD7459"/>
    <w:rsid w:val="00DD76A5"/>
    <w:rsid w:val="00DD76E6"/>
    <w:rsid w:val="00DD77C8"/>
    <w:rsid w:val="00DD7951"/>
    <w:rsid w:val="00DD7A16"/>
    <w:rsid w:val="00DD7AC8"/>
    <w:rsid w:val="00DD7B9C"/>
    <w:rsid w:val="00DE029D"/>
    <w:rsid w:val="00DE0470"/>
    <w:rsid w:val="00DE0481"/>
    <w:rsid w:val="00DE0615"/>
    <w:rsid w:val="00DE067B"/>
    <w:rsid w:val="00DE07E9"/>
    <w:rsid w:val="00DE08B4"/>
    <w:rsid w:val="00DE08E4"/>
    <w:rsid w:val="00DE0BB5"/>
    <w:rsid w:val="00DE0BEC"/>
    <w:rsid w:val="00DE0C39"/>
    <w:rsid w:val="00DE0F09"/>
    <w:rsid w:val="00DE0FC7"/>
    <w:rsid w:val="00DE104A"/>
    <w:rsid w:val="00DE10C7"/>
    <w:rsid w:val="00DE11C3"/>
    <w:rsid w:val="00DE14B1"/>
    <w:rsid w:val="00DE1584"/>
    <w:rsid w:val="00DE1771"/>
    <w:rsid w:val="00DE19A5"/>
    <w:rsid w:val="00DE1AD4"/>
    <w:rsid w:val="00DE1B63"/>
    <w:rsid w:val="00DE1BA3"/>
    <w:rsid w:val="00DE1FA2"/>
    <w:rsid w:val="00DE1FA6"/>
    <w:rsid w:val="00DE208E"/>
    <w:rsid w:val="00DE21A0"/>
    <w:rsid w:val="00DE22F0"/>
    <w:rsid w:val="00DE24BA"/>
    <w:rsid w:val="00DE253D"/>
    <w:rsid w:val="00DE287D"/>
    <w:rsid w:val="00DE2A44"/>
    <w:rsid w:val="00DE2B41"/>
    <w:rsid w:val="00DE2B98"/>
    <w:rsid w:val="00DE2D0C"/>
    <w:rsid w:val="00DE2E62"/>
    <w:rsid w:val="00DE2F78"/>
    <w:rsid w:val="00DE2FC4"/>
    <w:rsid w:val="00DE3143"/>
    <w:rsid w:val="00DE3352"/>
    <w:rsid w:val="00DE33A3"/>
    <w:rsid w:val="00DE347F"/>
    <w:rsid w:val="00DE36D7"/>
    <w:rsid w:val="00DE393A"/>
    <w:rsid w:val="00DE3ADD"/>
    <w:rsid w:val="00DE3C17"/>
    <w:rsid w:val="00DE3DBF"/>
    <w:rsid w:val="00DE404C"/>
    <w:rsid w:val="00DE4216"/>
    <w:rsid w:val="00DE42E8"/>
    <w:rsid w:val="00DE4425"/>
    <w:rsid w:val="00DE446B"/>
    <w:rsid w:val="00DE4518"/>
    <w:rsid w:val="00DE463B"/>
    <w:rsid w:val="00DE4712"/>
    <w:rsid w:val="00DE47E1"/>
    <w:rsid w:val="00DE499D"/>
    <w:rsid w:val="00DE4CE5"/>
    <w:rsid w:val="00DE4EAB"/>
    <w:rsid w:val="00DE4FB8"/>
    <w:rsid w:val="00DE512D"/>
    <w:rsid w:val="00DE53B0"/>
    <w:rsid w:val="00DE53EF"/>
    <w:rsid w:val="00DE564B"/>
    <w:rsid w:val="00DE5657"/>
    <w:rsid w:val="00DE56C2"/>
    <w:rsid w:val="00DE57B1"/>
    <w:rsid w:val="00DE57B8"/>
    <w:rsid w:val="00DE58E7"/>
    <w:rsid w:val="00DE5987"/>
    <w:rsid w:val="00DE5C2B"/>
    <w:rsid w:val="00DE5D4D"/>
    <w:rsid w:val="00DE5D91"/>
    <w:rsid w:val="00DE5EA8"/>
    <w:rsid w:val="00DE5FD3"/>
    <w:rsid w:val="00DE60AA"/>
    <w:rsid w:val="00DE624C"/>
    <w:rsid w:val="00DE630B"/>
    <w:rsid w:val="00DE6336"/>
    <w:rsid w:val="00DE63F7"/>
    <w:rsid w:val="00DE6490"/>
    <w:rsid w:val="00DE64FB"/>
    <w:rsid w:val="00DE64FD"/>
    <w:rsid w:val="00DE670F"/>
    <w:rsid w:val="00DE682F"/>
    <w:rsid w:val="00DE6889"/>
    <w:rsid w:val="00DE68D2"/>
    <w:rsid w:val="00DE68D8"/>
    <w:rsid w:val="00DE68EA"/>
    <w:rsid w:val="00DE69FE"/>
    <w:rsid w:val="00DE6AC5"/>
    <w:rsid w:val="00DE6B74"/>
    <w:rsid w:val="00DE6BAD"/>
    <w:rsid w:val="00DE6C1B"/>
    <w:rsid w:val="00DE6D75"/>
    <w:rsid w:val="00DE6DB1"/>
    <w:rsid w:val="00DE6E3A"/>
    <w:rsid w:val="00DE6EF8"/>
    <w:rsid w:val="00DE70CC"/>
    <w:rsid w:val="00DE728A"/>
    <w:rsid w:val="00DE7432"/>
    <w:rsid w:val="00DE74A1"/>
    <w:rsid w:val="00DE74B3"/>
    <w:rsid w:val="00DE7734"/>
    <w:rsid w:val="00DE79CB"/>
    <w:rsid w:val="00DE7C1E"/>
    <w:rsid w:val="00DE7EBC"/>
    <w:rsid w:val="00DE7EDC"/>
    <w:rsid w:val="00DE7EE7"/>
    <w:rsid w:val="00DE7EEA"/>
    <w:rsid w:val="00DE7F37"/>
    <w:rsid w:val="00DE7FAD"/>
    <w:rsid w:val="00DF004D"/>
    <w:rsid w:val="00DF00BB"/>
    <w:rsid w:val="00DF0125"/>
    <w:rsid w:val="00DF0238"/>
    <w:rsid w:val="00DF0248"/>
    <w:rsid w:val="00DF0507"/>
    <w:rsid w:val="00DF0889"/>
    <w:rsid w:val="00DF0935"/>
    <w:rsid w:val="00DF0FC3"/>
    <w:rsid w:val="00DF1137"/>
    <w:rsid w:val="00DF11DB"/>
    <w:rsid w:val="00DF13AF"/>
    <w:rsid w:val="00DF14B2"/>
    <w:rsid w:val="00DF14CA"/>
    <w:rsid w:val="00DF14F6"/>
    <w:rsid w:val="00DF150D"/>
    <w:rsid w:val="00DF1583"/>
    <w:rsid w:val="00DF181A"/>
    <w:rsid w:val="00DF1AB7"/>
    <w:rsid w:val="00DF1B00"/>
    <w:rsid w:val="00DF1DEA"/>
    <w:rsid w:val="00DF1EDB"/>
    <w:rsid w:val="00DF1FF5"/>
    <w:rsid w:val="00DF20CE"/>
    <w:rsid w:val="00DF22A8"/>
    <w:rsid w:val="00DF22B2"/>
    <w:rsid w:val="00DF259D"/>
    <w:rsid w:val="00DF26F0"/>
    <w:rsid w:val="00DF28E1"/>
    <w:rsid w:val="00DF2D29"/>
    <w:rsid w:val="00DF2DA8"/>
    <w:rsid w:val="00DF2E9C"/>
    <w:rsid w:val="00DF3186"/>
    <w:rsid w:val="00DF33B1"/>
    <w:rsid w:val="00DF33C8"/>
    <w:rsid w:val="00DF33EC"/>
    <w:rsid w:val="00DF3598"/>
    <w:rsid w:val="00DF36C6"/>
    <w:rsid w:val="00DF3701"/>
    <w:rsid w:val="00DF3703"/>
    <w:rsid w:val="00DF38AA"/>
    <w:rsid w:val="00DF3C1F"/>
    <w:rsid w:val="00DF3C91"/>
    <w:rsid w:val="00DF3E19"/>
    <w:rsid w:val="00DF3EDB"/>
    <w:rsid w:val="00DF401B"/>
    <w:rsid w:val="00DF404A"/>
    <w:rsid w:val="00DF4282"/>
    <w:rsid w:val="00DF4369"/>
    <w:rsid w:val="00DF4438"/>
    <w:rsid w:val="00DF4502"/>
    <w:rsid w:val="00DF467D"/>
    <w:rsid w:val="00DF4B84"/>
    <w:rsid w:val="00DF4C80"/>
    <w:rsid w:val="00DF4CC0"/>
    <w:rsid w:val="00DF4FE2"/>
    <w:rsid w:val="00DF5003"/>
    <w:rsid w:val="00DF50A1"/>
    <w:rsid w:val="00DF52D2"/>
    <w:rsid w:val="00DF5353"/>
    <w:rsid w:val="00DF5764"/>
    <w:rsid w:val="00DF5826"/>
    <w:rsid w:val="00DF59B2"/>
    <w:rsid w:val="00DF5B54"/>
    <w:rsid w:val="00DF5BE4"/>
    <w:rsid w:val="00DF5E92"/>
    <w:rsid w:val="00DF6080"/>
    <w:rsid w:val="00DF61A1"/>
    <w:rsid w:val="00DF6310"/>
    <w:rsid w:val="00DF663A"/>
    <w:rsid w:val="00DF66CB"/>
    <w:rsid w:val="00DF6723"/>
    <w:rsid w:val="00DF692D"/>
    <w:rsid w:val="00DF69A1"/>
    <w:rsid w:val="00DF6AD8"/>
    <w:rsid w:val="00DF6CF7"/>
    <w:rsid w:val="00DF6EAC"/>
    <w:rsid w:val="00DF72B4"/>
    <w:rsid w:val="00DF7333"/>
    <w:rsid w:val="00DF74DF"/>
    <w:rsid w:val="00DF772D"/>
    <w:rsid w:val="00DF77E8"/>
    <w:rsid w:val="00DF7984"/>
    <w:rsid w:val="00DF7986"/>
    <w:rsid w:val="00DF7B04"/>
    <w:rsid w:val="00DF7C79"/>
    <w:rsid w:val="00DF7F31"/>
    <w:rsid w:val="00DF7F4C"/>
    <w:rsid w:val="00DF7F83"/>
    <w:rsid w:val="00DF7FBC"/>
    <w:rsid w:val="00E00148"/>
    <w:rsid w:val="00E00405"/>
    <w:rsid w:val="00E00512"/>
    <w:rsid w:val="00E00616"/>
    <w:rsid w:val="00E007A1"/>
    <w:rsid w:val="00E00899"/>
    <w:rsid w:val="00E00D74"/>
    <w:rsid w:val="00E00EDE"/>
    <w:rsid w:val="00E00FC4"/>
    <w:rsid w:val="00E010EC"/>
    <w:rsid w:val="00E01177"/>
    <w:rsid w:val="00E014DB"/>
    <w:rsid w:val="00E014E2"/>
    <w:rsid w:val="00E016E5"/>
    <w:rsid w:val="00E01E19"/>
    <w:rsid w:val="00E01E4C"/>
    <w:rsid w:val="00E01E77"/>
    <w:rsid w:val="00E01EFB"/>
    <w:rsid w:val="00E01F12"/>
    <w:rsid w:val="00E02059"/>
    <w:rsid w:val="00E02184"/>
    <w:rsid w:val="00E022FB"/>
    <w:rsid w:val="00E0297E"/>
    <w:rsid w:val="00E02AC1"/>
    <w:rsid w:val="00E02ACF"/>
    <w:rsid w:val="00E02D41"/>
    <w:rsid w:val="00E02EF6"/>
    <w:rsid w:val="00E03433"/>
    <w:rsid w:val="00E03647"/>
    <w:rsid w:val="00E03857"/>
    <w:rsid w:val="00E038BE"/>
    <w:rsid w:val="00E03917"/>
    <w:rsid w:val="00E03D9F"/>
    <w:rsid w:val="00E03F7B"/>
    <w:rsid w:val="00E03FB3"/>
    <w:rsid w:val="00E04295"/>
    <w:rsid w:val="00E042AD"/>
    <w:rsid w:val="00E044EB"/>
    <w:rsid w:val="00E04593"/>
    <w:rsid w:val="00E0478F"/>
    <w:rsid w:val="00E04851"/>
    <w:rsid w:val="00E048BB"/>
    <w:rsid w:val="00E04945"/>
    <w:rsid w:val="00E049E0"/>
    <w:rsid w:val="00E04AF6"/>
    <w:rsid w:val="00E04C86"/>
    <w:rsid w:val="00E04CD5"/>
    <w:rsid w:val="00E04CF1"/>
    <w:rsid w:val="00E05088"/>
    <w:rsid w:val="00E050B8"/>
    <w:rsid w:val="00E0512F"/>
    <w:rsid w:val="00E053BF"/>
    <w:rsid w:val="00E05596"/>
    <w:rsid w:val="00E05652"/>
    <w:rsid w:val="00E05A7A"/>
    <w:rsid w:val="00E05AF0"/>
    <w:rsid w:val="00E05B34"/>
    <w:rsid w:val="00E05E1E"/>
    <w:rsid w:val="00E05E28"/>
    <w:rsid w:val="00E0603F"/>
    <w:rsid w:val="00E0604D"/>
    <w:rsid w:val="00E0615B"/>
    <w:rsid w:val="00E06264"/>
    <w:rsid w:val="00E062E2"/>
    <w:rsid w:val="00E06365"/>
    <w:rsid w:val="00E063CE"/>
    <w:rsid w:val="00E065D2"/>
    <w:rsid w:val="00E065DC"/>
    <w:rsid w:val="00E066C4"/>
    <w:rsid w:val="00E06946"/>
    <w:rsid w:val="00E06A33"/>
    <w:rsid w:val="00E06A76"/>
    <w:rsid w:val="00E06B13"/>
    <w:rsid w:val="00E06DBC"/>
    <w:rsid w:val="00E07047"/>
    <w:rsid w:val="00E070A9"/>
    <w:rsid w:val="00E070CC"/>
    <w:rsid w:val="00E070CF"/>
    <w:rsid w:val="00E070F8"/>
    <w:rsid w:val="00E0714D"/>
    <w:rsid w:val="00E07553"/>
    <w:rsid w:val="00E07730"/>
    <w:rsid w:val="00E07A03"/>
    <w:rsid w:val="00E07A0F"/>
    <w:rsid w:val="00E07A7A"/>
    <w:rsid w:val="00E07C88"/>
    <w:rsid w:val="00E07D19"/>
    <w:rsid w:val="00E07D5A"/>
    <w:rsid w:val="00E07DCF"/>
    <w:rsid w:val="00E07E36"/>
    <w:rsid w:val="00E07E83"/>
    <w:rsid w:val="00E07F9B"/>
    <w:rsid w:val="00E1007E"/>
    <w:rsid w:val="00E10195"/>
    <w:rsid w:val="00E101C7"/>
    <w:rsid w:val="00E101EF"/>
    <w:rsid w:val="00E103DD"/>
    <w:rsid w:val="00E1060C"/>
    <w:rsid w:val="00E10B11"/>
    <w:rsid w:val="00E10B52"/>
    <w:rsid w:val="00E10BA1"/>
    <w:rsid w:val="00E10C59"/>
    <w:rsid w:val="00E10C6D"/>
    <w:rsid w:val="00E10F1F"/>
    <w:rsid w:val="00E11219"/>
    <w:rsid w:val="00E11286"/>
    <w:rsid w:val="00E112FA"/>
    <w:rsid w:val="00E114C2"/>
    <w:rsid w:val="00E114EE"/>
    <w:rsid w:val="00E11669"/>
    <w:rsid w:val="00E1168B"/>
    <w:rsid w:val="00E119EA"/>
    <w:rsid w:val="00E11A4A"/>
    <w:rsid w:val="00E11E73"/>
    <w:rsid w:val="00E11E8F"/>
    <w:rsid w:val="00E11EBD"/>
    <w:rsid w:val="00E120E8"/>
    <w:rsid w:val="00E12199"/>
    <w:rsid w:val="00E1219E"/>
    <w:rsid w:val="00E121C7"/>
    <w:rsid w:val="00E121DE"/>
    <w:rsid w:val="00E1221C"/>
    <w:rsid w:val="00E12393"/>
    <w:rsid w:val="00E123F8"/>
    <w:rsid w:val="00E124D5"/>
    <w:rsid w:val="00E12604"/>
    <w:rsid w:val="00E12698"/>
    <w:rsid w:val="00E1280F"/>
    <w:rsid w:val="00E12943"/>
    <w:rsid w:val="00E129A7"/>
    <w:rsid w:val="00E12A27"/>
    <w:rsid w:val="00E12A8C"/>
    <w:rsid w:val="00E12B01"/>
    <w:rsid w:val="00E12D4A"/>
    <w:rsid w:val="00E12DE6"/>
    <w:rsid w:val="00E1307A"/>
    <w:rsid w:val="00E13162"/>
    <w:rsid w:val="00E13352"/>
    <w:rsid w:val="00E13826"/>
    <w:rsid w:val="00E138EE"/>
    <w:rsid w:val="00E13A25"/>
    <w:rsid w:val="00E13B09"/>
    <w:rsid w:val="00E13C95"/>
    <w:rsid w:val="00E13D4A"/>
    <w:rsid w:val="00E13E4A"/>
    <w:rsid w:val="00E13FBE"/>
    <w:rsid w:val="00E141F0"/>
    <w:rsid w:val="00E14202"/>
    <w:rsid w:val="00E142EC"/>
    <w:rsid w:val="00E1467E"/>
    <w:rsid w:val="00E14A02"/>
    <w:rsid w:val="00E14B97"/>
    <w:rsid w:val="00E14BBA"/>
    <w:rsid w:val="00E14BD6"/>
    <w:rsid w:val="00E14D78"/>
    <w:rsid w:val="00E14EFC"/>
    <w:rsid w:val="00E15134"/>
    <w:rsid w:val="00E1516A"/>
    <w:rsid w:val="00E15674"/>
    <w:rsid w:val="00E156DB"/>
    <w:rsid w:val="00E15AFE"/>
    <w:rsid w:val="00E15C23"/>
    <w:rsid w:val="00E15DA7"/>
    <w:rsid w:val="00E16080"/>
    <w:rsid w:val="00E16183"/>
    <w:rsid w:val="00E16195"/>
    <w:rsid w:val="00E16201"/>
    <w:rsid w:val="00E16213"/>
    <w:rsid w:val="00E16268"/>
    <w:rsid w:val="00E1638F"/>
    <w:rsid w:val="00E1640E"/>
    <w:rsid w:val="00E1674B"/>
    <w:rsid w:val="00E167CF"/>
    <w:rsid w:val="00E167EB"/>
    <w:rsid w:val="00E16822"/>
    <w:rsid w:val="00E16A32"/>
    <w:rsid w:val="00E16AB6"/>
    <w:rsid w:val="00E16E74"/>
    <w:rsid w:val="00E16EFB"/>
    <w:rsid w:val="00E16F2A"/>
    <w:rsid w:val="00E16FEE"/>
    <w:rsid w:val="00E170F0"/>
    <w:rsid w:val="00E17332"/>
    <w:rsid w:val="00E174D5"/>
    <w:rsid w:val="00E1769E"/>
    <w:rsid w:val="00E17735"/>
    <w:rsid w:val="00E1783B"/>
    <w:rsid w:val="00E178BA"/>
    <w:rsid w:val="00E17916"/>
    <w:rsid w:val="00E179FC"/>
    <w:rsid w:val="00E17A1B"/>
    <w:rsid w:val="00E17B4F"/>
    <w:rsid w:val="00E17B98"/>
    <w:rsid w:val="00E17C64"/>
    <w:rsid w:val="00E17EB6"/>
    <w:rsid w:val="00E200CA"/>
    <w:rsid w:val="00E20299"/>
    <w:rsid w:val="00E202E9"/>
    <w:rsid w:val="00E2038C"/>
    <w:rsid w:val="00E20509"/>
    <w:rsid w:val="00E20798"/>
    <w:rsid w:val="00E20A81"/>
    <w:rsid w:val="00E20B8F"/>
    <w:rsid w:val="00E20BD1"/>
    <w:rsid w:val="00E20D17"/>
    <w:rsid w:val="00E20DF0"/>
    <w:rsid w:val="00E2107C"/>
    <w:rsid w:val="00E21098"/>
    <w:rsid w:val="00E2110E"/>
    <w:rsid w:val="00E2118D"/>
    <w:rsid w:val="00E21192"/>
    <w:rsid w:val="00E21205"/>
    <w:rsid w:val="00E21330"/>
    <w:rsid w:val="00E214D0"/>
    <w:rsid w:val="00E21667"/>
    <w:rsid w:val="00E21BF2"/>
    <w:rsid w:val="00E21ED7"/>
    <w:rsid w:val="00E21F29"/>
    <w:rsid w:val="00E220A8"/>
    <w:rsid w:val="00E22253"/>
    <w:rsid w:val="00E22683"/>
    <w:rsid w:val="00E22751"/>
    <w:rsid w:val="00E22780"/>
    <w:rsid w:val="00E22C61"/>
    <w:rsid w:val="00E22CD7"/>
    <w:rsid w:val="00E22F35"/>
    <w:rsid w:val="00E230F5"/>
    <w:rsid w:val="00E23108"/>
    <w:rsid w:val="00E23193"/>
    <w:rsid w:val="00E23247"/>
    <w:rsid w:val="00E23285"/>
    <w:rsid w:val="00E232F7"/>
    <w:rsid w:val="00E23554"/>
    <w:rsid w:val="00E23632"/>
    <w:rsid w:val="00E2386F"/>
    <w:rsid w:val="00E2389A"/>
    <w:rsid w:val="00E23AAE"/>
    <w:rsid w:val="00E23B4C"/>
    <w:rsid w:val="00E23D94"/>
    <w:rsid w:val="00E23EE4"/>
    <w:rsid w:val="00E23F50"/>
    <w:rsid w:val="00E2428B"/>
    <w:rsid w:val="00E2431A"/>
    <w:rsid w:val="00E24384"/>
    <w:rsid w:val="00E2452D"/>
    <w:rsid w:val="00E247B4"/>
    <w:rsid w:val="00E247F6"/>
    <w:rsid w:val="00E24891"/>
    <w:rsid w:val="00E24DDD"/>
    <w:rsid w:val="00E24E41"/>
    <w:rsid w:val="00E24EF1"/>
    <w:rsid w:val="00E25034"/>
    <w:rsid w:val="00E25193"/>
    <w:rsid w:val="00E252BF"/>
    <w:rsid w:val="00E25386"/>
    <w:rsid w:val="00E253C7"/>
    <w:rsid w:val="00E2544F"/>
    <w:rsid w:val="00E25548"/>
    <w:rsid w:val="00E255ED"/>
    <w:rsid w:val="00E258B7"/>
    <w:rsid w:val="00E259D5"/>
    <w:rsid w:val="00E25A45"/>
    <w:rsid w:val="00E25B53"/>
    <w:rsid w:val="00E25B97"/>
    <w:rsid w:val="00E25F90"/>
    <w:rsid w:val="00E25FE2"/>
    <w:rsid w:val="00E2602D"/>
    <w:rsid w:val="00E260F1"/>
    <w:rsid w:val="00E2610C"/>
    <w:rsid w:val="00E263BC"/>
    <w:rsid w:val="00E266B8"/>
    <w:rsid w:val="00E2672E"/>
    <w:rsid w:val="00E2679F"/>
    <w:rsid w:val="00E267D4"/>
    <w:rsid w:val="00E26925"/>
    <w:rsid w:val="00E269C0"/>
    <w:rsid w:val="00E26ADC"/>
    <w:rsid w:val="00E26E74"/>
    <w:rsid w:val="00E26F18"/>
    <w:rsid w:val="00E26FAC"/>
    <w:rsid w:val="00E27037"/>
    <w:rsid w:val="00E27074"/>
    <w:rsid w:val="00E2726D"/>
    <w:rsid w:val="00E272DD"/>
    <w:rsid w:val="00E27347"/>
    <w:rsid w:val="00E27453"/>
    <w:rsid w:val="00E274E1"/>
    <w:rsid w:val="00E27558"/>
    <w:rsid w:val="00E275CB"/>
    <w:rsid w:val="00E276CA"/>
    <w:rsid w:val="00E2785D"/>
    <w:rsid w:val="00E2786A"/>
    <w:rsid w:val="00E278C2"/>
    <w:rsid w:val="00E279A2"/>
    <w:rsid w:val="00E27AD5"/>
    <w:rsid w:val="00E27B0B"/>
    <w:rsid w:val="00E27BA1"/>
    <w:rsid w:val="00E27D46"/>
    <w:rsid w:val="00E27E95"/>
    <w:rsid w:val="00E27FF0"/>
    <w:rsid w:val="00E300C0"/>
    <w:rsid w:val="00E301CD"/>
    <w:rsid w:val="00E3025B"/>
    <w:rsid w:val="00E308A4"/>
    <w:rsid w:val="00E30960"/>
    <w:rsid w:val="00E30B2F"/>
    <w:rsid w:val="00E30BA1"/>
    <w:rsid w:val="00E30BCF"/>
    <w:rsid w:val="00E30C78"/>
    <w:rsid w:val="00E30DB7"/>
    <w:rsid w:val="00E30E19"/>
    <w:rsid w:val="00E30ED8"/>
    <w:rsid w:val="00E3109F"/>
    <w:rsid w:val="00E3116D"/>
    <w:rsid w:val="00E311D5"/>
    <w:rsid w:val="00E3123A"/>
    <w:rsid w:val="00E31377"/>
    <w:rsid w:val="00E31599"/>
    <w:rsid w:val="00E315B3"/>
    <w:rsid w:val="00E315CF"/>
    <w:rsid w:val="00E3161D"/>
    <w:rsid w:val="00E317A4"/>
    <w:rsid w:val="00E31B26"/>
    <w:rsid w:val="00E31B33"/>
    <w:rsid w:val="00E31B7A"/>
    <w:rsid w:val="00E31C52"/>
    <w:rsid w:val="00E31F50"/>
    <w:rsid w:val="00E32318"/>
    <w:rsid w:val="00E3232D"/>
    <w:rsid w:val="00E3234C"/>
    <w:rsid w:val="00E324FA"/>
    <w:rsid w:val="00E325E7"/>
    <w:rsid w:val="00E327CE"/>
    <w:rsid w:val="00E3299B"/>
    <w:rsid w:val="00E32A99"/>
    <w:rsid w:val="00E32ABD"/>
    <w:rsid w:val="00E3310B"/>
    <w:rsid w:val="00E3328A"/>
    <w:rsid w:val="00E33295"/>
    <w:rsid w:val="00E333AE"/>
    <w:rsid w:val="00E335A2"/>
    <w:rsid w:val="00E336E3"/>
    <w:rsid w:val="00E33D33"/>
    <w:rsid w:val="00E33D9E"/>
    <w:rsid w:val="00E340C2"/>
    <w:rsid w:val="00E3428D"/>
    <w:rsid w:val="00E34326"/>
    <w:rsid w:val="00E344A3"/>
    <w:rsid w:val="00E34814"/>
    <w:rsid w:val="00E34847"/>
    <w:rsid w:val="00E3489A"/>
    <w:rsid w:val="00E34CFA"/>
    <w:rsid w:val="00E34D0B"/>
    <w:rsid w:val="00E34D35"/>
    <w:rsid w:val="00E34E00"/>
    <w:rsid w:val="00E351E5"/>
    <w:rsid w:val="00E35487"/>
    <w:rsid w:val="00E35551"/>
    <w:rsid w:val="00E3559C"/>
    <w:rsid w:val="00E356DA"/>
    <w:rsid w:val="00E357D1"/>
    <w:rsid w:val="00E35AF9"/>
    <w:rsid w:val="00E35B7D"/>
    <w:rsid w:val="00E35BB7"/>
    <w:rsid w:val="00E35CAF"/>
    <w:rsid w:val="00E35DF0"/>
    <w:rsid w:val="00E35E49"/>
    <w:rsid w:val="00E35E4F"/>
    <w:rsid w:val="00E35E8C"/>
    <w:rsid w:val="00E35EDB"/>
    <w:rsid w:val="00E36133"/>
    <w:rsid w:val="00E36220"/>
    <w:rsid w:val="00E36425"/>
    <w:rsid w:val="00E364CB"/>
    <w:rsid w:val="00E3661E"/>
    <w:rsid w:val="00E36639"/>
    <w:rsid w:val="00E368F6"/>
    <w:rsid w:val="00E36910"/>
    <w:rsid w:val="00E369A8"/>
    <w:rsid w:val="00E36A3A"/>
    <w:rsid w:val="00E36BCB"/>
    <w:rsid w:val="00E36BFF"/>
    <w:rsid w:val="00E36C28"/>
    <w:rsid w:val="00E36D98"/>
    <w:rsid w:val="00E36E0B"/>
    <w:rsid w:val="00E36E1A"/>
    <w:rsid w:val="00E36E81"/>
    <w:rsid w:val="00E370A2"/>
    <w:rsid w:val="00E37137"/>
    <w:rsid w:val="00E3732D"/>
    <w:rsid w:val="00E37420"/>
    <w:rsid w:val="00E37472"/>
    <w:rsid w:val="00E37662"/>
    <w:rsid w:val="00E3774F"/>
    <w:rsid w:val="00E377A7"/>
    <w:rsid w:val="00E377DF"/>
    <w:rsid w:val="00E37872"/>
    <w:rsid w:val="00E379BF"/>
    <w:rsid w:val="00E37A2D"/>
    <w:rsid w:val="00E37C2C"/>
    <w:rsid w:val="00E37DDB"/>
    <w:rsid w:val="00E400D9"/>
    <w:rsid w:val="00E401B8"/>
    <w:rsid w:val="00E401D7"/>
    <w:rsid w:val="00E401FF"/>
    <w:rsid w:val="00E40400"/>
    <w:rsid w:val="00E40449"/>
    <w:rsid w:val="00E408C5"/>
    <w:rsid w:val="00E40939"/>
    <w:rsid w:val="00E409AA"/>
    <w:rsid w:val="00E40C0E"/>
    <w:rsid w:val="00E40C35"/>
    <w:rsid w:val="00E41181"/>
    <w:rsid w:val="00E41377"/>
    <w:rsid w:val="00E41398"/>
    <w:rsid w:val="00E416A2"/>
    <w:rsid w:val="00E416A6"/>
    <w:rsid w:val="00E41718"/>
    <w:rsid w:val="00E418FE"/>
    <w:rsid w:val="00E41AE6"/>
    <w:rsid w:val="00E41CF8"/>
    <w:rsid w:val="00E41E52"/>
    <w:rsid w:val="00E41E6A"/>
    <w:rsid w:val="00E41E90"/>
    <w:rsid w:val="00E41FDE"/>
    <w:rsid w:val="00E42160"/>
    <w:rsid w:val="00E4235A"/>
    <w:rsid w:val="00E423A3"/>
    <w:rsid w:val="00E4253F"/>
    <w:rsid w:val="00E42578"/>
    <w:rsid w:val="00E4257E"/>
    <w:rsid w:val="00E4260E"/>
    <w:rsid w:val="00E42705"/>
    <w:rsid w:val="00E42757"/>
    <w:rsid w:val="00E42841"/>
    <w:rsid w:val="00E428CB"/>
    <w:rsid w:val="00E429CE"/>
    <w:rsid w:val="00E42B70"/>
    <w:rsid w:val="00E42BBA"/>
    <w:rsid w:val="00E42CDA"/>
    <w:rsid w:val="00E42CF6"/>
    <w:rsid w:val="00E42D58"/>
    <w:rsid w:val="00E42F4B"/>
    <w:rsid w:val="00E42FAB"/>
    <w:rsid w:val="00E42FC4"/>
    <w:rsid w:val="00E43131"/>
    <w:rsid w:val="00E4316E"/>
    <w:rsid w:val="00E43279"/>
    <w:rsid w:val="00E43487"/>
    <w:rsid w:val="00E43A18"/>
    <w:rsid w:val="00E43C94"/>
    <w:rsid w:val="00E43CE8"/>
    <w:rsid w:val="00E44083"/>
    <w:rsid w:val="00E442C4"/>
    <w:rsid w:val="00E442ED"/>
    <w:rsid w:val="00E443CD"/>
    <w:rsid w:val="00E4440B"/>
    <w:rsid w:val="00E44548"/>
    <w:rsid w:val="00E4486A"/>
    <w:rsid w:val="00E44B01"/>
    <w:rsid w:val="00E44BB5"/>
    <w:rsid w:val="00E44C42"/>
    <w:rsid w:val="00E44D11"/>
    <w:rsid w:val="00E450BF"/>
    <w:rsid w:val="00E452BA"/>
    <w:rsid w:val="00E453E2"/>
    <w:rsid w:val="00E454CF"/>
    <w:rsid w:val="00E45560"/>
    <w:rsid w:val="00E455B3"/>
    <w:rsid w:val="00E455EC"/>
    <w:rsid w:val="00E455F2"/>
    <w:rsid w:val="00E45661"/>
    <w:rsid w:val="00E456F5"/>
    <w:rsid w:val="00E45739"/>
    <w:rsid w:val="00E4575C"/>
    <w:rsid w:val="00E458AB"/>
    <w:rsid w:val="00E458F6"/>
    <w:rsid w:val="00E459EA"/>
    <w:rsid w:val="00E45AE7"/>
    <w:rsid w:val="00E45C25"/>
    <w:rsid w:val="00E45CC0"/>
    <w:rsid w:val="00E45E10"/>
    <w:rsid w:val="00E4609F"/>
    <w:rsid w:val="00E4620D"/>
    <w:rsid w:val="00E46403"/>
    <w:rsid w:val="00E46A11"/>
    <w:rsid w:val="00E46A7F"/>
    <w:rsid w:val="00E46CF3"/>
    <w:rsid w:val="00E4730A"/>
    <w:rsid w:val="00E47514"/>
    <w:rsid w:val="00E4761F"/>
    <w:rsid w:val="00E4767E"/>
    <w:rsid w:val="00E4790F"/>
    <w:rsid w:val="00E479D1"/>
    <w:rsid w:val="00E47AD1"/>
    <w:rsid w:val="00E47C8A"/>
    <w:rsid w:val="00E47D21"/>
    <w:rsid w:val="00E50175"/>
    <w:rsid w:val="00E504A3"/>
    <w:rsid w:val="00E505E7"/>
    <w:rsid w:val="00E5067D"/>
    <w:rsid w:val="00E50778"/>
    <w:rsid w:val="00E508C1"/>
    <w:rsid w:val="00E50A41"/>
    <w:rsid w:val="00E50A74"/>
    <w:rsid w:val="00E50A7E"/>
    <w:rsid w:val="00E50B55"/>
    <w:rsid w:val="00E50CD1"/>
    <w:rsid w:val="00E50D6C"/>
    <w:rsid w:val="00E50EB0"/>
    <w:rsid w:val="00E50F6F"/>
    <w:rsid w:val="00E510E8"/>
    <w:rsid w:val="00E510F4"/>
    <w:rsid w:val="00E51280"/>
    <w:rsid w:val="00E5136C"/>
    <w:rsid w:val="00E51377"/>
    <w:rsid w:val="00E5138F"/>
    <w:rsid w:val="00E514FB"/>
    <w:rsid w:val="00E51507"/>
    <w:rsid w:val="00E518C3"/>
    <w:rsid w:val="00E51980"/>
    <w:rsid w:val="00E519AA"/>
    <w:rsid w:val="00E51C6A"/>
    <w:rsid w:val="00E51CD0"/>
    <w:rsid w:val="00E51CF3"/>
    <w:rsid w:val="00E51D6E"/>
    <w:rsid w:val="00E51EBE"/>
    <w:rsid w:val="00E51F68"/>
    <w:rsid w:val="00E51FA2"/>
    <w:rsid w:val="00E51FBF"/>
    <w:rsid w:val="00E5222F"/>
    <w:rsid w:val="00E524E0"/>
    <w:rsid w:val="00E52526"/>
    <w:rsid w:val="00E52628"/>
    <w:rsid w:val="00E526F4"/>
    <w:rsid w:val="00E52936"/>
    <w:rsid w:val="00E529BC"/>
    <w:rsid w:val="00E52B2D"/>
    <w:rsid w:val="00E52BB4"/>
    <w:rsid w:val="00E52C56"/>
    <w:rsid w:val="00E52D45"/>
    <w:rsid w:val="00E531F8"/>
    <w:rsid w:val="00E53496"/>
    <w:rsid w:val="00E534AA"/>
    <w:rsid w:val="00E535D4"/>
    <w:rsid w:val="00E5361C"/>
    <w:rsid w:val="00E537A9"/>
    <w:rsid w:val="00E5381F"/>
    <w:rsid w:val="00E53AE1"/>
    <w:rsid w:val="00E53CB5"/>
    <w:rsid w:val="00E53D04"/>
    <w:rsid w:val="00E53DC1"/>
    <w:rsid w:val="00E53E3C"/>
    <w:rsid w:val="00E53FFF"/>
    <w:rsid w:val="00E54214"/>
    <w:rsid w:val="00E54381"/>
    <w:rsid w:val="00E5438A"/>
    <w:rsid w:val="00E543D7"/>
    <w:rsid w:val="00E5441E"/>
    <w:rsid w:val="00E54433"/>
    <w:rsid w:val="00E544AD"/>
    <w:rsid w:val="00E544BD"/>
    <w:rsid w:val="00E5454A"/>
    <w:rsid w:val="00E54650"/>
    <w:rsid w:val="00E54797"/>
    <w:rsid w:val="00E547E2"/>
    <w:rsid w:val="00E5485D"/>
    <w:rsid w:val="00E54937"/>
    <w:rsid w:val="00E549CF"/>
    <w:rsid w:val="00E54AC2"/>
    <w:rsid w:val="00E54C57"/>
    <w:rsid w:val="00E54DD9"/>
    <w:rsid w:val="00E54EAA"/>
    <w:rsid w:val="00E54EAC"/>
    <w:rsid w:val="00E54EDE"/>
    <w:rsid w:val="00E54F13"/>
    <w:rsid w:val="00E54F34"/>
    <w:rsid w:val="00E550BB"/>
    <w:rsid w:val="00E554D2"/>
    <w:rsid w:val="00E556E6"/>
    <w:rsid w:val="00E5577B"/>
    <w:rsid w:val="00E55859"/>
    <w:rsid w:val="00E558E9"/>
    <w:rsid w:val="00E55A5D"/>
    <w:rsid w:val="00E55A8B"/>
    <w:rsid w:val="00E55BFA"/>
    <w:rsid w:val="00E55F97"/>
    <w:rsid w:val="00E561FC"/>
    <w:rsid w:val="00E562EF"/>
    <w:rsid w:val="00E564ED"/>
    <w:rsid w:val="00E564EE"/>
    <w:rsid w:val="00E56509"/>
    <w:rsid w:val="00E56559"/>
    <w:rsid w:val="00E56592"/>
    <w:rsid w:val="00E56649"/>
    <w:rsid w:val="00E56749"/>
    <w:rsid w:val="00E56775"/>
    <w:rsid w:val="00E5695A"/>
    <w:rsid w:val="00E569F6"/>
    <w:rsid w:val="00E56AF4"/>
    <w:rsid w:val="00E56CA1"/>
    <w:rsid w:val="00E57017"/>
    <w:rsid w:val="00E5705A"/>
    <w:rsid w:val="00E571D9"/>
    <w:rsid w:val="00E57502"/>
    <w:rsid w:val="00E575BF"/>
    <w:rsid w:val="00E5773E"/>
    <w:rsid w:val="00E579AB"/>
    <w:rsid w:val="00E579AE"/>
    <w:rsid w:val="00E57AB6"/>
    <w:rsid w:val="00E57BC4"/>
    <w:rsid w:val="00E57EE3"/>
    <w:rsid w:val="00E6001D"/>
    <w:rsid w:val="00E6005B"/>
    <w:rsid w:val="00E6020C"/>
    <w:rsid w:val="00E602BF"/>
    <w:rsid w:val="00E602FA"/>
    <w:rsid w:val="00E60427"/>
    <w:rsid w:val="00E60638"/>
    <w:rsid w:val="00E606AB"/>
    <w:rsid w:val="00E6089E"/>
    <w:rsid w:val="00E60AE1"/>
    <w:rsid w:val="00E60B34"/>
    <w:rsid w:val="00E60CEA"/>
    <w:rsid w:val="00E60F7B"/>
    <w:rsid w:val="00E61145"/>
    <w:rsid w:val="00E611CB"/>
    <w:rsid w:val="00E611F3"/>
    <w:rsid w:val="00E61251"/>
    <w:rsid w:val="00E61276"/>
    <w:rsid w:val="00E612B2"/>
    <w:rsid w:val="00E612E7"/>
    <w:rsid w:val="00E615C1"/>
    <w:rsid w:val="00E61D0A"/>
    <w:rsid w:val="00E61ED4"/>
    <w:rsid w:val="00E61F36"/>
    <w:rsid w:val="00E62056"/>
    <w:rsid w:val="00E621F2"/>
    <w:rsid w:val="00E62257"/>
    <w:rsid w:val="00E6233E"/>
    <w:rsid w:val="00E62515"/>
    <w:rsid w:val="00E62535"/>
    <w:rsid w:val="00E62576"/>
    <w:rsid w:val="00E626FE"/>
    <w:rsid w:val="00E6280D"/>
    <w:rsid w:val="00E6296E"/>
    <w:rsid w:val="00E629D8"/>
    <w:rsid w:val="00E62E23"/>
    <w:rsid w:val="00E62F5A"/>
    <w:rsid w:val="00E63054"/>
    <w:rsid w:val="00E630DF"/>
    <w:rsid w:val="00E632BC"/>
    <w:rsid w:val="00E632EA"/>
    <w:rsid w:val="00E63328"/>
    <w:rsid w:val="00E6358D"/>
    <w:rsid w:val="00E635BC"/>
    <w:rsid w:val="00E63676"/>
    <w:rsid w:val="00E636AF"/>
    <w:rsid w:val="00E636BA"/>
    <w:rsid w:val="00E636BF"/>
    <w:rsid w:val="00E636CA"/>
    <w:rsid w:val="00E638D8"/>
    <w:rsid w:val="00E639BC"/>
    <w:rsid w:val="00E639F6"/>
    <w:rsid w:val="00E63B10"/>
    <w:rsid w:val="00E63D1E"/>
    <w:rsid w:val="00E63DB9"/>
    <w:rsid w:val="00E63DE1"/>
    <w:rsid w:val="00E640A1"/>
    <w:rsid w:val="00E64261"/>
    <w:rsid w:val="00E642D8"/>
    <w:rsid w:val="00E642EA"/>
    <w:rsid w:val="00E64305"/>
    <w:rsid w:val="00E6453D"/>
    <w:rsid w:val="00E64653"/>
    <w:rsid w:val="00E64BAC"/>
    <w:rsid w:val="00E64EA9"/>
    <w:rsid w:val="00E65220"/>
    <w:rsid w:val="00E6523B"/>
    <w:rsid w:val="00E652A0"/>
    <w:rsid w:val="00E65478"/>
    <w:rsid w:val="00E65491"/>
    <w:rsid w:val="00E654CA"/>
    <w:rsid w:val="00E656E8"/>
    <w:rsid w:val="00E65719"/>
    <w:rsid w:val="00E6588E"/>
    <w:rsid w:val="00E658B1"/>
    <w:rsid w:val="00E658E2"/>
    <w:rsid w:val="00E65C1D"/>
    <w:rsid w:val="00E65CC9"/>
    <w:rsid w:val="00E65F6C"/>
    <w:rsid w:val="00E65FF4"/>
    <w:rsid w:val="00E66011"/>
    <w:rsid w:val="00E66114"/>
    <w:rsid w:val="00E6627A"/>
    <w:rsid w:val="00E66354"/>
    <w:rsid w:val="00E66374"/>
    <w:rsid w:val="00E6639F"/>
    <w:rsid w:val="00E665CF"/>
    <w:rsid w:val="00E66637"/>
    <w:rsid w:val="00E6668F"/>
    <w:rsid w:val="00E66779"/>
    <w:rsid w:val="00E667B9"/>
    <w:rsid w:val="00E66829"/>
    <w:rsid w:val="00E668D1"/>
    <w:rsid w:val="00E6693E"/>
    <w:rsid w:val="00E66970"/>
    <w:rsid w:val="00E66A62"/>
    <w:rsid w:val="00E66B4D"/>
    <w:rsid w:val="00E66FE2"/>
    <w:rsid w:val="00E67158"/>
    <w:rsid w:val="00E67159"/>
    <w:rsid w:val="00E6740C"/>
    <w:rsid w:val="00E67602"/>
    <w:rsid w:val="00E67607"/>
    <w:rsid w:val="00E677BE"/>
    <w:rsid w:val="00E67954"/>
    <w:rsid w:val="00E67C92"/>
    <w:rsid w:val="00E67D26"/>
    <w:rsid w:val="00E70014"/>
    <w:rsid w:val="00E700E8"/>
    <w:rsid w:val="00E702D7"/>
    <w:rsid w:val="00E703DD"/>
    <w:rsid w:val="00E70597"/>
    <w:rsid w:val="00E7059C"/>
    <w:rsid w:val="00E707E2"/>
    <w:rsid w:val="00E709E5"/>
    <w:rsid w:val="00E70B27"/>
    <w:rsid w:val="00E70D44"/>
    <w:rsid w:val="00E70DB3"/>
    <w:rsid w:val="00E70ECB"/>
    <w:rsid w:val="00E711D4"/>
    <w:rsid w:val="00E7124C"/>
    <w:rsid w:val="00E712CE"/>
    <w:rsid w:val="00E71480"/>
    <w:rsid w:val="00E7187B"/>
    <w:rsid w:val="00E719DF"/>
    <w:rsid w:val="00E71AC8"/>
    <w:rsid w:val="00E71B98"/>
    <w:rsid w:val="00E71DF9"/>
    <w:rsid w:val="00E71E6F"/>
    <w:rsid w:val="00E720C0"/>
    <w:rsid w:val="00E72136"/>
    <w:rsid w:val="00E721E3"/>
    <w:rsid w:val="00E723E8"/>
    <w:rsid w:val="00E7257D"/>
    <w:rsid w:val="00E7270A"/>
    <w:rsid w:val="00E7286F"/>
    <w:rsid w:val="00E728D3"/>
    <w:rsid w:val="00E729B5"/>
    <w:rsid w:val="00E729F4"/>
    <w:rsid w:val="00E72B2F"/>
    <w:rsid w:val="00E72B94"/>
    <w:rsid w:val="00E72FBC"/>
    <w:rsid w:val="00E731D5"/>
    <w:rsid w:val="00E73291"/>
    <w:rsid w:val="00E733FD"/>
    <w:rsid w:val="00E73437"/>
    <w:rsid w:val="00E73524"/>
    <w:rsid w:val="00E736F4"/>
    <w:rsid w:val="00E737B1"/>
    <w:rsid w:val="00E73B8E"/>
    <w:rsid w:val="00E73BE3"/>
    <w:rsid w:val="00E73C65"/>
    <w:rsid w:val="00E73D3F"/>
    <w:rsid w:val="00E73DD4"/>
    <w:rsid w:val="00E73E3F"/>
    <w:rsid w:val="00E73FC2"/>
    <w:rsid w:val="00E7419D"/>
    <w:rsid w:val="00E744A3"/>
    <w:rsid w:val="00E74573"/>
    <w:rsid w:val="00E74650"/>
    <w:rsid w:val="00E746C3"/>
    <w:rsid w:val="00E746CD"/>
    <w:rsid w:val="00E74799"/>
    <w:rsid w:val="00E748C4"/>
    <w:rsid w:val="00E7495C"/>
    <w:rsid w:val="00E74AD1"/>
    <w:rsid w:val="00E74D89"/>
    <w:rsid w:val="00E74E01"/>
    <w:rsid w:val="00E74E41"/>
    <w:rsid w:val="00E74F59"/>
    <w:rsid w:val="00E74F6C"/>
    <w:rsid w:val="00E74FF4"/>
    <w:rsid w:val="00E752D4"/>
    <w:rsid w:val="00E75304"/>
    <w:rsid w:val="00E7534C"/>
    <w:rsid w:val="00E75358"/>
    <w:rsid w:val="00E75437"/>
    <w:rsid w:val="00E7561A"/>
    <w:rsid w:val="00E75902"/>
    <w:rsid w:val="00E75B13"/>
    <w:rsid w:val="00E75C08"/>
    <w:rsid w:val="00E75D5F"/>
    <w:rsid w:val="00E75E31"/>
    <w:rsid w:val="00E75FCE"/>
    <w:rsid w:val="00E7626A"/>
    <w:rsid w:val="00E76341"/>
    <w:rsid w:val="00E76501"/>
    <w:rsid w:val="00E76572"/>
    <w:rsid w:val="00E765C0"/>
    <w:rsid w:val="00E76762"/>
    <w:rsid w:val="00E76B5F"/>
    <w:rsid w:val="00E76D1C"/>
    <w:rsid w:val="00E76E17"/>
    <w:rsid w:val="00E76E7B"/>
    <w:rsid w:val="00E76E89"/>
    <w:rsid w:val="00E76E98"/>
    <w:rsid w:val="00E76EAD"/>
    <w:rsid w:val="00E76F12"/>
    <w:rsid w:val="00E76FE8"/>
    <w:rsid w:val="00E76FFD"/>
    <w:rsid w:val="00E77192"/>
    <w:rsid w:val="00E771C5"/>
    <w:rsid w:val="00E7741D"/>
    <w:rsid w:val="00E77442"/>
    <w:rsid w:val="00E77454"/>
    <w:rsid w:val="00E77504"/>
    <w:rsid w:val="00E7790D"/>
    <w:rsid w:val="00E7798D"/>
    <w:rsid w:val="00E77AF9"/>
    <w:rsid w:val="00E77C66"/>
    <w:rsid w:val="00E77EFE"/>
    <w:rsid w:val="00E80305"/>
    <w:rsid w:val="00E803FE"/>
    <w:rsid w:val="00E80512"/>
    <w:rsid w:val="00E8083E"/>
    <w:rsid w:val="00E80846"/>
    <w:rsid w:val="00E80943"/>
    <w:rsid w:val="00E809CB"/>
    <w:rsid w:val="00E809D3"/>
    <w:rsid w:val="00E80AD2"/>
    <w:rsid w:val="00E80B26"/>
    <w:rsid w:val="00E80BCC"/>
    <w:rsid w:val="00E80C1E"/>
    <w:rsid w:val="00E80F43"/>
    <w:rsid w:val="00E810A5"/>
    <w:rsid w:val="00E810BE"/>
    <w:rsid w:val="00E81251"/>
    <w:rsid w:val="00E81287"/>
    <w:rsid w:val="00E812D2"/>
    <w:rsid w:val="00E812E7"/>
    <w:rsid w:val="00E81590"/>
    <w:rsid w:val="00E81596"/>
    <w:rsid w:val="00E817F7"/>
    <w:rsid w:val="00E818D8"/>
    <w:rsid w:val="00E818EB"/>
    <w:rsid w:val="00E819D1"/>
    <w:rsid w:val="00E81AD8"/>
    <w:rsid w:val="00E81C60"/>
    <w:rsid w:val="00E81D20"/>
    <w:rsid w:val="00E81D83"/>
    <w:rsid w:val="00E81F17"/>
    <w:rsid w:val="00E81F3F"/>
    <w:rsid w:val="00E82118"/>
    <w:rsid w:val="00E822CF"/>
    <w:rsid w:val="00E82442"/>
    <w:rsid w:val="00E8247F"/>
    <w:rsid w:val="00E826D1"/>
    <w:rsid w:val="00E8283D"/>
    <w:rsid w:val="00E82B03"/>
    <w:rsid w:val="00E82CAF"/>
    <w:rsid w:val="00E82D03"/>
    <w:rsid w:val="00E82D66"/>
    <w:rsid w:val="00E82D77"/>
    <w:rsid w:val="00E82E51"/>
    <w:rsid w:val="00E82EF6"/>
    <w:rsid w:val="00E8327D"/>
    <w:rsid w:val="00E835ED"/>
    <w:rsid w:val="00E8360B"/>
    <w:rsid w:val="00E83757"/>
    <w:rsid w:val="00E838FA"/>
    <w:rsid w:val="00E83916"/>
    <w:rsid w:val="00E83920"/>
    <w:rsid w:val="00E83956"/>
    <w:rsid w:val="00E8395B"/>
    <w:rsid w:val="00E839D8"/>
    <w:rsid w:val="00E83AC8"/>
    <w:rsid w:val="00E83C33"/>
    <w:rsid w:val="00E83CA3"/>
    <w:rsid w:val="00E83D01"/>
    <w:rsid w:val="00E83D0B"/>
    <w:rsid w:val="00E83D79"/>
    <w:rsid w:val="00E83E56"/>
    <w:rsid w:val="00E83E8E"/>
    <w:rsid w:val="00E83F47"/>
    <w:rsid w:val="00E8419E"/>
    <w:rsid w:val="00E841C3"/>
    <w:rsid w:val="00E84292"/>
    <w:rsid w:val="00E84414"/>
    <w:rsid w:val="00E84435"/>
    <w:rsid w:val="00E8453B"/>
    <w:rsid w:val="00E845A5"/>
    <w:rsid w:val="00E8476D"/>
    <w:rsid w:val="00E849F9"/>
    <w:rsid w:val="00E849FD"/>
    <w:rsid w:val="00E84BA1"/>
    <w:rsid w:val="00E84FC3"/>
    <w:rsid w:val="00E8505D"/>
    <w:rsid w:val="00E85084"/>
    <w:rsid w:val="00E85108"/>
    <w:rsid w:val="00E8521F"/>
    <w:rsid w:val="00E8534E"/>
    <w:rsid w:val="00E8541D"/>
    <w:rsid w:val="00E8545F"/>
    <w:rsid w:val="00E855A9"/>
    <w:rsid w:val="00E8569B"/>
    <w:rsid w:val="00E8583E"/>
    <w:rsid w:val="00E8588A"/>
    <w:rsid w:val="00E8592C"/>
    <w:rsid w:val="00E8593A"/>
    <w:rsid w:val="00E85A79"/>
    <w:rsid w:val="00E85A99"/>
    <w:rsid w:val="00E85ABE"/>
    <w:rsid w:val="00E85C1B"/>
    <w:rsid w:val="00E85DDD"/>
    <w:rsid w:val="00E86267"/>
    <w:rsid w:val="00E8645E"/>
    <w:rsid w:val="00E86480"/>
    <w:rsid w:val="00E864B5"/>
    <w:rsid w:val="00E86519"/>
    <w:rsid w:val="00E86566"/>
    <w:rsid w:val="00E86649"/>
    <w:rsid w:val="00E86699"/>
    <w:rsid w:val="00E866ED"/>
    <w:rsid w:val="00E86786"/>
    <w:rsid w:val="00E867CC"/>
    <w:rsid w:val="00E8680C"/>
    <w:rsid w:val="00E86BCC"/>
    <w:rsid w:val="00E86D40"/>
    <w:rsid w:val="00E86EDE"/>
    <w:rsid w:val="00E86F06"/>
    <w:rsid w:val="00E870BD"/>
    <w:rsid w:val="00E87137"/>
    <w:rsid w:val="00E87195"/>
    <w:rsid w:val="00E872CA"/>
    <w:rsid w:val="00E872CD"/>
    <w:rsid w:val="00E872DB"/>
    <w:rsid w:val="00E8752F"/>
    <w:rsid w:val="00E87601"/>
    <w:rsid w:val="00E87633"/>
    <w:rsid w:val="00E8763D"/>
    <w:rsid w:val="00E8783D"/>
    <w:rsid w:val="00E87856"/>
    <w:rsid w:val="00E8796E"/>
    <w:rsid w:val="00E87A71"/>
    <w:rsid w:val="00E87AEF"/>
    <w:rsid w:val="00E87BE7"/>
    <w:rsid w:val="00E87C8D"/>
    <w:rsid w:val="00E87CF1"/>
    <w:rsid w:val="00E87D11"/>
    <w:rsid w:val="00E87D8F"/>
    <w:rsid w:val="00E9007E"/>
    <w:rsid w:val="00E900E1"/>
    <w:rsid w:val="00E90347"/>
    <w:rsid w:val="00E903B1"/>
    <w:rsid w:val="00E905EA"/>
    <w:rsid w:val="00E906C0"/>
    <w:rsid w:val="00E907B4"/>
    <w:rsid w:val="00E90980"/>
    <w:rsid w:val="00E90D1D"/>
    <w:rsid w:val="00E90DE3"/>
    <w:rsid w:val="00E9120A"/>
    <w:rsid w:val="00E9123A"/>
    <w:rsid w:val="00E913F3"/>
    <w:rsid w:val="00E9142C"/>
    <w:rsid w:val="00E91509"/>
    <w:rsid w:val="00E9161C"/>
    <w:rsid w:val="00E917F0"/>
    <w:rsid w:val="00E91869"/>
    <w:rsid w:val="00E91883"/>
    <w:rsid w:val="00E91A60"/>
    <w:rsid w:val="00E91B1E"/>
    <w:rsid w:val="00E91C93"/>
    <w:rsid w:val="00E92486"/>
    <w:rsid w:val="00E927B6"/>
    <w:rsid w:val="00E92958"/>
    <w:rsid w:val="00E92C8F"/>
    <w:rsid w:val="00E92F90"/>
    <w:rsid w:val="00E930A4"/>
    <w:rsid w:val="00E93158"/>
    <w:rsid w:val="00E931D7"/>
    <w:rsid w:val="00E932B4"/>
    <w:rsid w:val="00E932B7"/>
    <w:rsid w:val="00E935FD"/>
    <w:rsid w:val="00E93619"/>
    <w:rsid w:val="00E93783"/>
    <w:rsid w:val="00E939C6"/>
    <w:rsid w:val="00E939FC"/>
    <w:rsid w:val="00E93C00"/>
    <w:rsid w:val="00E93C17"/>
    <w:rsid w:val="00E93C5B"/>
    <w:rsid w:val="00E93C65"/>
    <w:rsid w:val="00E93C6A"/>
    <w:rsid w:val="00E93E7D"/>
    <w:rsid w:val="00E9407D"/>
    <w:rsid w:val="00E940BC"/>
    <w:rsid w:val="00E940DC"/>
    <w:rsid w:val="00E94202"/>
    <w:rsid w:val="00E9444F"/>
    <w:rsid w:val="00E944E3"/>
    <w:rsid w:val="00E945D8"/>
    <w:rsid w:val="00E945F3"/>
    <w:rsid w:val="00E94747"/>
    <w:rsid w:val="00E94907"/>
    <w:rsid w:val="00E949BB"/>
    <w:rsid w:val="00E94CBE"/>
    <w:rsid w:val="00E95076"/>
    <w:rsid w:val="00E950A8"/>
    <w:rsid w:val="00E95264"/>
    <w:rsid w:val="00E952D1"/>
    <w:rsid w:val="00E953DC"/>
    <w:rsid w:val="00E954A0"/>
    <w:rsid w:val="00E954B6"/>
    <w:rsid w:val="00E9567C"/>
    <w:rsid w:val="00E9575E"/>
    <w:rsid w:val="00E9577A"/>
    <w:rsid w:val="00E9591B"/>
    <w:rsid w:val="00E9597A"/>
    <w:rsid w:val="00E95AC6"/>
    <w:rsid w:val="00E95D4A"/>
    <w:rsid w:val="00E95DA6"/>
    <w:rsid w:val="00E95FA4"/>
    <w:rsid w:val="00E95FCF"/>
    <w:rsid w:val="00E960D0"/>
    <w:rsid w:val="00E960F4"/>
    <w:rsid w:val="00E96374"/>
    <w:rsid w:val="00E9638D"/>
    <w:rsid w:val="00E96660"/>
    <w:rsid w:val="00E969FA"/>
    <w:rsid w:val="00E96C03"/>
    <w:rsid w:val="00E96DAB"/>
    <w:rsid w:val="00E96E7B"/>
    <w:rsid w:val="00E96F75"/>
    <w:rsid w:val="00E970E1"/>
    <w:rsid w:val="00E971D6"/>
    <w:rsid w:val="00E975B8"/>
    <w:rsid w:val="00E97613"/>
    <w:rsid w:val="00E97784"/>
    <w:rsid w:val="00E97803"/>
    <w:rsid w:val="00E97831"/>
    <w:rsid w:val="00E97D83"/>
    <w:rsid w:val="00E97E83"/>
    <w:rsid w:val="00E97F58"/>
    <w:rsid w:val="00E97F5A"/>
    <w:rsid w:val="00EA028C"/>
    <w:rsid w:val="00EA0345"/>
    <w:rsid w:val="00EA05FB"/>
    <w:rsid w:val="00EA06B9"/>
    <w:rsid w:val="00EA0723"/>
    <w:rsid w:val="00EA074A"/>
    <w:rsid w:val="00EA0A8A"/>
    <w:rsid w:val="00EA0B24"/>
    <w:rsid w:val="00EA0C7B"/>
    <w:rsid w:val="00EA0D61"/>
    <w:rsid w:val="00EA124A"/>
    <w:rsid w:val="00EA14C5"/>
    <w:rsid w:val="00EA15BD"/>
    <w:rsid w:val="00EA1624"/>
    <w:rsid w:val="00EA16D7"/>
    <w:rsid w:val="00EA1777"/>
    <w:rsid w:val="00EA193C"/>
    <w:rsid w:val="00EA19BC"/>
    <w:rsid w:val="00EA1A9D"/>
    <w:rsid w:val="00EA1CD9"/>
    <w:rsid w:val="00EA1DCC"/>
    <w:rsid w:val="00EA1E58"/>
    <w:rsid w:val="00EA1E61"/>
    <w:rsid w:val="00EA20A5"/>
    <w:rsid w:val="00EA221B"/>
    <w:rsid w:val="00EA238C"/>
    <w:rsid w:val="00EA238E"/>
    <w:rsid w:val="00EA2622"/>
    <w:rsid w:val="00EA268D"/>
    <w:rsid w:val="00EA26EC"/>
    <w:rsid w:val="00EA2705"/>
    <w:rsid w:val="00EA2863"/>
    <w:rsid w:val="00EA2A1D"/>
    <w:rsid w:val="00EA2B19"/>
    <w:rsid w:val="00EA3214"/>
    <w:rsid w:val="00EA3229"/>
    <w:rsid w:val="00EA326C"/>
    <w:rsid w:val="00EA327A"/>
    <w:rsid w:val="00EA33F9"/>
    <w:rsid w:val="00EA37D5"/>
    <w:rsid w:val="00EA3CF8"/>
    <w:rsid w:val="00EA3EB8"/>
    <w:rsid w:val="00EA4076"/>
    <w:rsid w:val="00EA40BB"/>
    <w:rsid w:val="00EA411A"/>
    <w:rsid w:val="00EA4124"/>
    <w:rsid w:val="00EA41E7"/>
    <w:rsid w:val="00EA4208"/>
    <w:rsid w:val="00EA430B"/>
    <w:rsid w:val="00EA4736"/>
    <w:rsid w:val="00EA4778"/>
    <w:rsid w:val="00EA4C81"/>
    <w:rsid w:val="00EA4C9B"/>
    <w:rsid w:val="00EA4CB7"/>
    <w:rsid w:val="00EA4F96"/>
    <w:rsid w:val="00EA50A8"/>
    <w:rsid w:val="00EA50B0"/>
    <w:rsid w:val="00EA50B1"/>
    <w:rsid w:val="00EA530E"/>
    <w:rsid w:val="00EA5332"/>
    <w:rsid w:val="00EA5692"/>
    <w:rsid w:val="00EA5A34"/>
    <w:rsid w:val="00EA5B91"/>
    <w:rsid w:val="00EA5CAA"/>
    <w:rsid w:val="00EA5E3F"/>
    <w:rsid w:val="00EA6002"/>
    <w:rsid w:val="00EA6020"/>
    <w:rsid w:val="00EA6318"/>
    <w:rsid w:val="00EA6552"/>
    <w:rsid w:val="00EA668E"/>
    <w:rsid w:val="00EA669E"/>
    <w:rsid w:val="00EA681A"/>
    <w:rsid w:val="00EA6918"/>
    <w:rsid w:val="00EA69D2"/>
    <w:rsid w:val="00EA6AE0"/>
    <w:rsid w:val="00EA6B84"/>
    <w:rsid w:val="00EA6CAB"/>
    <w:rsid w:val="00EA6D8E"/>
    <w:rsid w:val="00EA7076"/>
    <w:rsid w:val="00EA7189"/>
    <w:rsid w:val="00EA71FB"/>
    <w:rsid w:val="00EA7257"/>
    <w:rsid w:val="00EA7339"/>
    <w:rsid w:val="00EA7372"/>
    <w:rsid w:val="00EA7398"/>
    <w:rsid w:val="00EA74CC"/>
    <w:rsid w:val="00EA758C"/>
    <w:rsid w:val="00EA7699"/>
    <w:rsid w:val="00EA76FB"/>
    <w:rsid w:val="00EA7761"/>
    <w:rsid w:val="00EA78D0"/>
    <w:rsid w:val="00EA7979"/>
    <w:rsid w:val="00EA7A81"/>
    <w:rsid w:val="00EA7C42"/>
    <w:rsid w:val="00EA7EB9"/>
    <w:rsid w:val="00EA7ECD"/>
    <w:rsid w:val="00EB007E"/>
    <w:rsid w:val="00EB01C6"/>
    <w:rsid w:val="00EB0220"/>
    <w:rsid w:val="00EB044E"/>
    <w:rsid w:val="00EB05CC"/>
    <w:rsid w:val="00EB0842"/>
    <w:rsid w:val="00EB08A4"/>
    <w:rsid w:val="00EB09A9"/>
    <w:rsid w:val="00EB0A02"/>
    <w:rsid w:val="00EB0A10"/>
    <w:rsid w:val="00EB0A76"/>
    <w:rsid w:val="00EB0AC4"/>
    <w:rsid w:val="00EB0AE8"/>
    <w:rsid w:val="00EB0C29"/>
    <w:rsid w:val="00EB1203"/>
    <w:rsid w:val="00EB138F"/>
    <w:rsid w:val="00EB15E5"/>
    <w:rsid w:val="00EB174F"/>
    <w:rsid w:val="00EB18FD"/>
    <w:rsid w:val="00EB19F8"/>
    <w:rsid w:val="00EB1A95"/>
    <w:rsid w:val="00EB1FD6"/>
    <w:rsid w:val="00EB208F"/>
    <w:rsid w:val="00EB214D"/>
    <w:rsid w:val="00EB236F"/>
    <w:rsid w:val="00EB2384"/>
    <w:rsid w:val="00EB23F3"/>
    <w:rsid w:val="00EB248A"/>
    <w:rsid w:val="00EB27E5"/>
    <w:rsid w:val="00EB2B39"/>
    <w:rsid w:val="00EB2C0A"/>
    <w:rsid w:val="00EB2D52"/>
    <w:rsid w:val="00EB2D5A"/>
    <w:rsid w:val="00EB2D60"/>
    <w:rsid w:val="00EB3088"/>
    <w:rsid w:val="00EB31F0"/>
    <w:rsid w:val="00EB329F"/>
    <w:rsid w:val="00EB32B6"/>
    <w:rsid w:val="00EB33F5"/>
    <w:rsid w:val="00EB3446"/>
    <w:rsid w:val="00EB345E"/>
    <w:rsid w:val="00EB36CE"/>
    <w:rsid w:val="00EB37D6"/>
    <w:rsid w:val="00EB39BA"/>
    <w:rsid w:val="00EB3BE2"/>
    <w:rsid w:val="00EB3E0A"/>
    <w:rsid w:val="00EB3E9F"/>
    <w:rsid w:val="00EB4028"/>
    <w:rsid w:val="00EB415C"/>
    <w:rsid w:val="00EB4585"/>
    <w:rsid w:val="00EB458C"/>
    <w:rsid w:val="00EB45E2"/>
    <w:rsid w:val="00EB497F"/>
    <w:rsid w:val="00EB49B2"/>
    <w:rsid w:val="00EB4B24"/>
    <w:rsid w:val="00EB4C33"/>
    <w:rsid w:val="00EB5181"/>
    <w:rsid w:val="00EB51BE"/>
    <w:rsid w:val="00EB5264"/>
    <w:rsid w:val="00EB52CD"/>
    <w:rsid w:val="00EB554E"/>
    <w:rsid w:val="00EB599A"/>
    <w:rsid w:val="00EB5A34"/>
    <w:rsid w:val="00EB5A87"/>
    <w:rsid w:val="00EB5B67"/>
    <w:rsid w:val="00EB5BF6"/>
    <w:rsid w:val="00EB5CB5"/>
    <w:rsid w:val="00EB5CF3"/>
    <w:rsid w:val="00EB5DD8"/>
    <w:rsid w:val="00EB5DDE"/>
    <w:rsid w:val="00EB5E5D"/>
    <w:rsid w:val="00EB6213"/>
    <w:rsid w:val="00EB6235"/>
    <w:rsid w:val="00EB65B6"/>
    <w:rsid w:val="00EB6636"/>
    <w:rsid w:val="00EB6812"/>
    <w:rsid w:val="00EB6B71"/>
    <w:rsid w:val="00EB6B89"/>
    <w:rsid w:val="00EB6C77"/>
    <w:rsid w:val="00EB6D43"/>
    <w:rsid w:val="00EB70DE"/>
    <w:rsid w:val="00EB714B"/>
    <w:rsid w:val="00EB7184"/>
    <w:rsid w:val="00EB722E"/>
    <w:rsid w:val="00EB788E"/>
    <w:rsid w:val="00EB792C"/>
    <w:rsid w:val="00EB7930"/>
    <w:rsid w:val="00EB7A03"/>
    <w:rsid w:val="00EB7D3E"/>
    <w:rsid w:val="00EB7E7E"/>
    <w:rsid w:val="00EC0215"/>
    <w:rsid w:val="00EC055B"/>
    <w:rsid w:val="00EC0568"/>
    <w:rsid w:val="00EC0595"/>
    <w:rsid w:val="00EC06FF"/>
    <w:rsid w:val="00EC096A"/>
    <w:rsid w:val="00EC0A0F"/>
    <w:rsid w:val="00EC0AE6"/>
    <w:rsid w:val="00EC0D1E"/>
    <w:rsid w:val="00EC0DFB"/>
    <w:rsid w:val="00EC0EF8"/>
    <w:rsid w:val="00EC1152"/>
    <w:rsid w:val="00EC1210"/>
    <w:rsid w:val="00EC122A"/>
    <w:rsid w:val="00EC13DC"/>
    <w:rsid w:val="00EC1406"/>
    <w:rsid w:val="00EC155D"/>
    <w:rsid w:val="00EC15D1"/>
    <w:rsid w:val="00EC15E1"/>
    <w:rsid w:val="00EC16E4"/>
    <w:rsid w:val="00EC17D5"/>
    <w:rsid w:val="00EC19D4"/>
    <w:rsid w:val="00EC19F8"/>
    <w:rsid w:val="00EC1AE1"/>
    <w:rsid w:val="00EC1AFC"/>
    <w:rsid w:val="00EC1BC1"/>
    <w:rsid w:val="00EC1F05"/>
    <w:rsid w:val="00EC1F32"/>
    <w:rsid w:val="00EC1FCF"/>
    <w:rsid w:val="00EC2447"/>
    <w:rsid w:val="00EC24A2"/>
    <w:rsid w:val="00EC2545"/>
    <w:rsid w:val="00EC2569"/>
    <w:rsid w:val="00EC2648"/>
    <w:rsid w:val="00EC2837"/>
    <w:rsid w:val="00EC2A5B"/>
    <w:rsid w:val="00EC2B90"/>
    <w:rsid w:val="00EC2C34"/>
    <w:rsid w:val="00EC2D34"/>
    <w:rsid w:val="00EC2EEE"/>
    <w:rsid w:val="00EC2FC1"/>
    <w:rsid w:val="00EC320A"/>
    <w:rsid w:val="00EC326E"/>
    <w:rsid w:val="00EC33F7"/>
    <w:rsid w:val="00EC377B"/>
    <w:rsid w:val="00EC3798"/>
    <w:rsid w:val="00EC3950"/>
    <w:rsid w:val="00EC39BD"/>
    <w:rsid w:val="00EC3A1C"/>
    <w:rsid w:val="00EC3AFD"/>
    <w:rsid w:val="00EC3B08"/>
    <w:rsid w:val="00EC408D"/>
    <w:rsid w:val="00EC40AB"/>
    <w:rsid w:val="00EC43E9"/>
    <w:rsid w:val="00EC443A"/>
    <w:rsid w:val="00EC461A"/>
    <w:rsid w:val="00EC4628"/>
    <w:rsid w:val="00EC4859"/>
    <w:rsid w:val="00EC495D"/>
    <w:rsid w:val="00EC49E6"/>
    <w:rsid w:val="00EC4AAF"/>
    <w:rsid w:val="00EC4B1F"/>
    <w:rsid w:val="00EC4C3F"/>
    <w:rsid w:val="00EC4CC6"/>
    <w:rsid w:val="00EC4E5E"/>
    <w:rsid w:val="00EC507B"/>
    <w:rsid w:val="00EC529A"/>
    <w:rsid w:val="00EC5327"/>
    <w:rsid w:val="00EC5330"/>
    <w:rsid w:val="00EC5492"/>
    <w:rsid w:val="00EC55FD"/>
    <w:rsid w:val="00EC5743"/>
    <w:rsid w:val="00EC57B2"/>
    <w:rsid w:val="00EC5921"/>
    <w:rsid w:val="00EC5AA4"/>
    <w:rsid w:val="00EC5CA4"/>
    <w:rsid w:val="00EC5D73"/>
    <w:rsid w:val="00EC5F08"/>
    <w:rsid w:val="00EC5FA6"/>
    <w:rsid w:val="00EC615E"/>
    <w:rsid w:val="00EC6294"/>
    <w:rsid w:val="00EC6589"/>
    <w:rsid w:val="00EC65F3"/>
    <w:rsid w:val="00EC66D1"/>
    <w:rsid w:val="00EC6711"/>
    <w:rsid w:val="00EC6839"/>
    <w:rsid w:val="00EC68E6"/>
    <w:rsid w:val="00EC68F3"/>
    <w:rsid w:val="00EC6907"/>
    <w:rsid w:val="00EC6D7D"/>
    <w:rsid w:val="00EC704B"/>
    <w:rsid w:val="00EC768B"/>
    <w:rsid w:val="00EC7A6A"/>
    <w:rsid w:val="00EC7ABA"/>
    <w:rsid w:val="00EC7B6F"/>
    <w:rsid w:val="00EC7B99"/>
    <w:rsid w:val="00EC7C73"/>
    <w:rsid w:val="00EC7CAC"/>
    <w:rsid w:val="00EC7D16"/>
    <w:rsid w:val="00EC7D51"/>
    <w:rsid w:val="00EC7EC6"/>
    <w:rsid w:val="00ED00DC"/>
    <w:rsid w:val="00ED02DF"/>
    <w:rsid w:val="00ED0311"/>
    <w:rsid w:val="00ED0729"/>
    <w:rsid w:val="00ED0837"/>
    <w:rsid w:val="00ED0933"/>
    <w:rsid w:val="00ED0A4E"/>
    <w:rsid w:val="00ED0AE0"/>
    <w:rsid w:val="00ED0B3A"/>
    <w:rsid w:val="00ED0C6C"/>
    <w:rsid w:val="00ED0D9E"/>
    <w:rsid w:val="00ED0ED6"/>
    <w:rsid w:val="00ED0F18"/>
    <w:rsid w:val="00ED0FA1"/>
    <w:rsid w:val="00ED10EB"/>
    <w:rsid w:val="00ED10F0"/>
    <w:rsid w:val="00ED1226"/>
    <w:rsid w:val="00ED123E"/>
    <w:rsid w:val="00ED1427"/>
    <w:rsid w:val="00ED1488"/>
    <w:rsid w:val="00ED150D"/>
    <w:rsid w:val="00ED15DD"/>
    <w:rsid w:val="00ED1732"/>
    <w:rsid w:val="00ED1ACC"/>
    <w:rsid w:val="00ED1B5D"/>
    <w:rsid w:val="00ED1C76"/>
    <w:rsid w:val="00ED1CAA"/>
    <w:rsid w:val="00ED1DE7"/>
    <w:rsid w:val="00ED1E56"/>
    <w:rsid w:val="00ED2078"/>
    <w:rsid w:val="00ED20B9"/>
    <w:rsid w:val="00ED22F8"/>
    <w:rsid w:val="00ED25EE"/>
    <w:rsid w:val="00ED26E2"/>
    <w:rsid w:val="00ED2766"/>
    <w:rsid w:val="00ED2A9A"/>
    <w:rsid w:val="00ED2B2F"/>
    <w:rsid w:val="00ED2B92"/>
    <w:rsid w:val="00ED2CCF"/>
    <w:rsid w:val="00ED2CD0"/>
    <w:rsid w:val="00ED2DC0"/>
    <w:rsid w:val="00ED2E0E"/>
    <w:rsid w:val="00ED2FAE"/>
    <w:rsid w:val="00ED2FEF"/>
    <w:rsid w:val="00ED314B"/>
    <w:rsid w:val="00ED31AC"/>
    <w:rsid w:val="00ED323E"/>
    <w:rsid w:val="00ED33A4"/>
    <w:rsid w:val="00ED33CF"/>
    <w:rsid w:val="00ED34A6"/>
    <w:rsid w:val="00ED355A"/>
    <w:rsid w:val="00ED3571"/>
    <w:rsid w:val="00ED372E"/>
    <w:rsid w:val="00ED383E"/>
    <w:rsid w:val="00ED388A"/>
    <w:rsid w:val="00ED3916"/>
    <w:rsid w:val="00ED3CFC"/>
    <w:rsid w:val="00ED3D72"/>
    <w:rsid w:val="00ED3EEF"/>
    <w:rsid w:val="00ED4022"/>
    <w:rsid w:val="00ED4026"/>
    <w:rsid w:val="00ED41EE"/>
    <w:rsid w:val="00ED430C"/>
    <w:rsid w:val="00ED437A"/>
    <w:rsid w:val="00ED438E"/>
    <w:rsid w:val="00ED43FF"/>
    <w:rsid w:val="00ED4427"/>
    <w:rsid w:val="00ED47CA"/>
    <w:rsid w:val="00ED4A56"/>
    <w:rsid w:val="00ED4BD4"/>
    <w:rsid w:val="00ED4BED"/>
    <w:rsid w:val="00ED4CDF"/>
    <w:rsid w:val="00ED4D4A"/>
    <w:rsid w:val="00ED4E8D"/>
    <w:rsid w:val="00ED4E9E"/>
    <w:rsid w:val="00ED4EEE"/>
    <w:rsid w:val="00ED5074"/>
    <w:rsid w:val="00ED50EF"/>
    <w:rsid w:val="00ED54F3"/>
    <w:rsid w:val="00ED5510"/>
    <w:rsid w:val="00ED5528"/>
    <w:rsid w:val="00ED562C"/>
    <w:rsid w:val="00ED562F"/>
    <w:rsid w:val="00ED563C"/>
    <w:rsid w:val="00ED5700"/>
    <w:rsid w:val="00ED571F"/>
    <w:rsid w:val="00ED58BA"/>
    <w:rsid w:val="00ED5961"/>
    <w:rsid w:val="00ED5A15"/>
    <w:rsid w:val="00ED5B37"/>
    <w:rsid w:val="00ED5B9D"/>
    <w:rsid w:val="00ED5C3E"/>
    <w:rsid w:val="00ED5D0C"/>
    <w:rsid w:val="00ED5D52"/>
    <w:rsid w:val="00ED5DFE"/>
    <w:rsid w:val="00ED5E1A"/>
    <w:rsid w:val="00ED5E49"/>
    <w:rsid w:val="00ED5F29"/>
    <w:rsid w:val="00ED5F5A"/>
    <w:rsid w:val="00ED5F9E"/>
    <w:rsid w:val="00ED5FE0"/>
    <w:rsid w:val="00ED5FE9"/>
    <w:rsid w:val="00ED603E"/>
    <w:rsid w:val="00ED60CC"/>
    <w:rsid w:val="00ED6198"/>
    <w:rsid w:val="00ED61EA"/>
    <w:rsid w:val="00ED6218"/>
    <w:rsid w:val="00ED641A"/>
    <w:rsid w:val="00ED65D9"/>
    <w:rsid w:val="00ED663E"/>
    <w:rsid w:val="00ED6996"/>
    <w:rsid w:val="00ED71AF"/>
    <w:rsid w:val="00ED73B8"/>
    <w:rsid w:val="00ED7424"/>
    <w:rsid w:val="00ED7710"/>
    <w:rsid w:val="00ED77BC"/>
    <w:rsid w:val="00ED77BE"/>
    <w:rsid w:val="00ED782A"/>
    <w:rsid w:val="00ED7AAD"/>
    <w:rsid w:val="00ED7CE3"/>
    <w:rsid w:val="00ED7D07"/>
    <w:rsid w:val="00ED7EB1"/>
    <w:rsid w:val="00ED7EBC"/>
    <w:rsid w:val="00ED7EF9"/>
    <w:rsid w:val="00ED7F73"/>
    <w:rsid w:val="00ED7F9B"/>
    <w:rsid w:val="00EE0289"/>
    <w:rsid w:val="00EE0365"/>
    <w:rsid w:val="00EE0459"/>
    <w:rsid w:val="00EE0504"/>
    <w:rsid w:val="00EE050D"/>
    <w:rsid w:val="00EE08A8"/>
    <w:rsid w:val="00EE0C33"/>
    <w:rsid w:val="00EE0CBD"/>
    <w:rsid w:val="00EE0CED"/>
    <w:rsid w:val="00EE0DBC"/>
    <w:rsid w:val="00EE0F0C"/>
    <w:rsid w:val="00EE0F47"/>
    <w:rsid w:val="00EE1181"/>
    <w:rsid w:val="00EE126D"/>
    <w:rsid w:val="00EE1333"/>
    <w:rsid w:val="00EE135F"/>
    <w:rsid w:val="00EE1506"/>
    <w:rsid w:val="00EE1933"/>
    <w:rsid w:val="00EE1A58"/>
    <w:rsid w:val="00EE1A9F"/>
    <w:rsid w:val="00EE1BC9"/>
    <w:rsid w:val="00EE1F69"/>
    <w:rsid w:val="00EE20C4"/>
    <w:rsid w:val="00EE20D1"/>
    <w:rsid w:val="00EE21E5"/>
    <w:rsid w:val="00EE2285"/>
    <w:rsid w:val="00EE23C0"/>
    <w:rsid w:val="00EE241A"/>
    <w:rsid w:val="00EE244B"/>
    <w:rsid w:val="00EE2500"/>
    <w:rsid w:val="00EE260D"/>
    <w:rsid w:val="00EE2673"/>
    <w:rsid w:val="00EE26E8"/>
    <w:rsid w:val="00EE2904"/>
    <w:rsid w:val="00EE294F"/>
    <w:rsid w:val="00EE2A7F"/>
    <w:rsid w:val="00EE2C88"/>
    <w:rsid w:val="00EE2DAF"/>
    <w:rsid w:val="00EE2DE5"/>
    <w:rsid w:val="00EE302B"/>
    <w:rsid w:val="00EE3260"/>
    <w:rsid w:val="00EE32BF"/>
    <w:rsid w:val="00EE343B"/>
    <w:rsid w:val="00EE34C4"/>
    <w:rsid w:val="00EE3507"/>
    <w:rsid w:val="00EE368F"/>
    <w:rsid w:val="00EE3D00"/>
    <w:rsid w:val="00EE3D04"/>
    <w:rsid w:val="00EE3E03"/>
    <w:rsid w:val="00EE3E4A"/>
    <w:rsid w:val="00EE4001"/>
    <w:rsid w:val="00EE4005"/>
    <w:rsid w:val="00EE4019"/>
    <w:rsid w:val="00EE41F3"/>
    <w:rsid w:val="00EE4884"/>
    <w:rsid w:val="00EE4909"/>
    <w:rsid w:val="00EE4A3A"/>
    <w:rsid w:val="00EE4B0F"/>
    <w:rsid w:val="00EE4B42"/>
    <w:rsid w:val="00EE4CF3"/>
    <w:rsid w:val="00EE4E3A"/>
    <w:rsid w:val="00EE4ECD"/>
    <w:rsid w:val="00EE501E"/>
    <w:rsid w:val="00EE5148"/>
    <w:rsid w:val="00EE514E"/>
    <w:rsid w:val="00EE52CB"/>
    <w:rsid w:val="00EE5492"/>
    <w:rsid w:val="00EE55A2"/>
    <w:rsid w:val="00EE561D"/>
    <w:rsid w:val="00EE593D"/>
    <w:rsid w:val="00EE5974"/>
    <w:rsid w:val="00EE5A63"/>
    <w:rsid w:val="00EE5D94"/>
    <w:rsid w:val="00EE5EE2"/>
    <w:rsid w:val="00EE61AC"/>
    <w:rsid w:val="00EE6227"/>
    <w:rsid w:val="00EE6393"/>
    <w:rsid w:val="00EE639C"/>
    <w:rsid w:val="00EE63F8"/>
    <w:rsid w:val="00EE662C"/>
    <w:rsid w:val="00EE66F8"/>
    <w:rsid w:val="00EE69BA"/>
    <w:rsid w:val="00EE6A8E"/>
    <w:rsid w:val="00EE6B17"/>
    <w:rsid w:val="00EE6B3E"/>
    <w:rsid w:val="00EE6B4E"/>
    <w:rsid w:val="00EE6B6E"/>
    <w:rsid w:val="00EE6BD9"/>
    <w:rsid w:val="00EE6DCD"/>
    <w:rsid w:val="00EE6F7C"/>
    <w:rsid w:val="00EE710A"/>
    <w:rsid w:val="00EE71C4"/>
    <w:rsid w:val="00EE73EA"/>
    <w:rsid w:val="00EE7443"/>
    <w:rsid w:val="00EE744E"/>
    <w:rsid w:val="00EE76B9"/>
    <w:rsid w:val="00EE77D9"/>
    <w:rsid w:val="00EE78A7"/>
    <w:rsid w:val="00EE7B3F"/>
    <w:rsid w:val="00EE7F97"/>
    <w:rsid w:val="00EF0118"/>
    <w:rsid w:val="00EF0271"/>
    <w:rsid w:val="00EF04A6"/>
    <w:rsid w:val="00EF04DE"/>
    <w:rsid w:val="00EF05EB"/>
    <w:rsid w:val="00EF0613"/>
    <w:rsid w:val="00EF0633"/>
    <w:rsid w:val="00EF0705"/>
    <w:rsid w:val="00EF074B"/>
    <w:rsid w:val="00EF07A9"/>
    <w:rsid w:val="00EF0886"/>
    <w:rsid w:val="00EF08E9"/>
    <w:rsid w:val="00EF0BB3"/>
    <w:rsid w:val="00EF0BBF"/>
    <w:rsid w:val="00EF0DA8"/>
    <w:rsid w:val="00EF0FA3"/>
    <w:rsid w:val="00EF10B1"/>
    <w:rsid w:val="00EF10CD"/>
    <w:rsid w:val="00EF1226"/>
    <w:rsid w:val="00EF133A"/>
    <w:rsid w:val="00EF192B"/>
    <w:rsid w:val="00EF1AE3"/>
    <w:rsid w:val="00EF1B76"/>
    <w:rsid w:val="00EF1CBA"/>
    <w:rsid w:val="00EF1DCB"/>
    <w:rsid w:val="00EF1EE7"/>
    <w:rsid w:val="00EF244D"/>
    <w:rsid w:val="00EF2541"/>
    <w:rsid w:val="00EF2546"/>
    <w:rsid w:val="00EF2588"/>
    <w:rsid w:val="00EF259A"/>
    <w:rsid w:val="00EF25D9"/>
    <w:rsid w:val="00EF262B"/>
    <w:rsid w:val="00EF2876"/>
    <w:rsid w:val="00EF29CD"/>
    <w:rsid w:val="00EF2A4E"/>
    <w:rsid w:val="00EF2AE2"/>
    <w:rsid w:val="00EF2B46"/>
    <w:rsid w:val="00EF2D2E"/>
    <w:rsid w:val="00EF2EAE"/>
    <w:rsid w:val="00EF30BB"/>
    <w:rsid w:val="00EF30E6"/>
    <w:rsid w:val="00EF3117"/>
    <w:rsid w:val="00EF3373"/>
    <w:rsid w:val="00EF3385"/>
    <w:rsid w:val="00EF3464"/>
    <w:rsid w:val="00EF34C2"/>
    <w:rsid w:val="00EF356F"/>
    <w:rsid w:val="00EF35AB"/>
    <w:rsid w:val="00EF35D2"/>
    <w:rsid w:val="00EF3656"/>
    <w:rsid w:val="00EF375B"/>
    <w:rsid w:val="00EF377A"/>
    <w:rsid w:val="00EF383B"/>
    <w:rsid w:val="00EF3B74"/>
    <w:rsid w:val="00EF3BE5"/>
    <w:rsid w:val="00EF3C6A"/>
    <w:rsid w:val="00EF3D09"/>
    <w:rsid w:val="00EF3D32"/>
    <w:rsid w:val="00EF3E72"/>
    <w:rsid w:val="00EF3F52"/>
    <w:rsid w:val="00EF41DE"/>
    <w:rsid w:val="00EF42EC"/>
    <w:rsid w:val="00EF453B"/>
    <w:rsid w:val="00EF456E"/>
    <w:rsid w:val="00EF45B7"/>
    <w:rsid w:val="00EF4603"/>
    <w:rsid w:val="00EF4985"/>
    <w:rsid w:val="00EF4997"/>
    <w:rsid w:val="00EF4A0C"/>
    <w:rsid w:val="00EF4AA8"/>
    <w:rsid w:val="00EF4D28"/>
    <w:rsid w:val="00EF4DF2"/>
    <w:rsid w:val="00EF4F1A"/>
    <w:rsid w:val="00EF5112"/>
    <w:rsid w:val="00EF53C1"/>
    <w:rsid w:val="00EF5605"/>
    <w:rsid w:val="00EF5807"/>
    <w:rsid w:val="00EF58E2"/>
    <w:rsid w:val="00EF5A7A"/>
    <w:rsid w:val="00EF5A96"/>
    <w:rsid w:val="00EF5B1A"/>
    <w:rsid w:val="00EF5B3A"/>
    <w:rsid w:val="00EF5C6B"/>
    <w:rsid w:val="00EF5C6C"/>
    <w:rsid w:val="00EF5CCA"/>
    <w:rsid w:val="00EF5DD4"/>
    <w:rsid w:val="00EF5E15"/>
    <w:rsid w:val="00EF6011"/>
    <w:rsid w:val="00EF60DC"/>
    <w:rsid w:val="00EF614C"/>
    <w:rsid w:val="00EF640A"/>
    <w:rsid w:val="00EF64CC"/>
    <w:rsid w:val="00EF6554"/>
    <w:rsid w:val="00EF6600"/>
    <w:rsid w:val="00EF6742"/>
    <w:rsid w:val="00EF68C9"/>
    <w:rsid w:val="00EF6AF3"/>
    <w:rsid w:val="00EF6D01"/>
    <w:rsid w:val="00EF6E6D"/>
    <w:rsid w:val="00EF6E7E"/>
    <w:rsid w:val="00EF6F9E"/>
    <w:rsid w:val="00EF7001"/>
    <w:rsid w:val="00EF7072"/>
    <w:rsid w:val="00EF719B"/>
    <w:rsid w:val="00EF71A5"/>
    <w:rsid w:val="00EF71BF"/>
    <w:rsid w:val="00EF72F4"/>
    <w:rsid w:val="00EF7379"/>
    <w:rsid w:val="00EF758F"/>
    <w:rsid w:val="00EF759F"/>
    <w:rsid w:val="00EF7619"/>
    <w:rsid w:val="00EF7745"/>
    <w:rsid w:val="00EF7763"/>
    <w:rsid w:val="00EF77EE"/>
    <w:rsid w:val="00EF7969"/>
    <w:rsid w:val="00EF7A63"/>
    <w:rsid w:val="00EF7B7F"/>
    <w:rsid w:val="00EF7D83"/>
    <w:rsid w:val="00EF7E7E"/>
    <w:rsid w:val="00EF7EC9"/>
    <w:rsid w:val="00EF7F46"/>
    <w:rsid w:val="00EF7F7F"/>
    <w:rsid w:val="00F0018A"/>
    <w:rsid w:val="00F00449"/>
    <w:rsid w:val="00F00600"/>
    <w:rsid w:val="00F006DB"/>
    <w:rsid w:val="00F009A8"/>
    <w:rsid w:val="00F00A57"/>
    <w:rsid w:val="00F00B64"/>
    <w:rsid w:val="00F00C32"/>
    <w:rsid w:val="00F00D04"/>
    <w:rsid w:val="00F00FAD"/>
    <w:rsid w:val="00F01063"/>
    <w:rsid w:val="00F01172"/>
    <w:rsid w:val="00F01177"/>
    <w:rsid w:val="00F0132A"/>
    <w:rsid w:val="00F0143E"/>
    <w:rsid w:val="00F01484"/>
    <w:rsid w:val="00F014DE"/>
    <w:rsid w:val="00F016B3"/>
    <w:rsid w:val="00F01950"/>
    <w:rsid w:val="00F01B6E"/>
    <w:rsid w:val="00F01BDB"/>
    <w:rsid w:val="00F02299"/>
    <w:rsid w:val="00F0250A"/>
    <w:rsid w:val="00F02639"/>
    <w:rsid w:val="00F027FE"/>
    <w:rsid w:val="00F02850"/>
    <w:rsid w:val="00F02B2E"/>
    <w:rsid w:val="00F02C60"/>
    <w:rsid w:val="00F02EC7"/>
    <w:rsid w:val="00F02FF1"/>
    <w:rsid w:val="00F030D4"/>
    <w:rsid w:val="00F030F8"/>
    <w:rsid w:val="00F0372C"/>
    <w:rsid w:val="00F037AB"/>
    <w:rsid w:val="00F037D0"/>
    <w:rsid w:val="00F03A2D"/>
    <w:rsid w:val="00F03D49"/>
    <w:rsid w:val="00F03D55"/>
    <w:rsid w:val="00F0412A"/>
    <w:rsid w:val="00F041C1"/>
    <w:rsid w:val="00F041E2"/>
    <w:rsid w:val="00F04296"/>
    <w:rsid w:val="00F04392"/>
    <w:rsid w:val="00F04439"/>
    <w:rsid w:val="00F0451A"/>
    <w:rsid w:val="00F04851"/>
    <w:rsid w:val="00F04873"/>
    <w:rsid w:val="00F04AB4"/>
    <w:rsid w:val="00F04AF0"/>
    <w:rsid w:val="00F04B70"/>
    <w:rsid w:val="00F04B78"/>
    <w:rsid w:val="00F04D5D"/>
    <w:rsid w:val="00F04D60"/>
    <w:rsid w:val="00F04DAD"/>
    <w:rsid w:val="00F04E21"/>
    <w:rsid w:val="00F04E33"/>
    <w:rsid w:val="00F04E57"/>
    <w:rsid w:val="00F04EA2"/>
    <w:rsid w:val="00F04EAE"/>
    <w:rsid w:val="00F050E8"/>
    <w:rsid w:val="00F052F0"/>
    <w:rsid w:val="00F05457"/>
    <w:rsid w:val="00F0549B"/>
    <w:rsid w:val="00F05580"/>
    <w:rsid w:val="00F05723"/>
    <w:rsid w:val="00F05A9D"/>
    <w:rsid w:val="00F05C76"/>
    <w:rsid w:val="00F05D7B"/>
    <w:rsid w:val="00F05E7E"/>
    <w:rsid w:val="00F0600F"/>
    <w:rsid w:val="00F06010"/>
    <w:rsid w:val="00F061CA"/>
    <w:rsid w:val="00F061E5"/>
    <w:rsid w:val="00F062F1"/>
    <w:rsid w:val="00F064F2"/>
    <w:rsid w:val="00F065F3"/>
    <w:rsid w:val="00F06698"/>
    <w:rsid w:val="00F066D5"/>
    <w:rsid w:val="00F068BC"/>
    <w:rsid w:val="00F06B81"/>
    <w:rsid w:val="00F06BA6"/>
    <w:rsid w:val="00F06CB6"/>
    <w:rsid w:val="00F06D69"/>
    <w:rsid w:val="00F06E20"/>
    <w:rsid w:val="00F06E35"/>
    <w:rsid w:val="00F06ED9"/>
    <w:rsid w:val="00F07279"/>
    <w:rsid w:val="00F0733D"/>
    <w:rsid w:val="00F0765E"/>
    <w:rsid w:val="00F0775B"/>
    <w:rsid w:val="00F078AA"/>
    <w:rsid w:val="00F078BC"/>
    <w:rsid w:val="00F07905"/>
    <w:rsid w:val="00F07A40"/>
    <w:rsid w:val="00F07B64"/>
    <w:rsid w:val="00F07C5D"/>
    <w:rsid w:val="00F07ED8"/>
    <w:rsid w:val="00F07EFB"/>
    <w:rsid w:val="00F07F9E"/>
    <w:rsid w:val="00F07FCF"/>
    <w:rsid w:val="00F100B3"/>
    <w:rsid w:val="00F1017C"/>
    <w:rsid w:val="00F101E5"/>
    <w:rsid w:val="00F1036B"/>
    <w:rsid w:val="00F1037C"/>
    <w:rsid w:val="00F103C1"/>
    <w:rsid w:val="00F1049F"/>
    <w:rsid w:val="00F1080F"/>
    <w:rsid w:val="00F10846"/>
    <w:rsid w:val="00F108CA"/>
    <w:rsid w:val="00F10D04"/>
    <w:rsid w:val="00F10D50"/>
    <w:rsid w:val="00F10D60"/>
    <w:rsid w:val="00F10FC9"/>
    <w:rsid w:val="00F11128"/>
    <w:rsid w:val="00F111D4"/>
    <w:rsid w:val="00F112A5"/>
    <w:rsid w:val="00F1134D"/>
    <w:rsid w:val="00F113E9"/>
    <w:rsid w:val="00F11404"/>
    <w:rsid w:val="00F115BE"/>
    <w:rsid w:val="00F118C1"/>
    <w:rsid w:val="00F11AB9"/>
    <w:rsid w:val="00F11B03"/>
    <w:rsid w:val="00F12266"/>
    <w:rsid w:val="00F1239A"/>
    <w:rsid w:val="00F1258B"/>
    <w:rsid w:val="00F12621"/>
    <w:rsid w:val="00F1284F"/>
    <w:rsid w:val="00F128AA"/>
    <w:rsid w:val="00F12A01"/>
    <w:rsid w:val="00F12AED"/>
    <w:rsid w:val="00F12B23"/>
    <w:rsid w:val="00F12D3F"/>
    <w:rsid w:val="00F12FC7"/>
    <w:rsid w:val="00F13237"/>
    <w:rsid w:val="00F132EE"/>
    <w:rsid w:val="00F137A0"/>
    <w:rsid w:val="00F137F7"/>
    <w:rsid w:val="00F13A23"/>
    <w:rsid w:val="00F13ACE"/>
    <w:rsid w:val="00F13D8A"/>
    <w:rsid w:val="00F13DAA"/>
    <w:rsid w:val="00F14029"/>
    <w:rsid w:val="00F140B5"/>
    <w:rsid w:val="00F14216"/>
    <w:rsid w:val="00F143A8"/>
    <w:rsid w:val="00F14550"/>
    <w:rsid w:val="00F14572"/>
    <w:rsid w:val="00F14743"/>
    <w:rsid w:val="00F14923"/>
    <w:rsid w:val="00F1499F"/>
    <w:rsid w:val="00F14D0C"/>
    <w:rsid w:val="00F151DE"/>
    <w:rsid w:val="00F1526B"/>
    <w:rsid w:val="00F156DC"/>
    <w:rsid w:val="00F15718"/>
    <w:rsid w:val="00F15894"/>
    <w:rsid w:val="00F15907"/>
    <w:rsid w:val="00F15D37"/>
    <w:rsid w:val="00F15D52"/>
    <w:rsid w:val="00F15E59"/>
    <w:rsid w:val="00F15FAA"/>
    <w:rsid w:val="00F161BA"/>
    <w:rsid w:val="00F162DD"/>
    <w:rsid w:val="00F168D4"/>
    <w:rsid w:val="00F16932"/>
    <w:rsid w:val="00F16A83"/>
    <w:rsid w:val="00F16ADA"/>
    <w:rsid w:val="00F16DB0"/>
    <w:rsid w:val="00F16E8B"/>
    <w:rsid w:val="00F17009"/>
    <w:rsid w:val="00F1707B"/>
    <w:rsid w:val="00F1748E"/>
    <w:rsid w:val="00F1752B"/>
    <w:rsid w:val="00F17898"/>
    <w:rsid w:val="00F17991"/>
    <w:rsid w:val="00F17AA7"/>
    <w:rsid w:val="00F17B25"/>
    <w:rsid w:val="00F17D75"/>
    <w:rsid w:val="00F17E52"/>
    <w:rsid w:val="00F17F55"/>
    <w:rsid w:val="00F20279"/>
    <w:rsid w:val="00F2045C"/>
    <w:rsid w:val="00F205F4"/>
    <w:rsid w:val="00F20661"/>
    <w:rsid w:val="00F207E2"/>
    <w:rsid w:val="00F2083A"/>
    <w:rsid w:val="00F20877"/>
    <w:rsid w:val="00F208FA"/>
    <w:rsid w:val="00F209D9"/>
    <w:rsid w:val="00F209DC"/>
    <w:rsid w:val="00F20A2B"/>
    <w:rsid w:val="00F20B00"/>
    <w:rsid w:val="00F20B3E"/>
    <w:rsid w:val="00F20CA4"/>
    <w:rsid w:val="00F20FFB"/>
    <w:rsid w:val="00F21109"/>
    <w:rsid w:val="00F211B0"/>
    <w:rsid w:val="00F21354"/>
    <w:rsid w:val="00F2155F"/>
    <w:rsid w:val="00F215EB"/>
    <w:rsid w:val="00F2166B"/>
    <w:rsid w:val="00F21788"/>
    <w:rsid w:val="00F2180F"/>
    <w:rsid w:val="00F218E8"/>
    <w:rsid w:val="00F2199B"/>
    <w:rsid w:val="00F21BFF"/>
    <w:rsid w:val="00F21CD8"/>
    <w:rsid w:val="00F21E7E"/>
    <w:rsid w:val="00F21F16"/>
    <w:rsid w:val="00F22060"/>
    <w:rsid w:val="00F22072"/>
    <w:rsid w:val="00F22295"/>
    <w:rsid w:val="00F222A7"/>
    <w:rsid w:val="00F222C6"/>
    <w:rsid w:val="00F223C5"/>
    <w:rsid w:val="00F223E1"/>
    <w:rsid w:val="00F226BB"/>
    <w:rsid w:val="00F22A87"/>
    <w:rsid w:val="00F22A93"/>
    <w:rsid w:val="00F22B28"/>
    <w:rsid w:val="00F22B80"/>
    <w:rsid w:val="00F22BCB"/>
    <w:rsid w:val="00F22D35"/>
    <w:rsid w:val="00F22D55"/>
    <w:rsid w:val="00F22EDE"/>
    <w:rsid w:val="00F2313E"/>
    <w:rsid w:val="00F231C9"/>
    <w:rsid w:val="00F2327C"/>
    <w:rsid w:val="00F232D3"/>
    <w:rsid w:val="00F233B3"/>
    <w:rsid w:val="00F233B6"/>
    <w:rsid w:val="00F233D1"/>
    <w:rsid w:val="00F23415"/>
    <w:rsid w:val="00F23706"/>
    <w:rsid w:val="00F2385D"/>
    <w:rsid w:val="00F2395B"/>
    <w:rsid w:val="00F23A37"/>
    <w:rsid w:val="00F23ADC"/>
    <w:rsid w:val="00F23ADD"/>
    <w:rsid w:val="00F23B1D"/>
    <w:rsid w:val="00F23EE8"/>
    <w:rsid w:val="00F23F6C"/>
    <w:rsid w:val="00F240D7"/>
    <w:rsid w:val="00F2426B"/>
    <w:rsid w:val="00F24395"/>
    <w:rsid w:val="00F243AA"/>
    <w:rsid w:val="00F243B9"/>
    <w:rsid w:val="00F243BE"/>
    <w:rsid w:val="00F243F3"/>
    <w:rsid w:val="00F245F3"/>
    <w:rsid w:val="00F24710"/>
    <w:rsid w:val="00F248F9"/>
    <w:rsid w:val="00F24943"/>
    <w:rsid w:val="00F24991"/>
    <w:rsid w:val="00F24B68"/>
    <w:rsid w:val="00F24C69"/>
    <w:rsid w:val="00F24C6B"/>
    <w:rsid w:val="00F24D86"/>
    <w:rsid w:val="00F24DA8"/>
    <w:rsid w:val="00F24EBB"/>
    <w:rsid w:val="00F252DC"/>
    <w:rsid w:val="00F25552"/>
    <w:rsid w:val="00F255BC"/>
    <w:rsid w:val="00F2574D"/>
    <w:rsid w:val="00F258FF"/>
    <w:rsid w:val="00F25A27"/>
    <w:rsid w:val="00F25B5B"/>
    <w:rsid w:val="00F25BBA"/>
    <w:rsid w:val="00F25E37"/>
    <w:rsid w:val="00F25EA9"/>
    <w:rsid w:val="00F2610D"/>
    <w:rsid w:val="00F2614B"/>
    <w:rsid w:val="00F261D3"/>
    <w:rsid w:val="00F26202"/>
    <w:rsid w:val="00F26232"/>
    <w:rsid w:val="00F263C6"/>
    <w:rsid w:val="00F26562"/>
    <w:rsid w:val="00F265AC"/>
    <w:rsid w:val="00F26821"/>
    <w:rsid w:val="00F26852"/>
    <w:rsid w:val="00F269E6"/>
    <w:rsid w:val="00F26BDE"/>
    <w:rsid w:val="00F26D3C"/>
    <w:rsid w:val="00F26DA5"/>
    <w:rsid w:val="00F26E54"/>
    <w:rsid w:val="00F2700D"/>
    <w:rsid w:val="00F27702"/>
    <w:rsid w:val="00F277A7"/>
    <w:rsid w:val="00F277F3"/>
    <w:rsid w:val="00F27B24"/>
    <w:rsid w:val="00F27BB2"/>
    <w:rsid w:val="00F27CF1"/>
    <w:rsid w:val="00F27D80"/>
    <w:rsid w:val="00F27DB1"/>
    <w:rsid w:val="00F27FB1"/>
    <w:rsid w:val="00F3032E"/>
    <w:rsid w:val="00F30391"/>
    <w:rsid w:val="00F303E4"/>
    <w:rsid w:val="00F30487"/>
    <w:rsid w:val="00F304EA"/>
    <w:rsid w:val="00F305F1"/>
    <w:rsid w:val="00F307A8"/>
    <w:rsid w:val="00F307BC"/>
    <w:rsid w:val="00F30C59"/>
    <w:rsid w:val="00F30CE7"/>
    <w:rsid w:val="00F30CEC"/>
    <w:rsid w:val="00F30D28"/>
    <w:rsid w:val="00F30EC2"/>
    <w:rsid w:val="00F312DA"/>
    <w:rsid w:val="00F312DF"/>
    <w:rsid w:val="00F31303"/>
    <w:rsid w:val="00F31630"/>
    <w:rsid w:val="00F316C8"/>
    <w:rsid w:val="00F31A72"/>
    <w:rsid w:val="00F31A97"/>
    <w:rsid w:val="00F31AC0"/>
    <w:rsid w:val="00F31D0F"/>
    <w:rsid w:val="00F31EE4"/>
    <w:rsid w:val="00F31F6C"/>
    <w:rsid w:val="00F31FB8"/>
    <w:rsid w:val="00F3207F"/>
    <w:rsid w:val="00F3223D"/>
    <w:rsid w:val="00F323A0"/>
    <w:rsid w:val="00F323C7"/>
    <w:rsid w:val="00F324AD"/>
    <w:rsid w:val="00F324C4"/>
    <w:rsid w:val="00F32610"/>
    <w:rsid w:val="00F329E1"/>
    <w:rsid w:val="00F32A4B"/>
    <w:rsid w:val="00F32B15"/>
    <w:rsid w:val="00F32BC8"/>
    <w:rsid w:val="00F32DF4"/>
    <w:rsid w:val="00F32EA2"/>
    <w:rsid w:val="00F32EE0"/>
    <w:rsid w:val="00F33282"/>
    <w:rsid w:val="00F3343D"/>
    <w:rsid w:val="00F334D2"/>
    <w:rsid w:val="00F334ED"/>
    <w:rsid w:val="00F336B4"/>
    <w:rsid w:val="00F33723"/>
    <w:rsid w:val="00F337B6"/>
    <w:rsid w:val="00F33846"/>
    <w:rsid w:val="00F33849"/>
    <w:rsid w:val="00F338A6"/>
    <w:rsid w:val="00F33AB1"/>
    <w:rsid w:val="00F33AB7"/>
    <w:rsid w:val="00F33B27"/>
    <w:rsid w:val="00F33E29"/>
    <w:rsid w:val="00F33E2E"/>
    <w:rsid w:val="00F33E65"/>
    <w:rsid w:val="00F34002"/>
    <w:rsid w:val="00F3400E"/>
    <w:rsid w:val="00F3401C"/>
    <w:rsid w:val="00F340DC"/>
    <w:rsid w:val="00F340EF"/>
    <w:rsid w:val="00F34200"/>
    <w:rsid w:val="00F3427B"/>
    <w:rsid w:val="00F3451E"/>
    <w:rsid w:val="00F348B9"/>
    <w:rsid w:val="00F348F6"/>
    <w:rsid w:val="00F34A02"/>
    <w:rsid w:val="00F34AB8"/>
    <w:rsid w:val="00F34BD4"/>
    <w:rsid w:val="00F34D3E"/>
    <w:rsid w:val="00F34F62"/>
    <w:rsid w:val="00F34FDB"/>
    <w:rsid w:val="00F351E9"/>
    <w:rsid w:val="00F35280"/>
    <w:rsid w:val="00F352A5"/>
    <w:rsid w:val="00F3539C"/>
    <w:rsid w:val="00F35412"/>
    <w:rsid w:val="00F35581"/>
    <w:rsid w:val="00F3589A"/>
    <w:rsid w:val="00F35A8B"/>
    <w:rsid w:val="00F35ADE"/>
    <w:rsid w:val="00F35B62"/>
    <w:rsid w:val="00F35BB0"/>
    <w:rsid w:val="00F35CFC"/>
    <w:rsid w:val="00F35D88"/>
    <w:rsid w:val="00F35E92"/>
    <w:rsid w:val="00F35F90"/>
    <w:rsid w:val="00F3606D"/>
    <w:rsid w:val="00F36113"/>
    <w:rsid w:val="00F3639C"/>
    <w:rsid w:val="00F363CE"/>
    <w:rsid w:val="00F363D3"/>
    <w:rsid w:val="00F36426"/>
    <w:rsid w:val="00F3642F"/>
    <w:rsid w:val="00F364A1"/>
    <w:rsid w:val="00F365C1"/>
    <w:rsid w:val="00F36658"/>
    <w:rsid w:val="00F367CB"/>
    <w:rsid w:val="00F367F3"/>
    <w:rsid w:val="00F36968"/>
    <w:rsid w:val="00F369B8"/>
    <w:rsid w:val="00F36C0C"/>
    <w:rsid w:val="00F36CC7"/>
    <w:rsid w:val="00F36CE3"/>
    <w:rsid w:val="00F36D96"/>
    <w:rsid w:val="00F36E82"/>
    <w:rsid w:val="00F3710D"/>
    <w:rsid w:val="00F371E8"/>
    <w:rsid w:val="00F3738B"/>
    <w:rsid w:val="00F37471"/>
    <w:rsid w:val="00F37581"/>
    <w:rsid w:val="00F37661"/>
    <w:rsid w:val="00F37674"/>
    <w:rsid w:val="00F378F6"/>
    <w:rsid w:val="00F37BF1"/>
    <w:rsid w:val="00F37C37"/>
    <w:rsid w:val="00F37EFB"/>
    <w:rsid w:val="00F4009D"/>
    <w:rsid w:val="00F400A9"/>
    <w:rsid w:val="00F402F6"/>
    <w:rsid w:val="00F40377"/>
    <w:rsid w:val="00F40457"/>
    <w:rsid w:val="00F4050E"/>
    <w:rsid w:val="00F4057E"/>
    <w:rsid w:val="00F4064F"/>
    <w:rsid w:val="00F40675"/>
    <w:rsid w:val="00F4071B"/>
    <w:rsid w:val="00F40874"/>
    <w:rsid w:val="00F40987"/>
    <w:rsid w:val="00F409CF"/>
    <w:rsid w:val="00F40ADF"/>
    <w:rsid w:val="00F40C9E"/>
    <w:rsid w:val="00F40DC5"/>
    <w:rsid w:val="00F40DE2"/>
    <w:rsid w:val="00F40E15"/>
    <w:rsid w:val="00F40E53"/>
    <w:rsid w:val="00F4149B"/>
    <w:rsid w:val="00F414A8"/>
    <w:rsid w:val="00F4155C"/>
    <w:rsid w:val="00F4161A"/>
    <w:rsid w:val="00F41697"/>
    <w:rsid w:val="00F41746"/>
    <w:rsid w:val="00F41A24"/>
    <w:rsid w:val="00F41A37"/>
    <w:rsid w:val="00F41A3D"/>
    <w:rsid w:val="00F41AB2"/>
    <w:rsid w:val="00F41BCD"/>
    <w:rsid w:val="00F41D0F"/>
    <w:rsid w:val="00F41EFA"/>
    <w:rsid w:val="00F41F26"/>
    <w:rsid w:val="00F41F45"/>
    <w:rsid w:val="00F41FE1"/>
    <w:rsid w:val="00F4209D"/>
    <w:rsid w:val="00F421CA"/>
    <w:rsid w:val="00F42260"/>
    <w:rsid w:val="00F42263"/>
    <w:rsid w:val="00F423A3"/>
    <w:rsid w:val="00F425A5"/>
    <w:rsid w:val="00F427AF"/>
    <w:rsid w:val="00F4291C"/>
    <w:rsid w:val="00F42939"/>
    <w:rsid w:val="00F4294F"/>
    <w:rsid w:val="00F429FF"/>
    <w:rsid w:val="00F42CEF"/>
    <w:rsid w:val="00F42D8A"/>
    <w:rsid w:val="00F42F50"/>
    <w:rsid w:val="00F43071"/>
    <w:rsid w:val="00F4309E"/>
    <w:rsid w:val="00F430C8"/>
    <w:rsid w:val="00F430CB"/>
    <w:rsid w:val="00F431A3"/>
    <w:rsid w:val="00F432B4"/>
    <w:rsid w:val="00F43350"/>
    <w:rsid w:val="00F43602"/>
    <w:rsid w:val="00F43612"/>
    <w:rsid w:val="00F4362B"/>
    <w:rsid w:val="00F43853"/>
    <w:rsid w:val="00F43DD8"/>
    <w:rsid w:val="00F43E67"/>
    <w:rsid w:val="00F4407E"/>
    <w:rsid w:val="00F441C3"/>
    <w:rsid w:val="00F44352"/>
    <w:rsid w:val="00F44614"/>
    <w:rsid w:val="00F4490C"/>
    <w:rsid w:val="00F44923"/>
    <w:rsid w:val="00F44AFA"/>
    <w:rsid w:val="00F44BE4"/>
    <w:rsid w:val="00F44D61"/>
    <w:rsid w:val="00F44F90"/>
    <w:rsid w:val="00F44FBE"/>
    <w:rsid w:val="00F45133"/>
    <w:rsid w:val="00F4515E"/>
    <w:rsid w:val="00F452DD"/>
    <w:rsid w:val="00F45347"/>
    <w:rsid w:val="00F4549E"/>
    <w:rsid w:val="00F454CE"/>
    <w:rsid w:val="00F45682"/>
    <w:rsid w:val="00F456CB"/>
    <w:rsid w:val="00F456F4"/>
    <w:rsid w:val="00F4570E"/>
    <w:rsid w:val="00F45714"/>
    <w:rsid w:val="00F4586A"/>
    <w:rsid w:val="00F4586E"/>
    <w:rsid w:val="00F45A03"/>
    <w:rsid w:val="00F45A56"/>
    <w:rsid w:val="00F45AEA"/>
    <w:rsid w:val="00F45D04"/>
    <w:rsid w:val="00F45D21"/>
    <w:rsid w:val="00F45E21"/>
    <w:rsid w:val="00F45E45"/>
    <w:rsid w:val="00F45E70"/>
    <w:rsid w:val="00F45E95"/>
    <w:rsid w:val="00F45E9F"/>
    <w:rsid w:val="00F460BC"/>
    <w:rsid w:val="00F46330"/>
    <w:rsid w:val="00F467DD"/>
    <w:rsid w:val="00F46A2F"/>
    <w:rsid w:val="00F46AE1"/>
    <w:rsid w:val="00F46B67"/>
    <w:rsid w:val="00F46C44"/>
    <w:rsid w:val="00F46D71"/>
    <w:rsid w:val="00F46DFF"/>
    <w:rsid w:val="00F46E23"/>
    <w:rsid w:val="00F46E94"/>
    <w:rsid w:val="00F46E9A"/>
    <w:rsid w:val="00F47161"/>
    <w:rsid w:val="00F4729A"/>
    <w:rsid w:val="00F473AD"/>
    <w:rsid w:val="00F473BD"/>
    <w:rsid w:val="00F4763B"/>
    <w:rsid w:val="00F47641"/>
    <w:rsid w:val="00F476B0"/>
    <w:rsid w:val="00F476FE"/>
    <w:rsid w:val="00F47872"/>
    <w:rsid w:val="00F47916"/>
    <w:rsid w:val="00F4792E"/>
    <w:rsid w:val="00F47A0C"/>
    <w:rsid w:val="00F47A18"/>
    <w:rsid w:val="00F47A1F"/>
    <w:rsid w:val="00F47A23"/>
    <w:rsid w:val="00F47B71"/>
    <w:rsid w:val="00F47B8A"/>
    <w:rsid w:val="00F47C3B"/>
    <w:rsid w:val="00F47D98"/>
    <w:rsid w:val="00F47DAA"/>
    <w:rsid w:val="00F47FA7"/>
    <w:rsid w:val="00F50341"/>
    <w:rsid w:val="00F503B8"/>
    <w:rsid w:val="00F50462"/>
    <w:rsid w:val="00F505D4"/>
    <w:rsid w:val="00F50713"/>
    <w:rsid w:val="00F50842"/>
    <w:rsid w:val="00F50AB4"/>
    <w:rsid w:val="00F50C5B"/>
    <w:rsid w:val="00F50C9B"/>
    <w:rsid w:val="00F50D12"/>
    <w:rsid w:val="00F50D8A"/>
    <w:rsid w:val="00F50D8E"/>
    <w:rsid w:val="00F50F56"/>
    <w:rsid w:val="00F50FCE"/>
    <w:rsid w:val="00F51002"/>
    <w:rsid w:val="00F510DC"/>
    <w:rsid w:val="00F51103"/>
    <w:rsid w:val="00F51410"/>
    <w:rsid w:val="00F51744"/>
    <w:rsid w:val="00F51790"/>
    <w:rsid w:val="00F51793"/>
    <w:rsid w:val="00F51A35"/>
    <w:rsid w:val="00F51A58"/>
    <w:rsid w:val="00F51AA7"/>
    <w:rsid w:val="00F51AAD"/>
    <w:rsid w:val="00F51B65"/>
    <w:rsid w:val="00F51B93"/>
    <w:rsid w:val="00F51C00"/>
    <w:rsid w:val="00F51CD6"/>
    <w:rsid w:val="00F51D76"/>
    <w:rsid w:val="00F51E1A"/>
    <w:rsid w:val="00F51E63"/>
    <w:rsid w:val="00F51E7B"/>
    <w:rsid w:val="00F51F3B"/>
    <w:rsid w:val="00F52020"/>
    <w:rsid w:val="00F52043"/>
    <w:rsid w:val="00F5213D"/>
    <w:rsid w:val="00F522D1"/>
    <w:rsid w:val="00F523C4"/>
    <w:rsid w:val="00F52486"/>
    <w:rsid w:val="00F527F0"/>
    <w:rsid w:val="00F5298A"/>
    <w:rsid w:val="00F529A9"/>
    <w:rsid w:val="00F53004"/>
    <w:rsid w:val="00F5305F"/>
    <w:rsid w:val="00F5313A"/>
    <w:rsid w:val="00F531B1"/>
    <w:rsid w:val="00F531E1"/>
    <w:rsid w:val="00F53229"/>
    <w:rsid w:val="00F5334F"/>
    <w:rsid w:val="00F5349A"/>
    <w:rsid w:val="00F534CB"/>
    <w:rsid w:val="00F536D3"/>
    <w:rsid w:val="00F539DB"/>
    <w:rsid w:val="00F53A5B"/>
    <w:rsid w:val="00F53C5A"/>
    <w:rsid w:val="00F53D8E"/>
    <w:rsid w:val="00F53F82"/>
    <w:rsid w:val="00F53FE7"/>
    <w:rsid w:val="00F5407C"/>
    <w:rsid w:val="00F5426F"/>
    <w:rsid w:val="00F5427C"/>
    <w:rsid w:val="00F5435B"/>
    <w:rsid w:val="00F543C0"/>
    <w:rsid w:val="00F54421"/>
    <w:rsid w:val="00F544D4"/>
    <w:rsid w:val="00F5469C"/>
    <w:rsid w:val="00F546A7"/>
    <w:rsid w:val="00F547B8"/>
    <w:rsid w:val="00F549BF"/>
    <w:rsid w:val="00F54AE1"/>
    <w:rsid w:val="00F54B77"/>
    <w:rsid w:val="00F54C02"/>
    <w:rsid w:val="00F54D4E"/>
    <w:rsid w:val="00F54D69"/>
    <w:rsid w:val="00F54EEC"/>
    <w:rsid w:val="00F551D4"/>
    <w:rsid w:val="00F55452"/>
    <w:rsid w:val="00F555CA"/>
    <w:rsid w:val="00F555CC"/>
    <w:rsid w:val="00F556F9"/>
    <w:rsid w:val="00F556FD"/>
    <w:rsid w:val="00F55710"/>
    <w:rsid w:val="00F55724"/>
    <w:rsid w:val="00F55805"/>
    <w:rsid w:val="00F55917"/>
    <w:rsid w:val="00F5598E"/>
    <w:rsid w:val="00F55DA7"/>
    <w:rsid w:val="00F55E86"/>
    <w:rsid w:val="00F55F46"/>
    <w:rsid w:val="00F5611A"/>
    <w:rsid w:val="00F5624E"/>
    <w:rsid w:val="00F562BE"/>
    <w:rsid w:val="00F56324"/>
    <w:rsid w:val="00F5633D"/>
    <w:rsid w:val="00F56471"/>
    <w:rsid w:val="00F56677"/>
    <w:rsid w:val="00F56997"/>
    <w:rsid w:val="00F569DC"/>
    <w:rsid w:val="00F56A41"/>
    <w:rsid w:val="00F56AEA"/>
    <w:rsid w:val="00F56D2B"/>
    <w:rsid w:val="00F56DA5"/>
    <w:rsid w:val="00F56DC5"/>
    <w:rsid w:val="00F57001"/>
    <w:rsid w:val="00F5700C"/>
    <w:rsid w:val="00F57092"/>
    <w:rsid w:val="00F570A5"/>
    <w:rsid w:val="00F5711E"/>
    <w:rsid w:val="00F57266"/>
    <w:rsid w:val="00F572A4"/>
    <w:rsid w:val="00F57317"/>
    <w:rsid w:val="00F5735A"/>
    <w:rsid w:val="00F57619"/>
    <w:rsid w:val="00F576D0"/>
    <w:rsid w:val="00F576FA"/>
    <w:rsid w:val="00F57B2D"/>
    <w:rsid w:val="00F57C35"/>
    <w:rsid w:val="00F57D0F"/>
    <w:rsid w:val="00F57DE4"/>
    <w:rsid w:val="00F60093"/>
    <w:rsid w:val="00F605C3"/>
    <w:rsid w:val="00F6061B"/>
    <w:rsid w:val="00F6082C"/>
    <w:rsid w:val="00F6091D"/>
    <w:rsid w:val="00F60A24"/>
    <w:rsid w:val="00F60AE8"/>
    <w:rsid w:val="00F60D3E"/>
    <w:rsid w:val="00F60E37"/>
    <w:rsid w:val="00F60EB0"/>
    <w:rsid w:val="00F60F2C"/>
    <w:rsid w:val="00F6111A"/>
    <w:rsid w:val="00F6129A"/>
    <w:rsid w:val="00F61379"/>
    <w:rsid w:val="00F6153B"/>
    <w:rsid w:val="00F61578"/>
    <w:rsid w:val="00F61601"/>
    <w:rsid w:val="00F61660"/>
    <w:rsid w:val="00F616BE"/>
    <w:rsid w:val="00F61722"/>
    <w:rsid w:val="00F617BF"/>
    <w:rsid w:val="00F61BE1"/>
    <w:rsid w:val="00F61D71"/>
    <w:rsid w:val="00F61DE2"/>
    <w:rsid w:val="00F61E4E"/>
    <w:rsid w:val="00F61E51"/>
    <w:rsid w:val="00F61FB1"/>
    <w:rsid w:val="00F620B7"/>
    <w:rsid w:val="00F62244"/>
    <w:rsid w:val="00F622FC"/>
    <w:rsid w:val="00F6239B"/>
    <w:rsid w:val="00F624ED"/>
    <w:rsid w:val="00F62621"/>
    <w:rsid w:val="00F6262A"/>
    <w:rsid w:val="00F62649"/>
    <w:rsid w:val="00F62691"/>
    <w:rsid w:val="00F6274F"/>
    <w:rsid w:val="00F628FC"/>
    <w:rsid w:val="00F62E24"/>
    <w:rsid w:val="00F630A7"/>
    <w:rsid w:val="00F63349"/>
    <w:rsid w:val="00F63405"/>
    <w:rsid w:val="00F63722"/>
    <w:rsid w:val="00F637B2"/>
    <w:rsid w:val="00F6382E"/>
    <w:rsid w:val="00F638A7"/>
    <w:rsid w:val="00F6394B"/>
    <w:rsid w:val="00F63A93"/>
    <w:rsid w:val="00F63AE5"/>
    <w:rsid w:val="00F63B46"/>
    <w:rsid w:val="00F63BC8"/>
    <w:rsid w:val="00F63C9C"/>
    <w:rsid w:val="00F63E16"/>
    <w:rsid w:val="00F63E64"/>
    <w:rsid w:val="00F63EFE"/>
    <w:rsid w:val="00F64115"/>
    <w:rsid w:val="00F64149"/>
    <w:rsid w:val="00F64457"/>
    <w:rsid w:val="00F64612"/>
    <w:rsid w:val="00F646CA"/>
    <w:rsid w:val="00F64818"/>
    <w:rsid w:val="00F6490C"/>
    <w:rsid w:val="00F6498C"/>
    <w:rsid w:val="00F64CFA"/>
    <w:rsid w:val="00F64D00"/>
    <w:rsid w:val="00F64EC5"/>
    <w:rsid w:val="00F64F26"/>
    <w:rsid w:val="00F64F57"/>
    <w:rsid w:val="00F65016"/>
    <w:rsid w:val="00F65047"/>
    <w:rsid w:val="00F65075"/>
    <w:rsid w:val="00F650E2"/>
    <w:rsid w:val="00F6514A"/>
    <w:rsid w:val="00F65405"/>
    <w:rsid w:val="00F656CA"/>
    <w:rsid w:val="00F65877"/>
    <w:rsid w:val="00F65B09"/>
    <w:rsid w:val="00F65B1B"/>
    <w:rsid w:val="00F65DB6"/>
    <w:rsid w:val="00F65DF3"/>
    <w:rsid w:val="00F65E05"/>
    <w:rsid w:val="00F65F3C"/>
    <w:rsid w:val="00F65F9A"/>
    <w:rsid w:val="00F66104"/>
    <w:rsid w:val="00F66108"/>
    <w:rsid w:val="00F6612E"/>
    <w:rsid w:val="00F661D2"/>
    <w:rsid w:val="00F66411"/>
    <w:rsid w:val="00F664C8"/>
    <w:rsid w:val="00F666DF"/>
    <w:rsid w:val="00F666E8"/>
    <w:rsid w:val="00F6674E"/>
    <w:rsid w:val="00F667E7"/>
    <w:rsid w:val="00F66818"/>
    <w:rsid w:val="00F66C99"/>
    <w:rsid w:val="00F66D36"/>
    <w:rsid w:val="00F66E4A"/>
    <w:rsid w:val="00F67192"/>
    <w:rsid w:val="00F673B0"/>
    <w:rsid w:val="00F673E5"/>
    <w:rsid w:val="00F67446"/>
    <w:rsid w:val="00F674E8"/>
    <w:rsid w:val="00F675E0"/>
    <w:rsid w:val="00F678C8"/>
    <w:rsid w:val="00F67A15"/>
    <w:rsid w:val="00F67A95"/>
    <w:rsid w:val="00F67E05"/>
    <w:rsid w:val="00F67E70"/>
    <w:rsid w:val="00F67E99"/>
    <w:rsid w:val="00F67EA8"/>
    <w:rsid w:val="00F67F13"/>
    <w:rsid w:val="00F702CC"/>
    <w:rsid w:val="00F70372"/>
    <w:rsid w:val="00F703B2"/>
    <w:rsid w:val="00F703D1"/>
    <w:rsid w:val="00F705A3"/>
    <w:rsid w:val="00F705D6"/>
    <w:rsid w:val="00F70636"/>
    <w:rsid w:val="00F706F3"/>
    <w:rsid w:val="00F708F9"/>
    <w:rsid w:val="00F70B44"/>
    <w:rsid w:val="00F70C3C"/>
    <w:rsid w:val="00F70D65"/>
    <w:rsid w:val="00F70DF9"/>
    <w:rsid w:val="00F70E41"/>
    <w:rsid w:val="00F7101E"/>
    <w:rsid w:val="00F713A2"/>
    <w:rsid w:val="00F714C3"/>
    <w:rsid w:val="00F71714"/>
    <w:rsid w:val="00F7172C"/>
    <w:rsid w:val="00F7176D"/>
    <w:rsid w:val="00F71C12"/>
    <w:rsid w:val="00F71C17"/>
    <w:rsid w:val="00F71FE0"/>
    <w:rsid w:val="00F72158"/>
    <w:rsid w:val="00F72205"/>
    <w:rsid w:val="00F722D4"/>
    <w:rsid w:val="00F72382"/>
    <w:rsid w:val="00F723F3"/>
    <w:rsid w:val="00F7244E"/>
    <w:rsid w:val="00F72515"/>
    <w:rsid w:val="00F72935"/>
    <w:rsid w:val="00F7295F"/>
    <w:rsid w:val="00F72B51"/>
    <w:rsid w:val="00F72C15"/>
    <w:rsid w:val="00F72C62"/>
    <w:rsid w:val="00F72C77"/>
    <w:rsid w:val="00F72D6F"/>
    <w:rsid w:val="00F72D91"/>
    <w:rsid w:val="00F73001"/>
    <w:rsid w:val="00F731A1"/>
    <w:rsid w:val="00F73301"/>
    <w:rsid w:val="00F73404"/>
    <w:rsid w:val="00F7357F"/>
    <w:rsid w:val="00F73B9F"/>
    <w:rsid w:val="00F73C1E"/>
    <w:rsid w:val="00F73C9A"/>
    <w:rsid w:val="00F73CB3"/>
    <w:rsid w:val="00F73CFC"/>
    <w:rsid w:val="00F73D10"/>
    <w:rsid w:val="00F73D7F"/>
    <w:rsid w:val="00F73F19"/>
    <w:rsid w:val="00F73F3A"/>
    <w:rsid w:val="00F740E1"/>
    <w:rsid w:val="00F7418B"/>
    <w:rsid w:val="00F7418E"/>
    <w:rsid w:val="00F741A0"/>
    <w:rsid w:val="00F7423C"/>
    <w:rsid w:val="00F7430D"/>
    <w:rsid w:val="00F7444F"/>
    <w:rsid w:val="00F74460"/>
    <w:rsid w:val="00F744FD"/>
    <w:rsid w:val="00F746A2"/>
    <w:rsid w:val="00F7472A"/>
    <w:rsid w:val="00F74793"/>
    <w:rsid w:val="00F74920"/>
    <w:rsid w:val="00F74A45"/>
    <w:rsid w:val="00F74ADB"/>
    <w:rsid w:val="00F74AF3"/>
    <w:rsid w:val="00F74B8E"/>
    <w:rsid w:val="00F74C3B"/>
    <w:rsid w:val="00F74D4E"/>
    <w:rsid w:val="00F74E04"/>
    <w:rsid w:val="00F74E22"/>
    <w:rsid w:val="00F74F56"/>
    <w:rsid w:val="00F74F59"/>
    <w:rsid w:val="00F7506F"/>
    <w:rsid w:val="00F75089"/>
    <w:rsid w:val="00F75188"/>
    <w:rsid w:val="00F75307"/>
    <w:rsid w:val="00F7534C"/>
    <w:rsid w:val="00F755A2"/>
    <w:rsid w:val="00F75742"/>
    <w:rsid w:val="00F75F25"/>
    <w:rsid w:val="00F75FDC"/>
    <w:rsid w:val="00F761B4"/>
    <w:rsid w:val="00F762F7"/>
    <w:rsid w:val="00F7639D"/>
    <w:rsid w:val="00F763FD"/>
    <w:rsid w:val="00F76479"/>
    <w:rsid w:val="00F7670C"/>
    <w:rsid w:val="00F76871"/>
    <w:rsid w:val="00F76957"/>
    <w:rsid w:val="00F76EF5"/>
    <w:rsid w:val="00F76F9E"/>
    <w:rsid w:val="00F76FA7"/>
    <w:rsid w:val="00F77194"/>
    <w:rsid w:val="00F77411"/>
    <w:rsid w:val="00F7775E"/>
    <w:rsid w:val="00F777B8"/>
    <w:rsid w:val="00F777DA"/>
    <w:rsid w:val="00F777FA"/>
    <w:rsid w:val="00F778BF"/>
    <w:rsid w:val="00F77B4D"/>
    <w:rsid w:val="00F77DB1"/>
    <w:rsid w:val="00F77DED"/>
    <w:rsid w:val="00F77E72"/>
    <w:rsid w:val="00F803BB"/>
    <w:rsid w:val="00F803F2"/>
    <w:rsid w:val="00F80416"/>
    <w:rsid w:val="00F8041E"/>
    <w:rsid w:val="00F807FE"/>
    <w:rsid w:val="00F8081D"/>
    <w:rsid w:val="00F80979"/>
    <w:rsid w:val="00F80D2D"/>
    <w:rsid w:val="00F80D3E"/>
    <w:rsid w:val="00F80D5C"/>
    <w:rsid w:val="00F80EB4"/>
    <w:rsid w:val="00F80F21"/>
    <w:rsid w:val="00F81013"/>
    <w:rsid w:val="00F810B5"/>
    <w:rsid w:val="00F81240"/>
    <w:rsid w:val="00F81282"/>
    <w:rsid w:val="00F8128B"/>
    <w:rsid w:val="00F81361"/>
    <w:rsid w:val="00F8136E"/>
    <w:rsid w:val="00F819B1"/>
    <w:rsid w:val="00F819C3"/>
    <w:rsid w:val="00F81AE8"/>
    <w:rsid w:val="00F81B4B"/>
    <w:rsid w:val="00F81BE4"/>
    <w:rsid w:val="00F81D8B"/>
    <w:rsid w:val="00F81DC3"/>
    <w:rsid w:val="00F81DED"/>
    <w:rsid w:val="00F81F22"/>
    <w:rsid w:val="00F81FA4"/>
    <w:rsid w:val="00F81FC8"/>
    <w:rsid w:val="00F820AE"/>
    <w:rsid w:val="00F8224A"/>
    <w:rsid w:val="00F82280"/>
    <w:rsid w:val="00F82447"/>
    <w:rsid w:val="00F825BE"/>
    <w:rsid w:val="00F82691"/>
    <w:rsid w:val="00F826AF"/>
    <w:rsid w:val="00F8274D"/>
    <w:rsid w:val="00F8288C"/>
    <w:rsid w:val="00F82A2C"/>
    <w:rsid w:val="00F82BBA"/>
    <w:rsid w:val="00F82C24"/>
    <w:rsid w:val="00F82E04"/>
    <w:rsid w:val="00F83099"/>
    <w:rsid w:val="00F831A5"/>
    <w:rsid w:val="00F83291"/>
    <w:rsid w:val="00F83AC2"/>
    <w:rsid w:val="00F83DAF"/>
    <w:rsid w:val="00F83EF5"/>
    <w:rsid w:val="00F83F12"/>
    <w:rsid w:val="00F83F80"/>
    <w:rsid w:val="00F8408A"/>
    <w:rsid w:val="00F8425C"/>
    <w:rsid w:val="00F842B1"/>
    <w:rsid w:val="00F845BF"/>
    <w:rsid w:val="00F8486B"/>
    <w:rsid w:val="00F84DA8"/>
    <w:rsid w:val="00F84F00"/>
    <w:rsid w:val="00F84FC4"/>
    <w:rsid w:val="00F8516E"/>
    <w:rsid w:val="00F85200"/>
    <w:rsid w:val="00F8522F"/>
    <w:rsid w:val="00F85288"/>
    <w:rsid w:val="00F85621"/>
    <w:rsid w:val="00F85872"/>
    <w:rsid w:val="00F85920"/>
    <w:rsid w:val="00F85B90"/>
    <w:rsid w:val="00F85B94"/>
    <w:rsid w:val="00F85C9C"/>
    <w:rsid w:val="00F85DC3"/>
    <w:rsid w:val="00F861E8"/>
    <w:rsid w:val="00F86204"/>
    <w:rsid w:val="00F8681B"/>
    <w:rsid w:val="00F86A4D"/>
    <w:rsid w:val="00F86B26"/>
    <w:rsid w:val="00F86B45"/>
    <w:rsid w:val="00F86BB0"/>
    <w:rsid w:val="00F86BE5"/>
    <w:rsid w:val="00F86C30"/>
    <w:rsid w:val="00F8702B"/>
    <w:rsid w:val="00F87370"/>
    <w:rsid w:val="00F87480"/>
    <w:rsid w:val="00F87AC4"/>
    <w:rsid w:val="00F87B44"/>
    <w:rsid w:val="00F87DCC"/>
    <w:rsid w:val="00F87DD7"/>
    <w:rsid w:val="00F87EE7"/>
    <w:rsid w:val="00F87FF0"/>
    <w:rsid w:val="00F900D3"/>
    <w:rsid w:val="00F9038E"/>
    <w:rsid w:val="00F903F6"/>
    <w:rsid w:val="00F905F5"/>
    <w:rsid w:val="00F90849"/>
    <w:rsid w:val="00F9097D"/>
    <w:rsid w:val="00F90B49"/>
    <w:rsid w:val="00F90B7A"/>
    <w:rsid w:val="00F90BCE"/>
    <w:rsid w:val="00F90F7C"/>
    <w:rsid w:val="00F9104C"/>
    <w:rsid w:val="00F9125B"/>
    <w:rsid w:val="00F91288"/>
    <w:rsid w:val="00F912E0"/>
    <w:rsid w:val="00F9156A"/>
    <w:rsid w:val="00F91773"/>
    <w:rsid w:val="00F91868"/>
    <w:rsid w:val="00F91ADD"/>
    <w:rsid w:val="00F91E5D"/>
    <w:rsid w:val="00F91F57"/>
    <w:rsid w:val="00F91F73"/>
    <w:rsid w:val="00F921A4"/>
    <w:rsid w:val="00F922F1"/>
    <w:rsid w:val="00F92302"/>
    <w:rsid w:val="00F92423"/>
    <w:rsid w:val="00F92783"/>
    <w:rsid w:val="00F92840"/>
    <w:rsid w:val="00F928DD"/>
    <w:rsid w:val="00F92A16"/>
    <w:rsid w:val="00F92A68"/>
    <w:rsid w:val="00F92CA1"/>
    <w:rsid w:val="00F92F0F"/>
    <w:rsid w:val="00F92F3E"/>
    <w:rsid w:val="00F92FEE"/>
    <w:rsid w:val="00F93581"/>
    <w:rsid w:val="00F93739"/>
    <w:rsid w:val="00F938C9"/>
    <w:rsid w:val="00F939B2"/>
    <w:rsid w:val="00F93BAE"/>
    <w:rsid w:val="00F93C4A"/>
    <w:rsid w:val="00F93C98"/>
    <w:rsid w:val="00F93EA6"/>
    <w:rsid w:val="00F93F69"/>
    <w:rsid w:val="00F93FBE"/>
    <w:rsid w:val="00F940C6"/>
    <w:rsid w:val="00F940E6"/>
    <w:rsid w:val="00F94169"/>
    <w:rsid w:val="00F9443F"/>
    <w:rsid w:val="00F944FA"/>
    <w:rsid w:val="00F94504"/>
    <w:rsid w:val="00F9473B"/>
    <w:rsid w:val="00F948AC"/>
    <w:rsid w:val="00F94902"/>
    <w:rsid w:val="00F949ED"/>
    <w:rsid w:val="00F94EB2"/>
    <w:rsid w:val="00F94F39"/>
    <w:rsid w:val="00F950A9"/>
    <w:rsid w:val="00F950CF"/>
    <w:rsid w:val="00F951DB"/>
    <w:rsid w:val="00F953C5"/>
    <w:rsid w:val="00F9552D"/>
    <w:rsid w:val="00F95566"/>
    <w:rsid w:val="00F955D2"/>
    <w:rsid w:val="00F956BA"/>
    <w:rsid w:val="00F957CC"/>
    <w:rsid w:val="00F95816"/>
    <w:rsid w:val="00F95A7F"/>
    <w:rsid w:val="00F95A9C"/>
    <w:rsid w:val="00F95AF9"/>
    <w:rsid w:val="00F95B8D"/>
    <w:rsid w:val="00F95CC3"/>
    <w:rsid w:val="00F95F6E"/>
    <w:rsid w:val="00F960BC"/>
    <w:rsid w:val="00F96143"/>
    <w:rsid w:val="00F962F2"/>
    <w:rsid w:val="00F96397"/>
    <w:rsid w:val="00F963CE"/>
    <w:rsid w:val="00F96406"/>
    <w:rsid w:val="00F96471"/>
    <w:rsid w:val="00F964EB"/>
    <w:rsid w:val="00F9676C"/>
    <w:rsid w:val="00F96808"/>
    <w:rsid w:val="00F96868"/>
    <w:rsid w:val="00F96B3A"/>
    <w:rsid w:val="00F96BF4"/>
    <w:rsid w:val="00F96C13"/>
    <w:rsid w:val="00F96E80"/>
    <w:rsid w:val="00F96FDA"/>
    <w:rsid w:val="00F970B0"/>
    <w:rsid w:val="00F97125"/>
    <w:rsid w:val="00F97445"/>
    <w:rsid w:val="00F974D0"/>
    <w:rsid w:val="00F975E8"/>
    <w:rsid w:val="00F9766A"/>
    <w:rsid w:val="00F97682"/>
    <w:rsid w:val="00F976BD"/>
    <w:rsid w:val="00F97A01"/>
    <w:rsid w:val="00F97A84"/>
    <w:rsid w:val="00FA010D"/>
    <w:rsid w:val="00FA0137"/>
    <w:rsid w:val="00FA01A6"/>
    <w:rsid w:val="00FA0223"/>
    <w:rsid w:val="00FA041B"/>
    <w:rsid w:val="00FA045F"/>
    <w:rsid w:val="00FA0520"/>
    <w:rsid w:val="00FA052F"/>
    <w:rsid w:val="00FA05A5"/>
    <w:rsid w:val="00FA069C"/>
    <w:rsid w:val="00FA073F"/>
    <w:rsid w:val="00FA077B"/>
    <w:rsid w:val="00FA0794"/>
    <w:rsid w:val="00FA0998"/>
    <w:rsid w:val="00FA09FD"/>
    <w:rsid w:val="00FA0C70"/>
    <w:rsid w:val="00FA0CE7"/>
    <w:rsid w:val="00FA0D1C"/>
    <w:rsid w:val="00FA0E61"/>
    <w:rsid w:val="00FA10D3"/>
    <w:rsid w:val="00FA1388"/>
    <w:rsid w:val="00FA150D"/>
    <w:rsid w:val="00FA1547"/>
    <w:rsid w:val="00FA1B57"/>
    <w:rsid w:val="00FA1BBF"/>
    <w:rsid w:val="00FA1EB9"/>
    <w:rsid w:val="00FA1EC8"/>
    <w:rsid w:val="00FA1FDE"/>
    <w:rsid w:val="00FA1FE7"/>
    <w:rsid w:val="00FA2086"/>
    <w:rsid w:val="00FA20EA"/>
    <w:rsid w:val="00FA2123"/>
    <w:rsid w:val="00FA22AA"/>
    <w:rsid w:val="00FA22AC"/>
    <w:rsid w:val="00FA22CF"/>
    <w:rsid w:val="00FA23A1"/>
    <w:rsid w:val="00FA2448"/>
    <w:rsid w:val="00FA244C"/>
    <w:rsid w:val="00FA24D9"/>
    <w:rsid w:val="00FA24FA"/>
    <w:rsid w:val="00FA25A4"/>
    <w:rsid w:val="00FA25AF"/>
    <w:rsid w:val="00FA25D4"/>
    <w:rsid w:val="00FA26D5"/>
    <w:rsid w:val="00FA28AC"/>
    <w:rsid w:val="00FA2A21"/>
    <w:rsid w:val="00FA2BA7"/>
    <w:rsid w:val="00FA2C7C"/>
    <w:rsid w:val="00FA2C9D"/>
    <w:rsid w:val="00FA2CD2"/>
    <w:rsid w:val="00FA30F9"/>
    <w:rsid w:val="00FA3155"/>
    <w:rsid w:val="00FA33C3"/>
    <w:rsid w:val="00FA33C5"/>
    <w:rsid w:val="00FA3447"/>
    <w:rsid w:val="00FA34CE"/>
    <w:rsid w:val="00FA394E"/>
    <w:rsid w:val="00FA39B7"/>
    <w:rsid w:val="00FA3A9C"/>
    <w:rsid w:val="00FA3AE9"/>
    <w:rsid w:val="00FA3BDD"/>
    <w:rsid w:val="00FA3C62"/>
    <w:rsid w:val="00FA3E4E"/>
    <w:rsid w:val="00FA3F03"/>
    <w:rsid w:val="00FA3F17"/>
    <w:rsid w:val="00FA3F44"/>
    <w:rsid w:val="00FA40C9"/>
    <w:rsid w:val="00FA40DE"/>
    <w:rsid w:val="00FA4101"/>
    <w:rsid w:val="00FA4133"/>
    <w:rsid w:val="00FA4526"/>
    <w:rsid w:val="00FA4559"/>
    <w:rsid w:val="00FA47BD"/>
    <w:rsid w:val="00FA4AD4"/>
    <w:rsid w:val="00FA4BC2"/>
    <w:rsid w:val="00FA4CE1"/>
    <w:rsid w:val="00FA4D65"/>
    <w:rsid w:val="00FA52E2"/>
    <w:rsid w:val="00FA533F"/>
    <w:rsid w:val="00FA562A"/>
    <w:rsid w:val="00FA56DA"/>
    <w:rsid w:val="00FA57C8"/>
    <w:rsid w:val="00FA57D0"/>
    <w:rsid w:val="00FA5AFC"/>
    <w:rsid w:val="00FA5B5B"/>
    <w:rsid w:val="00FA5BA6"/>
    <w:rsid w:val="00FA5DA9"/>
    <w:rsid w:val="00FA5DC4"/>
    <w:rsid w:val="00FA5EC5"/>
    <w:rsid w:val="00FA5F19"/>
    <w:rsid w:val="00FA5F46"/>
    <w:rsid w:val="00FA6190"/>
    <w:rsid w:val="00FA620A"/>
    <w:rsid w:val="00FA6234"/>
    <w:rsid w:val="00FA62B4"/>
    <w:rsid w:val="00FA6603"/>
    <w:rsid w:val="00FA6830"/>
    <w:rsid w:val="00FA688F"/>
    <w:rsid w:val="00FA69B3"/>
    <w:rsid w:val="00FA6CA7"/>
    <w:rsid w:val="00FA6CE1"/>
    <w:rsid w:val="00FA6F53"/>
    <w:rsid w:val="00FA6FA4"/>
    <w:rsid w:val="00FA6FF7"/>
    <w:rsid w:val="00FA71DD"/>
    <w:rsid w:val="00FA7410"/>
    <w:rsid w:val="00FA762B"/>
    <w:rsid w:val="00FA7A62"/>
    <w:rsid w:val="00FA7A93"/>
    <w:rsid w:val="00FA7AA1"/>
    <w:rsid w:val="00FA7B0F"/>
    <w:rsid w:val="00FA7B1C"/>
    <w:rsid w:val="00FA7CDE"/>
    <w:rsid w:val="00FA7D3D"/>
    <w:rsid w:val="00FB01F8"/>
    <w:rsid w:val="00FB051C"/>
    <w:rsid w:val="00FB05B0"/>
    <w:rsid w:val="00FB0718"/>
    <w:rsid w:val="00FB07D2"/>
    <w:rsid w:val="00FB0829"/>
    <w:rsid w:val="00FB0906"/>
    <w:rsid w:val="00FB0967"/>
    <w:rsid w:val="00FB0AC9"/>
    <w:rsid w:val="00FB0CE4"/>
    <w:rsid w:val="00FB0F45"/>
    <w:rsid w:val="00FB0F89"/>
    <w:rsid w:val="00FB11BF"/>
    <w:rsid w:val="00FB1417"/>
    <w:rsid w:val="00FB14D6"/>
    <w:rsid w:val="00FB183B"/>
    <w:rsid w:val="00FB1BCD"/>
    <w:rsid w:val="00FB1BCE"/>
    <w:rsid w:val="00FB1D2A"/>
    <w:rsid w:val="00FB1EDC"/>
    <w:rsid w:val="00FB204C"/>
    <w:rsid w:val="00FB207F"/>
    <w:rsid w:val="00FB2128"/>
    <w:rsid w:val="00FB220A"/>
    <w:rsid w:val="00FB2222"/>
    <w:rsid w:val="00FB255F"/>
    <w:rsid w:val="00FB25CB"/>
    <w:rsid w:val="00FB271D"/>
    <w:rsid w:val="00FB280A"/>
    <w:rsid w:val="00FB284B"/>
    <w:rsid w:val="00FB2941"/>
    <w:rsid w:val="00FB2943"/>
    <w:rsid w:val="00FB2BD1"/>
    <w:rsid w:val="00FB2C6F"/>
    <w:rsid w:val="00FB2C80"/>
    <w:rsid w:val="00FB2CB7"/>
    <w:rsid w:val="00FB2CF8"/>
    <w:rsid w:val="00FB2D43"/>
    <w:rsid w:val="00FB3012"/>
    <w:rsid w:val="00FB3069"/>
    <w:rsid w:val="00FB307A"/>
    <w:rsid w:val="00FB30AF"/>
    <w:rsid w:val="00FB346F"/>
    <w:rsid w:val="00FB3538"/>
    <w:rsid w:val="00FB356B"/>
    <w:rsid w:val="00FB3592"/>
    <w:rsid w:val="00FB36C2"/>
    <w:rsid w:val="00FB3787"/>
    <w:rsid w:val="00FB38D6"/>
    <w:rsid w:val="00FB3AD3"/>
    <w:rsid w:val="00FB3C9D"/>
    <w:rsid w:val="00FB3CFB"/>
    <w:rsid w:val="00FB3D05"/>
    <w:rsid w:val="00FB3DD2"/>
    <w:rsid w:val="00FB40A5"/>
    <w:rsid w:val="00FB40F2"/>
    <w:rsid w:val="00FB41B5"/>
    <w:rsid w:val="00FB4205"/>
    <w:rsid w:val="00FB43D1"/>
    <w:rsid w:val="00FB43F3"/>
    <w:rsid w:val="00FB4405"/>
    <w:rsid w:val="00FB44FE"/>
    <w:rsid w:val="00FB47CE"/>
    <w:rsid w:val="00FB4A23"/>
    <w:rsid w:val="00FB4BE3"/>
    <w:rsid w:val="00FB4E12"/>
    <w:rsid w:val="00FB5064"/>
    <w:rsid w:val="00FB5115"/>
    <w:rsid w:val="00FB514A"/>
    <w:rsid w:val="00FB5161"/>
    <w:rsid w:val="00FB52E7"/>
    <w:rsid w:val="00FB5348"/>
    <w:rsid w:val="00FB53B5"/>
    <w:rsid w:val="00FB5493"/>
    <w:rsid w:val="00FB54A6"/>
    <w:rsid w:val="00FB570E"/>
    <w:rsid w:val="00FB5A87"/>
    <w:rsid w:val="00FB5AC1"/>
    <w:rsid w:val="00FB5D21"/>
    <w:rsid w:val="00FB5DFD"/>
    <w:rsid w:val="00FB5E66"/>
    <w:rsid w:val="00FB6186"/>
    <w:rsid w:val="00FB61CD"/>
    <w:rsid w:val="00FB63ED"/>
    <w:rsid w:val="00FB65E6"/>
    <w:rsid w:val="00FB6635"/>
    <w:rsid w:val="00FB66E5"/>
    <w:rsid w:val="00FB6760"/>
    <w:rsid w:val="00FB6796"/>
    <w:rsid w:val="00FB68D1"/>
    <w:rsid w:val="00FB69DA"/>
    <w:rsid w:val="00FB6B2A"/>
    <w:rsid w:val="00FB6B70"/>
    <w:rsid w:val="00FB6F95"/>
    <w:rsid w:val="00FB705F"/>
    <w:rsid w:val="00FB70BE"/>
    <w:rsid w:val="00FB72CD"/>
    <w:rsid w:val="00FB7451"/>
    <w:rsid w:val="00FB766D"/>
    <w:rsid w:val="00FB76ED"/>
    <w:rsid w:val="00FB7715"/>
    <w:rsid w:val="00FB7888"/>
    <w:rsid w:val="00FB797B"/>
    <w:rsid w:val="00FB7B23"/>
    <w:rsid w:val="00FB7C30"/>
    <w:rsid w:val="00FB7E46"/>
    <w:rsid w:val="00FB7E6F"/>
    <w:rsid w:val="00FB7F9F"/>
    <w:rsid w:val="00FC04AE"/>
    <w:rsid w:val="00FC0531"/>
    <w:rsid w:val="00FC05B0"/>
    <w:rsid w:val="00FC07F7"/>
    <w:rsid w:val="00FC08B5"/>
    <w:rsid w:val="00FC094B"/>
    <w:rsid w:val="00FC09F7"/>
    <w:rsid w:val="00FC0AC5"/>
    <w:rsid w:val="00FC0BC1"/>
    <w:rsid w:val="00FC0BC6"/>
    <w:rsid w:val="00FC0CF9"/>
    <w:rsid w:val="00FC0D85"/>
    <w:rsid w:val="00FC0E52"/>
    <w:rsid w:val="00FC0E86"/>
    <w:rsid w:val="00FC0EA9"/>
    <w:rsid w:val="00FC114D"/>
    <w:rsid w:val="00FC124D"/>
    <w:rsid w:val="00FC1365"/>
    <w:rsid w:val="00FC139F"/>
    <w:rsid w:val="00FC1547"/>
    <w:rsid w:val="00FC155E"/>
    <w:rsid w:val="00FC1579"/>
    <w:rsid w:val="00FC1770"/>
    <w:rsid w:val="00FC1781"/>
    <w:rsid w:val="00FC1914"/>
    <w:rsid w:val="00FC1A80"/>
    <w:rsid w:val="00FC1B2F"/>
    <w:rsid w:val="00FC24E7"/>
    <w:rsid w:val="00FC26D9"/>
    <w:rsid w:val="00FC2856"/>
    <w:rsid w:val="00FC2A03"/>
    <w:rsid w:val="00FC2B2F"/>
    <w:rsid w:val="00FC2B4F"/>
    <w:rsid w:val="00FC2B9C"/>
    <w:rsid w:val="00FC2E1F"/>
    <w:rsid w:val="00FC2E59"/>
    <w:rsid w:val="00FC2F0B"/>
    <w:rsid w:val="00FC336F"/>
    <w:rsid w:val="00FC3416"/>
    <w:rsid w:val="00FC3578"/>
    <w:rsid w:val="00FC3697"/>
    <w:rsid w:val="00FC37AB"/>
    <w:rsid w:val="00FC3993"/>
    <w:rsid w:val="00FC3A14"/>
    <w:rsid w:val="00FC3ED7"/>
    <w:rsid w:val="00FC443C"/>
    <w:rsid w:val="00FC449F"/>
    <w:rsid w:val="00FC46C9"/>
    <w:rsid w:val="00FC4760"/>
    <w:rsid w:val="00FC498B"/>
    <w:rsid w:val="00FC4A58"/>
    <w:rsid w:val="00FC4A6A"/>
    <w:rsid w:val="00FC4A94"/>
    <w:rsid w:val="00FC4C8F"/>
    <w:rsid w:val="00FC4EEA"/>
    <w:rsid w:val="00FC5054"/>
    <w:rsid w:val="00FC5263"/>
    <w:rsid w:val="00FC5441"/>
    <w:rsid w:val="00FC5640"/>
    <w:rsid w:val="00FC56C0"/>
    <w:rsid w:val="00FC5785"/>
    <w:rsid w:val="00FC5817"/>
    <w:rsid w:val="00FC58B9"/>
    <w:rsid w:val="00FC58D8"/>
    <w:rsid w:val="00FC5A9D"/>
    <w:rsid w:val="00FC5B6C"/>
    <w:rsid w:val="00FC5C60"/>
    <w:rsid w:val="00FC5F06"/>
    <w:rsid w:val="00FC605A"/>
    <w:rsid w:val="00FC60D2"/>
    <w:rsid w:val="00FC6118"/>
    <w:rsid w:val="00FC6178"/>
    <w:rsid w:val="00FC6205"/>
    <w:rsid w:val="00FC641F"/>
    <w:rsid w:val="00FC6435"/>
    <w:rsid w:val="00FC67B4"/>
    <w:rsid w:val="00FC695E"/>
    <w:rsid w:val="00FC6B34"/>
    <w:rsid w:val="00FC6B76"/>
    <w:rsid w:val="00FC6E71"/>
    <w:rsid w:val="00FC712C"/>
    <w:rsid w:val="00FC7278"/>
    <w:rsid w:val="00FC7565"/>
    <w:rsid w:val="00FC768B"/>
    <w:rsid w:val="00FC77B4"/>
    <w:rsid w:val="00FC77DD"/>
    <w:rsid w:val="00FC7A00"/>
    <w:rsid w:val="00FC7A86"/>
    <w:rsid w:val="00FC7ACA"/>
    <w:rsid w:val="00FC7D90"/>
    <w:rsid w:val="00FC7DFD"/>
    <w:rsid w:val="00FC7E83"/>
    <w:rsid w:val="00FD0141"/>
    <w:rsid w:val="00FD0226"/>
    <w:rsid w:val="00FD0325"/>
    <w:rsid w:val="00FD0357"/>
    <w:rsid w:val="00FD03BC"/>
    <w:rsid w:val="00FD0566"/>
    <w:rsid w:val="00FD0642"/>
    <w:rsid w:val="00FD06B3"/>
    <w:rsid w:val="00FD07A2"/>
    <w:rsid w:val="00FD0806"/>
    <w:rsid w:val="00FD0871"/>
    <w:rsid w:val="00FD0A10"/>
    <w:rsid w:val="00FD0D03"/>
    <w:rsid w:val="00FD0E69"/>
    <w:rsid w:val="00FD0FC6"/>
    <w:rsid w:val="00FD123B"/>
    <w:rsid w:val="00FD13AB"/>
    <w:rsid w:val="00FD141C"/>
    <w:rsid w:val="00FD177A"/>
    <w:rsid w:val="00FD1A04"/>
    <w:rsid w:val="00FD1AE1"/>
    <w:rsid w:val="00FD1C74"/>
    <w:rsid w:val="00FD1D4B"/>
    <w:rsid w:val="00FD1D9C"/>
    <w:rsid w:val="00FD1DBB"/>
    <w:rsid w:val="00FD1DBF"/>
    <w:rsid w:val="00FD1FE1"/>
    <w:rsid w:val="00FD2054"/>
    <w:rsid w:val="00FD2135"/>
    <w:rsid w:val="00FD2187"/>
    <w:rsid w:val="00FD222E"/>
    <w:rsid w:val="00FD22C3"/>
    <w:rsid w:val="00FD2300"/>
    <w:rsid w:val="00FD2415"/>
    <w:rsid w:val="00FD2472"/>
    <w:rsid w:val="00FD2635"/>
    <w:rsid w:val="00FD271D"/>
    <w:rsid w:val="00FD2BFE"/>
    <w:rsid w:val="00FD2C9E"/>
    <w:rsid w:val="00FD2E0B"/>
    <w:rsid w:val="00FD2FA0"/>
    <w:rsid w:val="00FD3202"/>
    <w:rsid w:val="00FD3275"/>
    <w:rsid w:val="00FD376B"/>
    <w:rsid w:val="00FD3893"/>
    <w:rsid w:val="00FD396A"/>
    <w:rsid w:val="00FD3B34"/>
    <w:rsid w:val="00FD3D1C"/>
    <w:rsid w:val="00FD3D95"/>
    <w:rsid w:val="00FD3E46"/>
    <w:rsid w:val="00FD3FE5"/>
    <w:rsid w:val="00FD41D8"/>
    <w:rsid w:val="00FD42CD"/>
    <w:rsid w:val="00FD4328"/>
    <w:rsid w:val="00FD4629"/>
    <w:rsid w:val="00FD4820"/>
    <w:rsid w:val="00FD48F8"/>
    <w:rsid w:val="00FD4B74"/>
    <w:rsid w:val="00FD4BC2"/>
    <w:rsid w:val="00FD4CC4"/>
    <w:rsid w:val="00FD4DCB"/>
    <w:rsid w:val="00FD4EAB"/>
    <w:rsid w:val="00FD4F21"/>
    <w:rsid w:val="00FD50D7"/>
    <w:rsid w:val="00FD5176"/>
    <w:rsid w:val="00FD5177"/>
    <w:rsid w:val="00FD51AF"/>
    <w:rsid w:val="00FD5208"/>
    <w:rsid w:val="00FD5278"/>
    <w:rsid w:val="00FD52AD"/>
    <w:rsid w:val="00FD536E"/>
    <w:rsid w:val="00FD53A9"/>
    <w:rsid w:val="00FD543E"/>
    <w:rsid w:val="00FD55A9"/>
    <w:rsid w:val="00FD55D6"/>
    <w:rsid w:val="00FD5707"/>
    <w:rsid w:val="00FD5811"/>
    <w:rsid w:val="00FD593F"/>
    <w:rsid w:val="00FD59BB"/>
    <w:rsid w:val="00FD5AD8"/>
    <w:rsid w:val="00FD5CA0"/>
    <w:rsid w:val="00FD5D63"/>
    <w:rsid w:val="00FD5E2F"/>
    <w:rsid w:val="00FD609F"/>
    <w:rsid w:val="00FD62C1"/>
    <w:rsid w:val="00FD62F4"/>
    <w:rsid w:val="00FD63BB"/>
    <w:rsid w:val="00FD64E4"/>
    <w:rsid w:val="00FD663F"/>
    <w:rsid w:val="00FD666C"/>
    <w:rsid w:val="00FD6897"/>
    <w:rsid w:val="00FD6921"/>
    <w:rsid w:val="00FD6923"/>
    <w:rsid w:val="00FD6BFB"/>
    <w:rsid w:val="00FD6D19"/>
    <w:rsid w:val="00FD6D3E"/>
    <w:rsid w:val="00FD6DB2"/>
    <w:rsid w:val="00FD6DC3"/>
    <w:rsid w:val="00FD6FF8"/>
    <w:rsid w:val="00FD71F2"/>
    <w:rsid w:val="00FD73E8"/>
    <w:rsid w:val="00FD7565"/>
    <w:rsid w:val="00FD7597"/>
    <w:rsid w:val="00FD79BC"/>
    <w:rsid w:val="00FD7A48"/>
    <w:rsid w:val="00FD7CE0"/>
    <w:rsid w:val="00FD7D6E"/>
    <w:rsid w:val="00FD7EFD"/>
    <w:rsid w:val="00FE0007"/>
    <w:rsid w:val="00FE00EA"/>
    <w:rsid w:val="00FE0100"/>
    <w:rsid w:val="00FE018C"/>
    <w:rsid w:val="00FE01FF"/>
    <w:rsid w:val="00FE0475"/>
    <w:rsid w:val="00FE04AB"/>
    <w:rsid w:val="00FE0570"/>
    <w:rsid w:val="00FE05DD"/>
    <w:rsid w:val="00FE0A8E"/>
    <w:rsid w:val="00FE0C11"/>
    <w:rsid w:val="00FE0C59"/>
    <w:rsid w:val="00FE1091"/>
    <w:rsid w:val="00FE10BD"/>
    <w:rsid w:val="00FE14D2"/>
    <w:rsid w:val="00FE15AF"/>
    <w:rsid w:val="00FE15B4"/>
    <w:rsid w:val="00FE16F2"/>
    <w:rsid w:val="00FE17C0"/>
    <w:rsid w:val="00FE17CC"/>
    <w:rsid w:val="00FE1843"/>
    <w:rsid w:val="00FE18BA"/>
    <w:rsid w:val="00FE18D7"/>
    <w:rsid w:val="00FE18FB"/>
    <w:rsid w:val="00FE1A19"/>
    <w:rsid w:val="00FE1B94"/>
    <w:rsid w:val="00FE1BFE"/>
    <w:rsid w:val="00FE1DB7"/>
    <w:rsid w:val="00FE21F7"/>
    <w:rsid w:val="00FE26C8"/>
    <w:rsid w:val="00FE289F"/>
    <w:rsid w:val="00FE292C"/>
    <w:rsid w:val="00FE2931"/>
    <w:rsid w:val="00FE2AB7"/>
    <w:rsid w:val="00FE2BEC"/>
    <w:rsid w:val="00FE2DA8"/>
    <w:rsid w:val="00FE2DBF"/>
    <w:rsid w:val="00FE319E"/>
    <w:rsid w:val="00FE3216"/>
    <w:rsid w:val="00FE334E"/>
    <w:rsid w:val="00FE3514"/>
    <w:rsid w:val="00FE3602"/>
    <w:rsid w:val="00FE3709"/>
    <w:rsid w:val="00FE38A4"/>
    <w:rsid w:val="00FE3A15"/>
    <w:rsid w:val="00FE3B1A"/>
    <w:rsid w:val="00FE3EF0"/>
    <w:rsid w:val="00FE40A3"/>
    <w:rsid w:val="00FE41D3"/>
    <w:rsid w:val="00FE420C"/>
    <w:rsid w:val="00FE4303"/>
    <w:rsid w:val="00FE4393"/>
    <w:rsid w:val="00FE43F0"/>
    <w:rsid w:val="00FE442B"/>
    <w:rsid w:val="00FE448A"/>
    <w:rsid w:val="00FE45FA"/>
    <w:rsid w:val="00FE46B8"/>
    <w:rsid w:val="00FE478B"/>
    <w:rsid w:val="00FE4891"/>
    <w:rsid w:val="00FE4896"/>
    <w:rsid w:val="00FE4993"/>
    <w:rsid w:val="00FE4A69"/>
    <w:rsid w:val="00FE4B7E"/>
    <w:rsid w:val="00FE4B8E"/>
    <w:rsid w:val="00FE4BAE"/>
    <w:rsid w:val="00FE4BC9"/>
    <w:rsid w:val="00FE4C7C"/>
    <w:rsid w:val="00FE4D2B"/>
    <w:rsid w:val="00FE5032"/>
    <w:rsid w:val="00FE5043"/>
    <w:rsid w:val="00FE5245"/>
    <w:rsid w:val="00FE52BF"/>
    <w:rsid w:val="00FE551E"/>
    <w:rsid w:val="00FE587E"/>
    <w:rsid w:val="00FE58D4"/>
    <w:rsid w:val="00FE5AC8"/>
    <w:rsid w:val="00FE5AF0"/>
    <w:rsid w:val="00FE5BC0"/>
    <w:rsid w:val="00FE5C9B"/>
    <w:rsid w:val="00FE5EC2"/>
    <w:rsid w:val="00FE60A1"/>
    <w:rsid w:val="00FE60CB"/>
    <w:rsid w:val="00FE6108"/>
    <w:rsid w:val="00FE6148"/>
    <w:rsid w:val="00FE6590"/>
    <w:rsid w:val="00FE66E9"/>
    <w:rsid w:val="00FE6815"/>
    <w:rsid w:val="00FE68C3"/>
    <w:rsid w:val="00FE698C"/>
    <w:rsid w:val="00FE6A6A"/>
    <w:rsid w:val="00FE6CED"/>
    <w:rsid w:val="00FE6EDC"/>
    <w:rsid w:val="00FE6EEC"/>
    <w:rsid w:val="00FE6F22"/>
    <w:rsid w:val="00FE71A0"/>
    <w:rsid w:val="00FE71B4"/>
    <w:rsid w:val="00FE71EE"/>
    <w:rsid w:val="00FE72BD"/>
    <w:rsid w:val="00FE7398"/>
    <w:rsid w:val="00FE7747"/>
    <w:rsid w:val="00FE7979"/>
    <w:rsid w:val="00FE79EE"/>
    <w:rsid w:val="00FE7A92"/>
    <w:rsid w:val="00FE7DDB"/>
    <w:rsid w:val="00FE7DFC"/>
    <w:rsid w:val="00FE7E1D"/>
    <w:rsid w:val="00FF02D4"/>
    <w:rsid w:val="00FF07B1"/>
    <w:rsid w:val="00FF085B"/>
    <w:rsid w:val="00FF085C"/>
    <w:rsid w:val="00FF0A40"/>
    <w:rsid w:val="00FF0A43"/>
    <w:rsid w:val="00FF0A46"/>
    <w:rsid w:val="00FF0C6A"/>
    <w:rsid w:val="00FF0CEE"/>
    <w:rsid w:val="00FF0E1E"/>
    <w:rsid w:val="00FF0E4A"/>
    <w:rsid w:val="00FF0E6B"/>
    <w:rsid w:val="00FF0E70"/>
    <w:rsid w:val="00FF1014"/>
    <w:rsid w:val="00FF1133"/>
    <w:rsid w:val="00FF12D0"/>
    <w:rsid w:val="00FF138E"/>
    <w:rsid w:val="00FF13BD"/>
    <w:rsid w:val="00FF1757"/>
    <w:rsid w:val="00FF176A"/>
    <w:rsid w:val="00FF1848"/>
    <w:rsid w:val="00FF18E4"/>
    <w:rsid w:val="00FF19FD"/>
    <w:rsid w:val="00FF1A41"/>
    <w:rsid w:val="00FF1A62"/>
    <w:rsid w:val="00FF1BBB"/>
    <w:rsid w:val="00FF1C2C"/>
    <w:rsid w:val="00FF1C83"/>
    <w:rsid w:val="00FF1DBB"/>
    <w:rsid w:val="00FF1DC9"/>
    <w:rsid w:val="00FF1F62"/>
    <w:rsid w:val="00FF2030"/>
    <w:rsid w:val="00FF228A"/>
    <w:rsid w:val="00FF23E3"/>
    <w:rsid w:val="00FF24BC"/>
    <w:rsid w:val="00FF253E"/>
    <w:rsid w:val="00FF261D"/>
    <w:rsid w:val="00FF2886"/>
    <w:rsid w:val="00FF2B4B"/>
    <w:rsid w:val="00FF2BAA"/>
    <w:rsid w:val="00FF2BB4"/>
    <w:rsid w:val="00FF2C3D"/>
    <w:rsid w:val="00FF319D"/>
    <w:rsid w:val="00FF31FD"/>
    <w:rsid w:val="00FF3294"/>
    <w:rsid w:val="00FF329F"/>
    <w:rsid w:val="00FF32BA"/>
    <w:rsid w:val="00FF3327"/>
    <w:rsid w:val="00FF3517"/>
    <w:rsid w:val="00FF3536"/>
    <w:rsid w:val="00FF3596"/>
    <w:rsid w:val="00FF3670"/>
    <w:rsid w:val="00FF36B2"/>
    <w:rsid w:val="00FF3AAC"/>
    <w:rsid w:val="00FF3F75"/>
    <w:rsid w:val="00FF3FDA"/>
    <w:rsid w:val="00FF4238"/>
    <w:rsid w:val="00FF4251"/>
    <w:rsid w:val="00FF42A9"/>
    <w:rsid w:val="00FF42DF"/>
    <w:rsid w:val="00FF4306"/>
    <w:rsid w:val="00FF4636"/>
    <w:rsid w:val="00FF465B"/>
    <w:rsid w:val="00FF46E3"/>
    <w:rsid w:val="00FF485F"/>
    <w:rsid w:val="00FF48CD"/>
    <w:rsid w:val="00FF48DD"/>
    <w:rsid w:val="00FF49D6"/>
    <w:rsid w:val="00FF4A60"/>
    <w:rsid w:val="00FF4ACD"/>
    <w:rsid w:val="00FF4BE7"/>
    <w:rsid w:val="00FF4C9A"/>
    <w:rsid w:val="00FF4F1C"/>
    <w:rsid w:val="00FF5243"/>
    <w:rsid w:val="00FF5470"/>
    <w:rsid w:val="00FF5482"/>
    <w:rsid w:val="00FF54D7"/>
    <w:rsid w:val="00FF54E7"/>
    <w:rsid w:val="00FF55B3"/>
    <w:rsid w:val="00FF578C"/>
    <w:rsid w:val="00FF584E"/>
    <w:rsid w:val="00FF5994"/>
    <w:rsid w:val="00FF5A95"/>
    <w:rsid w:val="00FF5AC0"/>
    <w:rsid w:val="00FF5BE2"/>
    <w:rsid w:val="00FF5DA6"/>
    <w:rsid w:val="00FF5F02"/>
    <w:rsid w:val="00FF61D6"/>
    <w:rsid w:val="00FF654D"/>
    <w:rsid w:val="00FF65E1"/>
    <w:rsid w:val="00FF6719"/>
    <w:rsid w:val="00FF67B5"/>
    <w:rsid w:val="00FF6B37"/>
    <w:rsid w:val="00FF6B5D"/>
    <w:rsid w:val="00FF6C1D"/>
    <w:rsid w:val="00FF6E50"/>
    <w:rsid w:val="00FF6EBB"/>
    <w:rsid w:val="00FF710D"/>
    <w:rsid w:val="00FF72EA"/>
    <w:rsid w:val="00FF7410"/>
    <w:rsid w:val="00FF7584"/>
    <w:rsid w:val="00FF783B"/>
    <w:rsid w:val="00FF784A"/>
    <w:rsid w:val="00FF7894"/>
    <w:rsid w:val="00FF7AAD"/>
    <w:rsid w:val="00FF7B43"/>
    <w:rsid w:val="00FF7C5E"/>
    <w:rsid w:val="00FF7D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color="none [3200]" strokecolor="none [3212]">
      <v:fill color="none [3200]"/>
      <v:stroke color="none [3212]" weight="0"/>
      <v:shadow type="perspective" color="none [1601]" opacity=".5" offset="1pt" offset2="-1pt"/>
      <o:colormru v:ext="edit" colors="black"/>
    </o:shapedefaults>
    <o:shapelayout v:ext="edit">
      <o:idmap v:ext="edit" data="1"/>
    </o:shapelayout>
  </w:shapeDefaults>
  <w:decimalSymbol w:val="."/>
  <w:listSeparator w:val=","/>
  <w14:docId w14:val="3A15B7D4"/>
  <w15:docId w15:val="{CE3A7CB3-4BFF-4C08-8C64-3072C7C7D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qFormat="1"/>
    <w:lsdException w:name="heading 6" w:uiPriority="0" w:qFormat="1"/>
    <w:lsdException w:name="heading 7" w:locked="0" w:uiPriority="0" w:qFormat="1"/>
    <w:lsdException w:name="heading 8" w:uiPriority="0" w:qFormat="1"/>
    <w:lsdException w:name="heading 9" w:uiPriority="0" w:qFormat="1"/>
    <w:lsdException w:name="index 1" w:locked="0" w:semiHidden="1"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locked="0" w:semiHidden="1" w:uiPriority="0" w:unhideWhenUsed="1"/>
    <w:lsdException w:name="index 6" w:locked="0" w:semiHidden="1" w:uiPriority="0" w:unhideWhenUsed="1"/>
    <w:lsdException w:name="index 7" w:locked="0" w:semiHidden="1" w:uiPriority="0" w:unhideWhenUsed="1"/>
    <w:lsdException w:name="index 8" w:locked="0" w:semiHidden="1" w:uiPriority="0"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locked="0" w:semiHidden="1" w:uiPriority="0" w:unhideWhenUsed="1"/>
    <w:lsdException w:name="header" w:locked="0" w:semiHidden="1" w:unhideWhenUsed="1"/>
    <w:lsdException w:name="footer" w:locked="0" w:semiHidden="1" w:unhideWhenUsed="1" w:qFormat="1"/>
    <w:lsdException w:name="index heading" w:locked="0" w:semiHidden="1" w:uiPriority="0" w:unhideWhenUsed="1"/>
    <w:lsdException w:name="caption" w:locked="0" w:uiPriority="0"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endnote reference" w:locked="0" w:semiHidden="1" w:unhideWhenUsed="1"/>
    <w:lsdException w:name="endnote text" w:locked="0" w:semiHidden="1" w:uiPriority="0" w:unhideWhenUsed="1"/>
    <w:lsdException w:name="table of authorities" w:semiHidden="1" w:unhideWhenUsed="1"/>
    <w:lsdException w:name="macro" w:semiHidden="1" w:unhideWhenUsed="1"/>
    <w:lsdException w:name="toa heading" w:locked="0" w:semiHidden="1" w:uiPriority="0"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0" w:semiHidden="1" w:uiPriority="0"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ocked="0"/>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ocked="0" w:uiPriority="0"/>
    <w:lsdException w:name="Colorful List Accent 1" w:uiPriority="1" w:qFormat="1"/>
    <w:lsdException w:name="Colorful Grid Accent 1" w:locked="0" w:qFormat="1"/>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Body (normal)"/>
    <w:qFormat/>
    <w:rsid w:val="0051506C"/>
    <w:pPr>
      <w:spacing w:after="220" w:line="280" w:lineRule="atLeast"/>
    </w:pPr>
    <w:rPr>
      <w:rFonts w:ascii="Times New Roman" w:hAnsi="Times New Roman"/>
      <w:sz w:val="22"/>
      <w:szCs w:val="24"/>
      <w:lang w:val="en-GB" w:eastAsia="en-US"/>
    </w:rPr>
  </w:style>
  <w:style w:type="paragraph" w:styleId="Heading1">
    <w:name w:val="heading 1"/>
    <w:basedOn w:val="Normal"/>
    <w:next w:val="Normal"/>
    <w:link w:val="Heading1Char"/>
    <w:qFormat/>
    <w:rsid w:val="00EB65B6"/>
    <w:pPr>
      <w:keepNext/>
      <w:numPr>
        <w:numId w:val="7"/>
      </w:numPr>
      <w:spacing w:after="300" w:line="240" w:lineRule="auto"/>
      <w:outlineLvl w:val="0"/>
    </w:pPr>
    <w:rPr>
      <w:rFonts w:ascii="Tahoma" w:hAnsi="Tahoma"/>
      <w:b/>
      <w:color w:val="000033"/>
      <w:kern w:val="28"/>
      <w:sz w:val="40"/>
      <w:szCs w:val="20"/>
    </w:rPr>
  </w:style>
  <w:style w:type="paragraph" w:styleId="Heading2">
    <w:name w:val="heading 2"/>
    <w:basedOn w:val="Normal"/>
    <w:next w:val="Normal"/>
    <w:link w:val="Heading2Char"/>
    <w:autoRedefine/>
    <w:qFormat/>
    <w:rsid w:val="006C7D4B"/>
    <w:pPr>
      <w:keepNext/>
      <w:numPr>
        <w:ilvl w:val="1"/>
        <w:numId w:val="7"/>
      </w:numPr>
      <w:spacing w:before="480" w:after="240" w:line="240" w:lineRule="auto"/>
      <w:ind w:left="720"/>
      <w:outlineLvl w:val="1"/>
    </w:pPr>
    <w:rPr>
      <w:rFonts w:ascii="Arial" w:hAnsi="Arial"/>
      <w:b/>
      <w:color w:val="000033"/>
      <w:sz w:val="26"/>
      <w:szCs w:val="22"/>
    </w:rPr>
  </w:style>
  <w:style w:type="paragraph" w:styleId="Heading3">
    <w:name w:val="heading 3"/>
    <w:basedOn w:val="Normal"/>
    <w:next w:val="Normal"/>
    <w:link w:val="Heading3Char"/>
    <w:autoRedefine/>
    <w:qFormat/>
    <w:rsid w:val="00AF7B19"/>
    <w:pPr>
      <w:keepNext/>
      <w:spacing w:before="240" w:after="240" w:line="240" w:lineRule="auto"/>
      <w:ind w:firstLine="720"/>
      <w:outlineLvl w:val="2"/>
    </w:pPr>
    <w:rPr>
      <w:rFonts w:ascii="Arial" w:hAnsi="Arial"/>
      <w:b/>
      <w:color w:val="000033"/>
      <w:szCs w:val="20"/>
    </w:rPr>
  </w:style>
  <w:style w:type="paragraph" w:styleId="Heading4">
    <w:name w:val="heading 4"/>
    <w:basedOn w:val="Normal"/>
    <w:next w:val="Normal"/>
    <w:link w:val="Heading4Char"/>
    <w:qFormat/>
    <w:rsid w:val="002E7DBF"/>
    <w:pPr>
      <w:keepNext/>
      <w:spacing w:after="120" w:line="240" w:lineRule="auto"/>
      <w:outlineLvl w:val="3"/>
    </w:pPr>
    <w:rPr>
      <w:b/>
      <w:sz w:val="24"/>
      <w:szCs w:val="20"/>
    </w:rPr>
  </w:style>
  <w:style w:type="paragraph" w:styleId="Heading5">
    <w:name w:val="heading 5"/>
    <w:basedOn w:val="Normal"/>
    <w:next w:val="Normal"/>
    <w:link w:val="Heading5Char"/>
    <w:uiPriority w:val="99"/>
    <w:qFormat/>
    <w:locked/>
    <w:rsid w:val="00924F40"/>
    <w:pPr>
      <w:keepNext/>
      <w:spacing w:before="60" w:after="60" w:line="240" w:lineRule="auto"/>
      <w:outlineLvl w:val="4"/>
    </w:pPr>
    <w:rPr>
      <w:i/>
      <w:sz w:val="24"/>
      <w:szCs w:val="20"/>
    </w:rPr>
  </w:style>
  <w:style w:type="paragraph" w:styleId="Heading6">
    <w:name w:val="heading 6"/>
    <w:basedOn w:val="Normal"/>
    <w:next w:val="Normal"/>
    <w:link w:val="Heading6Char"/>
    <w:qFormat/>
    <w:locked/>
    <w:rsid w:val="00924F40"/>
    <w:pPr>
      <w:spacing w:before="240" w:after="60" w:line="240" w:lineRule="auto"/>
      <w:outlineLvl w:val="5"/>
    </w:pPr>
    <w:rPr>
      <w:bCs/>
      <w:i/>
      <w:color w:val="7F7F7F"/>
      <w:szCs w:val="22"/>
    </w:rPr>
  </w:style>
  <w:style w:type="paragraph" w:styleId="Heading7">
    <w:name w:val="heading 7"/>
    <w:aliases w:val="Appendix"/>
    <w:basedOn w:val="Normal"/>
    <w:next w:val="Normal"/>
    <w:link w:val="Heading7Char"/>
    <w:qFormat/>
    <w:locked/>
    <w:rsid w:val="00924F40"/>
    <w:pPr>
      <w:spacing w:before="240" w:after="60" w:line="240" w:lineRule="auto"/>
      <w:outlineLvl w:val="6"/>
    </w:pPr>
    <w:rPr>
      <w:b/>
      <w:sz w:val="24"/>
    </w:rPr>
  </w:style>
  <w:style w:type="paragraph" w:styleId="Heading8">
    <w:name w:val="heading 8"/>
    <w:basedOn w:val="Normal"/>
    <w:next w:val="Normal"/>
    <w:link w:val="Heading8Char"/>
    <w:qFormat/>
    <w:locked/>
    <w:rsid w:val="00924F40"/>
    <w:pPr>
      <w:spacing w:before="240" w:after="60"/>
      <w:outlineLvl w:val="7"/>
    </w:pPr>
    <w:rPr>
      <w:rFonts w:ascii="Arial" w:hAnsi="Arial"/>
      <w:i/>
      <w:sz w:val="20"/>
      <w:szCs w:val="20"/>
    </w:rPr>
  </w:style>
  <w:style w:type="paragraph" w:styleId="Heading9">
    <w:name w:val="heading 9"/>
    <w:basedOn w:val="Normal"/>
    <w:next w:val="Normal"/>
    <w:link w:val="Heading9Char"/>
    <w:qFormat/>
    <w:locked/>
    <w:rsid w:val="00924F40"/>
    <w:p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B65B6"/>
    <w:rPr>
      <w:rFonts w:ascii="Tahoma" w:hAnsi="Tahoma"/>
      <w:b/>
      <w:color w:val="000033"/>
      <w:kern w:val="28"/>
      <w:sz w:val="40"/>
      <w:lang w:val="en-GB"/>
    </w:rPr>
  </w:style>
  <w:style w:type="character" w:customStyle="1" w:styleId="Heading2Char">
    <w:name w:val="Heading 2 Char"/>
    <w:link w:val="Heading2"/>
    <w:locked/>
    <w:rsid w:val="006C7D4B"/>
    <w:rPr>
      <w:rFonts w:ascii="Arial" w:hAnsi="Arial" w:cs="Arial"/>
      <w:b/>
      <w:color w:val="000033"/>
      <w:sz w:val="26"/>
      <w:szCs w:val="22"/>
      <w:lang w:val="en-GB"/>
    </w:rPr>
  </w:style>
  <w:style w:type="character" w:customStyle="1" w:styleId="Heading3Char">
    <w:name w:val="Heading 3 Char"/>
    <w:link w:val="Heading3"/>
    <w:locked/>
    <w:rsid w:val="00AF7B19"/>
    <w:rPr>
      <w:rFonts w:ascii="Arial" w:hAnsi="Arial" w:cs="Arial"/>
      <w:b/>
      <w:color w:val="000033"/>
      <w:sz w:val="22"/>
      <w:lang w:val="en-GB"/>
    </w:rPr>
  </w:style>
  <w:style w:type="character" w:customStyle="1" w:styleId="Heading4Char">
    <w:name w:val="Heading 4 Char"/>
    <w:link w:val="Heading4"/>
    <w:locked/>
    <w:rsid w:val="002E7DBF"/>
    <w:rPr>
      <w:rFonts w:ascii="Times New Roman" w:hAnsi="Times New Roman"/>
      <w:b/>
      <w:sz w:val="24"/>
      <w:lang w:val="en-GB" w:eastAsia="en-US"/>
    </w:rPr>
  </w:style>
  <w:style w:type="character" w:customStyle="1" w:styleId="Heading5Char">
    <w:name w:val="Heading 5 Char"/>
    <w:link w:val="Heading5"/>
    <w:uiPriority w:val="99"/>
    <w:locked/>
    <w:rsid w:val="009852DB"/>
    <w:rPr>
      <w:rFonts w:ascii="Times New Roman" w:hAnsi="Times New Roman"/>
      <w:i/>
      <w:sz w:val="24"/>
      <w:lang w:val="en-GB" w:eastAsia="en-US"/>
    </w:rPr>
  </w:style>
  <w:style w:type="character" w:customStyle="1" w:styleId="Heading6Char">
    <w:name w:val="Heading 6 Char"/>
    <w:link w:val="Heading6"/>
    <w:semiHidden/>
    <w:locked/>
    <w:rsid w:val="009852DB"/>
    <w:rPr>
      <w:rFonts w:ascii="Times New Roman" w:hAnsi="Times New Roman"/>
      <w:bCs/>
      <w:i/>
      <w:color w:val="7F7F7F"/>
      <w:sz w:val="22"/>
      <w:szCs w:val="22"/>
      <w:lang w:val="en-GB" w:eastAsia="en-US"/>
    </w:rPr>
  </w:style>
  <w:style w:type="character" w:customStyle="1" w:styleId="Heading7Char">
    <w:name w:val="Heading 7 Char"/>
    <w:aliases w:val="Appendix Char"/>
    <w:link w:val="Heading7"/>
    <w:semiHidden/>
    <w:locked/>
    <w:rsid w:val="009852DB"/>
    <w:rPr>
      <w:rFonts w:ascii="Times New Roman" w:hAnsi="Times New Roman"/>
      <w:b/>
      <w:sz w:val="24"/>
      <w:szCs w:val="24"/>
    </w:rPr>
  </w:style>
  <w:style w:type="character" w:customStyle="1" w:styleId="Heading8Char">
    <w:name w:val="Heading 8 Char"/>
    <w:link w:val="Heading8"/>
    <w:semiHidden/>
    <w:locked/>
    <w:rsid w:val="009852DB"/>
    <w:rPr>
      <w:rFonts w:ascii="Arial" w:hAnsi="Arial"/>
      <w:i/>
    </w:rPr>
  </w:style>
  <w:style w:type="character" w:customStyle="1" w:styleId="Heading9Char">
    <w:name w:val="Heading 9 Char"/>
    <w:link w:val="Heading9"/>
    <w:semiHidden/>
    <w:locked/>
    <w:rsid w:val="009852DB"/>
    <w:rPr>
      <w:rFonts w:ascii="Arial" w:hAnsi="Arial"/>
      <w:b/>
      <w:i/>
      <w:sz w:val="18"/>
    </w:rPr>
  </w:style>
  <w:style w:type="paragraph" w:customStyle="1" w:styleId="FigureName">
    <w:name w:val="Figure Name"/>
    <w:basedOn w:val="TableName"/>
    <w:next w:val="Normal"/>
    <w:qFormat/>
    <w:rsid w:val="00F7639D"/>
  </w:style>
  <w:style w:type="paragraph" w:customStyle="1" w:styleId="TableName">
    <w:name w:val="Table Name"/>
    <w:basedOn w:val="TableTextLeft"/>
    <w:link w:val="TableNameChar"/>
    <w:qFormat/>
    <w:rsid w:val="00F7639D"/>
    <w:pPr>
      <w:spacing w:before="120" w:after="120"/>
      <w:ind w:left="1080" w:hanging="1080"/>
    </w:pPr>
    <w:rPr>
      <w:b/>
      <w:sz w:val="20"/>
      <w:szCs w:val="20"/>
    </w:rPr>
  </w:style>
  <w:style w:type="paragraph" w:customStyle="1" w:styleId="TableTextLeft">
    <w:name w:val="Table Text Left"/>
    <w:uiPriority w:val="99"/>
    <w:qFormat/>
    <w:rsid w:val="008A6CA2"/>
    <w:pPr>
      <w:spacing w:before="40" w:after="40"/>
    </w:pPr>
    <w:rPr>
      <w:rFonts w:ascii="Arial Narrow" w:hAnsi="Arial Narrow"/>
      <w:sz w:val="18"/>
      <w:szCs w:val="24"/>
      <w:lang w:val="en-GB" w:eastAsia="en-US"/>
    </w:rPr>
  </w:style>
  <w:style w:type="character" w:customStyle="1" w:styleId="TableNameChar">
    <w:name w:val="Table Name Char"/>
    <w:link w:val="TableName"/>
    <w:locked/>
    <w:rsid w:val="008D7FA3"/>
    <w:rPr>
      <w:rFonts w:ascii="Arial Narrow" w:hAnsi="Arial Narrow" w:cs="Times New Roman"/>
      <w:b/>
    </w:rPr>
  </w:style>
  <w:style w:type="paragraph" w:styleId="Footer">
    <w:name w:val="footer"/>
    <w:aliases w:val="Footer (page number)"/>
    <w:basedOn w:val="Normal"/>
    <w:link w:val="FooterChar"/>
    <w:uiPriority w:val="99"/>
    <w:qFormat/>
    <w:rsid w:val="00280AFD"/>
    <w:pPr>
      <w:tabs>
        <w:tab w:val="right" w:pos="8732"/>
      </w:tabs>
      <w:spacing w:after="0" w:line="240" w:lineRule="atLeast"/>
    </w:pPr>
    <w:rPr>
      <w:i/>
      <w:color w:val="808080"/>
      <w:sz w:val="18"/>
      <w:szCs w:val="20"/>
    </w:rPr>
  </w:style>
  <w:style w:type="character" w:customStyle="1" w:styleId="FooterChar">
    <w:name w:val="Footer Char"/>
    <w:aliases w:val="Footer (page number) Char"/>
    <w:link w:val="Footer"/>
    <w:uiPriority w:val="99"/>
    <w:locked/>
    <w:rsid w:val="00280AFD"/>
    <w:rPr>
      <w:rFonts w:ascii="Times New Roman" w:hAnsi="Times New Roman"/>
      <w:i/>
      <w:color w:val="808080"/>
      <w:sz w:val="18"/>
      <w:lang w:val="en-GB" w:eastAsia="en-US"/>
    </w:rPr>
  </w:style>
  <w:style w:type="paragraph" w:customStyle="1" w:styleId="HeadingAppendix1">
    <w:name w:val="Heading Appendix 1"/>
    <w:basedOn w:val="Heading1"/>
    <w:qFormat/>
    <w:rsid w:val="000A4D58"/>
    <w:pPr>
      <w:numPr>
        <w:numId w:val="6"/>
      </w:numPr>
      <w:tabs>
        <w:tab w:val="left" w:pos="2693"/>
      </w:tabs>
    </w:pPr>
  </w:style>
  <w:style w:type="paragraph" w:styleId="FootnoteText">
    <w:name w:val="footnote text"/>
    <w:aliases w:val="Footnote,(NECG) Footnote Text,Footnote Text Char2,(NECG) Footnote Text Char,Footnote Text Char1 Char1,AR Footnote Text,ALTS FOOTNOTE,Footnote text,AR Footnote Text Char Char Char Char Char,fn,Footnote Text 2,FOOTNOTE,fn Char Char,f"/>
    <w:basedOn w:val="Normal"/>
    <w:link w:val="FootnoteTextChar"/>
    <w:uiPriority w:val="99"/>
    <w:qFormat/>
    <w:rsid w:val="00847798"/>
    <w:pPr>
      <w:overflowPunct w:val="0"/>
      <w:autoSpaceDE w:val="0"/>
      <w:autoSpaceDN w:val="0"/>
      <w:adjustRightInd w:val="0"/>
      <w:spacing w:after="120" w:line="240" w:lineRule="auto"/>
      <w:textAlignment w:val="baseline"/>
    </w:pPr>
    <w:rPr>
      <w:sz w:val="18"/>
      <w:szCs w:val="18"/>
    </w:rPr>
  </w:style>
  <w:style w:type="character" w:customStyle="1" w:styleId="FootnoteTextChar">
    <w:name w:val="Footnote Text Char"/>
    <w:aliases w:val="Footnote Char,(NECG) Footnote Text Char1,Footnote Text Char2 Char,(NECG) Footnote Text Char Char,Footnote Text Char1 Char1 Char,AR Footnote Text Char,ALTS FOOTNOTE Char,Footnote text Char,AR Footnote Text Char Char Char Char Char Char"/>
    <w:link w:val="FootnoteText"/>
    <w:uiPriority w:val="99"/>
    <w:locked/>
    <w:rsid w:val="00847798"/>
    <w:rPr>
      <w:rFonts w:ascii="Times New Roman" w:hAnsi="Times New Roman"/>
      <w:sz w:val="18"/>
      <w:szCs w:val="18"/>
      <w:lang w:eastAsia="en-US"/>
    </w:rPr>
  </w:style>
  <w:style w:type="paragraph" w:styleId="TableofFigures">
    <w:name w:val="table of figures"/>
    <w:basedOn w:val="Normal"/>
    <w:next w:val="Normal"/>
    <w:uiPriority w:val="99"/>
    <w:rsid w:val="00874740"/>
    <w:pPr>
      <w:tabs>
        <w:tab w:val="left" w:pos="1418"/>
        <w:tab w:val="right" w:pos="7655"/>
      </w:tabs>
      <w:ind w:left="1418" w:right="1418" w:hanging="1418"/>
    </w:pPr>
    <w:rPr>
      <w:noProof/>
    </w:rPr>
  </w:style>
  <w:style w:type="paragraph" w:styleId="TOC3">
    <w:name w:val="toc 3"/>
    <w:basedOn w:val="TOC2"/>
    <w:next w:val="Normal"/>
    <w:autoRedefine/>
    <w:uiPriority w:val="39"/>
    <w:rsid w:val="00F7639D"/>
    <w:pPr>
      <w:tabs>
        <w:tab w:val="left" w:pos="1800"/>
      </w:tabs>
      <w:ind w:left="1800"/>
    </w:pPr>
  </w:style>
  <w:style w:type="paragraph" w:styleId="TOC2">
    <w:name w:val="toc 2"/>
    <w:basedOn w:val="TOC1"/>
    <w:next w:val="Normal"/>
    <w:uiPriority w:val="39"/>
    <w:rsid w:val="00F7639D"/>
    <w:pPr>
      <w:tabs>
        <w:tab w:val="clear" w:pos="360"/>
        <w:tab w:val="left" w:pos="1080"/>
      </w:tabs>
      <w:spacing w:before="60" w:after="0"/>
      <w:ind w:left="1080" w:hanging="720"/>
    </w:pPr>
    <w:rPr>
      <w:b w:val="0"/>
    </w:rPr>
  </w:style>
  <w:style w:type="paragraph" w:styleId="TOC1">
    <w:name w:val="toc 1"/>
    <w:basedOn w:val="Normal"/>
    <w:next w:val="Normal"/>
    <w:uiPriority w:val="39"/>
    <w:rsid w:val="00CF6CC5"/>
    <w:pPr>
      <w:tabs>
        <w:tab w:val="left" w:pos="360"/>
        <w:tab w:val="right" w:pos="7655"/>
      </w:tabs>
      <w:spacing w:before="360" w:after="60" w:line="240" w:lineRule="auto"/>
      <w:ind w:left="357" w:right="1134" w:hanging="357"/>
    </w:pPr>
    <w:rPr>
      <w:b/>
      <w:noProof/>
      <w:szCs w:val="40"/>
    </w:rPr>
  </w:style>
  <w:style w:type="paragraph" w:customStyle="1" w:styleId="ColorfulGrid-Accent11">
    <w:name w:val="Colorful Grid - Accent 11"/>
    <w:basedOn w:val="Normal"/>
    <w:link w:val="ColorfulGrid-Accent1Char"/>
    <w:uiPriority w:val="99"/>
    <w:qFormat/>
    <w:rsid w:val="00924F40"/>
    <w:pPr>
      <w:spacing w:line="240" w:lineRule="atLeast"/>
      <w:ind w:left="360" w:right="360"/>
    </w:pPr>
    <w:rPr>
      <w:sz w:val="20"/>
      <w:szCs w:val="20"/>
    </w:rPr>
  </w:style>
  <w:style w:type="character" w:customStyle="1" w:styleId="ColorfulGrid-Accent1Char">
    <w:name w:val="Colorful Grid - Accent 1 Char"/>
    <w:link w:val="ColorfulGrid-Accent11"/>
    <w:uiPriority w:val="99"/>
    <w:locked/>
    <w:rsid w:val="00924F40"/>
    <w:rPr>
      <w:rFonts w:ascii="Times New Roman" w:hAnsi="Times New Roman" w:cs="Times New Roman"/>
    </w:rPr>
  </w:style>
  <w:style w:type="paragraph" w:customStyle="1" w:styleId="Bullet">
    <w:name w:val="Bullet"/>
    <w:basedOn w:val="Normal"/>
    <w:link w:val="BulletChar"/>
    <w:qFormat/>
    <w:rsid w:val="008B275E"/>
    <w:pPr>
      <w:numPr>
        <w:numId w:val="1"/>
      </w:numPr>
      <w:spacing w:after="100"/>
    </w:pPr>
    <w:rPr>
      <w:szCs w:val="20"/>
    </w:rPr>
  </w:style>
  <w:style w:type="character" w:customStyle="1" w:styleId="BulletChar">
    <w:name w:val="Bullet Char"/>
    <w:link w:val="Bullet"/>
    <w:locked/>
    <w:rsid w:val="008B275E"/>
    <w:rPr>
      <w:rFonts w:ascii="Times New Roman" w:hAnsi="Times New Roman"/>
      <w:sz w:val="22"/>
      <w:lang w:val="en-GB"/>
    </w:rPr>
  </w:style>
  <w:style w:type="paragraph" w:customStyle="1" w:styleId="Heading1a">
    <w:name w:val="Heading 1a"/>
    <w:basedOn w:val="Heading1"/>
    <w:rsid w:val="000A4D58"/>
    <w:pPr>
      <w:numPr>
        <w:numId w:val="0"/>
      </w:numPr>
    </w:pPr>
    <w:rPr>
      <w:lang w:val="en-AU"/>
    </w:rPr>
  </w:style>
  <w:style w:type="paragraph" w:customStyle="1" w:styleId="TableHeadingLeft">
    <w:name w:val="Table Heading Left"/>
    <w:basedOn w:val="TableTextLeft"/>
    <w:uiPriority w:val="99"/>
    <w:rsid w:val="0025119B"/>
    <w:rPr>
      <w:b/>
    </w:rPr>
  </w:style>
  <w:style w:type="paragraph" w:customStyle="1" w:styleId="TableNotes">
    <w:name w:val="Table Notes"/>
    <w:basedOn w:val="TableTextLeft"/>
    <w:rsid w:val="00F7639D"/>
    <w:pPr>
      <w:keepLines/>
      <w:spacing w:before="60" w:after="0"/>
    </w:pPr>
    <w:rPr>
      <w:sz w:val="16"/>
    </w:rPr>
  </w:style>
  <w:style w:type="paragraph" w:customStyle="1" w:styleId="BulletLast">
    <w:name w:val="Bullet Last"/>
    <w:basedOn w:val="Normal"/>
    <w:qFormat/>
    <w:rsid w:val="0007446D"/>
    <w:pPr>
      <w:numPr>
        <w:numId w:val="5"/>
      </w:numPr>
      <w:ind w:left="641" w:hanging="357"/>
    </w:pPr>
  </w:style>
  <w:style w:type="paragraph" w:customStyle="1" w:styleId="TableBullet">
    <w:name w:val="Table Bullet"/>
    <w:basedOn w:val="TableTextLeft"/>
    <w:uiPriority w:val="99"/>
    <w:rsid w:val="00F7639D"/>
    <w:pPr>
      <w:numPr>
        <w:numId w:val="2"/>
      </w:numPr>
      <w:tabs>
        <w:tab w:val="left" w:pos="216"/>
      </w:tabs>
    </w:pPr>
  </w:style>
  <w:style w:type="paragraph" w:customStyle="1" w:styleId="TableNotesHanging">
    <w:name w:val="Table Notes Hanging"/>
    <w:basedOn w:val="TableNotes"/>
    <w:uiPriority w:val="99"/>
    <w:rsid w:val="00857C3E"/>
    <w:pPr>
      <w:ind w:left="737" w:hanging="737"/>
    </w:pPr>
  </w:style>
  <w:style w:type="character" w:styleId="Hyperlink">
    <w:name w:val="Hyperlink"/>
    <w:uiPriority w:val="99"/>
    <w:rsid w:val="00F7639D"/>
    <w:rPr>
      <w:rFonts w:ascii="Times New Roman" w:hAnsi="Times New Roman" w:cs="Times New Roman"/>
      <w:color w:val="000000"/>
      <w:sz w:val="22"/>
      <w:u w:val="none"/>
    </w:rPr>
  </w:style>
  <w:style w:type="paragraph" w:customStyle="1" w:styleId="TableNotesHangingLast">
    <w:name w:val="Table Notes Hanging Last"/>
    <w:basedOn w:val="TableNotesHanging"/>
    <w:uiPriority w:val="99"/>
    <w:rsid w:val="00857C3E"/>
    <w:pPr>
      <w:spacing w:after="320"/>
    </w:pPr>
  </w:style>
  <w:style w:type="paragraph" w:customStyle="1" w:styleId="TableNotesLast">
    <w:name w:val="Table Notes Last"/>
    <w:basedOn w:val="TableNotes"/>
    <w:rsid w:val="00F7639D"/>
    <w:pPr>
      <w:spacing w:after="320"/>
    </w:pPr>
  </w:style>
  <w:style w:type="paragraph" w:styleId="CommentText">
    <w:name w:val="annotation text"/>
    <w:basedOn w:val="Normal"/>
    <w:link w:val="CommentTextChar"/>
    <w:semiHidden/>
    <w:locked/>
    <w:rsid w:val="00474ECC"/>
    <w:rPr>
      <w:sz w:val="24"/>
    </w:rPr>
  </w:style>
  <w:style w:type="character" w:customStyle="1" w:styleId="CommentTextChar">
    <w:name w:val="Comment Text Char"/>
    <w:link w:val="CommentText"/>
    <w:semiHidden/>
    <w:locked/>
    <w:rsid w:val="00474ECC"/>
    <w:rPr>
      <w:rFonts w:ascii="Times New Roman" w:hAnsi="Times New Roman" w:cs="Times New Roman"/>
      <w:sz w:val="24"/>
      <w:szCs w:val="24"/>
    </w:rPr>
  </w:style>
  <w:style w:type="paragraph" w:styleId="CommentSubject">
    <w:name w:val="annotation subject"/>
    <w:basedOn w:val="CommentText"/>
    <w:next w:val="CommentText"/>
    <w:link w:val="CommentSubjectChar"/>
    <w:semiHidden/>
    <w:locked/>
    <w:rsid w:val="00474ECC"/>
  </w:style>
  <w:style w:type="character" w:customStyle="1" w:styleId="CommentSubjectChar">
    <w:name w:val="Comment Subject Char"/>
    <w:link w:val="CommentSubject"/>
    <w:semiHidden/>
    <w:locked/>
    <w:rsid w:val="00474ECC"/>
    <w:rPr>
      <w:rFonts w:ascii="Times New Roman" w:hAnsi="Times New Roman" w:cs="Times New Roman"/>
      <w:sz w:val="24"/>
      <w:szCs w:val="24"/>
    </w:rPr>
  </w:style>
  <w:style w:type="paragraph" w:styleId="EndnoteText">
    <w:name w:val="endnote text"/>
    <w:basedOn w:val="Normal"/>
    <w:link w:val="EndnoteTextChar"/>
    <w:semiHidden/>
    <w:locked/>
    <w:rsid w:val="00474ECC"/>
    <w:rPr>
      <w:sz w:val="20"/>
      <w:szCs w:val="20"/>
    </w:rPr>
  </w:style>
  <w:style w:type="character" w:customStyle="1" w:styleId="EndnoteTextChar">
    <w:name w:val="Endnote Text Char"/>
    <w:link w:val="EndnoteText"/>
    <w:semiHidden/>
    <w:locked/>
    <w:rsid w:val="00474ECC"/>
    <w:rPr>
      <w:rFonts w:ascii="Times New Roman" w:hAnsi="Times New Roman" w:cs="Times New Roman"/>
    </w:rPr>
  </w:style>
  <w:style w:type="paragraph" w:styleId="Index1">
    <w:name w:val="index 1"/>
    <w:basedOn w:val="Normal"/>
    <w:next w:val="Normal"/>
    <w:autoRedefine/>
    <w:uiPriority w:val="99"/>
    <w:semiHidden/>
    <w:locked/>
    <w:rsid w:val="00474ECC"/>
    <w:pPr>
      <w:ind w:left="220" w:hanging="220"/>
    </w:pPr>
  </w:style>
  <w:style w:type="paragraph" w:styleId="Index2">
    <w:name w:val="index 2"/>
    <w:basedOn w:val="Normal"/>
    <w:next w:val="Normal"/>
    <w:autoRedefine/>
    <w:semiHidden/>
    <w:locked/>
    <w:rsid w:val="00474ECC"/>
    <w:pPr>
      <w:ind w:left="440" w:hanging="220"/>
    </w:pPr>
  </w:style>
  <w:style w:type="paragraph" w:styleId="Index3">
    <w:name w:val="index 3"/>
    <w:basedOn w:val="Normal"/>
    <w:next w:val="Normal"/>
    <w:autoRedefine/>
    <w:semiHidden/>
    <w:locked/>
    <w:rsid w:val="00474ECC"/>
    <w:pPr>
      <w:ind w:left="660" w:hanging="220"/>
    </w:pPr>
  </w:style>
  <w:style w:type="paragraph" w:styleId="Index4">
    <w:name w:val="index 4"/>
    <w:basedOn w:val="Normal"/>
    <w:next w:val="Normal"/>
    <w:autoRedefine/>
    <w:semiHidden/>
    <w:locked/>
    <w:rsid w:val="00474ECC"/>
    <w:pPr>
      <w:ind w:left="880" w:hanging="220"/>
    </w:pPr>
  </w:style>
  <w:style w:type="paragraph" w:styleId="Index5">
    <w:name w:val="index 5"/>
    <w:basedOn w:val="Normal"/>
    <w:next w:val="Normal"/>
    <w:autoRedefine/>
    <w:semiHidden/>
    <w:locked/>
    <w:rsid w:val="00474ECC"/>
    <w:pPr>
      <w:ind w:left="1100" w:hanging="220"/>
    </w:pPr>
  </w:style>
  <w:style w:type="paragraph" w:styleId="Index6">
    <w:name w:val="index 6"/>
    <w:basedOn w:val="Normal"/>
    <w:next w:val="Normal"/>
    <w:autoRedefine/>
    <w:semiHidden/>
    <w:locked/>
    <w:rsid w:val="00474ECC"/>
    <w:pPr>
      <w:ind w:left="1320" w:hanging="220"/>
    </w:pPr>
  </w:style>
  <w:style w:type="paragraph" w:styleId="Index7">
    <w:name w:val="index 7"/>
    <w:basedOn w:val="Normal"/>
    <w:next w:val="Normal"/>
    <w:autoRedefine/>
    <w:semiHidden/>
    <w:locked/>
    <w:rsid w:val="00474ECC"/>
    <w:pPr>
      <w:ind w:left="1540" w:hanging="220"/>
    </w:pPr>
  </w:style>
  <w:style w:type="paragraph" w:styleId="Index8">
    <w:name w:val="index 8"/>
    <w:basedOn w:val="Normal"/>
    <w:next w:val="Normal"/>
    <w:autoRedefine/>
    <w:semiHidden/>
    <w:locked/>
    <w:rsid w:val="00474ECC"/>
    <w:pPr>
      <w:ind w:left="1760" w:hanging="220"/>
    </w:pPr>
  </w:style>
  <w:style w:type="paragraph" w:styleId="Index9">
    <w:name w:val="index 9"/>
    <w:basedOn w:val="Normal"/>
    <w:next w:val="Normal"/>
    <w:autoRedefine/>
    <w:semiHidden/>
    <w:locked/>
    <w:rsid w:val="00474ECC"/>
    <w:pPr>
      <w:ind w:left="1980" w:hanging="220"/>
    </w:pPr>
  </w:style>
  <w:style w:type="paragraph" w:styleId="IndexHeading">
    <w:name w:val="index heading"/>
    <w:basedOn w:val="Normal"/>
    <w:next w:val="Index1"/>
    <w:semiHidden/>
    <w:locked/>
    <w:rsid w:val="00474ECC"/>
    <w:rPr>
      <w:rFonts w:ascii="Arial" w:hAnsi="Arial" w:cs="Arial"/>
      <w:b/>
      <w:bCs/>
    </w:rPr>
  </w:style>
  <w:style w:type="paragraph" w:styleId="Caption">
    <w:name w:val="caption"/>
    <w:basedOn w:val="Normal"/>
    <w:next w:val="Normal"/>
    <w:qFormat/>
    <w:locked/>
    <w:rsid w:val="00C768A3"/>
    <w:pPr>
      <w:spacing w:after="200" w:line="240" w:lineRule="auto"/>
    </w:pPr>
    <w:rPr>
      <w:b/>
      <w:bCs/>
      <w:color w:val="4F81BD"/>
      <w:sz w:val="18"/>
      <w:szCs w:val="18"/>
    </w:rPr>
  </w:style>
  <w:style w:type="paragraph" w:styleId="TOAHeading">
    <w:name w:val="toa heading"/>
    <w:basedOn w:val="Normal"/>
    <w:next w:val="Normal"/>
    <w:semiHidden/>
    <w:locked/>
    <w:rsid w:val="00474ECC"/>
    <w:pPr>
      <w:spacing w:before="120"/>
    </w:pPr>
    <w:rPr>
      <w:rFonts w:ascii="Arial" w:hAnsi="Arial" w:cs="Arial"/>
      <w:b/>
      <w:bCs/>
      <w:sz w:val="24"/>
    </w:rPr>
  </w:style>
  <w:style w:type="paragraph" w:customStyle="1" w:styleId="QuoteBullet">
    <w:name w:val="Quote Bullet"/>
    <w:basedOn w:val="ColorfulGrid-Accent11"/>
    <w:uiPriority w:val="99"/>
    <w:qFormat/>
    <w:rsid w:val="00F7639D"/>
    <w:pPr>
      <w:numPr>
        <w:numId w:val="3"/>
      </w:numPr>
      <w:ind w:left="714" w:right="357" w:hanging="357"/>
    </w:pPr>
  </w:style>
  <w:style w:type="paragraph" w:customStyle="1" w:styleId="References">
    <w:name w:val="References"/>
    <w:basedOn w:val="Normal"/>
    <w:qFormat/>
    <w:rsid w:val="00F24C6B"/>
    <w:pPr>
      <w:ind w:left="567" w:hanging="567"/>
    </w:pPr>
  </w:style>
  <w:style w:type="table" w:styleId="TableGrid">
    <w:name w:val="Table Grid"/>
    <w:basedOn w:val="TableNormal"/>
    <w:uiPriority w:val="59"/>
    <w:locked/>
    <w:rsid w:val="00474ECC"/>
    <w:pPr>
      <w:spacing w:after="220" w:line="280" w:lineRule="atLeast"/>
    </w:pPr>
    <w:rPr>
      <w:rFonts w:ascii="Times New Roman" w:eastAsia="SimSu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semiHidden/>
    <w:rsid w:val="00474ECC"/>
    <w:rPr>
      <w:rFonts w:ascii="Times New Roman" w:eastAsia="SimSun" w:hAnsi="Times New Roman"/>
      <w:sz w:val="22"/>
      <w:szCs w:val="24"/>
      <w:lang w:val="en-GB" w:eastAsia="en-US"/>
    </w:rPr>
  </w:style>
  <w:style w:type="table" w:customStyle="1" w:styleId="Style1">
    <w:name w:val="Style1"/>
    <w:locked/>
    <w:rsid w:val="00474ECC"/>
    <w:rPr>
      <w:rFonts w:ascii="Arial Narrow" w:eastAsia="SimSun" w:hAnsi="Arial Narrow"/>
      <w:sz w:val="18"/>
      <w:szCs w:val="24"/>
    </w:rPr>
    <w:tblPr>
      <w:tblInd w:w="0" w:type="dxa"/>
      <w:tblBorders>
        <w:top w:val="single" w:sz="8" w:space="0" w:color="333399"/>
        <w:bottom w:val="single" w:sz="8" w:space="0" w:color="333399"/>
      </w:tblBorders>
      <w:tblCellMar>
        <w:top w:w="0" w:type="dxa"/>
        <w:left w:w="108" w:type="dxa"/>
        <w:bottom w:w="0" w:type="dxa"/>
        <w:right w:w="108" w:type="dxa"/>
      </w:tblCellMar>
    </w:tblPr>
  </w:style>
  <w:style w:type="paragraph" w:styleId="PlainText">
    <w:name w:val="Plain Text"/>
    <w:basedOn w:val="Normal"/>
    <w:link w:val="PlainTextChar"/>
    <w:semiHidden/>
    <w:locked/>
    <w:rsid w:val="00474ECC"/>
    <w:rPr>
      <w:rFonts w:ascii="Consolas" w:hAnsi="Consolas"/>
      <w:sz w:val="21"/>
      <w:szCs w:val="21"/>
    </w:rPr>
  </w:style>
  <w:style w:type="character" w:customStyle="1" w:styleId="PlainTextChar">
    <w:name w:val="Plain Text Char"/>
    <w:link w:val="PlainText"/>
    <w:semiHidden/>
    <w:locked/>
    <w:rsid w:val="00474ECC"/>
    <w:rPr>
      <w:rFonts w:ascii="Consolas" w:hAnsi="Consolas" w:cs="Times New Roman"/>
      <w:sz w:val="21"/>
      <w:szCs w:val="21"/>
    </w:rPr>
  </w:style>
  <w:style w:type="table" w:customStyle="1" w:styleId="icrctable">
    <w:name w:val="icrc table"/>
    <w:basedOn w:val="TableSimple1"/>
    <w:locked/>
    <w:rsid w:val="00F7639D"/>
    <w:rPr>
      <w:rFonts w:ascii="Arial Narrow" w:hAnsi="Arial Narrow"/>
      <w:sz w:val="18"/>
      <w:lang w:val="en-US"/>
    </w:rPr>
    <w:tblPr>
      <w:tblBorders>
        <w:top w:val="single" w:sz="8" w:space="0" w:color="333399"/>
        <w:bottom w:val="single" w:sz="8" w:space="0" w:color="333399"/>
      </w:tblBorders>
    </w:tblPr>
    <w:tblStylePr w:type="firstRow">
      <w:rPr>
        <w:rFonts w:cs="Times New Roman"/>
      </w:rPr>
      <w:tblPr/>
      <w:tcPr>
        <w:tcBorders>
          <w:bottom w:val="single" w:sz="4" w:space="0" w:color="333399"/>
          <w:tl2br w:val="none" w:sz="0" w:space="0" w:color="auto"/>
          <w:tr2bl w:val="none" w:sz="0" w:space="0" w:color="auto"/>
        </w:tcBorders>
        <w:shd w:val="clear" w:color="auto" w:fill="auto"/>
      </w:tcPr>
    </w:tblStylePr>
    <w:tblStylePr w:type="lastRow">
      <w:rPr>
        <w:rFonts w:cs="Times New Roman"/>
      </w:rPr>
      <w:tblPr/>
      <w:tcPr>
        <w:tcBorders>
          <w:top w:val="single" w:sz="4" w:space="0" w:color="333399"/>
          <w:tl2br w:val="none" w:sz="0" w:space="0" w:color="auto"/>
          <w:tr2bl w:val="none" w:sz="0" w:space="0" w:color="auto"/>
        </w:tcBorders>
        <w:shd w:val="clear" w:color="auto" w:fill="auto"/>
      </w:tcPr>
    </w:tblStylePr>
  </w:style>
  <w:style w:type="table" w:styleId="TableSimple1">
    <w:name w:val="Table Simple 1"/>
    <w:basedOn w:val="TableNormal"/>
    <w:locked/>
    <w:rsid w:val="00F7639D"/>
    <w:pPr>
      <w:spacing w:after="220" w:line="280" w:lineRule="atLeast"/>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Headerodd">
    <w:name w:val="Header (odd)"/>
    <w:basedOn w:val="Normal"/>
    <w:rsid w:val="006D6B12"/>
    <w:pPr>
      <w:spacing w:after="0"/>
      <w:jc w:val="right"/>
    </w:pPr>
    <w:rPr>
      <w:i/>
      <w:color w:val="808080"/>
      <w:sz w:val="18"/>
      <w:szCs w:val="18"/>
    </w:rPr>
  </w:style>
  <w:style w:type="paragraph" w:customStyle="1" w:styleId="Headereven">
    <w:name w:val="Header (even)"/>
    <w:basedOn w:val="Headerodd"/>
    <w:rsid w:val="006D6B12"/>
    <w:pPr>
      <w:jc w:val="left"/>
    </w:pPr>
  </w:style>
  <w:style w:type="table" w:customStyle="1" w:styleId="ICRC">
    <w:name w:val="ICRC"/>
    <w:locked/>
    <w:rsid w:val="00474ECC"/>
    <w:rPr>
      <w:rFonts w:ascii="Arial Narrow" w:hAnsi="Arial Narrow"/>
      <w:sz w:val="18"/>
      <w:szCs w:val="24"/>
    </w:rPr>
    <w:tblPr>
      <w:tblInd w:w="0" w:type="dxa"/>
      <w:tblBorders>
        <w:bottom w:val="single" w:sz="12" w:space="0" w:color="333399"/>
      </w:tblBorders>
      <w:tblCellMar>
        <w:top w:w="0" w:type="dxa"/>
        <w:left w:w="108" w:type="dxa"/>
        <w:bottom w:w="0" w:type="dxa"/>
        <w:right w:w="108" w:type="dxa"/>
      </w:tblCellMar>
    </w:tblPr>
  </w:style>
  <w:style w:type="paragraph" w:customStyle="1" w:styleId="FigureText">
    <w:name w:val="Figure Text"/>
    <w:basedOn w:val="Normal"/>
    <w:qFormat/>
    <w:rsid w:val="00F7639D"/>
    <w:pPr>
      <w:spacing w:after="0" w:line="240" w:lineRule="auto"/>
    </w:pPr>
    <w:rPr>
      <w:rFonts w:ascii="Arial" w:hAnsi="Arial"/>
      <w:sz w:val="16"/>
    </w:rPr>
  </w:style>
  <w:style w:type="character" w:styleId="EndnoteReference">
    <w:name w:val="endnote reference"/>
    <w:uiPriority w:val="99"/>
    <w:semiHidden/>
    <w:unhideWhenUsed/>
    <w:locked/>
    <w:rsid w:val="001609AB"/>
    <w:rPr>
      <w:vertAlign w:val="superscript"/>
    </w:rPr>
  </w:style>
  <w:style w:type="paragraph" w:styleId="BalloonText">
    <w:name w:val="Balloon Text"/>
    <w:basedOn w:val="Normal"/>
    <w:link w:val="BalloonTextChar"/>
    <w:uiPriority w:val="99"/>
    <w:semiHidden/>
    <w:unhideWhenUsed/>
    <w:locked/>
    <w:rsid w:val="005F114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F114B"/>
    <w:rPr>
      <w:rFonts w:ascii="Tahoma" w:hAnsi="Tahoma" w:cs="Tahoma"/>
      <w:sz w:val="16"/>
      <w:szCs w:val="16"/>
      <w:lang w:val="en-GB" w:eastAsia="en-US"/>
    </w:rPr>
  </w:style>
  <w:style w:type="character" w:styleId="CommentReference">
    <w:name w:val="annotation reference"/>
    <w:uiPriority w:val="99"/>
    <w:semiHidden/>
    <w:unhideWhenUsed/>
    <w:locked/>
    <w:rsid w:val="0031462D"/>
    <w:rPr>
      <w:sz w:val="16"/>
      <w:szCs w:val="16"/>
    </w:rPr>
  </w:style>
  <w:style w:type="character" w:styleId="PlaceholderText">
    <w:name w:val="Placeholder Text"/>
    <w:uiPriority w:val="99"/>
    <w:semiHidden/>
    <w:locked/>
    <w:rsid w:val="0074389C"/>
    <w:rPr>
      <w:color w:val="808080"/>
    </w:rPr>
  </w:style>
  <w:style w:type="paragraph" w:customStyle="1" w:styleId="HeadingPart">
    <w:name w:val="Heading Part"/>
    <w:basedOn w:val="Heading1"/>
    <w:qFormat/>
    <w:rsid w:val="000A4D58"/>
    <w:pPr>
      <w:numPr>
        <w:numId w:val="4"/>
      </w:numPr>
      <w:tabs>
        <w:tab w:val="left" w:pos="1843"/>
      </w:tabs>
    </w:pPr>
  </w:style>
  <w:style w:type="character" w:styleId="FootnoteReference">
    <w:name w:val="footnote reference"/>
    <w:aliases w:val="(NECG) Footnote Reference,(NECG) Footnote Reference1,(NECG) Footnote Reference2,o,Style 3,Style 12,fr,Appel note de bas de p,Style 124,(NECG) Footnote,-E Fußnotenzeichen,(Diplomarbeit FZ),(Diplomarbeit FZ)1,(Diplomarbeit FZ)2,ftref"/>
    <w:uiPriority w:val="99"/>
    <w:unhideWhenUsed/>
    <w:rsid w:val="00FE0570"/>
    <w:rPr>
      <w:vertAlign w:val="superscript"/>
    </w:rPr>
  </w:style>
  <w:style w:type="character" w:customStyle="1" w:styleId="Italic">
    <w:name w:val="Italic"/>
    <w:uiPriority w:val="1"/>
    <w:qFormat/>
    <w:rsid w:val="00F24C6B"/>
    <w:rPr>
      <w:i/>
    </w:rPr>
  </w:style>
  <w:style w:type="character" w:customStyle="1" w:styleId="HighlightYellow">
    <w:name w:val="Highlight Yellow"/>
    <w:uiPriority w:val="1"/>
    <w:qFormat/>
    <w:rsid w:val="00A75C51"/>
    <w:rPr>
      <w:sz w:val="22"/>
      <w:szCs w:val="24"/>
      <w:bdr w:val="none" w:sz="0" w:space="0" w:color="auto"/>
      <w:shd w:val="clear" w:color="auto" w:fill="FFFF00"/>
    </w:rPr>
  </w:style>
  <w:style w:type="character" w:customStyle="1" w:styleId="HighlightGreen">
    <w:name w:val="Highlight Green"/>
    <w:uiPriority w:val="1"/>
    <w:qFormat/>
    <w:rsid w:val="00FF5F02"/>
    <w:rPr>
      <w:sz w:val="22"/>
      <w:szCs w:val="24"/>
      <w:bdr w:val="none" w:sz="0" w:space="0" w:color="auto"/>
      <w:shd w:val="clear" w:color="auto" w:fill="92D050"/>
    </w:rPr>
  </w:style>
  <w:style w:type="character" w:customStyle="1" w:styleId="HighlightBlue">
    <w:name w:val="Highlight Blue"/>
    <w:uiPriority w:val="1"/>
    <w:qFormat/>
    <w:rsid w:val="00FF5F02"/>
    <w:rPr>
      <w:sz w:val="22"/>
      <w:szCs w:val="24"/>
      <w:bdr w:val="none" w:sz="0" w:space="0" w:color="auto"/>
      <w:shd w:val="clear" w:color="auto" w:fill="00B0F0"/>
    </w:rPr>
  </w:style>
  <w:style w:type="character" w:customStyle="1" w:styleId="Bold">
    <w:name w:val="Bold"/>
    <w:qFormat/>
    <w:rsid w:val="00FB72CD"/>
    <w:rPr>
      <w:rFonts w:eastAsia="SimSun"/>
      <w:b/>
      <w:lang w:val="en-AU"/>
    </w:rPr>
  </w:style>
  <w:style w:type="paragraph" w:customStyle="1" w:styleId="Heading50">
    <w:name w:val="Heading 5^"/>
    <w:basedOn w:val="Heading5"/>
    <w:link w:val="Heading5Char0"/>
    <w:qFormat/>
    <w:rsid w:val="001822C4"/>
    <w:pPr>
      <w:spacing w:before="0" w:after="120"/>
    </w:pPr>
  </w:style>
  <w:style w:type="character" w:customStyle="1" w:styleId="Heading5Char0">
    <w:name w:val="Heading 5^ Char"/>
    <w:link w:val="Heading50"/>
    <w:rsid w:val="001822C4"/>
    <w:rPr>
      <w:rFonts w:ascii="Times New Roman" w:hAnsi="Times New Roman"/>
      <w:i/>
      <w:sz w:val="24"/>
      <w:szCs w:val="24"/>
      <w:lang w:val="en-GB" w:eastAsia="en-US"/>
    </w:rPr>
  </w:style>
  <w:style w:type="paragraph" w:customStyle="1" w:styleId="QuoteListnumber">
    <w:name w:val="Quote List (number)"/>
    <w:basedOn w:val="Normal"/>
    <w:rsid w:val="005566BA"/>
    <w:rPr>
      <w:sz w:val="20"/>
    </w:rPr>
  </w:style>
  <w:style w:type="paragraph" w:customStyle="1" w:styleId="TableHeadingRight">
    <w:name w:val="Table Heading Right"/>
    <w:basedOn w:val="TableHeadingLeft"/>
    <w:qFormat/>
    <w:rsid w:val="00280AFD"/>
    <w:pPr>
      <w:jc w:val="right"/>
    </w:pPr>
  </w:style>
  <w:style w:type="paragraph" w:customStyle="1" w:styleId="TableTextRight">
    <w:name w:val="Table Text Right"/>
    <w:basedOn w:val="TableTextLeft"/>
    <w:qFormat/>
    <w:rsid w:val="008A6CA2"/>
    <w:pPr>
      <w:jc w:val="right"/>
    </w:pPr>
  </w:style>
  <w:style w:type="paragraph" w:customStyle="1" w:styleId="HeadingAppendix2">
    <w:name w:val="Heading Appendix 2"/>
    <w:basedOn w:val="Heading2"/>
    <w:qFormat/>
    <w:rsid w:val="00D42FF9"/>
    <w:pPr>
      <w:numPr>
        <w:numId w:val="6"/>
      </w:numPr>
    </w:pPr>
  </w:style>
  <w:style w:type="paragraph" w:customStyle="1" w:styleId="HeadingAppendix3">
    <w:name w:val="Heading Appendix 3"/>
    <w:basedOn w:val="Heading3"/>
    <w:qFormat/>
    <w:rsid w:val="00D42FF9"/>
    <w:pPr>
      <w:ind w:left="2693" w:hanging="2693"/>
    </w:pPr>
  </w:style>
  <w:style w:type="paragraph" w:styleId="DocumentMap">
    <w:name w:val="Document Map"/>
    <w:basedOn w:val="Normal"/>
    <w:link w:val="DocumentMapChar"/>
    <w:uiPriority w:val="99"/>
    <w:semiHidden/>
    <w:unhideWhenUsed/>
    <w:locked/>
    <w:rsid w:val="00E258B7"/>
    <w:pPr>
      <w:spacing w:after="0" w:line="240" w:lineRule="auto"/>
    </w:pPr>
    <w:rPr>
      <w:rFonts w:ascii="Tahoma" w:hAnsi="Tahoma"/>
      <w:sz w:val="16"/>
      <w:szCs w:val="16"/>
    </w:rPr>
  </w:style>
  <w:style w:type="character" w:customStyle="1" w:styleId="DocumentMapChar">
    <w:name w:val="Document Map Char"/>
    <w:link w:val="DocumentMap"/>
    <w:uiPriority w:val="99"/>
    <w:semiHidden/>
    <w:rsid w:val="00E258B7"/>
    <w:rPr>
      <w:rFonts w:ascii="Tahoma" w:hAnsi="Tahoma" w:cs="Tahoma"/>
      <w:sz w:val="16"/>
      <w:szCs w:val="16"/>
      <w:lang w:val="en-GB" w:eastAsia="en-US"/>
    </w:rPr>
  </w:style>
  <w:style w:type="paragraph" w:customStyle="1" w:styleId="QuoteListletter">
    <w:name w:val="Quote List (letter)"/>
    <w:basedOn w:val="QuoteListnumber"/>
    <w:qFormat/>
    <w:rsid w:val="0051506C"/>
    <w:pPr>
      <w:numPr>
        <w:numId w:val="8"/>
      </w:numPr>
      <w:spacing w:after="100" w:line="240" w:lineRule="atLeast"/>
      <w:ind w:left="714" w:hanging="357"/>
    </w:pPr>
    <w:rPr>
      <w:szCs w:val="20"/>
      <w:lang w:val="en-AU" w:eastAsia="en-AU"/>
    </w:rPr>
  </w:style>
  <w:style w:type="character" w:styleId="Emphasis">
    <w:name w:val="Emphasis"/>
    <w:uiPriority w:val="20"/>
    <w:qFormat/>
    <w:locked/>
    <w:rsid w:val="00F4763B"/>
    <w:rPr>
      <w:i/>
      <w:iCs/>
    </w:rPr>
  </w:style>
  <w:style w:type="paragraph" w:customStyle="1" w:styleId="Equation">
    <w:name w:val="Equation"/>
    <w:basedOn w:val="EquationVariables"/>
    <w:uiPriority w:val="99"/>
    <w:qFormat/>
    <w:rsid w:val="00F7295F"/>
    <w:pPr>
      <w:tabs>
        <w:tab w:val="clear" w:pos="1985"/>
      </w:tabs>
      <w:ind w:left="1418" w:firstLine="0"/>
    </w:pPr>
  </w:style>
  <w:style w:type="paragraph" w:customStyle="1" w:styleId="EquationVariables">
    <w:name w:val="Equation Variables"/>
    <w:basedOn w:val="Normal"/>
    <w:qFormat/>
    <w:rsid w:val="00F7295F"/>
    <w:pPr>
      <w:tabs>
        <w:tab w:val="left" w:pos="1985"/>
      </w:tabs>
      <w:ind w:left="2552" w:hanging="1134"/>
    </w:pPr>
  </w:style>
  <w:style w:type="paragraph" w:customStyle="1" w:styleId="HeadingAppendix">
    <w:name w:val="Heading Appendix"/>
    <w:basedOn w:val="Heading1"/>
    <w:uiPriority w:val="99"/>
    <w:locked/>
    <w:rsid w:val="006E1C49"/>
    <w:pPr>
      <w:numPr>
        <w:numId w:val="0"/>
      </w:numPr>
      <w:tabs>
        <w:tab w:val="left" w:pos="2693"/>
      </w:tabs>
      <w:ind w:left="2693" w:hanging="2693"/>
    </w:pPr>
  </w:style>
  <w:style w:type="paragraph" w:customStyle="1" w:styleId="Bodybulletintro">
    <w:name w:val="Body (bullet intro)"/>
    <w:basedOn w:val="Normal"/>
    <w:qFormat/>
    <w:rsid w:val="00C47CD1"/>
    <w:pPr>
      <w:keepNext/>
      <w:spacing w:after="100"/>
    </w:pPr>
  </w:style>
  <w:style w:type="paragraph" w:customStyle="1" w:styleId="Bodytableoutro">
    <w:name w:val="Body (table outro)"/>
    <w:basedOn w:val="Normal"/>
    <w:qFormat/>
    <w:rsid w:val="00814952"/>
    <w:pPr>
      <w:spacing w:before="220"/>
    </w:pPr>
  </w:style>
  <w:style w:type="paragraph" w:customStyle="1" w:styleId="TableTextLeftIndent">
    <w:name w:val="Table Text Left Indent"/>
    <w:basedOn w:val="TableTextLeft"/>
    <w:qFormat/>
    <w:rsid w:val="008A6CA2"/>
    <w:pPr>
      <w:ind w:left="170"/>
    </w:pPr>
    <w:rPr>
      <w:lang w:val="en-AU" w:eastAsia="en-AU"/>
    </w:rPr>
  </w:style>
  <w:style w:type="paragraph" w:customStyle="1" w:styleId="ToRName">
    <w:name w:val="ToR Name"/>
    <w:basedOn w:val="Normal"/>
    <w:uiPriority w:val="99"/>
    <w:rsid w:val="001A0127"/>
    <w:pPr>
      <w:tabs>
        <w:tab w:val="left" w:pos="2400"/>
        <w:tab w:val="left" w:pos="2880"/>
      </w:tabs>
      <w:spacing w:before="1220" w:after="100" w:line="240" w:lineRule="auto"/>
    </w:pPr>
    <w:rPr>
      <w:rFonts w:ascii="Arial" w:eastAsia="Times New Roman" w:hAnsi="Arial"/>
      <w:b/>
      <w:sz w:val="40"/>
      <w:lang w:val="en-AU"/>
    </w:rPr>
  </w:style>
  <w:style w:type="paragraph" w:customStyle="1" w:styleId="ToRCoverActs">
    <w:name w:val="ToR Cover Acts"/>
    <w:basedOn w:val="Normal"/>
    <w:uiPriority w:val="99"/>
    <w:rsid w:val="001A0127"/>
    <w:pPr>
      <w:tabs>
        <w:tab w:val="left" w:pos="2600"/>
      </w:tabs>
      <w:spacing w:before="200" w:after="60" w:line="240" w:lineRule="auto"/>
      <w:jc w:val="both"/>
    </w:pPr>
    <w:rPr>
      <w:rFonts w:ascii="Arial" w:eastAsia="Times New Roman" w:hAnsi="Arial"/>
      <w:b/>
      <w:sz w:val="24"/>
      <w:lang w:val="en-AU"/>
    </w:rPr>
  </w:style>
  <w:style w:type="paragraph" w:customStyle="1" w:styleId="CoverReport">
    <w:name w:val="Cover Report"/>
    <w:basedOn w:val="Normal"/>
    <w:qFormat/>
    <w:rsid w:val="00287869"/>
    <w:pPr>
      <w:spacing w:after="80"/>
      <w:ind w:left="142" w:right="98"/>
      <w:jc w:val="right"/>
    </w:pPr>
    <w:rPr>
      <w:rFonts w:ascii="Arial" w:hAnsi="Arial"/>
      <w:bCs/>
      <w:sz w:val="36"/>
      <w:szCs w:val="36"/>
      <w:lang w:val="en-AU"/>
    </w:rPr>
  </w:style>
  <w:style w:type="paragraph" w:customStyle="1" w:styleId="CoverInquiry">
    <w:name w:val="Cover Inquiry"/>
    <w:basedOn w:val="Normal"/>
    <w:qFormat/>
    <w:rsid w:val="00287869"/>
    <w:pPr>
      <w:ind w:left="142" w:right="98"/>
      <w:jc w:val="right"/>
    </w:pPr>
    <w:rPr>
      <w:rFonts w:ascii="Arial" w:hAnsi="Arial" w:cs="Arial"/>
      <w:b/>
      <w:color w:val="000033"/>
      <w:sz w:val="48"/>
      <w:szCs w:val="48"/>
    </w:rPr>
  </w:style>
  <w:style w:type="paragraph" w:customStyle="1" w:styleId="CoverReportNumMonth">
    <w:name w:val="Cover ReportNum &amp; Month"/>
    <w:basedOn w:val="Normal"/>
    <w:qFormat/>
    <w:rsid w:val="00287869"/>
    <w:pPr>
      <w:ind w:left="142" w:right="98"/>
      <w:jc w:val="right"/>
    </w:pPr>
    <w:rPr>
      <w:rFonts w:ascii="Arial" w:hAnsi="Arial"/>
      <w:b/>
      <w:sz w:val="24"/>
      <w:lang w:val="en-AU"/>
    </w:rPr>
  </w:style>
  <w:style w:type="character" w:customStyle="1" w:styleId="charBoldItals">
    <w:name w:val="charBoldItals"/>
    <w:uiPriority w:val="99"/>
    <w:rsid w:val="00DC784F"/>
    <w:rPr>
      <w:rFonts w:cs="Times New Roman"/>
      <w:b/>
      <w:bCs/>
      <w:i/>
      <w:iCs/>
    </w:rPr>
  </w:style>
  <w:style w:type="paragraph" w:customStyle="1" w:styleId="Apara">
    <w:name w:val="A para"/>
    <w:basedOn w:val="Normal"/>
    <w:uiPriority w:val="99"/>
    <w:rsid w:val="00DC784F"/>
    <w:pPr>
      <w:tabs>
        <w:tab w:val="right" w:pos="1400"/>
        <w:tab w:val="left" w:pos="1600"/>
      </w:tabs>
      <w:spacing w:before="80" w:after="60" w:line="240" w:lineRule="auto"/>
      <w:ind w:left="1600" w:hanging="1600"/>
      <w:jc w:val="both"/>
      <w:outlineLvl w:val="6"/>
    </w:pPr>
    <w:rPr>
      <w:rFonts w:eastAsia="Times New Roman"/>
      <w:sz w:val="24"/>
      <w:lang w:val="en-AU"/>
    </w:rPr>
  </w:style>
  <w:style w:type="paragraph" w:customStyle="1" w:styleId="AH5Sec">
    <w:name w:val="A H5 Sec"/>
    <w:basedOn w:val="Normal"/>
    <w:next w:val="Normal"/>
    <w:uiPriority w:val="99"/>
    <w:rsid w:val="00DC784F"/>
    <w:pPr>
      <w:keepNext/>
      <w:tabs>
        <w:tab w:val="left" w:pos="1100"/>
      </w:tabs>
      <w:spacing w:before="180" w:after="60" w:line="240" w:lineRule="auto"/>
      <w:ind w:left="1100" w:hanging="1100"/>
      <w:outlineLvl w:val="4"/>
    </w:pPr>
    <w:rPr>
      <w:rFonts w:ascii="Arial" w:eastAsia="Times New Roman" w:hAnsi="Arial"/>
      <w:b/>
      <w:sz w:val="24"/>
      <w:lang w:val="en-AU"/>
    </w:rPr>
  </w:style>
  <w:style w:type="paragraph" w:customStyle="1" w:styleId="Amain">
    <w:name w:val="A main"/>
    <w:basedOn w:val="Normal"/>
    <w:uiPriority w:val="99"/>
    <w:rsid w:val="00DC784F"/>
    <w:pPr>
      <w:tabs>
        <w:tab w:val="right" w:pos="900"/>
        <w:tab w:val="left" w:pos="1100"/>
      </w:tabs>
      <w:spacing w:before="80" w:after="60" w:line="240" w:lineRule="auto"/>
      <w:ind w:left="1100" w:hanging="1100"/>
      <w:jc w:val="both"/>
      <w:outlineLvl w:val="5"/>
    </w:pPr>
    <w:rPr>
      <w:rFonts w:eastAsia="Times New Roman"/>
      <w:sz w:val="24"/>
      <w:lang w:val="en-AU"/>
    </w:rPr>
  </w:style>
  <w:style w:type="paragraph" w:customStyle="1" w:styleId="aNote">
    <w:name w:val="aNote"/>
    <w:basedOn w:val="Normal"/>
    <w:uiPriority w:val="99"/>
    <w:rsid w:val="00DC784F"/>
    <w:pPr>
      <w:spacing w:before="80" w:after="60" w:line="240" w:lineRule="auto"/>
      <w:ind w:left="1900" w:hanging="800"/>
      <w:jc w:val="both"/>
    </w:pPr>
    <w:rPr>
      <w:rFonts w:eastAsia="Times New Roman"/>
      <w:sz w:val="20"/>
      <w:lang w:val="en-AU"/>
    </w:rPr>
  </w:style>
  <w:style w:type="character" w:customStyle="1" w:styleId="CharSectNo">
    <w:name w:val="CharSectNo"/>
    <w:uiPriority w:val="99"/>
    <w:rsid w:val="00DC784F"/>
    <w:rPr>
      <w:rFonts w:cs="Times New Roman"/>
    </w:rPr>
  </w:style>
  <w:style w:type="paragraph" w:customStyle="1" w:styleId="ColorfulList-Accent11">
    <w:name w:val="Colorful List - Accent 11"/>
    <w:basedOn w:val="Normal"/>
    <w:uiPriority w:val="1"/>
    <w:qFormat/>
    <w:locked/>
    <w:rsid w:val="00DC784F"/>
    <w:pPr>
      <w:spacing w:after="200" w:line="276" w:lineRule="auto"/>
      <w:ind w:left="720"/>
      <w:contextualSpacing/>
    </w:pPr>
    <w:rPr>
      <w:rFonts w:eastAsia="PMingLiU"/>
      <w:szCs w:val="22"/>
      <w:lang w:eastAsia="zh-TW"/>
    </w:rPr>
  </w:style>
  <w:style w:type="paragraph" w:styleId="Header">
    <w:name w:val="header"/>
    <w:aliases w:val="Even header (essay title)"/>
    <w:basedOn w:val="Headereven"/>
    <w:link w:val="HeaderChar"/>
    <w:uiPriority w:val="99"/>
    <w:unhideWhenUsed/>
    <w:rsid w:val="00B1531E"/>
  </w:style>
  <w:style w:type="character" w:customStyle="1" w:styleId="HeaderChar">
    <w:name w:val="Header Char"/>
    <w:aliases w:val="Even header (essay title) Char"/>
    <w:link w:val="Header"/>
    <w:uiPriority w:val="99"/>
    <w:rsid w:val="00B1531E"/>
    <w:rPr>
      <w:rFonts w:ascii="Times New Roman" w:hAnsi="Times New Roman"/>
      <w:i/>
      <w:color w:val="808080"/>
      <w:sz w:val="18"/>
      <w:szCs w:val="18"/>
      <w:lang w:val="en-GB" w:eastAsia="en-US"/>
    </w:rPr>
  </w:style>
  <w:style w:type="character" w:styleId="HTMLCite">
    <w:name w:val="HTML Cite"/>
    <w:uiPriority w:val="99"/>
    <w:semiHidden/>
    <w:unhideWhenUsed/>
    <w:locked/>
    <w:rsid w:val="00542849"/>
    <w:rPr>
      <w:i/>
      <w:iCs/>
    </w:rPr>
  </w:style>
  <w:style w:type="paragraph" w:styleId="NormalWeb">
    <w:name w:val="Normal (Web)"/>
    <w:basedOn w:val="Normal"/>
    <w:uiPriority w:val="99"/>
    <w:semiHidden/>
    <w:unhideWhenUsed/>
    <w:rsid w:val="004C5B61"/>
    <w:pPr>
      <w:spacing w:before="100" w:beforeAutospacing="1" w:after="100" w:afterAutospacing="1" w:line="240" w:lineRule="auto"/>
    </w:pPr>
    <w:rPr>
      <w:rFonts w:eastAsia="MS Mincho"/>
      <w:sz w:val="24"/>
      <w:lang w:val="en-AU" w:eastAsia="en-AU"/>
    </w:rPr>
  </w:style>
  <w:style w:type="paragraph" w:customStyle="1" w:styleId="Billname">
    <w:name w:val="Billname"/>
    <w:basedOn w:val="Normal"/>
    <w:rsid w:val="00E96374"/>
    <w:pPr>
      <w:tabs>
        <w:tab w:val="left" w:pos="2400"/>
        <w:tab w:val="left" w:pos="2880"/>
      </w:tabs>
      <w:spacing w:before="1220" w:after="100" w:line="240" w:lineRule="auto"/>
    </w:pPr>
    <w:rPr>
      <w:rFonts w:ascii="Arial" w:eastAsia="Times New Roman" w:hAnsi="Arial"/>
      <w:b/>
      <w:sz w:val="40"/>
      <w:lang w:val="en-AU"/>
    </w:rPr>
  </w:style>
  <w:style w:type="paragraph" w:customStyle="1" w:styleId="N-line3">
    <w:name w:val="N-line3"/>
    <w:basedOn w:val="Normal"/>
    <w:next w:val="Normal"/>
    <w:rsid w:val="00E96374"/>
    <w:pPr>
      <w:pBdr>
        <w:bottom w:val="single" w:sz="12" w:space="1" w:color="auto"/>
      </w:pBdr>
      <w:spacing w:after="0" w:line="240" w:lineRule="auto"/>
      <w:jc w:val="both"/>
    </w:pPr>
    <w:rPr>
      <w:rFonts w:eastAsia="Times New Roman"/>
      <w:sz w:val="24"/>
      <w:lang w:val="en-AU"/>
    </w:rPr>
  </w:style>
  <w:style w:type="paragraph" w:customStyle="1" w:styleId="madeunder">
    <w:name w:val="made under"/>
    <w:basedOn w:val="Normal"/>
    <w:rsid w:val="00E96374"/>
    <w:pPr>
      <w:spacing w:before="180" w:after="60" w:line="240" w:lineRule="auto"/>
      <w:jc w:val="both"/>
    </w:pPr>
    <w:rPr>
      <w:rFonts w:eastAsia="Times New Roman"/>
      <w:sz w:val="24"/>
      <w:lang w:val="en-AU"/>
    </w:rPr>
  </w:style>
  <w:style w:type="paragraph" w:customStyle="1" w:styleId="CoverActName">
    <w:name w:val="CoverActName"/>
    <w:basedOn w:val="Normal"/>
    <w:rsid w:val="00E96374"/>
    <w:pPr>
      <w:tabs>
        <w:tab w:val="left" w:pos="2600"/>
      </w:tabs>
      <w:spacing w:before="200" w:after="60" w:line="240" w:lineRule="auto"/>
      <w:jc w:val="both"/>
    </w:pPr>
    <w:rPr>
      <w:rFonts w:ascii="Arial" w:eastAsia="Times New Roman" w:hAnsi="Arial"/>
      <w:b/>
      <w:sz w:val="24"/>
      <w:lang w:val="en-AU"/>
    </w:rPr>
  </w:style>
  <w:style w:type="paragraph" w:styleId="TOCHeading">
    <w:name w:val="TOC Heading"/>
    <w:basedOn w:val="Heading1"/>
    <w:next w:val="Normal"/>
    <w:uiPriority w:val="39"/>
    <w:semiHidden/>
    <w:unhideWhenUsed/>
    <w:qFormat/>
    <w:locked/>
    <w:rsid w:val="006477A0"/>
    <w:pPr>
      <w:keepLines/>
      <w:numPr>
        <w:numId w:val="0"/>
      </w:numPr>
      <w:spacing w:before="480" w:after="0" w:line="276" w:lineRule="auto"/>
      <w:outlineLvl w:val="9"/>
    </w:pPr>
    <w:rPr>
      <w:rFonts w:ascii="Cambria" w:eastAsia="MS Gothic" w:hAnsi="Cambria"/>
      <w:bCs/>
      <w:color w:val="365F91"/>
      <w:kern w:val="0"/>
      <w:sz w:val="28"/>
      <w:szCs w:val="28"/>
      <w:lang w:val="en-US"/>
    </w:rPr>
  </w:style>
  <w:style w:type="paragraph" w:styleId="TOC4">
    <w:name w:val="toc 4"/>
    <w:basedOn w:val="Normal"/>
    <w:next w:val="Normal"/>
    <w:autoRedefine/>
    <w:uiPriority w:val="39"/>
    <w:unhideWhenUsed/>
    <w:locked/>
    <w:rsid w:val="006477A0"/>
    <w:pPr>
      <w:spacing w:after="100" w:line="276" w:lineRule="auto"/>
      <w:ind w:left="660"/>
    </w:pPr>
    <w:rPr>
      <w:rFonts w:ascii="Calibri" w:eastAsia="MS Mincho" w:hAnsi="Calibri"/>
      <w:szCs w:val="22"/>
      <w:lang w:val="en-AU" w:eastAsia="en-AU"/>
    </w:rPr>
  </w:style>
  <w:style w:type="paragraph" w:styleId="TOC5">
    <w:name w:val="toc 5"/>
    <w:basedOn w:val="Normal"/>
    <w:next w:val="Normal"/>
    <w:autoRedefine/>
    <w:uiPriority w:val="39"/>
    <w:unhideWhenUsed/>
    <w:locked/>
    <w:rsid w:val="006477A0"/>
    <w:pPr>
      <w:spacing w:after="100" w:line="276" w:lineRule="auto"/>
      <w:ind w:left="880"/>
    </w:pPr>
    <w:rPr>
      <w:rFonts w:ascii="Calibri" w:eastAsia="MS Mincho" w:hAnsi="Calibri"/>
      <w:szCs w:val="22"/>
      <w:lang w:val="en-AU" w:eastAsia="en-AU"/>
    </w:rPr>
  </w:style>
  <w:style w:type="paragraph" w:styleId="TOC6">
    <w:name w:val="toc 6"/>
    <w:basedOn w:val="Normal"/>
    <w:next w:val="Normal"/>
    <w:autoRedefine/>
    <w:uiPriority w:val="39"/>
    <w:unhideWhenUsed/>
    <w:locked/>
    <w:rsid w:val="006477A0"/>
    <w:pPr>
      <w:spacing w:after="100" w:line="276" w:lineRule="auto"/>
      <w:ind w:left="1100"/>
    </w:pPr>
    <w:rPr>
      <w:rFonts w:ascii="Calibri" w:eastAsia="MS Mincho" w:hAnsi="Calibri"/>
      <w:szCs w:val="22"/>
      <w:lang w:val="en-AU" w:eastAsia="en-AU"/>
    </w:rPr>
  </w:style>
  <w:style w:type="paragraph" w:styleId="TOC7">
    <w:name w:val="toc 7"/>
    <w:basedOn w:val="Normal"/>
    <w:next w:val="Normal"/>
    <w:autoRedefine/>
    <w:uiPriority w:val="39"/>
    <w:unhideWhenUsed/>
    <w:locked/>
    <w:rsid w:val="006477A0"/>
    <w:pPr>
      <w:spacing w:after="100" w:line="276" w:lineRule="auto"/>
      <w:ind w:left="1320"/>
    </w:pPr>
    <w:rPr>
      <w:rFonts w:ascii="Calibri" w:eastAsia="MS Mincho" w:hAnsi="Calibri"/>
      <w:szCs w:val="22"/>
      <w:lang w:val="en-AU" w:eastAsia="en-AU"/>
    </w:rPr>
  </w:style>
  <w:style w:type="paragraph" w:styleId="TOC8">
    <w:name w:val="toc 8"/>
    <w:basedOn w:val="Normal"/>
    <w:next w:val="Normal"/>
    <w:autoRedefine/>
    <w:uiPriority w:val="39"/>
    <w:unhideWhenUsed/>
    <w:locked/>
    <w:rsid w:val="006477A0"/>
    <w:pPr>
      <w:spacing w:after="100" w:line="276" w:lineRule="auto"/>
      <w:ind w:left="1540"/>
    </w:pPr>
    <w:rPr>
      <w:rFonts w:ascii="Calibri" w:eastAsia="MS Mincho" w:hAnsi="Calibri"/>
      <w:szCs w:val="22"/>
      <w:lang w:val="en-AU" w:eastAsia="en-AU"/>
    </w:rPr>
  </w:style>
  <w:style w:type="paragraph" w:styleId="TOC9">
    <w:name w:val="toc 9"/>
    <w:basedOn w:val="Normal"/>
    <w:next w:val="Normal"/>
    <w:autoRedefine/>
    <w:uiPriority w:val="39"/>
    <w:unhideWhenUsed/>
    <w:locked/>
    <w:rsid w:val="006477A0"/>
    <w:pPr>
      <w:spacing w:after="100" w:line="276" w:lineRule="auto"/>
      <w:ind w:left="1760"/>
    </w:pPr>
    <w:rPr>
      <w:rFonts w:ascii="Calibri" w:eastAsia="MS Mincho" w:hAnsi="Calibri"/>
      <w:szCs w:val="22"/>
      <w:lang w:val="en-AU" w:eastAsia="en-AU"/>
    </w:rPr>
  </w:style>
  <w:style w:type="character" w:styleId="Strong">
    <w:name w:val="Strong"/>
    <w:uiPriority w:val="22"/>
    <w:qFormat/>
    <w:locked/>
    <w:rsid w:val="00FC0BC1"/>
    <w:rPr>
      <w:b/>
      <w:bCs/>
    </w:rPr>
  </w:style>
  <w:style w:type="paragraph" w:styleId="BodyText">
    <w:name w:val="Body Text"/>
    <w:basedOn w:val="Normal"/>
    <w:link w:val="BodyTextChar"/>
    <w:uiPriority w:val="99"/>
    <w:unhideWhenUsed/>
    <w:locked/>
    <w:rsid w:val="009F7536"/>
    <w:pPr>
      <w:spacing w:after="120"/>
    </w:pPr>
    <w:rPr>
      <w:szCs w:val="20"/>
    </w:rPr>
  </w:style>
  <w:style w:type="character" w:customStyle="1" w:styleId="BodyTextChar">
    <w:name w:val="Body Text Char"/>
    <w:link w:val="BodyText"/>
    <w:uiPriority w:val="99"/>
    <w:rsid w:val="009F7536"/>
    <w:rPr>
      <w:rFonts w:ascii="Times New Roman" w:hAnsi="Times New Roman"/>
      <w:sz w:val="22"/>
      <w:lang w:val="en-GB" w:eastAsia="en-US"/>
    </w:rPr>
  </w:style>
  <w:style w:type="character" w:styleId="FollowedHyperlink">
    <w:name w:val="FollowedHyperlink"/>
    <w:uiPriority w:val="99"/>
    <w:semiHidden/>
    <w:unhideWhenUsed/>
    <w:locked/>
    <w:rsid w:val="00DD695A"/>
    <w:rPr>
      <w:color w:val="800080"/>
      <w:u w:val="single"/>
    </w:rPr>
  </w:style>
  <w:style w:type="paragraph" w:customStyle="1" w:styleId="Heading2a">
    <w:name w:val="Heading 2a"/>
    <w:basedOn w:val="Heading2"/>
    <w:next w:val="BodyText"/>
    <w:uiPriority w:val="99"/>
    <w:qFormat/>
    <w:rsid w:val="006A781F"/>
    <w:pPr>
      <w:numPr>
        <w:ilvl w:val="0"/>
        <w:numId w:val="0"/>
      </w:numPr>
    </w:pPr>
  </w:style>
  <w:style w:type="paragraph" w:customStyle="1" w:styleId="Heading3a">
    <w:name w:val="Heading 3a"/>
    <w:basedOn w:val="Heading3"/>
    <w:next w:val="BodyText"/>
    <w:qFormat/>
    <w:rsid w:val="006A781F"/>
    <w:pPr>
      <w:ind w:firstLine="0"/>
    </w:pPr>
  </w:style>
  <w:style w:type="paragraph" w:styleId="Title">
    <w:name w:val="Title"/>
    <w:basedOn w:val="Normal"/>
    <w:next w:val="Normal"/>
    <w:link w:val="TitleChar"/>
    <w:qFormat/>
    <w:locked/>
    <w:rsid w:val="00091A4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091A4A"/>
    <w:rPr>
      <w:rFonts w:eastAsia="Times New Roman"/>
      <w:color w:val="17365D"/>
      <w:spacing w:val="5"/>
      <w:kern w:val="28"/>
      <w:sz w:val="52"/>
      <w:szCs w:val="52"/>
      <w:lang w:val="en-GB" w:eastAsia="en-US"/>
    </w:rPr>
  </w:style>
  <w:style w:type="paragraph" w:customStyle="1" w:styleId="Epigraph">
    <w:name w:val="Epigraph"/>
    <w:basedOn w:val="Normal"/>
    <w:next w:val="Normal"/>
    <w:qFormat/>
    <w:locked/>
    <w:rsid w:val="00091A4A"/>
    <w:rPr>
      <w:i/>
    </w:rPr>
  </w:style>
  <w:style w:type="paragraph" w:customStyle="1" w:styleId="Oddheaderauthorname">
    <w:name w:val="Odd header (author name)"/>
    <w:basedOn w:val="Header"/>
    <w:qFormat/>
    <w:locked/>
    <w:rsid w:val="00091A4A"/>
    <w:pPr>
      <w:jc w:val="right"/>
    </w:pPr>
  </w:style>
  <w:style w:type="paragraph" w:customStyle="1" w:styleId="Tabletext">
    <w:name w:val="Table text"/>
    <w:locked/>
    <w:rsid w:val="00091A4A"/>
    <w:pPr>
      <w:spacing w:before="60" w:after="60" w:line="240" w:lineRule="exact"/>
    </w:pPr>
    <w:rPr>
      <w:rFonts w:ascii="Arial" w:eastAsia="Calibri" w:hAnsi="Arial"/>
      <w:sz w:val="24"/>
      <w:szCs w:val="22"/>
      <w:lang w:val="en-GB" w:eastAsia="en-US"/>
    </w:rPr>
  </w:style>
  <w:style w:type="paragraph" w:customStyle="1" w:styleId="Boxtext">
    <w:name w:val="Box text"/>
    <w:basedOn w:val="Normal"/>
    <w:next w:val="Normal"/>
    <w:qFormat/>
    <w:locked/>
    <w:rsid w:val="00091A4A"/>
    <w:pPr>
      <w:shd w:val="pct10" w:color="auto" w:fill="auto"/>
    </w:pPr>
    <w:rPr>
      <w:sz w:val="20"/>
    </w:rPr>
  </w:style>
  <w:style w:type="paragraph" w:styleId="ListNumber">
    <w:name w:val="List Number"/>
    <w:basedOn w:val="Normal"/>
    <w:qFormat/>
    <w:locked/>
    <w:rsid w:val="00B4242A"/>
    <w:pPr>
      <w:numPr>
        <w:numId w:val="12"/>
      </w:numPr>
    </w:pPr>
  </w:style>
  <w:style w:type="paragraph" w:customStyle="1" w:styleId="LetteredList">
    <w:name w:val="Lettered List"/>
    <w:basedOn w:val="Bullet"/>
    <w:qFormat/>
    <w:rsid w:val="009A7020"/>
    <w:pPr>
      <w:numPr>
        <w:numId w:val="0"/>
      </w:numPr>
      <w:ind w:left="680" w:hanging="396"/>
    </w:pPr>
  </w:style>
  <w:style w:type="paragraph" w:customStyle="1" w:styleId="Bulletintro">
    <w:name w:val="Bullet intro"/>
    <w:basedOn w:val="Normal"/>
    <w:qFormat/>
    <w:rsid w:val="00E4257E"/>
    <w:pPr>
      <w:keepNext/>
      <w:spacing w:after="100"/>
    </w:pPr>
  </w:style>
  <w:style w:type="paragraph" w:styleId="BodyTextIndent">
    <w:name w:val="Body Text Indent"/>
    <w:basedOn w:val="Normal"/>
    <w:link w:val="BodyTextIndentChar"/>
    <w:uiPriority w:val="99"/>
    <w:semiHidden/>
    <w:unhideWhenUsed/>
    <w:locked/>
    <w:rsid w:val="0000019F"/>
    <w:pPr>
      <w:spacing w:after="120"/>
      <w:ind w:left="283"/>
    </w:pPr>
    <w:rPr>
      <w:szCs w:val="20"/>
    </w:rPr>
  </w:style>
  <w:style w:type="character" w:customStyle="1" w:styleId="BodyTextIndentChar">
    <w:name w:val="Body Text Indent Char"/>
    <w:link w:val="BodyTextIndent"/>
    <w:uiPriority w:val="99"/>
    <w:semiHidden/>
    <w:rsid w:val="0000019F"/>
    <w:rPr>
      <w:rFonts w:ascii="Times New Roman" w:hAnsi="Times New Roman"/>
      <w:sz w:val="22"/>
      <w:lang w:val="en-GB" w:eastAsia="en-US"/>
    </w:rPr>
  </w:style>
  <w:style w:type="paragraph" w:customStyle="1" w:styleId="Default">
    <w:name w:val="Default"/>
    <w:rsid w:val="00D04C76"/>
    <w:pPr>
      <w:autoSpaceDE w:val="0"/>
      <w:autoSpaceDN w:val="0"/>
      <w:adjustRightInd w:val="0"/>
    </w:pPr>
    <w:rPr>
      <w:rFonts w:ascii="Times New Roman" w:hAnsi="Times New Roman"/>
      <w:color w:val="000000"/>
      <w:sz w:val="24"/>
      <w:szCs w:val="24"/>
    </w:rPr>
  </w:style>
  <w:style w:type="paragraph" w:styleId="ListBullet">
    <w:name w:val="List Bullet"/>
    <w:basedOn w:val="Normal"/>
    <w:uiPriority w:val="99"/>
    <w:semiHidden/>
    <w:unhideWhenUsed/>
    <w:locked/>
    <w:rsid w:val="009948AA"/>
    <w:pPr>
      <w:numPr>
        <w:numId w:val="10"/>
      </w:numPr>
      <w:contextualSpacing/>
    </w:pPr>
  </w:style>
  <w:style w:type="character" w:customStyle="1" w:styleId="apple-converted-space">
    <w:name w:val="apple-converted-space"/>
    <w:basedOn w:val="DefaultParagraphFont"/>
    <w:rsid w:val="004F59FC"/>
  </w:style>
  <w:style w:type="paragraph" w:customStyle="1" w:styleId="EndNoteBibliographyTitle">
    <w:name w:val="EndNote Bibliography Title"/>
    <w:basedOn w:val="Normal"/>
    <w:link w:val="EndNoteBibliographyTitleChar"/>
    <w:rsid w:val="00874278"/>
    <w:pPr>
      <w:spacing w:after="0"/>
      <w:jc w:val="center"/>
    </w:pPr>
    <w:rPr>
      <w:noProof/>
      <w:szCs w:val="20"/>
      <w:lang w:val="en-US"/>
    </w:rPr>
  </w:style>
  <w:style w:type="character" w:customStyle="1" w:styleId="EndNoteBibliographyTitleChar">
    <w:name w:val="EndNote Bibliography Title Char"/>
    <w:link w:val="EndNoteBibliographyTitle"/>
    <w:rsid w:val="00874278"/>
    <w:rPr>
      <w:rFonts w:ascii="Times New Roman" w:hAnsi="Times New Roman"/>
      <w:noProof/>
      <w:sz w:val="22"/>
      <w:lang w:val="en-US" w:eastAsia="en-US"/>
    </w:rPr>
  </w:style>
  <w:style w:type="paragraph" w:customStyle="1" w:styleId="EndNoteBibliography">
    <w:name w:val="EndNote Bibliography"/>
    <w:basedOn w:val="Normal"/>
    <w:link w:val="EndNoteBibliographyChar"/>
    <w:rsid w:val="00874278"/>
    <w:pPr>
      <w:spacing w:line="240" w:lineRule="atLeast"/>
    </w:pPr>
    <w:rPr>
      <w:noProof/>
      <w:szCs w:val="20"/>
      <w:lang w:val="en-US"/>
    </w:rPr>
  </w:style>
  <w:style w:type="character" w:customStyle="1" w:styleId="EndNoteBibliographyChar">
    <w:name w:val="EndNote Bibliography Char"/>
    <w:link w:val="EndNoteBibliography"/>
    <w:rsid w:val="00874278"/>
    <w:rPr>
      <w:rFonts w:ascii="Times New Roman" w:hAnsi="Times New Roman"/>
      <w:noProof/>
      <w:sz w:val="22"/>
      <w:lang w:val="en-US" w:eastAsia="en-US"/>
    </w:rPr>
  </w:style>
  <w:style w:type="paragraph" w:customStyle="1" w:styleId="FigureName0">
    <w:name w:val="FigureName"/>
    <w:basedOn w:val="TableName0"/>
    <w:next w:val="Normal"/>
    <w:uiPriority w:val="99"/>
    <w:rsid w:val="00040925"/>
  </w:style>
  <w:style w:type="paragraph" w:customStyle="1" w:styleId="TableName0">
    <w:name w:val="TableName"/>
    <w:basedOn w:val="TableText0"/>
    <w:link w:val="TableNameChar0"/>
    <w:uiPriority w:val="99"/>
    <w:rsid w:val="00040925"/>
    <w:pPr>
      <w:spacing w:before="120" w:after="120"/>
      <w:ind w:left="1080" w:hanging="1080"/>
    </w:pPr>
    <w:rPr>
      <w:b/>
      <w:sz w:val="20"/>
    </w:rPr>
  </w:style>
  <w:style w:type="paragraph" w:customStyle="1" w:styleId="TableText0">
    <w:name w:val="TableText"/>
    <w:link w:val="TableTextChar2"/>
    <w:uiPriority w:val="99"/>
    <w:rsid w:val="00040925"/>
    <w:pPr>
      <w:keepNext/>
      <w:spacing w:before="40" w:after="40"/>
    </w:pPr>
    <w:rPr>
      <w:rFonts w:ascii="Arial Narrow" w:hAnsi="Arial Narrow"/>
      <w:sz w:val="18"/>
      <w:lang w:val="en-GB" w:eastAsia="en-US"/>
    </w:rPr>
  </w:style>
  <w:style w:type="character" w:customStyle="1" w:styleId="TableNameChar0">
    <w:name w:val="TableName Char"/>
    <w:link w:val="TableName0"/>
    <w:uiPriority w:val="99"/>
    <w:locked/>
    <w:rsid w:val="00040925"/>
    <w:rPr>
      <w:rFonts w:ascii="Arial Narrow" w:hAnsi="Arial Narrow"/>
      <w:b/>
      <w:lang w:val="en-GB" w:eastAsia="en-US"/>
    </w:rPr>
  </w:style>
  <w:style w:type="character" w:customStyle="1" w:styleId="BulletCharChar">
    <w:name w:val="Bullet Char Char"/>
    <w:uiPriority w:val="99"/>
    <w:locked/>
    <w:rsid w:val="00040925"/>
    <w:rPr>
      <w:rFonts w:ascii="Times New Roman" w:hAnsi="Times New Roman"/>
      <w:sz w:val="22"/>
      <w:lang w:val="en-GB" w:eastAsia="en-US"/>
    </w:rPr>
  </w:style>
  <w:style w:type="paragraph" w:customStyle="1" w:styleId="Dash">
    <w:name w:val="Dash"/>
    <w:basedOn w:val="Normal"/>
    <w:uiPriority w:val="99"/>
    <w:rsid w:val="00040925"/>
    <w:pPr>
      <w:numPr>
        <w:numId w:val="11"/>
      </w:numPr>
      <w:tabs>
        <w:tab w:val="num" w:pos="720"/>
      </w:tabs>
      <w:spacing w:after="100"/>
      <w:ind w:left="714" w:hanging="357"/>
    </w:pPr>
  </w:style>
  <w:style w:type="paragraph" w:customStyle="1" w:styleId="TableHeading">
    <w:name w:val="TableHeading"/>
    <w:basedOn w:val="TableText0"/>
    <w:uiPriority w:val="99"/>
    <w:rsid w:val="00040925"/>
    <w:rPr>
      <w:b/>
    </w:rPr>
  </w:style>
  <w:style w:type="paragraph" w:customStyle="1" w:styleId="TableNotesLast0">
    <w:name w:val="TableNotesLast"/>
    <w:basedOn w:val="Normal"/>
    <w:uiPriority w:val="99"/>
    <w:rsid w:val="00040925"/>
    <w:pPr>
      <w:keepLines/>
      <w:spacing w:before="60" w:line="240" w:lineRule="auto"/>
    </w:pPr>
    <w:rPr>
      <w:rFonts w:ascii="Arial Narrow" w:hAnsi="Arial Narrow"/>
      <w:sz w:val="16"/>
    </w:rPr>
  </w:style>
  <w:style w:type="paragraph" w:customStyle="1" w:styleId="BulletIntro0">
    <w:name w:val="BulletIntro"/>
    <w:basedOn w:val="Normal"/>
    <w:next w:val="Bullet"/>
    <w:uiPriority w:val="99"/>
    <w:rsid w:val="00040925"/>
    <w:pPr>
      <w:spacing w:after="100"/>
    </w:pPr>
  </w:style>
  <w:style w:type="paragraph" w:customStyle="1" w:styleId="BulletLast0">
    <w:name w:val="BulletLast"/>
    <w:basedOn w:val="Bullet"/>
    <w:next w:val="Normal"/>
    <w:link w:val="BulletLastChar"/>
    <w:rsid w:val="00040925"/>
    <w:pPr>
      <w:tabs>
        <w:tab w:val="num" w:pos="360"/>
      </w:tabs>
      <w:spacing w:after="220"/>
      <w:ind w:left="360"/>
    </w:pPr>
  </w:style>
  <w:style w:type="character" w:customStyle="1" w:styleId="BulletLastChar">
    <w:name w:val="BulletLast Char"/>
    <w:link w:val="BulletLast0"/>
    <w:locked/>
    <w:rsid w:val="00040925"/>
    <w:rPr>
      <w:rFonts w:ascii="Times New Roman" w:hAnsi="Times New Roman"/>
      <w:sz w:val="22"/>
      <w:lang w:val="en-GB"/>
    </w:rPr>
  </w:style>
  <w:style w:type="character" w:customStyle="1" w:styleId="TableTextChar2">
    <w:name w:val="TableText Char2"/>
    <w:link w:val="TableText0"/>
    <w:uiPriority w:val="99"/>
    <w:locked/>
    <w:rsid w:val="00040925"/>
    <w:rPr>
      <w:rFonts w:ascii="Arial Narrow" w:hAnsi="Arial Narrow"/>
      <w:sz w:val="18"/>
      <w:lang w:val="en-GB" w:eastAsia="en-US" w:bidi="ar-SA"/>
    </w:rPr>
  </w:style>
  <w:style w:type="paragraph" w:customStyle="1" w:styleId="FigureNotes">
    <w:name w:val="FigureNotes"/>
    <w:basedOn w:val="Normal"/>
    <w:uiPriority w:val="99"/>
    <w:rsid w:val="00040925"/>
    <w:rPr>
      <w:rFonts w:ascii="Arial Narrow" w:eastAsia="Times New Roman" w:hAnsi="Arial Narrow"/>
      <w:sz w:val="16"/>
      <w:lang w:val="en-AU"/>
    </w:rPr>
  </w:style>
  <w:style w:type="paragraph" w:customStyle="1" w:styleId="Note">
    <w:name w:val="Note"/>
    <w:basedOn w:val="Normal"/>
    <w:next w:val="Normal"/>
    <w:link w:val="NoteChar"/>
    <w:qFormat/>
    <w:rsid w:val="00F40C9E"/>
    <w:pPr>
      <w:spacing w:before="200" w:after="120" w:line="276" w:lineRule="auto"/>
    </w:pPr>
    <w:rPr>
      <w:rFonts w:ascii="Arial" w:eastAsia="Calibri" w:hAnsi="Arial"/>
      <w:i/>
      <w:sz w:val="16"/>
      <w:szCs w:val="16"/>
    </w:rPr>
  </w:style>
  <w:style w:type="character" w:customStyle="1" w:styleId="NoteChar">
    <w:name w:val="Note Char"/>
    <w:link w:val="Note"/>
    <w:rsid w:val="00F40C9E"/>
    <w:rPr>
      <w:rFonts w:ascii="Arial" w:eastAsia="Calibri" w:hAnsi="Arial" w:cs="Times New Roman"/>
      <w:i/>
      <w:sz w:val="16"/>
      <w:szCs w:val="16"/>
      <w:lang w:eastAsia="en-US"/>
    </w:rPr>
  </w:style>
  <w:style w:type="paragraph" w:customStyle="1" w:styleId="Bulletpoint">
    <w:name w:val="Bullet point"/>
    <w:basedOn w:val="ListBullet"/>
    <w:qFormat/>
    <w:rsid w:val="00F40C9E"/>
    <w:pPr>
      <w:numPr>
        <w:numId w:val="13"/>
      </w:numPr>
      <w:tabs>
        <w:tab w:val="left" w:pos="340"/>
      </w:tabs>
      <w:spacing w:before="120" w:after="0" w:line="276" w:lineRule="auto"/>
      <w:ind w:left="357" w:hanging="357"/>
      <w:contextualSpacing w:val="0"/>
    </w:pPr>
    <w:rPr>
      <w:rFonts w:ascii="Arial" w:eastAsia="Calibri" w:hAnsi="Arial"/>
      <w:szCs w:val="22"/>
      <w:lang w:val="en-AU"/>
    </w:rPr>
  </w:style>
  <w:style w:type="paragraph" w:customStyle="1" w:styleId="Text">
    <w:name w:val="Text"/>
    <w:basedOn w:val="Normal"/>
    <w:rsid w:val="00CD529E"/>
    <w:pPr>
      <w:overflowPunct w:val="0"/>
      <w:autoSpaceDE w:val="0"/>
      <w:autoSpaceDN w:val="0"/>
      <w:adjustRightInd w:val="0"/>
      <w:spacing w:after="140" w:line="360" w:lineRule="exact"/>
      <w:jc w:val="both"/>
      <w:textAlignment w:val="baseline"/>
    </w:pPr>
    <w:rPr>
      <w:rFonts w:eastAsia="Times New Roman"/>
      <w:sz w:val="24"/>
    </w:rPr>
  </w:style>
  <w:style w:type="character" w:customStyle="1" w:styleId="AERtextitalic">
    <w:name w:val="AER text italic"/>
    <w:qFormat/>
    <w:rsid w:val="003119B2"/>
    <w:rPr>
      <w:i/>
    </w:rPr>
  </w:style>
  <w:style w:type="paragraph" w:customStyle="1" w:styleId="AERbodytextindent2">
    <w:name w:val="AER body text (indent 2)"/>
    <w:basedOn w:val="Normal"/>
    <w:qFormat/>
    <w:rsid w:val="003119B2"/>
    <w:pPr>
      <w:spacing w:after="240" w:line="288" w:lineRule="auto"/>
      <w:ind w:left="709"/>
      <w:jc w:val="both"/>
    </w:pPr>
    <w:rPr>
      <w:rFonts w:ascii="Gautami" w:eastAsia="Times New Roman" w:hAnsi="Gautami"/>
      <w:sz w:val="20"/>
      <w:lang w:val="en-AU"/>
    </w:rPr>
  </w:style>
  <w:style w:type="paragraph" w:styleId="Revision">
    <w:name w:val="Revision"/>
    <w:hidden/>
    <w:uiPriority w:val="71"/>
    <w:locked/>
    <w:rsid w:val="00CD0DBE"/>
    <w:rPr>
      <w:rFonts w:ascii="Times New Roman" w:hAnsi="Times New Roman"/>
      <w:sz w:val="22"/>
      <w:szCs w:val="24"/>
      <w:lang w:val="en-GB" w:eastAsia="en-US"/>
    </w:rPr>
  </w:style>
  <w:style w:type="paragraph" w:styleId="Quote">
    <w:name w:val="Quote"/>
    <w:basedOn w:val="Normal"/>
    <w:link w:val="QuoteChar"/>
    <w:uiPriority w:val="99"/>
    <w:qFormat/>
    <w:locked/>
    <w:rsid w:val="0051506C"/>
    <w:pPr>
      <w:spacing w:line="240" w:lineRule="atLeast"/>
      <w:ind w:left="360" w:right="360"/>
    </w:pPr>
    <w:rPr>
      <w:sz w:val="20"/>
      <w:szCs w:val="20"/>
      <w:lang w:val="en-AU" w:eastAsia="en-AU"/>
    </w:rPr>
  </w:style>
  <w:style w:type="character" w:customStyle="1" w:styleId="QuoteChar">
    <w:name w:val="Quote Char"/>
    <w:basedOn w:val="DefaultParagraphFont"/>
    <w:link w:val="Quote"/>
    <w:uiPriority w:val="99"/>
    <w:rsid w:val="0051506C"/>
    <w:rPr>
      <w:rFonts w:ascii="Times New Roman" w:hAnsi="Times New Roman"/>
    </w:rPr>
  </w:style>
  <w:style w:type="paragraph" w:customStyle="1" w:styleId="Questiontext">
    <w:name w:val="Question text"/>
    <w:basedOn w:val="Normal"/>
    <w:qFormat/>
    <w:rsid w:val="008C50A3"/>
    <w:pPr>
      <w:spacing w:before="120" w:after="120"/>
      <w:ind w:left="170" w:right="170"/>
    </w:pPr>
    <w:rPr>
      <w:rFonts w:eastAsia="SimSun"/>
    </w:rPr>
  </w:style>
  <w:style w:type="paragraph" w:styleId="ListParagraph">
    <w:name w:val="List Paragraph"/>
    <w:basedOn w:val="Normal"/>
    <w:uiPriority w:val="72"/>
    <w:qFormat/>
    <w:locked/>
    <w:rsid w:val="00663504"/>
    <w:pPr>
      <w:ind w:left="720"/>
      <w:contextualSpacing/>
    </w:pPr>
  </w:style>
  <w:style w:type="paragraph" w:customStyle="1" w:styleId="Heading4a">
    <w:name w:val="Heading 4a"/>
    <w:basedOn w:val="Heading4"/>
    <w:qFormat/>
    <w:rsid w:val="00EE6B17"/>
    <w:rPr>
      <w:b w:val="0"/>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00683">
      <w:bodyDiv w:val="1"/>
      <w:marLeft w:val="0"/>
      <w:marRight w:val="0"/>
      <w:marTop w:val="0"/>
      <w:marBottom w:val="0"/>
      <w:divBdr>
        <w:top w:val="none" w:sz="0" w:space="0" w:color="auto"/>
        <w:left w:val="none" w:sz="0" w:space="0" w:color="auto"/>
        <w:bottom w:val="none" w:sz="0" w:space="0" w:color="auto"/>
        <w:right w:val="none" w:sz="0" w:space="0" w:color="auto"/>
      </w:divBdr>
    </w:div>
    <w:div w:id="36200897">
      <w:bodyDiv w:val="1"/>
      <w:marLeft w:val="0"/>
      <w:marRight w:val="0"/>
      <w:marTop w:val="0"/>
      <w:marBottom w:val="0"/>
      <w:divBdr>
        <w:top w:val="none" w:sz="0" w:space="0" w:color="auto"/>
        <w:left w:val="none" w:sz="0" w:space="0" w:color="auto"/>
        <w:bottom w:val="none" w:sz="0" w:space="0" w:color="auto"/>
        <w:right w:val="none" w:sz="0" w:space="0" w:color="auto"/>
      </w:divBdr>
    </w:div>
    <w:div w:id="56056138">
      <w:bodyDiv w:val="1"/>
      <w:marLeft w:val="0"/>
      <w:marRight w:val="0"/>
      <w:marTop w:val="0"/>
      <w:marBottom w:val="0"/>
      <w:divBdr>
        <w:top w:val="none" w:sz="0" w:space="0" w:color="auto"/>
        <w:left w:val="none" w:sz="0" w:space="0" w:color="auto"/>
        <w:bottom w:val="none" w:sz="0" w:space="0" w:color="auto"/>
        <w:right w:val="none" w:sz="0" w:space="0" w:color="auto"/>
      </w:divBdr>
    </w:div>
    <w:div w:id="76680751">
      <w:bodyDiv w:val="1"/>
      <w:marLeft w:val="0"/>
      <w:marRight w:val="0"/>
      <w:marTop w:val="0"/>
      <w:marBottom w:val="0"/>
      <w:divBdr>
        <w:top w:val="none" w:sz="0" w:space="0" w:color="auto"/>
        <w:left w:val="none" w:sz="0" w:space="0" w:color="auto"/>
        <w:bottom w:val="none" w:sz="0" w:space="0" w:color="auto"/>
        <w:right w:val="none" w:sz="0" w:space="0" w:color="auto"/>
      </w:divBdr>
    </w:div>
    <w:div w:id="106627916">
      <w:bodyDiv w:val="1"/>
      <w:marLeft w:val="0"/>
      <w:marRight w:val="0"/>
      <w:marTop w:val="0"/>
      <w:marBottom w:val="0"/>
      <w:divBdr>
        <w:top w:val="none" w:sz="0" w:space="0" w:color="auto"/>
        <w:left w:val="none" w:sz="0" w:space="0" w:color="auto"/>
        <w:bottom w:val="none" w:sz="0" w:space="0" w:color="auto"/>
        <w:right w:val="none" w:sz="0" w:space="0" w:color="auto"/>
      </w:divBdr>
    </w:div>
    <w:div w:id="108202664">
      <w:bodyDiv w:val="1"/>
      <w:marLeft w:val="0"/>
      <w:marRight w:val="0"/>
      <w:marTop w:val="0"/>
      <w:marBottom w:val="0"/>
      <w:divBdr>
        <w:top w:val="none" w:sz="0" w:space="0" w:color="auto"/>
        <w:left w:val="none" w:sz="0" w:space="0" w:color="auto"/>
        <w:bottom w:val="none" w:sz="0" w:space="0" w:color="auto"/>
        <w:right w:val="none" w:sz="0" w:space="0" w:color="auto"/>
      </w:divBdr>
    </w:div>
    <w:div w:id="108936832">
      <w:bodyDiv w:val="1"/>
      <w:marLeft w:val="0"/>
      <w:marRight w:val="0"/>
      <w:marTop w:val="0"/>
      <w:marBottom w:val="0"/>
      <w:divBdr>
        <w:top w:val="none" w:sz="0" w:space="0" w:color="auto"/>
        <w:left w:val="none" w:sz="0" w:space="0" w:color="auto"/>
        <w:bottom w:val="none" w:sz="0" w:space="0" w:color="auto"/>
        <w:right w:val="none" w:sz="0" w:space="0" w:color="auto"/>
      </w:divBdr>
    </w:div>
    <w:div w:id="122038974">
      <w:bodyDiv w:val="1"/>
      <w:marLeft w:val="0"/>
      <w:marRight w:val="0"/>
      <w:marTop w:val="0"/>
      <w:marBottom w:val="0"/>
      <w:divBdr>
        <w:top w:val="none" w:sz="0" w:space="0" w:color="auto"/>
        <w:left w:val="none" w:sz="0" w:space="0" w:color="auto"/>
        <w:bottom w:val="none" w:sz="0" w:space="0" w:color="auto"/>
        <w:right w:val="none" w:sz="0" w:space="0" w:color="auto"/>
      </w:divBdr>
    </w:div>
    <w:div w:id="140385871">
      <w:bodyDiv w:val="1"/>
      <w:marLeft w:val="0"/>
      <w:marRight w:val="0"/>
      <w:marTop w:val="0"/>
      <w:marBottom w:val="0"/>
      <w:divBdr>
        <w:top w:val="none" w:sz="0" w:space="0" w:color="auto"/>
        <w:left w:val="none" w:sz="0" w:space="0" w:color="auto"/>
        <w:bottom w:val="none" w:sz="0" w:space="0" w:color="auto"/>
        <w:right w:val="none" w:sz="0" w:space="0" w:color="auto"/>
      </w:divBdr>
    </w:div>
    <w:div w:id="161244282">
      <w:bodyDiv w:val="1"/>
      <w:marLeft w:val="0"/>
      <w:marRight w:val="0"/>
      <w:marTop w:val="0"/>
      <w:marBottom w:val="0"/>
      <w:divBdr>
        <w:top w:val="none" w:sz="0" w:space="0" w:color="auto"/>
        <w:left w:val="none" w:sz="0" w:space="0" w:color="auto"/>
        <w:bottom w:val="none" w:sz="0" w:space="0" w:color="auto"/>
        <w:right w:val="none" w:sz="0" w:space="0" w:color="auto"/>
      </w:divBdr>
    </w:div>
    <w:div w:id="162740996">
      <w:bodyDiv w:val="1"/>
      <w:marLeft w:val="0"/>
      <w:marRight w:val="0"/>
      <w:marTop w:val="0"/>
      <w:marBottom w:val="0"/>
      <w:divBdr>
        <w:top w:val="none" w:sz="0" w:space="0" w:color="auto"/>
        <w:left w:val="none" w:sz="0" w:space="0" w:color="auto"/>
        <w:bottom w:val="none" w:sz="0" w:space="0" w:color="auto"/>
        <w:right w:val="none" w:sz="0" w:space="0" w:color="auto"/>
      </w:divBdr>
    </w:div>
    <w:div w:id="188759178">
      <w:bodyDiv w:val="1"/>
      <w:marLeft w:val="0"/>
      <w:marRight w:val="0"/>
      <w:marTop w:val="0"/>
      <w:marBottom w:val="0"/>
      <w:divBdr>
        <w:top w:val="none" w:sz="0" w:space="0" w:color="auto"/>
        <w:left w:val="none" w:sz="0" w:space="0" w:color="auto"/>
        <w:bottom w:val="none" w:sz="0" w:space="0" w:color="auto"/>
        <w:right w:val="none" w:sz="0" w:space="0" w:color="auto"/>
      </w:divBdr>
    </w:div>
    <w:div w:id="206987498">
      <w:bodyDiv w:val="1"/>
      <w:marLeft w:val="0"/>
      <w:marRight w:val="0"/>
      <w:marTop w:val="0"/>
      <w:marBottom w:val="0"/>
      <w:divBdr>
        <w:top w:val="none" w:sz="0" w:space="0" w:color="auto"/>
        <w:left w:val="none" w:sz="0" w:space="0" w:color="auto"/>
        <w:bottom w:val="none" w:sz="0" w:space="0" w:color="auto"/>
        <w:right w:val="none" w:sz="0" w:space="0" w:color="auto"/>
      </w:divBdr>
    </w:div>
    <w:div w:id="232813655">
      <w:bodyDiv w:val="1"/>
      <w:marLeft w:val="0"/>
      <w:marRight w:val="0"/>
      <w:marTop w:val="0"/>
      <w:marBottom w:val="0"/>
      <w:divBdr>
        <w:top w:val="none" w:sz="0" w:space="0" w:color="auto"/>
        <w:left w:val="none" w:sz="0" w:space="0" w:color="auto"/>
        <w:bottom w:val="none" w:sz="0" w:space="0" w:color="auto"/>
        <w:right w:val="none" w:sz="0" w:space="0" w:color="auto"/>
      </w:divBdr>
    </w:div>
    <w:div w:id="240018996">
      <w:bodyDiv w:val="1"/>
      <w:marLeft w:val="0"/>
      <w:marRight w:val="0"/>
      <w:marTop w:val="0"/>
      <w:marBottom w:val="0"/>
      <w:divBdr>
        <w:top w:val="none" w:sz="0" w:space="0" w:color="auto"/>
        <w:left w:val="none" w:sz="0" w:space="0" w:color="auto"/>
        <w:bottom w:val="none" w:sz="0" w:space="0" w:color="auto"/>
        <w:right w:val="none" w:sz="0" w:space="0" w:color="auto"/>
      </w:divBdr>
    </w:div>
    <w:div w:id="268128040">
      <w:bodyDiv w:val="1"/>
      <w:marLeft w:val="0"/>
      <w:marRight w:val="0"/>
      <w:marTop w:val="0"/>
      <w:marBottom w:val="0"/>
      <w:divBdr>
        <w:top w:val="none" w:sz="0" w:space="0" w:color="auto"/>
        <w:left w:val="none" w:sz="0" w:space="0" w:color="auto"/>
        <w:bottom w:val="none" w:sz="0" w:space="0" w:color="auto"/>
        <w:right w:val="none" w:sz="0" w:space="0" w:color="auto"/>
      </w:divBdr>
    </w:div>
    <w:div w:id="272792016">
      <w:bodyDiv w:val="1"/>
      <w:marLeft w:val="0"/>
      <w:marRight w:val="0"/>
      <w:marTop w:val="0"/>
      <w:marBottom w:val="0"/>
      <w:divBdr>
        <w:top w:val="none" w:sz="0" w:space="0" w:color="auto"/>
        <w:left w:val="none" w:sz="0" w:space="0" w:color="auto"/>
        <w:bottom w:val="none" w:sz="0" w:space="0" w:color="auto"/>
        <w:right w:val="none" w:sz="0" w:space="0" w:color="auto"/>
      </w:divBdr>
    </w:div>
    <w:div w:id="274947626">
      <w:bodyDiv w:val="1"/>
      <w:marLeft w:val="0"/>
      <w:marRight w:val="0"/>
      <w:marTop w:val="0"/>
      <w:marBottom w:val="0"/>
      <w:divBdr>
        <w:top w:val="none" w:sz="0" w:space="0" w:color="auto"/>
        <w:left w:val="none" w:sz="0" w:space="0" w:color="auto"/>
        <w:bottom w:val="none" w:sz="0" w:space="0" w:color="auto"/>
        <w:right w:val="none" w:sz="0" w:space="0" w:color="auto"/>
      </w:divBdr>
    </w:div>
    <w:div w:id="287009554">
      <w:bodyDiv w:val="1"/>
      <w:marLeft w:val="0"/>
      <w:marRight w:val="0"/>
      <w:marTop w:val="0"/>
      <w:marBottom w:val="0"/>
      <w:divBdr>
        <w:top w:val="none" w:sz="0" w:space="0" w:color="auto"/>
        <w:left w:val="none" w:sz="0" w:space="0" w:color="auto"/>
        <w:bottom w:val="none" w:sz="0" w:space="0" w:color="auto"/>
        <w:right w:val="none" w:sz="0" w:space="0" w:color="auto"/>
      </w:divBdr>
    </w:div>
    <w:div w:id="302927545">
      <w:bodyDiv w:val="1"/>
      <w:marLeft w:val="0"/>
      <w:marRight w:val="0"/>
      <w:marTop w:val="0"/>
      <w:marBottom w:val="0"/>
      <w:divBdr>
        <w:top w:val="none" w:sz="0" w:space="0" w:color="auto"/>
        <w:left w:val="none" w:sz="0" w:space="0" w:color="auto"/>
        <w:bottom w:val="none" w:sz="0" w:space="0" w:color="auto"/>
        <w:right w:val="none" w:sz="0" w:space="0" w:color="auto"/>
      </w:divBdr>
      <w:divsChild>
        <w:div w:id="1875147875">
          <w:marLeft w:val="0"/>
          <w:marRight w:val="0"/>
          <w:marTop w:val="0"/>
          <w:marBottom w:val="0"/>
          <w:divBdr>
            <w:top w:val="none" w:sz="0" w:space="0" w:color="auto"/>
            <w:left w:val="none" w:sz="0" w:space="0" w:color="auto"/>
            <w:bottom w:val="none" w:sz="0" w:space="0" w:color="auto"/>
            <w:right w:val="none" w:sz="0" w:space="0" w:color="auto"/>
          </w:divBdr>
          <w:divsChild>
            <w:div w:id="19126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0557">
      <w:bodyDiv w:val="1"/>
      <w:marLeft w:val="0"/>
      <w:marRight w:val="0"/>
      <w:marTop w:val="0"/>
      <w:marBottom w:val="0"/>
      <w:divBdr>
        <w:top w:val="none" w:sz="0" w:space="0" w:color="auto"/>
        <w:left w:val="none" w:sz="0" w:space="0" w:color="auto"/>
        <w:bottom w:val="none" w:sz="0" w:space="0" w:color="auto"/>
        <w:right w:val="none" w:sz="0" w:space="0" w:color="auto"/>
      </w:divBdr>
    </w:div>
    <w:div w:id="321930817">
      <w:bodyDiv w:val="1"/>
      <w:marLeft w:val="0"/>
      <w:marRight w:val="0"/>
      <w:marTop w:val="0"/>
      <w:marBottom w:val="0"/>
      <w:divBdr>
        <w:top w:val="none" w:sz="0" w:space="0" w:color="auto"/>
        <w:left w:val="none" w:sz="0" w:space="0" w:color="auto"/>
        <w:bottom w:val="none" w:sz="0" w:space="0" w:color="auto"/>
        <w:right w:val="none" w:sz="0" w:space="0" w:color="auto"/>
      </w:divBdr>
    </w:div>
    <w:div w:id="323514219">
      <w:bodyDiv w:val="1"/>
      <w:marLeft w:val="0"/>
      <w:marRight w:val="0"/>
      <w:marTop w:val="0"/>
      <w:marBottom w:val="0"/>
      <w:divBdr>
        <w:top w:val="none" w:sz="0" w:space="0" w:color="auto"/>
        <w:left w:val="none" w:sz="0" w:space="0" w:color="auto"/>
        <w:bottom w:val="none" w:sz="0" w:space="0" w:color="auto"/>
        <w:right w:val="none" w:sz="0" w:space="0" w:color="auto"/>
      </w:divBdr>
    </w:div>
    <w:div w:id="330722445">
      <w:bodyDiv w:val="1"/>
      <w:marLeft w:val="0"/>
      <w:marRight w:val="0"/>
      <w:marTop w:val="0"/>
      <w:marBottom w:val="0"/>
      <w:divBdr>
        <w:top w:val="none" w:sz="0" w:space="0" w:color="auto"/>
        <w:left w:val="none" w:sz="0" w:space="0" w:color="auto"/>
        <w:bottom w:val="none" w:sz="0" w:space="0" w:color="auto"/>
        <w:right w:val="none" w:sz="0" w:space="0" w:color="auto"/>
      </w:divBdr>
    </w:div>
    <w:div w:id="331447694">
      <w:bodyDiv w:val="1"/>
      <w:marLeft w:val="0"/>
      <w:marRight w:val="0"/>
      <w:marTop w:val="0"/>
      <w:marBottom w:val="0"/>
      <w:divBdr>
        <w:top w:val="none" w:sz="0" w:space="0" w:color="auto"/>
        <w:left w:val="none" w:sz="0" w:space="0" w:color="auto"/>
        <w:bottom w:val="none" w:sz="0" w:space="0" w:color="auto"/>
        <w:right w:val="none" w:sz="0" w:space="0" w:color="auto"/>
      </w:divBdr>
    </w:div>
    <w:div w:id="333462946">
      <w:bodyDiv w:val="1"/>
      <w:marLeft w:val="0"/>
      <w:marRight w:val="0"/>
      <w:marTop w:val="0"/>
      <w:marBottom w:val="0"/>
      <w:divBdr>
        <w:top w:val="none" w:sz="0" w:space="0" w:color="auto"/>
        <w:left w:val="none" w:sz="0" w:space="0" w:color="auto"/>
        <w:bottom w:val="none" w:sz="0" w:space="0" w:color="auto"/>
        <w:right w:val="none" w:sz="0" w:space="0" w:color="auto"/>
      </w:divBdr>
    </w:div>
    <w:div w:id="337194333">
      <w:bodyDiv w:val="1"/>
      <w:marLeft w:val="0"/>
      <w:marRight w:val="0"/>
      <w:marTop w:val="0"/>
      <w:marBottom w:val="0"/>
      <w:divBdr>
        <w:top w:val="none" w:sz="0" w:space="0" w:color="auto"/>
        <w:left w:val="none" w:sz="0" w:space="0" w:color="auto"/>
        <w:bottom w:val="none" w:sz="0" w:space="0" w:color="auto"/>
        <w:right w:val="none" w:sz="0" w:space="0" w:color="auto"/>
      </w:divBdr>
    </w:div>
    <w:div w:id="337662165">
      <w:bodyDiv w:val="1"/>
      <w:marLeft w:val="0"/>
      <w:marRight w:val="0"/>
      <w:marTop w:val="0"/>
      <w:marBottom w:val="0"/>
      <w:divBdr>
        <w:top w:val="none" w:sz="0" w:space="0" w:color="auto"/>
        <w:left w:val="none" w:sz="0" w:space="0" w:color="auto"/>
        <w:bottom w:val="none" w:sz="0" w:space="0" w:color="auto"/>
        <w:right w:val="none" w:sz="0" w:space="0" w:color="auto"/>
      </w:divBdr>
    </w:div>
    <w:div w:id="339545424">
      <w:bodyDiv w:val="1"/>
      <w:marLeft w:val="0"/>
      <w:marRight w:val="0"/>
      <w:marTop w:val="0"/>
      <w:marBottom w:val="0"/>
      <w:divBdr>
        <w:top w:val="none" w:sz="0" w:space="0" w:color="auto"/>
        <w:left w:val="none" w:sz="0" w:space="0" w:color="auto"/>
        <w:bottom w:val="none" w:sz="0" w:space="0" w:color="auto"/>
        <w:right w:val="none" w:sz="0" w:space="0" w:color="auto"/>
      </w:divBdr>
    </w:div>
    <w:div w:id="350644214">
      <w:bodyDiv w:val="1"/>
      <w:marLeft w:val="0"/>
      <w:marRight w:val="0"/>
      <w:marTop w:val="0"/>
      <w:marBottom w:val="0"/>
      <w:divBdr>
        <w:top w:val="none" w:sz="0" w:space="0" w:color="auto"/>
        <w:left w:val="none" w:sz="0" w:space="0" w:color="auto"/>
        <w:bottom w:val="none" w:sz="0" w:space="0" w:color="auto"/>
        <w:right w:val="none" w:sz="0" w:space="0" w:color="auto"/>
      </w:divBdr>
    </w:div>
    <w:div w:id="352658110">
      <w:bodyDiv w:val="1"/>
      <w:marLeft w:val="0"/>
      <w:marRight w:val="0"/>
      <w:marTop w:val="0"/>
      <w:marBottom w:val="0"/>
      <w:divBdr>
        <w:top w:val="none" w:sz="0" w:space="0" w:color="auto"/>
        <w:left w:val="none" w:sz="0" w:space="0" w:color="auto"/>
        <w:bottom w:val="none" w:sz="0" w:space="0" w:color="auto"/>
        <w:right w:val="none" w:sz="0" w:space="0" w:color="auto"/>
      </w:divBdr>
    </w:div>
    <w:div w:id="362708820">
      <w:bodyDiv w:val="1"/>
      <w:marLeft w:val="0"/>
      <w:marRight w:val="0"/>
      <w:marTop w:val="0"/>
      <w:marBottom w:val="0"/>
      <w:divBdr>
        <w:top w:val="none" w:sz="0" w:space="0" w:color="auto"/>
        <w:left w:val="none" w:sz="0" w:space="0" w:color="auto"/>
        <w:bottom w:val="none" w:sz="0" w:space="0" w:color="auto"/>
        <w:right w:val="none" w:sz="0" w:space="0" w:color="auto"/>
      </w:divBdr>
      <w:divsChild>
        <w:div w:id="946079181">
          <w:marLeft w:val="0"/>
          <w:marRight w:val="0"/>
          <w:marTop w:val="0"/>
          <w:marBottom w:val="0"/>
          <w:divBdr>
            <w:top w:val="none" w:sz="0" w:space="0" w:color="auto"/>
            <w:left w:val="none" w:sz="0" w:space="0" w:color="auto"/>
            <w:bottom w:val="none" w:sz="0" w:space="0" w:color="auto"/>
            <w:right w:val="none" w:sz="0" w:space="0" w:color="auto"/>
          </w:divBdr>
          <w:divsChild>
            <w:div w:id="1527475269">
              <w:marLeft w:val="0"/>
              <w:marRight w:val="0"/>
              <w:marTop w:val="0"/>
              <w:marBottom w:val="0"/>
              <w:divBdr>
                <w:top w:val="none" w:sz="0" w:space="0" w:color="auto"/>
                <w:left w:val="none" w:sz="0" w:space="0" w:color="auto"/>
                <w:bottom w:val="none" w:sz="0" w:space="0" w:color="auto"/>
                <w:right w:val="none" w:sz="0" w:space="0" w:color="auto"/>
              </w:divBdr>
              <w:divsChild>
                <w:div w:id="1272778759">
                  <w:marLeft w:val="0"/>
                  <w:marRight w:val="0"/>
                  <w:marTop w:val="0"/>
                  <w:marBottom w:val="129"/>
                  <w:divBdr>
                    <w:top w:val="none" w:sz="0" w:space="0" w:color="auto"/>
                    <w:left w:val="none" w:sz="0" w:space="0" w:color="auto"/>
                    <w:bottom w:val="none" w:sz="0" w:space="0" w:color="auto"/>
                    <w:right w:val="none" w:sz="0" w:space="0" w:color="auto"/>
                  </w:divBdr>
                  <w:divsChild>
                    <w:div w:id="1636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98367">
      <w:bodyDiv w:val="1"/>
      <w:marLeft w:val="0"/>
      <w:marRight w:val="0"/>
      <w:marTop w:val="0"/>
      <w:marBottom w:val="0"/>
      <w:divBdr>
        <w:top w:val="none" w:sz="0" w:space="0" w:color="auto"/>
        <w:left w:val="none" w:sz="0" w:space="0" w:color="auto"/>
        <w:bottom w:val="none" w:sz="0" w:space="0" w:color="auto"/>
        <w:right w:val="none" w:sz="0" w:space="0" w:color="auto"/>
      </w:divBdr>
    </w:div>
    <w:div w:id="393897015">
      <w:bodyDiv w:val="1"/>
      <w:marLeft w:val="0"/>
      <w:marRight w:val="0"/>
      <w:marTop w:val="0"/>
      <w:marBottom w:val="0"/>
      <w:divBdr>
        <w:top w:val="none" w:sz="0" w:space="0" w:color="auto"/>
        <w:left w:val="none" w:sz="0" w:space="0" w:color="auto"/>
        <w:bottom w:val="none" w:sz="0" w:space="0" w:color="auto"/>
        <w:right w:val="none" w:sz="0" w:space="0" w:color="auto"/>
      </w:divBdr>
    </w:div>
    <w:div w:id="414279107">
      <w:bodyDiv w:val="1"/>
      <w:marLeft w:val="0"/>
      <w:marRight w:val="0"/>
      <w:marTop w:val="0"/>
      <w:marBottom w:val="0"/>
      <w:divBdr>
        <w:top w:val="none" w:sz="0" w:space="0" w:color="auto"/>
        <w:left w:val="none" w:sz="0" w:space="0" w:color="auto"/>
        <w:bottom w:val="none" w:sz="0" w:space="0" w:color="auto"/>
        <w:right w:val="none" w:sz="0" w:space="0" w:color="auto"/>
      </w:divBdr>
      <w:divsChild>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sChild>
                <w:div w:id="1100101900">
                  <w:marLeft w:val="0"/>
                  <w:marRight w:val="0"/>
                  <w:marTop w:val="0"/>
                  <w:marBottom w:val="129"/>
                  <w:divBdr>
                    <w:top w:val="none" w:sz="0" w:space="0" w:color="auto"/>
                    <w:left w:val="none" w:sz="0" w:space="0" w:color="auto"/>
                    <w:bottom w:val="none" w:sz="0" w:space="0" w:color="auto"/>
                    <w:right w:val="none" w:sz="0" w:space="0" w:color="auto"/>
                  </w:divBdr>
                  <w:divsChild>
                    <w:div w:id="9594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70134">
      <w:bodyDiv w:val="1"/>
      <w:marLeft w:val="0"/>
      <w:marRight w:val="0"/>
      <w:marTop w:val="0"/>
      <w:marBottom w:val="0"/>
      <w:divBdr>
        <w:top w:val="none" w:sz="0" w:space="0" w:color="auto"/>
        <w:left w:val="none" w:sz="0" w:space="0" w:color="auto"/>
        <w:bottom w:val="none" w:sz="0" w:space="0" w:color="auto"/>
        <w:right w:val="none" w:sz="0" w:space="0" w:color="auto"/>
      </w:divBdr>
      <w:divsChild>
        <w:div w:id="714811876">
          <w:marLeft w:val="0"/>
          <w:marRight w:val="0"/>
          <w:marTop w:val="0"/>
          <w:marBottom w:val="0"/>
          <w:divBdr>
            <w:top w:val="none" w:sz="0" w:space="0" w:color="auto"/>
            <w:left w:val="none" w:sz="0" w:space="0" w:color="auto"/>
            <w:bottom w:val="none" w:sz="0" w:space="0" w:color="auto"/>
            <w:right w:val="none" w:sz="0" w:space="0" w:color="auto"/>
          </w:divBdr>
          <w:divsChild>
            <w:div w:id="1025641637">
              <w:marLeft w:val="0"/>
              <w:marRight w:val="0"/>
              <w:marTop w:val="0"/>
              <w:marBottom w:val="0"/>
              <w:divBdr>
                <w:top w:val="none" w:sz="0" w:space="0" w:color="auto"/>
                <w:left w:val="none" w:sz="0" w:space="0" w:color="auto"/>
                <w:bottom w:val="none" w:sz="0" w:space="0" w:color="auto"/>
                <w:right w:val="none" w:sz="0" w:space="0" w:color="auto"/>
              </w:divBdr>
              <w:divsChild>
                <w:div w:id="1793014890">
                  <w:marLeft w:val="214"/>
                  <w:marRight w:val="0"/>
                  <w:marTop w:val="1457"/>
                  <w:marBottom w:val="0"/>
                  <w:divBdr>
                    <w:top w:val="none" w:sz="0" w:space="0" w:color="auto"/>
                    <w:left w:val="none" w:sz="0" w:space="0" w:color="auto"/>
                    <w:bottom w:val="none" w:sz="0" w:space="0" w:color="auto"/>
                    <w:right w:val="none" w:sz="0" w:space="0" w:color="auto"/>
                  </w:divBdr>
                </w:div>
              </w:divsChild>
            </w:div>
          </w:divsChild>
        </w:div>
      </w:divsChild>
    </w:div>
    <w:div w:id="418910522">
      <w:bodyDiv w:val="1"/>
      <w:marLeft w:val="0"/>
      <w:marRight w:val="0"/>
      <w:marTop w:val="0"/>
      <w:marBottom w:val="0"/>
      <w:divBdr>
        <w:top w:val="none" w:sz="0" w:space="0" w:color="auto"/>
        <w:left w:val="none" w:sz="0" w:space="0" w:color="auto"/>
        <w:bottom w:val="none" w:sz="0" w:space="0" w:color="auto"/>
        <w:right w:val="none" w:sz="0" w:space="0" w:color="auto"/>
      </w:divBdr>
    </w:div>
    <w:div w:id="429856465">
      <w:bodyDiv w:val="1"/>
      <w:marLeft w:val="0"/>
      <w:marRight w:val="0"/>
      <w:marTop w:val="0"/>
      <w:marBottom w:val="0"/>
      <w:divBdr>
        <w:top w:val="none" w:sz="0" w:space="0" w:color="auto"/>
        <w:left w:val="none" w:sz="0" w:space="0" w:color="auto"/>
        <w:bottom w:val="none" w:sz="0" w:space="0" w:color="auto"/>
        <w:right w:val="none" w:sz="0" w:space="0" w:color="auto"/>
      </w:divBdr>
    </w:div>
    <w:div w:id="438839691">
      <w:bodyDiv w:val="1"/>
      <w:marLeft w:val="0"/>
      <w:marRight w:val="0"/>
      <w:marTop w:val="0"/>
      <w:marBottom w:val="0"/>
      <w:divBdr>
        <w:top w:val="none" w:sz="0" w:space="0" w:color="auto"/>
        <w:left w:val="none" w:sz="0" w:space="0" w:color="auto"/>
        <w:bottom w:val="none" w:sz="0" w:space="0" w:color="auto"/>
        <w:right w:val="none" w:sz="0" w:space="0" w:color="auto"/>
      </w:divBdr>
    </w:div>
    <w:div w:id="445660680">
      <w:bodyDiv w:val="1"/>
      <w:marLeft w:val="0"/>
      <w:marRight w:val="0"/>
      <w:marTop w:val="0"/>
      <w:marBottom w:val="0"/>
      <w:divBdr>
        <w:top w:val="none" w:sz="0" w:space="0" w:color="auto"/>
        <w:left w:val="none" w:sz="0" w:space="0" w:color="auto"/>
        <w:bottom w:val="none" w:sz="0" w:space="0" w:color="auto"/>
        <w:right w:val="none" w:sz="0" w:space="0" w:color="auto"/>
      </w:divBdr>
    </w:div>
    <w:div w:id="464397798">
      <w:bodyDiv w:val="1"/>
      <w:marLeft w:val="0"/>
      <w:marRight w:val="0"/>
      <w:marTop w:val="0"/>
      <w:marBottom w:val="0"/>
      <w:divBdr>
        <w:top w:val="none" w:sz="0" w:space="0" w:color="auto"/>
        <w:left w:val="none" w:sz="0" w:space="0" w:color="auto"/>
        <w:bottom w:val="none" w:sz="0" w:space="0" w:color="auto"/>
        <w:right w:val="none" w:sz="0" w:space="0" w:color="auto"/>
      </w:divBdr>
    </w:div>
    <w:div w:id="465657628">
      <w:bodyDiv w:val="1"/>
      <w:marLeft w:val="0"/>
      <w:marRight w:val="0"/>
      <w:marTop w:val="0"/>
      <w:marBottom w:val="0"/>
      <w:divBdr>
        <w:top w:val="none" w:sz="0" w:space="0" w:color="auto"/>
        <w:left w:val="none" w:sz="0" w:space="0" w:color="auto"/>
        <w:bottom w:val="none" w:sz="0" w:space="0" w:color="auto"/>
        <w:right w:val="none" w:sz="0" w:space="0" w:color="auto"/>
      </w:divBdr>
    </w:div>
    <w:div w:id="472060248">
      <w:bodyDiv w:val="1"/>
      <w:marLeft w:val="0"/>
      <w:marRight w:val="0"/>
      <w:marTop w:val="0"/>
      <w:marBottom w:val="0"/>
      <w:divBdr>
        <w:top w:val="none" w:sz="0" w:space="0" w:color="auto"/>
        <w:left w:val="none" w:sz="0" w:space="0" w:color="auto"/>
        <w:bottom w:val="none" w:sz="0" w:space="0" w:color="auto"/>
        <w:right w:val="none" w:sz="0" w:space="0" w:color="auto"/>
      </w:divBdr>
    </w:div>
    <w:div w:id="472455727">
      <w:bodyDiv w:val="1"/>
      <w:marLeft w:val="0"/>
      <w:marRight w:val="0"/>
      <w:marTop w:val="0"/>
      <w:marBottom w:val="0"/>
      <w:divBdr>
        <w:top w:val="none" w:sz="0" w:space="0" w:color="auto"/>
        <w:left w:val="none" w:sz="0" w:space="0" w:color="auto"/>
        <w:bottom w:val="none" w:sz="0" w:space="0" w:color="auto"/>
        <w:right w:val="none" w:sz="0" w:space="0" w:color="auto"/>
      </w:divBdr>
      <w:divsChild>
        <w:div w:id="2113352405">
          <w:marLeft w:val="0"/>
          <w:marRight w:val="0"/>
          <w:marTop w:val="0"/>
          <w:marBottom w:val="0"/>
          <w:divBdr>
            <w:top w:val="none" w:sz="0" w:space="0" w:color="auto"/>
            <w:left w:val="none" w:sz="0" w:space="0" w:color="auto"/>
            <w:bottom w:val="none" w:sz="0" w:space="0" w:color="auto"/>
            <w:right w:val="none" w:sz="0" w:space="0" w:color="auto"/>
          </w:divBdr>
          <w:divsChild>
            <w:div w:id="2003393609">
              <w:marLeft w:val="0"/>
              <w:marRight w:val="0"/>
              <w:marTop w:val="0"/>
              <w:marBottom w:val="0"/>
              <w:divBdr>
                <w:top w:val="none" w:sz="0" w:space="0" w:color="auto"/>
                <w:left w:val="none" w:sz="0" w:space="0" w:color="auto"/>
                <w:bottom w:val="none" w:sz="0" w:space="0" w:color="auto"/>
                <w:right w:val="none" w:sz="0" w:space="0" w:color="auto"/>
              </w:divBdr>
              <w:divsChild>
                <w:div w:id="1017074213">
                  <w:marLeft w:val="0"/>
                  <w:marRight w:val="0"/>
                  <w:marTop w:val="0"/>
                  <w:marBottom w:val="129"/>
                  <w:divBdr>
                    <w:top w:val="none" w:sz="0" w:space="0" w:color="auto"/>
                    <w:left w:val="none" w:sz="0" w:space="0" w:color="auto"/>
                    <w:bottom w:val="none" w:sz="0" w:space="0" w:color="auto"/>
                    <w:right w:val="none" w:sz="0" w:space="0" w:color="auto"/>
                  </w:divBdr>
                  <w:divsChild>
                    <w:div w:id="3971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7483">
      <w:bodyDiv w:val="1"/>
      <w:marLeft w:val="0"/>
      <w:marRight w:val="0"/>
      <w:marTop w:val="0"/>
      <w:marBottom w:val="0"/>
      <w:divBdr>
        <w:top w:val="none" w:sz="0" w:space="0" w:color="auto"/>
        <w:left w:val="none" w:sz="0" w:space="0" w:color="auto"/>
        <w:bottom w:val="none" w:sz="0" w:space="0" w:color="auto"/>
        <w:right w:val="none" w:sz="0" w:space="0" w:color="auto"/>
      </w:divBdr>
    </w:div>
    <w:div w:id="496766986">
      <w:bodyDiv w:val="1"/>
      <w:marLeft w:val="0"/>
      <w:marRight w:val="0"/>
      <w:marTop w:val="0"/>
      <w:marBottom w:val="0"/>
      <w:divBdr>
        <w:top w:val="none" w:sz="0" w:space="0" w:color="auto"/>
        <w:left w:val="none" w:sz="0" w:space="0" w:color="auto"/>
        <w:bottom w:val="none" w:sz="0" w:space="0" w:color="auto"/>
        <w:right w:val="none" w:sz="0" w:space="0" w:color="auto"/>
      </w:divBdr>
    </w:div>
    <w:div w:id="498426966">
      <w:bodyDiv w:val="1"/>
      <w:marLeft w:val="0"/>
      <w:marRight w:val="0"/>
      <w:marTop w:val="0"/>
      <w:marBottom w:val="0"/>
      <w:divBdr>
        <w:top w:val="none" w:sz="0" w:space="0" w:color="auto"/>
        <w:left w:val="none" w:sz="0" w:space="0" w:color="auto"/>
        <w:bottom w:val="none" w:sz="0" w:space="0" w:color="auto"/>
        <w:right w:val="none" w:sz="0" w:space="0" w:color="auto"/>
      </w:divBdr>
    </w:div>
    <w:div w:id="509415589">
      <w:bodyDiv w:val="1"/>
      <w:marLeft w:val="0"/>
      <w:marRight w:val="0"/>
      <w:marTop w:val="0"/>
      <w:marBottom w:val="0"/>
      <w:divBdr>
        <w:top w:val="none" w:sz="0" w:space="0" w:color="auto"/>
        <w:left w:val="none" w:sz="0" w:space="0" w:color="auto"/>
        <w:bottom w:val="none" w:sz="0" w:space="0" w:color="auto"/>
        <w:right w:val="none" w:sz="0" w:space="0" w:color="auto"/>
      </w:divBdr>
    </w:div>
    <w:div w:id="512492938">
      <w:bodyDiv w:val="1"/>
      <w:marLeft w:val="0"/>
      <w:marRight w:val="0"/>
      <w:marTop w:val="0"/>
      <w:marBottom w:val="0"/>
      <w:divBdr>
        <w:top w:val="none" w:sz="0" w:space="0" w:color="auto"/>
        <w:left w:val="none" w:sz="0" w:space="0" w:color="auto"/>
        <w:bottom w:val="none" w:sz="0" w:space="0" w:color="auto"/>
        <w:right w:val="none" w:sz="0" w:space="0" w:color="auto"/>
      </w:divBdr>
    </w:div>
    <w:div w:id="518391351">
      <w:bodyDiv w:val="1"/>
      <w:marLeft w:val="0"/>
      <w:marRight w:val="0"/>
      <w:marTop w:val="0"/>
      <w:marBottom w:val="0"/>
      <w:divBdr>
        <w:top w:val="none" w:sz="0" w:space="0" w:color="auto"/>
        <w:left w:val="none" w:sz="0" w:space="0" w:color="auto"/>
        <w:bottom w:val="none" w:sz="0" w:space="0" w:color="auto"/>
        <w:right w:val="none" w:sz="0" w:space="0" w:color="auto"/>
      </w:divBdr>
    </w:div>
    <w:div w:id="546189717">
      <w:bodyDiv w:val="1"/>
      <w:marLeft w:val="0"/>
      <w:marRight w:val="0"/>
      <w:marTop w:val="0"/>
      <w:marBottom w:val="0"/>
      <w:divBdr>
        <w:top w:val="none" w:sz="0" w:space="0" w:color="auto"/>
        <w:left w:val="none" w:sz="0" w:space="0" w:color="auto"/>
        <w:bottom w:val="none" w:sz="0" w:space="0" w:color="auto"/>
        <w:right w:val="none" w:sz="0" w:space="0" w:color="auto"/>
      </w:divBdr>
    </w:div>
    <w:div w:id="549924482">
      <w:bodyDiv w:val="1"/>
      <w:marLeft w:val="0"/>
      <w:marRight w:val="0"/>
      <w:marTop w:val="0"/>
      <w:marBottom w:val="0"/>
      <w:divBdr>
        <w:top w:val="none" w:sz="0" w:space="0" w:color="auto"/>
        <w:left w:val="none" w:sz="0" w:space="0" w:color="auto"/>
        <w:bottom w:val="none" w:sz="0" w:space="0" w:color="auto"/>
        <w:right w:val="none" w:sz="0" w:space="0" w:color="auto"/>
      </w:divBdr>
    </w:div>
    <w:div w:id="552810018">
      <w:bodyDiv w:val="1"/>
      <w:marLeft w:val="0"/>
      <w:marRight w:val="0"/>
      <w:marTop w:val="0"/>
      <w:marBottom w:val="0"/>
      <w:divBdr>
        <w:top w:val="none" w:sz="0" w:space="0" w:color="auto"/>
        <w:left w:val="none" w:sz="0" w:space="0" w:color="auto"/>
        <w:bottom w:val="none" w:sz="0" w:space="0" w:color="auto"/>
        <w:right w:val="none" w:sz="0" w:space="0" w:color="auto"/>
      </w:divBdr>
    </w:div>
    <w:div w:id="557861112">
      <w:bodyDiv w:val="1"/>
      <w:marLeft w:val="0"/>
      <w:marRight w:val="0"/>
      <w:marTop w:val="0"/>
      <w:marBottom w:val="0"/>
      <w:divBdr>
        <w:top w:val="none" w:sz="0" w:space="0" w:color="auto"/>
        <w:left w:val="none" w:sz="0" w:space="0" w:color="auto"/>
        <w:bottom w:val="none" w:sz="0" w:space="0" w:color="auto"/>
        <w:right w:val="none" w:sz="0" w:space="0" w:color="auto"/>
      </w:divBdr>
    </w:div>
    <w:div w:id="561059343">
      <w:bodyDiv w:val="1"/>
      <w:marLeft w:val="0"/>
      <w:marRight w:val="0"/>
      <w:marTop w:val="0"/>
      <w:marBottom w:val="0"/>
      <w:divBdr>
        <w:top w:val="none" w:sz="0" w:space="0" w:color="auto"/>
        <w:left w:val="none" w:sz="0" w:space="0" w:color="auto"/>
        <w:bottom w:val="none" w:sz="0" w:space="0" w:color="auto"/>
        <w:right w:val="none" w:sz="0" w:space="0" w:color="auto"/>
      </w:divBdr>
    </w:div>
    <w:div w:id="563106227">
      <w:bodyDiv w:val="1"/>
      <w:marLeft w:val="0"/>
      <w:marRight w:val="0"/>
      <w:marTop w:val="0"/>
      <w:marBottom w:val="0"/>
      <w:divBdr>
        <w:top w:val="none" w:sz="0" w:space="0" w:color="auto"/>
        <w:left w:val="none" w:sz="0" w:space="0" w:color="auto"/>
        <w:bottom w:val="none" w:sz="0" w:space="0" w:color="auto"/>
        <w:right w:val="none" w:sz="0" w:space="0" w:color="auto"/>
      </w:divBdr>
    </w:div>
    <w:div w:id="602684812">
      <w:bodyDiv w:val="1"/>
      <w:marLeft w:val="0"/>
      <w:marRight w:val="0"/>
      <w:marTop w:val="0"/>
      <w:marBottom w:val="0"/>
      <w:divBdr>
        <w:top w:val="none" w:sz="0" w:space="0" w:color="auto"/>
        <w:left w:val="none" w:sz="0" w:space="0" w:color="auto"/>
        <w:bottom w:val="none" w:sz="0" w:space="0" w:color="auto"/>
        <w:right w:val="none" w:sz="0" w:space="0" w:color="auto"/>
      </w:divBdr>
    </w:div>
    <w:div w:id="612634001">
      <w:bodyDiv w:val="1"/>
      <w:marLeft w:val="0"/>
      <w:marRight w:val="0"/>
      <w:marTop w:val="0"/>
      <w:marBottom w:val="0"/>
      <w:divBdr>
        <w:top w:val="none" w:sz="0" w:space="0" w:color="auto"/>
        <w:left w:val="none" w:sz="0" w:space="0" w:color="auto"/>
        <w:bottom w:val="none" w:sz="0" w:space="0" w:color="auto"/>
        <w:right w:val="none" w:sz="0" w:space="0" w:color="auto"/>
      </w:divBdr>
    </w:div>
    <w:div w:id="613096929">
      <w:bodyDiv w:val="1"/>
      <w:marLeft w:val="0"/>
      <w:marRight w:val="0"/>
      <w:marTop w:val="0"/>
      <w:marBottom w:val="0"/>
      <w:divBdr>
        <w:top w:val="none" w:sz="0" w:space="0" w:color="auto"/>
        <w:left w:val="none" w:sz="0" w:space="0" w:color="auto"/>
        <w:bottom w:val="none" w:sz="0" w:space="0" w:color="auto"/>
        <w:right w:val="none" w:sz="0" w:space="0" w:color="auto"/>
      </w:divBdr>
    </w:div>
    <w:div w:id="627666094">
      <w:bodyDiv w:val="1"/>
      <w:marLeft w:val="0"/>
      <w:marRight w:val="0"/>
      <w:marTop w:val="0"/>
      <w:marBottom w:val="0"/>
      <w:divBdr>
        <w:top w:val="none" w:sz="0" w:space="0" w:color="auto"/>
        <w:left w:val="none" w:sz="0" w:space="0" w:color="auto"/>
        <w:bottom w:val="none" w:sz="0" w:space="0" w:color="auto"/>
        <w:right w:val="none" w:sz="0" w:space="0" w:color="auto"/>
      </w:divBdr>
    </w:div>
    <w:div w:id="631058662">
      <w:bodyDiv w:val="1"/>
      <w:marLeft w:val="0"/>
      <w:marRight w:val="0"/>
      <w:marTop w:val="0"/>
      <w:marBottom w:val="0"/>
      <w:divBdr>
        <w:top w:val="none" w:sz="0" w:space="0" w:color="auto"/>
        <w:left w:val="none" w:sz="0" w:space="0" w:color="auto"/>
        <w:bottom w:val="none" w:sz="0" w:space="0" w:color="auto"/>
        <w:right w:val="none" w:sz="0" w:space="0" w:color="auto"/>
      </w:divBdr>
    </w:div>
    <w:div w:id="636910931">
      <w:bodyDiv w:val="1"/>
      <w:marLeft w:val="0"/>
      <w:marRight w:val="0"/>
      <w:marTop w:val="0"/>
      <w:marBottom w:val="0"/>
      <w:divBdr>
        <w:top w:val="none" w:sz="0" w:space="0" w:color="auto"/>
        <w:left w:val="none" w:sz="0" w:space="0" w:color="auto"/>
        <w:bottom w:val="none" w:sz="0" w:space="0" w:color="auto"/>
        <w:right w:val="none" w:sz="0" w:space="0" w:color="auto"/>
      </w:divBdr>
    </w:div>
    <w:div w:id="659307349">
      <w:bodyDiv w:val="1"/>
      <w:marLeft w:val="0"/>
      <w:marRight w:val="0"/>
      <w:marTop w:val="0"/>
      <w:marBottom w:val="0"/>
      <w:divBdr>
        <w:top w:val="none" w:sz="0" w:space="0" w:color="auto"/>
        <w:left w:val="none" w:sz="0" w:space="0" w:color="auto"/>
        <w:bottom w:val="none" w:sz="0" w:space="0" w:color="auto"/>
        <w:right w:val="none" w:sz="0" w:space="0" w:color="auto"/>
      </w:divBdr>
    </w:div>
    <w:div w:id="659432759">
      <w:bodyDiv w:val="1"/>
      <w:marLeft w:val="0"/>
      <w:marRight w:val="0"/>
      <w:marTop w:val="0"/>
      <w:marBottom w:val="0"/>
      <w:divBdr>
        <w:top w:val="none" w:sz="0" w:space="0" w:color="auto"/>
        <w:left w:val="none" w:sz="0" w:space="0" w:color="auto"/>
        <w:bottom w:val="none" w:sz="0" w:space="0" w:color="auto"/>
        <w:right w:val="none" w:sz="0" w:space="0" w:color="auto"/>
      </w:divBdr>
    </w:div>
    <w:div w:id="695348233">
      <w:bodyDiv w:val="1"/>
      <w:marLeft w:val="0"/>
      <w:marRight w:val="0"/>
      <w:marTop w:val="0"/>
      <w:marBottom w:val="0"/>
      <w:divBdr>
        <w:top w:val="none" w:sz="0" w:space="0" w:color="auto"/>
        <w:left w:val="none" w:sz="0" w:space="0" w:color="auto"/>
        <w:bottom w:val="none" w:sz="0" w:space="0" w:color="auto"/>
        <w:right w:val="none" w:sz="0" w:space="0" w:color="auto"/>
      </w:divBdr>
    </w:div>
    <w:div w:id="699817255">
      <w:bodyDiv w:val="1"/>
      <w:marLeft w:val="0"/>
      <w:marRight w:val="0"/>
      <w:marTop w:val="0"/>
      <w:marBottom w:val="0"/>
      <w:divBdr>
        <w:top w:val="none" w:sz="0" w:space="0" w:color="auto"/>
        <w:left w:val="none" w:sz="0" w:space="0" w:color="auto"/>
        <w:bottom w:val="none" w:sz="0" w:space="0" w:color="auto"/>
        <w:right w:val="none" w:sz="0" w:space="0" w:color="auto"/>
      </w:divBdr>
    </w:div>
    <w:div w:id="710882641">
      <w:bodyDiv w:val="1"/>
      <w:marLeft w:val="0"/>
      <w:marRight w:val="0"/>
      <w:marTop w:val="0"/>
      <w:marBottom w:val="0"/>
      <w:divBdr>
        <w:top w:val="none" w:sz="0" w:space="0" w:color="auto"/>
        <w:left w:val="none" w:sz="0" w:space="0" w:color="auto"/>
        <w:bottom w:val="none" w:sz="0" w:space="0" w:color="auto"/>
        <w:right w:val="none" w:sz="0" w:space="0" w:color="auto"/>
      </w:divBdr>
    </w:div>
    <w:div w:id="716707607">
      <w:bodyDiv w:val="1"/>
      <w:marLeft w:val="0"/>
      <w:marRight w:val="0"/>
      <w:marTop w:val="0"/>
      <w:marBottom w:val="0"/>
      <w:divBdr>
        <w:top w:val="none" w:sz="0" w:space="0" w:color="auto"/>
        <w:left w:val="none" w:sz="0" w:space="0" w:color="auto"/>
        <w:bottom w:val="none" w:sz="0" w:space="0" w:color="auto"/>
        <w:right w:val="none" w:sz="0" w:space="0" w:color="auto"/>
      </w:divBdr>
    </w:div>
    <w:div w:id="749472083">
      <w:bodyDiv w:val="1"/>
      <w:marLeft w:val="0"/>
      <w:marRight w:val="0"/>
      <w:marTop w:val="0"/>
      <w:marBottom w:val="0"/>
      <w:divBdr>
        <w:top w:val="none" w:sz="0" w:space="0" w:color="auto"/>
        <w:left w:val="none" w:sz="0" w:space="0" w:color="auto"/>
        <w:bottom w:val="none" w:sz="0" w:space="0" w:color="auto"/>
        <w:right w:val="none" w:sz="0" w:space="0" w:color="auto"/>
      </w:divBdr>
    </w:div>
    <w:div w:id="761950322">
      <w:bodyDiv w:val="1"/>
      <w:marLeft w:val="0"/>
      <w:marRight w:val="0"/>
      <w:marTop w:val="0"/>
      <w:marBottom w:val="0"/>
      <w:divBdr>
        <w:top w:val="none" w:sz="0" w:space="0" w:color="auto"/>
        <w:left w:val="none" w:sz="0" w:space="0" w:color="auto"/>
        <w:bottom w:val="none" w:sz="0" w:space="0" w:color="auto"/>
        <w:right w:val="none" w:sz="0" w:space="0" w:color="auto"/>
      </w:divBdr>
    </w:div>
    <w:div w:id="781461353">
      <w:bodyDiv w:val="1"/>
      <w:marLeft w:val="0"/>
      <w:marRight w:val="0"/>
      <w:marTop w:val="0"/>
      <w:marBottom w:val="0"/>
      <w:divBdr>
        <w:top w:val="none" w:sz="0" w:space="0" w:color="auto"/>
        <w:left w:val="none" w:sz="0" w:space="0" w:color="auto"/>
        <w:bottom w:val="none" w:sz="0" w:space="0" w:color="auto"/>
        <w:right w:val="none" w:sz="0" w:space="0" w:color="auto"/>
      </w:divBdr>
    </w:div>
    <w:div w:id="794711591">
      <w:bodyDiv w:val="1"/>
      <w:marLeft w:val="0"/>
      <w:marRight w:val="0"/>
      <w:marTop w:val="0"/>
      <w:marBottom w:val="0"/>
      <w:divBdr>
        <w:top w:val="none" w:sz="0" w:space="0" w:color="auto"/>
        <w:left w:val="none" w:sz="0" w:space="0" w:color="auto"/>
        <w:bottom w:val="none" w:sz="0" w:space="0" w:color="auto"/>
        <w:right w:val="none" w:sz="0" w:space="0" w:color="auto"/>
      </w:divBdr>
    </w:div>
    <w:div w:id="819150963">
      <w:bodyDiv w:val="1"/>
      <w:marLeft w:val="0"/>
      <w:marRight w:val="0"/>
      <w:marTop w:val="0"/>
      <w:marBottom w:val="0"/>
      <w:divBdr>
        <w:top w:val="none" w:sz="0" w:space="0" w:color="auto"/>
        <w:left w:val="none" w:sz="0" w:space="0" w:color="auto"/>
        <w:bottom w:val="none" w:sz="0" w:space="0" w:color="auto"/>
        <w:right w:val="none" w:sz="0" w:space="0" w:color="auto"/>
      </w:divBdr>
    </w:div>
    <w:div w:id="826480631">
      <w:bodyDiv w:val="1"/>
      <w:marLeft w:val="0"/>
      <w:marRight w:val="0"/>
      <w:marTop w:val="0"/>
      <w:marBottom w:val="0"/>
      <w:divBdr>
        <w:top w:val="none" w:sz="0" w:space="0" w:color="auto"/>
        <w:left w:val="none" w:sz="0" w:space="0" w:color="auto"/>
        <w:bottom w:val="none" w:sz="0" w:space="0" w:color="auto"/>
        <w:right w:val="none" w:sz="0" w:space="0" w:color="auto"/>
      </w:divBdr>
    </w:div>
    <w:div w:id="835461360">
      <w:bodyDiv w:val="1"/>
      <w:marLeft w:val="0"/>
      <w:marRight w:val="0"/>
      <w:marTop w:val="0"/>
      <w:marBottom w:val="0"/>
      <w:divBdr>
        <w:top w:val="none" w:sz="0" w:space="0" w:color="auto"/>
        <w:left w:val="none" w:sz="0" w:space="0" w:color="auto"/>
        <w:bottom w:val="none" w:sz="0" w:space="0" w:color="auto"/>
        <w:right w:val="none" w:sz="0" w:space="0" w:color="auto"/>
      </w:divBdr>
    </w:div>
    <w:div w:id="855846145">
      <w:bodyDiv w:val="1"/>
      <w:marLeft w:val="0"/>
      <w:marRight w:val="0"/>
      <w:marTop w:val="0"/>
      <w:marBottom w:val="0"/>
      <w:divBdr>
        <w:top w:val="none" w:sz="0" w:space="0" w:color="auto"/>
        <w:left w:val="none" w:sz="0" w:space="0" w:color="auto"/>
        <w:bottom w:val="none" w:sz="0" w:space="0" w:color="auto"/>
        <w:right w:val="none" w:sz="0" w:space="0" w:color="auto"/>
      </w:divBdr>
    </w:div>
    <w:div w:id="858618760">
      <w:bodyDiv w:val="1"/>
      <w:marLeft w:val="0"/>
      <w:marRight w:val="0"/>
      <w:marTop w:val="0"/>
      <w:marBottom w:val="0"/>
      <w:divBdr>
        <w:top w:val="none" w:sz="0" w:space="0" w:color="auto"/>
        <w:left w:val="none" w:sz="0" w:space="0" w:color="auto"/>
        <w:bottom w:val="none" w:sz="0" w:space="0" w:color="auto"/>
        <w:right w:val="none" w:sz="0" w:space="0" w:color="auto"/>
      </w:divBdr>
    </w:div>
    <w:div w:id="861092685">
      <w:bodyDiv w:val="1"/>
      <w:marLeft w:val="0"/>
      <w:marRight w:val="0"/>
      <w:marTop w:val="0"/>
      <w:marBottom w:val="0"/>
      <w:divBdr>
        <w:top w:val="none" w:sz="0" w:space="0" w:color="auto"/>
        <w:left w:val="none" w:sz="0" w:space="0" w:color="auto"/>
        <w:bottom w:val="none" w:sz="0" w:space="0" w:color="auto"/>
        <w:right w:val="none" w:sz="0" w:space="0" w:color="auto"/>
      </w:divBdr>
    </w:div>
    <w:div w:id="888491885">
      <w:bodyDiv w:val="1"/>
      <w:marLeft w:val="0"/>
      <w:marRight w:val="0"/>
      <w:marTop w:val="0"/>
      <w:marBottom w:val="0"/>
      <w:divBdr>
        <w:top w:val="none" w:sz="0" w:space="0" w:color="auto"/>
        <w:left w:val="none" w:sz="0" w:space="0" w:color="auto"/>
        <w:bottom w:val="none" w:sz="0" w:space="0" w:color="auto"/>
        <w:right w:val="none" w:sz="0" w:space="0" w:color="auto"/>
      </w:divBdr>
      <w:divsChild>
        <w:div w:id="130174693">
          <w:marLeft w:val="0"/>
          <w:marRight w:val="0"/>
          <w:marTop w:val="0"/>
          <w:marBottom w:val="0"/>
          <w:divBdr>
            <w:top w:val="none" w:sz="0" w:space="0" w:color="auto"/>
            <w:left w:val="none" w:sz="0" w:space="0" w:color="auto"/>
            <w:bottom w:val="none" w:sz="0" w:space="0" w:color="auto"/>
            <w:right w:val="none" w:sz="0" w:space="0" w:color="auto"/>
          </w:divBdr>
        </w:div>
      </w:divsChild>
    </w:div>
    <w:div w:id="906721509">
      <w:bodyDiv w:val="1"/>
      <w:marLeft w:val="0"/>
      <w:marRight w:val="0"/>
      <w:marTop w:val="0"/>
      <w:marBottom w:val="0"/>
      <w:divBdr>
        <w:top w:val="none" w:sz="0" w:space="0" w:color="auto"/>
        <w:left w:val="none" w:sz="0" w:space="0" w:color="auto"/>
        <w:bottom w:val="none" w:sz="0" w:space="0" w:color="auto"/>
        <w:right w:val="none" w:sz="0" w:space="0" w:color="auto"/>
      </w:divBdr>
    </w:div>
    <w:div w:id="941886741">
      <w:bodyDiv w:val="1"/>
      <w:marLeft w:val="0"/>
      <w:marRight w:val="0"/>
      <w:marTop w:val="0"/>
      <w:marBottom w:val="0"/>
      <w:divBdr>
        <w:top w:val="none" w:sz="0" w:space="0" w:color="auto"/>
        <w:left w:val="none" w:sz="0" w:space="0" w:color="auto"/>
        <w:bottom w:val="none" w:sz="0" w:space="0" w:color="auto"/>
        <w:right w:val="none" w:sz="0" w:space="0" w:color="auto"/>
      </w:divBdr>
    </w:div>
    <w:div w:id="943197152">
      <w:bodyDiv w:val="1"/>
      <w:marLeft w:val="0"/>
      <w:marRight w:val="0"/>
      <w:marTop w:val="0"/>
      <w:marBottom w:val="0"/>
      <w:divBdr>
        <w:top w:val="none" w:sz="0" w:space="0" w:color="auto"/>
        <w:left w:val="none" w:sz="0" w:space="0" w:color="auto"/>
        <w:bottom w:val="none" w:sz="0" w:space="0" w:color="auto"/>
        <w:right w:val="none" w:sz="0" w:space="0" w:color="auto"/>
      </w:divBdr>
    </w:div>
    <w:div w:id="943653311">
      <w:bodyDiv w:val="1"/>
      <w:marLeft w:val="0"/>
      <w:marRight w:val="0"/>
      <w:marTop w:val="0"/>
      <w:marBottom w:val="0"/>
      <w:divBdr>
        <w:top w:val="none" w:sz="0" w:space="0" w:color="auto"/>
        <w:left w:val="none" w:sz="0" w:space="0" w:color="auto"/>
        <w:bottom w:val="none" w:sz="0" w:space="0" w:color="auto"/>
        <w:right w:val="none" w:sz="0" w:space="0" w:color="auto"/>
      </w:divBdr>
    </w:div>
    <w:div w:id="968362571">
      <w:bodyDiv w:val="1"/>
      <w:marLeft w:val="0"/>
      <w:marRight w:val="0"/>
      <w:marTop w:val="0"/>
      <w:marBottom w:val="0"/>
      <w:divBdr>
        <w:top w:val="none" w:sz="0" w:space="0" w:color="auto"/>
        <w:left w:val="none" w:sz="0" w:space="0" w:color="auto"/>
        <w:bottom w:val="none" w:sz="0" w:space="0" w:color="auto"/>
        <w:right w:val="none" w:sz="0" w:space="0" w:color="auto"/>
      </w:divBdr>
    </w:div>
    <w:div w:id="976571377">
      <w:bodyDiv w:val="1"/>
      <w:marLeft w:val="0"/>
      <w:marRight w:val="0"/>
      <w:marTop w:val="0"/>
      <w:marBottom w:val="0"/>
      <w:divBdr>
        <w:top w:val="none" w:sz="0" w:space="0" w:color="auto"/>
        <w:left w:val="none" w:sz="0" w:space="0" w:color="auto"/>
        <w:bottom w:val="none" w:sz="0" w:space="0" w:color="auto"/>
        <w:right w:val="none" w:sz="0" w:space="0" w:color="auto"/>
      </w:divBdr>
    </w:div>
    <w:div w:id="1001472059">
      <w:bodyDiv w:val="1"/>
      <w:marLeft w:val="0"/>
      <w:marRight w:val="0"/>
      <w:marTop w:val="0"/>
      <w:marBottom w:val="0"/>
      <w:divBdr>
        <w:top w:val="none" w:sz="0" w:space="0" w:color="auto"/>
        <w:left w:val="none" w:sz="0" w:space="0" w:color="auto"/>
        <w:bottom w:val="none" w:sz="0" w:space="0" w:color="auto"/>
        <w:right w:val="none" w:sz="0" w:space="0" w:color="auto"/>
      </w:divBdr>
    </w:div>
    <w:div w:id="1007555221">
      <w:bodyDiv w:val="1"/>
      <w:marLeft w:val="0"/>
      <w:marRight w:val="0"/>
      <w:marTop w:val="0"/>
      <w:marBottom w:val="0"/>
      <w:divBdr>
        <w:top w:val="none" w:sz="0" w:space="0" w:color="auto"/>
        <w:left w:val="none" w:sz="0" w:space="0" w:color="auto"/>
        <w:bottom w:val="none" w:sz="0" w:space="0" w:color="auto"/>
        <w:right w:val="none" w:sz="0" w:space="0" w:color="auto"/>
      </w:divBdr>
    </w:div>
    <w:div w:id="1011563207">
      <w:bodyDiv w:val="1"/>
      <w:marLeft w:val="0"/>
      <w:marRight w:val="0"/>
      <w:marTop w:val="0"/>
      <w:marBottom w:val="0"/>
      <w:divBdr>
        <w:top w:val="none" w:sz="0" w:space="0" w:color="auto"/>
        <w:left w:val="none" w:sz="0" w:space="0" w:color="auto"/>
        <w:bottom w:val="none" w:sz="0" w:space="0" w:color="auto"/>
        <w:right w:val="none" w:sz="0" w:space="0" w:color="auto"/>
      </w:divBdr>
    </w:div>
    <w:div w:id="1023942891">
      <w:bodyDiv w:val="1"/>
      <w:marLeft w:val="0"/>
      <w:marRight w:val="0"/>
      <w:marTop w:val="0"/>
      <w:marBottom w:val="0"/>
      <w:divBdr>
        <w:top w:val="none" w:sz="0" w:space="0" w:color="auto"/>
        <w:left w:val="none" w:sz="0" w:space="0" w:color="auto"/>
        <w:bottom w:val="none" w:sz="0" w:space="0" w:color="auto"/>
        <w:right w:val="none" w:sz="0" w:space="0" w:color="auto"/>
      </w:divBdr>
    </w:div>
    <w:div w:id="1049649269">
      <w:bodyDiv w:val="1"/>
      <w:marLeft w:val="0"/>
      <w:marRight w:val="0"/>
      <w:marTop w:val="0"/>
      <w:marBottom w:val="0"/>
      <w:divBdr>
        <w:top w:val="none" w:sz="0" w:space="0" w:color="auto"/>
        <w:left w:val="none" w:sz="0" w:space="0" w:color="auto"/>
        <w:bottom w:val="none" w:sz="0" w:space="0" w:color="auto"/>
        <w:right w:val="none" w:sz="0" w:space="0" w:color="auto"/>
      </w:divBdr>
    </w:div>
    <w:div w:id="1054234357">
      <w:bodyDiv w:val="1"/>
      <w:marLeft w:val="0"/>
      <w:marRight w:val="0"/>
      <w:marTop w:val="0"/>
      <w:marBottom w:val="0"/>
      <w:divBdr>
        <w:top w:val="none" w:sz="0" w:space="0" w:color="auto"/>
        <w:left w:val="none" w:sz="0" w:space="0" w:color="auto"/>
        <w:bottom w:val="none" w:sz="0" w:space="0" w:color="auto"/>
        <w:right w:val="none" w:sz="0" w:space="0" w:color="auto"/>
      </w:divBdr>
    </w:div>
    <w:div w:id="1081147996">
      <w:bodyDiv w:val="1"/>
      <w:marLeft w:val="0"/>
      <w:marRight w:val="0"/>
      <w:marTop w:val="0"/>
      <w:marBottom w:val="0"/>
      <w:divBdr>
        <w:top w:val="none" w:sz="0" w:space="0" w:color="auto"/>
        <w:left w:val="none" w:sz="0" w:space="0" w:color="auto"/>
        <w:bottom w:val="none" w:sz="0" w:space="0" w:color="auto"/>
        <w:right w:val="none" w:sz="0" w:space="0" w:color="auto"/>
      </w:divBdr>
    </w:div>
    <w:div w:id="1116563594">
      <w:bodyDiv w:val="1"/>
      <w:marLeft w:val="0"/>
      <w:marRight w:val="0"/>
      <w:marTop w:val="0"/>
      <w:marBottom w:val="0"/>
      <w:divBdr>
        <w:top w:val="none" w:sz="0" w:space="0" w:color="auto"/>
        <w:left w:val="none" w:sz="0" w:space="0" w:color="auto"/>
        <w:bottom w:val="none" w:sz="0" w:space="0" w:color="auto"/>
        <w:right w:val="none" w:sz="0" w:space="0" w:color="auto"/>
      </w:divBdr>
    </w:div>
    <w:div w:id="1118640269">
      <w:bodyDiv w:val="1"/>
      <w:marLeft w:val="0"/>
      <w:marRight w:val="0"/>
      <w:marTop w:val="0"/>
      <w:marBottom w:val="0"/>
      <w:divBdr>
        <w:top w:val="none" w:sz="0" w:space="0" w:color="auto"/>
        <w:left w:val="none" w:sz="0" w:space="0" w:color="auto"/>
        <w:bottom w:val="none" w:sz="0" w:space="0" w:color="auto"/>
        <w:right w:val="none" w:sz="0" w:space="0" w:color="auto"/>
      </w:divBdr>
    </w:div>
    <w:div w:id="1124008679">
      <w:bodyDiv w:val="1"/>
      <w:marLeft w:val="0"/>
      <w:marRight w:val="0"/>
      <w:marTop w:val="0"/>
      <w:marBottom w:val="0"/>
      <w:divBdr>
        <w:top w:val="none" w:sz="0" w:space="0" w:color="auto"/>
        <w:left w:val="none" w:sz="0" w:space="0" w:color="auto"/>
        <w:bottom w:val="none" w:sz="0" w:space="0" w:color="auto"/>
        <w:right w:val="none" w:sz="0" w:space="0" w:color="auto"/>
      </w:divBdr>
    </w:div>
    <w:div w:id="1167941903">
      <w:bodyDiv w:val="1"/>
      <w:marLeft w:val="0"/>
      <w:marRight w:val="0"/>
      <w:marTop w:val="0"/>
      <w:marBottom w:val="0"/>
      <w:divBdr>
        <w:top w:val="none" w:sz="0" w:space="0" w:color="auto"/>
        <w:left w:val="none" w:sz="0" w:space="0" w:color="auto"/>
        <w:bottom w:val="none" w:sz="0" w:space="0" w:color="auto"/>
        <w:right w:val="none" w:sz="0" w:space="0" w:color="auto"/>
      </w:divBdr>
    </w:div>
    <w:div w:id="1171406824">
      <w:bodyDiv w:val="1"/>
      <w:marLeft w:val="0"/>
      <w:marRight w:val="0"/>
      <w:marTop w:val="0"/>
      <w:marBottom w:val="0"/>
      <w:divBdr>
        <w:top w:val="none" w:sz="0" w:space="0" w:color="auto"/>
        <w:left w:val="none" w:sz="0" w:space="0" w:color="auto"/>
        <w:bottom w:val="none" w:sz="0" w:space="0" w:color="auto"/>
        <w:right w:val="none" w:sz="0" w:space="0" w:color="auto"/>
      </w:divBdr>
    </w:div>
    <w:div w:id="1181775779">
      <w:bodyDiv w:val="1"/>
      <w:marLeft w:val="0"/>
      <w:marRight w:val="0"/>
      <w:marTop w:val="0"/>
      <w:marBottom w:val="0"/>
      <w:divBdr>
        <w:top w:val="none" w:sz="0" w:space="0" w:color="auto"/>
        <w:left w:val="none" w:sz="0" w:space="0" w:color="auto"/>
        <w:bottom w:val="none" w:sz="0" w:space="0" w:color="auto"/>
        <w:right w:val="none" w:sz="0" w:space="0" w:color="auto"/>
      </w:divBdr>
    </w:div>
    <w:div w:id="1187871334">
      <w:bodyDiv w:val="1"/>
      <w:marLeft w:val="0"/>
      <w:marRight w:val="0"/>
      <w:marTop w:val="0"/>
      <w:marBottom w:val="0"/>
      <w:divBdr>
        <w:top w:val="none" w:sz="0" w:space="0" w:color="auto"/>
        <w:left w:val="none" w:sz="0" w:space="0" w:color="auto"/>
        <w:bottom w:val="none" w:sz="0" w:space="0" w:color="auto"/>
        <w:right w:val="none" w:sz="0" w:space="0" w:color="auto"/>
      </w:divBdr>
    </w:div>
    <w:div w:id="1217618148">
      <w:bodyDiv w:val="1"/>
      <w:marLeft w:val="0"/>
      <w:marRight w:val="0"/>
      <w:marTop w:val="0"/>
      <w:marBottom w:val="0"/>
      <w:divBdr>
        <w:top w:val="none" w:sz="0" w:space="0" w:color="auto"/>
        <w:left w:val="none" w:sz="0" w:space="0" w:color="auto"/>
        <w:bottom w:val="none" w:sz="0" w:space="0" w:color="auto"/>
        <w:right w:val="none" w:sz="0" w:space="0" w:color="auto"/>
      </w:divBdr>
    </w:div>
    <w:div w:id="1240873043">
      <w:bodyDiv w:val="1"/>
      <w:marLeft w:val="0"/>
      <w:marRight w:val="0"/>
      <w:marTop w:val="0"/>
      <w:marBottom w:val="0"/>
      <w:divBdr>
        <w:top w:val="none" w:sz="0" w:space="0" w:color="auto"/>
        <w:left w:val="none" w:sz="0" w:space="0" w:color="auto"/>
        <w:bottom w:val="none" w:sz="0" w:space="0" w:color="auto"/>
        <w:right w:val="none" w:sz="0" w:space="0" w:color="auto"/>
      </w:divBdr>
    </w:div>
    <w:div w:id="1258708852">
      <w:bodyDiv w:val="1"/>
      <w:marLeft w:val="0"/>
      <w:marRight w:val="0"/>
      <w:marTop w:val="0"/>
      <w:marBottom w:val="0"/>
      <w:divBdr>
        <w:top w:val="none" w:sz="0" w:space="0" w:color="auto"/>
        <w:left w:val="none" w:sz="0" w:space="0" w:color="auto"/>
        <w:bottom w:val="none" w:sz="0" w:space="0" w:color="auto"/>
        <w:right w:val="none" w:sz="0" w:space="0" w:color="auto"/>
      </w:divBdr>
    </w:div>
    <w:div w:id="1261908801">
      <w:bodyDiv w:val="1"/>
      <w:marLeft w:val="0"/>
      <w:marRight w:val="0"/>
      <w:marTop w:val="0"/>
      <w:marBottom w:val="0"/>
      <w:divBdr>
        <w:top w:val="none" w:sz="0" w:space="0" w:color="auto"/>
        <w:left w:val="none" w:sz="0" w:space="0" w:color="auto"/>
        <w:bottom w:val="none" w:sz="0" w:space="0" w:color="auto"/>
        <w:right w:val="none" w:sz="0" w:space="0" w:color="auto"/>
      </w:divBdr>
    </w:div>
    <w:div w:id="1273172141">
      <w:bodyDiv w:val="1"/>
      <w:marLeft w:val="0"/>
      <w:marRight w:val="0"/>
      <w:marTop w:val="0"/>
      <w:marBottom w:val="0"/>
      <w:divBdr>
        <w:top w:val="none" w:sz="0" w:space="0" w:color="auto"/>
        <w:left w:val="none" w:sz="0" w:space="0" w:color="auto"/>
        <w:bottom w:val="none" w:sz="0" w:space="0" w:color="auto"/>
        <w:right w:val="none" w:sz="0" w:space="0" w:color="auto"/>
      </w:divBdr>
    </w:div>
    <w:div w:id="1281958587">
      <w:bodyDiv w:val="1"/>
      <w:marLeft w:val="0"/>
      <w:marRight w:val="0"/>
      <w:marTop w:val="0"/>
      <w:marBottom w:val="0"/>
      <w:divBdr>
        <w:top w:val="none" w:sz="0" w:space="0" w:color="auto"/>
        <w:left w:val="none" w:sz="0" w:space="0" w:color="auto"/>
        <w:bottom w:val="none" w:sz="0" w:space="0" w:color="auto"/>
        <w:right w:val="none" w:sz="0" w:space="0" w:color="auto"/>
      </w:divBdr>
    </w:div>
    <w:div w:id="1295481164">
      <w:bodyDiv w:val="1"/>
      <w:marLeft w:val="0"/>
      <w:marRight w:val="0"/>
      <w:marTop w:val="0"/>
      <w:marBottom w:val="0"/>
      <w:divBdr>
        <w:top w:val="none" w:sz="0" w:space="0" w:color="auto"/>
        <w:left w:val="none" w:sz="0" w:space="0" w:color="auto"/>
        <w:bottom w:val="none" w:sz="0" w:space="0" w:color="auto"/>
        <w:right w:val="none" w:sz="0" w:space="0" w:color="auto"/>
      </w:divBdr>
    </w:div>
    <w:div w:id="1309241196">
      <w:bodyDiv w:val="1"/>
      <w:marLeft w:val="0"/>
      <w:marRight w:val="0"/>
      <w:marTop w:val="0"/>
      <w:marBottom w:val="0"/>
      <w:divBdr>
        <w:top w:val="none" w:sz="0" w:space="0" w:color="auto"/>
        <w:left w:val="none" w:sz="0" w:space="0" w:color="auto"/>
        <w:bottom w:val="none" w:sz="0" w:space="0" w:color="auto"/>
        <w:right w:val="none" w:sz="0" w:space="0" w:color="auto"/>
      </w:divBdr>
    </w:div>
    <w:div w:id="1314413693">
      <w:bodyDiv w:val="1"/>
      <w:marLeft w:val="0"/>
      <w:marRight w:val="0"/>
      <w:marTop w:val="0"/>
      <w:marBottom w:val="0"/>
      <w:divBdr>
        <w:top w:val="none" w:sz="0" w:space="0" w:color="auto"/>
        <w:left w:val="none" w:sz="0" w:space="0" w:color="auto"/>
        <w:bottom w:val="none" w:sz="0" w:space="0" w:color="auto"/>
        <w:right w:val="none" w:sz="0" w:space="0" w:color="auto"/>
      </w:divBdr>
    </w:div>
    <w:div w:id="1327249792">
      <w:bodyDiv w:val="1"/>
      <w:marLeft w:val="0"/>
      <w:marRight w:val="0"/>
      <w:marTop w:val="0"/>
      <w:marBottom w:val="0"/>
      <w:divBdr>
        <w:top w:val="none" w:sz="0" w:space="0" w:color="auto"/>
        <w:left w:val="none" w:sz="0" w:space="0" w:color="auto"/>
        <w:bottom w:val="none" w:sz="0" w:space="0" w:color="auto"/>
        <w:right w:val="none" w:sz="0" w:space="0" w:color="auto"/>
      </w:divBdr>
    </w:div>
    <w:div w:id="1332953862">
      <w:bodyDiv w:val="1"/>
      <w:marLeft w:val="0"/>
      <w:marRight w:val="0"/>
      <w:marTop w:val="0"/>
      <w:marBottom w:val="0"/>
      <w:divBdr>
        <w:top w:val="none" w:sz="0" w:space="0" w:color="auto"/>
        <w:left w:val="none" w:sz="0" w:space="0" w:color="auto"/>
        <w:bottom w:val="none" w:sz="0" w:space="0" w:color="auto"/>
        <w:right w:val="none" w:sz="0" w:space="0" w:color="auto"/>
      </w:divBdr>
    </w:div>
    <w:div w:id="1338922669">
      <w:bodyDiv w:val="1"/>
      <w:marLeft w:val="0"/>
      <w:marRight w:val="0"/>
      <w:marTop w:val="0"/>
      <w:marBottom w:val="0"/>
      <w:divBdr>
        <w:top w:val="none" w:sz="0" w:space="0" w:color="auto"/>
        <w:left w:val="none" w:sz="0" w:space="0" w:color="auto"/>
        <w:bottom w:val="none" w:sz="0" w:space="0" w:color="auto"/>
        <w:right w:val="none" w:sz="0" w:space="0" w:color="auto"/>
      </w:divBdr>
    </w:div>
    <w:div w:id="1353453716">
      <w:bodyDiv w:val="1"/>
      <w:marLeft w:val="0"/>
      <w:marRight w:val="0"/>
      <w:marTop w:val="0"/>
      <w:marBottom w:val="0"/>
      <w:divBdr>
        <w:top w:val="none" w:sz="0" w:space="0" w:color="auto"/>
        <w:left w:val="none" w:sz="0" w:space="0" w:color="auto"/>
        <w:bottom w:val="none" w:sz="0" w:space="0" w:color="auto"/>
        <w:right w:val="none" w:sz="0" w:space="0" w:color="auto"/>
      </w:divBdr>
    </w:div>
    <w:div w:id="1363628181">
      <w:bodyDiv w:val="1"/>
      <w:marLeft w:val="0"/>
      <w:marRight w:val="0"/>
      <w:marTop w:val="0"/>
      <w:marBottom w:val="0"/>
      <w:divBdr>
        <w:top w:val="none" w:sz="0" w:space="0" w:color="auto"/>
        <w:left w:val="none" w:sz="0" w:space="0" w:color="auto"/>
        <w:bottom w:val="none" w:sz="0" w:space="0" w:color="auto"/>
        <w:right w:val="none" w:sz="0" w:space="0" w:color="auto"/>
      </w:divBdr>
    </w:div>
    <w:div w:id="1403943894">
      <w:bodyDiv w:val="1"/>
      <w:marLeft w:val="0"/>
      <w:marRight w:val="0"/>
      <w:marTop w:val="0"/>
      <w:marBottom w:val="0"/>
      <w:divBdr>
        <w:top w:val="none" w:sz="0" w:space="0" w:color="auto"/>
        <w:left w:val="none" w:sz="0" w:space="0" w:color="auto"/>
        <w:bottom w:val="none" w:sz="0" w:space="0" w:color="auto"/>
        <w:right w:val="none" w:sz="0" w:space="0" w:color="auto"/>
      </w:divBdr>
    </w:div>
    <w:div w:id="1437098443">
      <w:bodyDiv w:val="1"/>
      <w:marLeft w:val="0"/>
      <w:marRight w:val="0"/>
      <w:marTop w:val="0"/>
      <w:marBottom w:val="0"/>
      <w:divBdr>
        <w:top w:val="none" w:sz="0" w:space="0" w:color="auto"/>
        <w:left w:val="none" w:sz="0" w:space="0" w:color="auto"/>
        <w:bottom w:val="none" w:sz="0" w:space="0" w:color="auto"/>
        <w:right w:val="none" w:sz="0" w:space="0" w:color="auto"/>
      </w:divBdr>
    </w:div>
    <w:div w:id="1444879262">
      <w:bodyDiv w:val="1"/>
      <w:marLeft w:val="0"/>
      <w:marRight w:val="0"/>
      <w:marTop w:val="0"/>
      <w:marBottom w:val="0"/>
      <w:divBdr>
        <w:top w:val="none" w:sz="0" w:space="0" w:color="auto"/>
        <w:left w:val="none" w:sz="0" w:space="0" w:color="auto"/>
        <w:bottom w:val="none" w:sz="0" w:space="0" w:color="auto"/>
        <w:right w:val="none" w:sz="0" w:space="0" w:color="auto"/>
      </w:divBdr>
    </w:div>
    <w:div w:id="1467157771">
      <w:bodyDiv w:val="1"/>
      <w:marLeft w:val="0"/>
      <w:marRight w:val="0"/>
      <w:marTop w:val="0"/>
      <w:marBottom w:val="0"/>
      <w:divBdr>
        <w:top w:val="none" w:sz="0" w:space="0" w:color="auto"/>
        <w:left w:val="none" w:sz="0" w:space="0" w:color="auto"/>
        <w:bottom w:val="none" w:sz="0" w:space="0" w:color="auto"/>
        <w:right w:val="none" w:sz="0" w:space="0" w:color="auto"/>
      </w:divBdr>
      <w:divsChild>
        <w:div w:id="986858756">
          <w:marLeft w:val="0"/>
          <w:marRight w:val="0"/>
          <w:marTop w:val="0"/>
          <w:marBottom w:val="0"/>
          <w:divBdr>
            <w:top w:val="none" w:sz="0" w:space="0" w:color="auto"/>
            <w:left w:val="none" w:sz="0" w:space="0" w:color="auto"/>
            <w:bottom w:val="none" w:sz="0" w:space="0" w:color="auto"/>
            <w:right w:val="none" w:sz="0" w:space="0" w:color="auto"/>
          </w:divBdr>
        </w:div>
      </w:divsChild>
    </w:div>
    <w:div w:id="1470436677">
      <w:bodyDiv w:val="1"/>
      <w:marLeft w:val="0"/>
      <w:marRight w:val="0"/>
      <w:marTop w:val="0"/>
      <w:marBottom w:val="0"/>
      <w:divBdr>
        <w:top w:val="none" w:sz="0" w:space="0" w:color="auto"/>
        <w:left w:val="none" w:sz="0" w:space="0" w:color="auto"/>
        <w:bottom w:val="none" w:sz="0" w:space="0" w:color="auto"/>
        <w:right w:val="none" w:sz="0" w:space="0" w:color="auto"/>
      </w:divBdr>
    </w:div>
    <w:div w:id="1476682942">
      <w:bodyDiv w:val="1"/>
      <w:marLeft w:val="0"/>
      <w:marRight w:val="0"/>
      <w:marTop w:val="0"/>
      <w:marBottom w:val="0"/>
      <w:divBdr>
        <w:top w:val="none" w:sz="0" w:space="0" w:color="auto"/>
        <w:left w:val="none" w:sz="0" w:space="0" w:color="auto"/>
        <w:bottom w:val="none" w:sz="0" w:space="0" w:color="auto"/>
        <w:right w:val="none" w:sz="0" w:space="0" w:color="auto"/>
      </w:divBdr>
      <w:divsChild>
        <w:div w:id="696933038">
          <w:marLeft w:val="0"/>
          <w:marRight w:val="0"/>
          <w:marTop w:val="0"/>
          <w:marBottom w:val="0"/>
          <w:divBdr>
            <w:top w:val="none" w:sz="0" w:space="0" w:color="auto"/>
            <w:left w:val="none" w:sz="0" w:space="0" w:color="auto"/>
            <w:bottom w:val="none" w:sz="0" w:space="0" w:color="auto"/>
            <w:right w:val="none" w:sz="0" w:space="0" w:color="auto"/>
          </w:divBdr>
        </w:div>
      </w:divsChild>
    </w:div>
    <w:div w:id="1484859247">
      <w:bodyDiv w:val="1"/>
      <w:marLeft w:val="0"/>
      <w:marRight w:val="0"/>
      <w:marTop w:val="0"/>
      <w:marBottom w:val="0"/>
      <w:divBdr>
        <w:top w:val="none" w:sz="0" w:space="0" w:color="auto"/>
        <w:left w:val="none" w:sz="0" w:space="0" w:color="auto"/>
        <w:bottom w:val="none" w:sz="0" w:space="0" w:color="auto"/>
        <w:right w:val="none" w:sz="0" w:space="0" w:color="auto"/>
      </w:divBdr>
      <w:divsChild>
        <w:div w:id="222446916">
          <w:marLeft w:val="0"/>
          <w:marRight w:val="0"/>
          <w:marTop w:val="0"/>
          <w:marBottom w:val="0"/>
          <w:divBdr>
            <w:top w:val="none" w:sz="0" w:space="0" w:color="auto"/>
            <w:left w:val="none" w:sz="0" w:space="0" w:color="auto"/>
            <w:bottom w:val="none" w:sz="0" w:space="0" w:color="auto"/>
            <w:right w:val="none" w:sz="0" w:space="0" w:color="auto"/>
          </w:divBdr>
        </w:div>
      </w:divsChild>
    </w:div>
    <w:div w:id="1517495421">
      <w:bodyDiv w:val="1"/>
      <w:marLeft w:val="0"/>
      <w:marRight w:val="0"/>
      <w:marTop w:val="0"/>
      <w:marBottom w:val="0"/>
      <w:divBdr>
        <w:top w:val="none" w:sz="0" w:space="0" w:color="auto"/>
        <w:left w:val="none" w:sz="0" w:space="0" w:color="auto"/>
        <w:bottom w:val="none" w:sz="0" w:space="0" w:color="auto"/>
        <w:right w:val="none" w:sz="0" w:space="0" w:color="auto"/>
      </w:divBdr>
    </w:div>
    <w:div w:id="1527018004">
      <w:bodyDiv w:val="1"/>
      <w:marLeft w:val="0"/>
      <w:marRight w:val="0"/>
      <w:marTop w:val="0"/>
      <w:marBottom w:val="0"/>
      <w:divBdr>
        <w:top w:val="none" w:sz="0" w:space="0" w:color="auto"/>
        <w:left w:val="none" w:sz="0" w:space="0" w:color="auto"/>
        <w:bottom w:val="none" w:sz="0" w:space="0" w:color="auto"/>
        <w:right w:val="none" w:sz="0" w:space="0" w:color="auto"/>
      </w:divBdr>
    </w:div>
    <w:div w:id="1579053634">
      <w:bodyDiv w:val="1"/>
      <w:marLeft w:val="0"/>
      <w:marRight w:val="0"/>
      <w:marTop w:val="0"/>
      <w:marBottom w:val="0"/>
      <w:divBdr>
        <w:top w:val="none" w:sz="0" w:space="0" w:color="auto"/>
        <w:left w:val="none" w:sz="0" w:space="0" w:color="auto"/>
        <w:bottom w:val="none" w:sz="0" w:space="0" w:color="auto"/>
        <w:right w:val="none" w:sz="0" w:space="0" w:color="auto"/>
      </w:divBdr>
    </w:div>
    <w:div w:id="1622807915">
      <w:bodyDiv w:val="1"/>
      <w:marLeft w:val="0"/>
      <w:marRight w:val="0"/>
      <w:marTop w:val="0"/>
      <w:marBottom w:val="0"/>
      <w:divBdr>
        <w:top w:val="none" w:sz="0" w:space="0" w:color="auto"/>
        <w:left w:val="none" w:sz="0" w:space="0" w:color="auto"/>
        <w:bottom w:val="none" w:sz="0" w:space="0" w:color="auto"/>
        <w:right w:val="none" w:sz="0" w:space="0" w:color="auto"/>
      </w:divBdr>
    </w:div>
    <w:div w:id="1671521143">
      <w:bodyDiv w:val="1"/>
      <w:marLeft w:val="0"/>
      <w:marRight w:val="0"/>
      <w:marTop w:val="0"/>
      <w:marBottom w:val="0"/>
      <w:divBdr>
        <w:top w:val="none" w:sz="0" w:space="0" w:color="auto"/>
        <w:left w:val="none" w:sz="0" w:space="0" w:color="auto"/>
        <w:bottom w:val="none" w:sz="0" w:space="0" w:color="auto"/>
        <w:right w:val="none" w:sz="0" w:space="0" w:color="auto"/>
      </w:divBdr>
      <w:divsChild>
        <w:div w:id="324746016">
          <w:marLeft w:val="0"/>
          <w:marRight w:val="0"/>
          <w:marTop w:val="0"/>
          <w:marBottom w:val="0"/>
          <w:divBdr>
            <w:top w:val="none" w:sz="0" w:space="0" w:color="auto"/>
            <w:left w:val="none" w:sz="0" w:space="0" w:color="auto"/>
            <w:bottom w:val="none" w:sz="0" w:space="0" w:color="auto"/>
            <w:right w:val="none" w:sz="0" w:space="0" w:color="auto"/>
          </w:divBdr>
          <w:divsChild>
            <w:div w:id="983201167">
              <w:marLeft w:val="0"/>
              <w:marRight w:val="0"/>
              <w:marTop w:val="0"/>
              <w:marBottom w:val="0"/>
              <w:divBdr>
                <w:top w:val="none" w:sz="0" w:space="0" w:color="auto"/>
                <w:left w:val="none" w:sz="0" w:space="0" w:color="auto"/>
                <w:bottom w:val="none" w:sz="0" w:space="0" w:color="auto"/>
                <w:right w:val="none" w:sz="0" w:space="0" w:color="auto"/>
              </w:divBdr>
              <w:divsChild>
                <w:div w:id="1270620170">
                  <w:marLeft w:val="0"/>
                  <w:marRight w:val="0"/>
                  <w:marTop w:val="0"/>
                  <w:marBottom w:val="129"/>
                  <w:divBdr>
                    <w:top w:val="none" w:sz="0" w:space="0" w:color="auto"/>
                    <w:left w:val="none" w:sz="0" w:space="0" w:color="auto"/>
                    <w:bottom w:val="none" w:sz="0" w:space="0" w:color="auto"/>
                    <w:right w:val="none" w:sz="0" w:space="0" w:color="auto"/>
                  </w:divBdr>
                  <w:divsChild>
                    <w:div w:id="13319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940905">
      <w:bodyDiv w:val="1"/>
      <w:marLeft w:val="0"/>
      <w:marRight w:val="0"/>
      <w:marTop w:val="0"/>
      <w:marBottom w:val="0"/>
      <w:divBdr>
        <w:top w:val="none" w:sz="0" w:space="0" w:color="auto"/>
        <w:left w:val="none" w:sz="0" w:space="0" w:color="auto"/>
        <w:bottom w:val="none" w:sz="0" w:space="0" w:color="auto"/>
        <w:right w:val="none" w:sz="0" w:space="0" w:color="auto"/>
      </w:divBdr>
      <w:divsChild>
        <w:div w:id="1945764520">
          <w:marLeft w:val="0"/>
          <w:marRight w:val="0"/>
          <w:marTop w:val="0"/>
          <w:marBottom w:val="0"/>
          <w:divBdr>
            <w:top w:val="none" w:sz="0" w:space="0" w:color="auto"/>
            <w:left w:val="none" w:sz="0" w:space="0" w:color="auto"/>
            <w:bottom w:val="none" w:sz="0" w:space="0" w:color="auto"/>
            <w:right w:val="none" w:sz="0" w:space="0" w:color="auto"/>
          </w:divBdr>
          <w:divsChild>
            <w:div w:id="48844495">
              <w:marLeft w:val="0"/>
              <w:marRight w:val="0"/>
              <w:marTop w:val="0"/>
              <w:marBottom w:val="0"/>
              <w:divBdr>
                <w:top w:val="none" w:sz="0" w:space="0" w:color="auto"/>
                <w:left w:val="none" w:sz="0" w:space="0" w:color="auto"/>
                <w:bottom w:val="none" w:sz="0" w:space="0" w:color="auto"/>
                <w:right w:val="none" w:sz="0" w:space="0" w:color="auto"/>
              </w:divBdr>
              <w:divsChild>
                <w:div w:id="1122268288">
                  <w:marLeft w:val="0"/>
                  <w:marRight w:val="0"/>
                  <w:marTop w:val="0"/>
                  <w:marBottom w:val="0"/>
                  <w:divBdr>
                    <w:top w:val="none" w:sz="0" w:space="0" w:color="auto"/>
                    <w:left w:val="none" w:sz="0" w:space="0" w:color="auto"/>
                    <w:bottom w:val="none" w:sz="0" w:space="0" w:color="auto"/>
                    <w:right w:val="none" w:sz="0" w:space="0" w:color="auto"/>
                  </w:divBdr>
                  <w:divsChild>
                    <w:div w:id="1906984513">
                      <w:marLeft w:val="0"/>
                      <w:marRight w:val="0"/>
                      <w:marTop w:val="0"/>
                      <w:marBottom w:val="0"/>
                      <w:divBdr>
                        <w:top w:val="none" w:sz="0" w:space="0" w:color="auto"/>
                        <w:left w:val="none" w:sz="0" w:space="0" w:color="auto"/>
                        <w:bottom w:val="none" w:sz="0" w:space="0" w:color="auto"/>
                        <w:right w:val="none" w:sz="0" w:space="0" w:color="auto"/>
                      </w:divBdr>
                      <w:divsChild>
                        <w:div w:id="305356326">
                          <w:marLeft w:val="0"/>
                          <w:marRight w:val="0"/>
                          <w:marTop w:val="0"/>
                          <w:marBottom w:val="0"/>
                          <w:divBdr>
                            <w:top w:val="none" w:sz="0" w:space="0" w:color="auto"/>
                            <w:left w:val="none" w:sz="0" w:space="0" w:color="auto"/>
                            <w:bottom w:val="none" w:sz="0" w:space="0" w:color="auto"/>
                            <w:right w:val="none" w:sz="0" w:space="0" w:color="auto"/>
                          </w:divBdr>
                          <w:divsChild>
                            <w:div w:id="11807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876042">
      <w:bodyDiv w:val="1"/>
      <w:marLeft w:val="0"/>
      <w:marRight w:val="0"/>
      <w:marTop w:val="0"/>
      <w:marBottom w:val="0"/>
      <w:divBdr>
        <w:top w:val="none" w:sz="0" w:space="0" w:color="auto"/>
        <w:left w:val="none" w:sz="0" w:space="0" w:color="auto"/>
        <w:bottom w:val="none" w:sz="0" w:space="0" w:color="auto"/>
        <w:right w:val="none" w:sz="0" w:space="0" w:color="auto"/>
      </w:divBdr>
    </w:div>
    <w:div w:id="1693023121">
      <w:bodyDiv w:val="1"/>
      <w:marLeft w:val="0"/>
      <w:marRight w:val="0"/>
      <w:marTop w:val="0"/>
      <w:marBottom w:val="0"/>
      <w:divBdr>
        <w:top w:val="none" w:sz="0" w:space="0" w:color="auto"/>
        <w:left w:val="none" w:sz="0" w:space="0" w:color="auto"/>
        <w:bottom w:val="none" w:sz="0" w:space="0" w:color="auto"/>
        <w:right w:val="none" w:sz="0" w:space="0" w:color="auto"/>
      </w:divBdr>
    </w:div>
    <w:div w:id="1748920672">
      <w:bodyDiv w:val="1"/>
      <w:marLeft w:val="0"/>
      <w:marRight w:val="0"/>
      <w:marTop w:val="0"/>
      <w:marBottom w:val="0"/>
      <w:divBdr>
        <w:top w:val="none" w:sz="0" w:space="0" w:color="auto"/>
        <w:left w:val="none" w:sz="0" w:space="0" w:color="auto"/>
        <w:bottom w:val="none" w:sz="0" w:space="0" w:color="auto"/>
        <w:right w:val="none" w:sz="0" w:space="0" w:color="auto"/>
      </w:divBdr>
    </w:div>
    <w:div w:id="1763836881">
      <w:bodyDiv w:val="1"/>
      <w:marLeft w:val="0"/>
      <w:marRight w:val="0"/>
      <w:marTop w:val="0"/>
      <w:marBottom w:val="0"/>
      <w:divBdr>
        <w:top w:val="none" w:sz="0" w:space="0" w:color="auto"/>
        <w:left w:val="none" w:sz="0" w:space="0" w:color="auto"/>
        <w:bottom w:val="none" w:sz="0" w:space="0" w:color="auto"/>
        <w:right w:val="none" w:sz="0" w:space="0" w:color="auto"/>
      </w:divBdr>
    </w:div>
    <w:div w:id="1765225160">
      <w:bodyDiv w:val="1"/>
      <w:marLeft w:val="0"/>
      <w:marRight w:val="0"/>
      <w:marTop w:val="0"/>
      <w:marBottom w:val="0"/>
      <w:divBdr>
        <w:top w:val="none" w:sz="0" w:space="0" w:color="auto"/>
        <w:left w:val="none" w:sz="0" w:space="0" w:color="auto"/>
        <w:bottom w:val="none" w:sz="0" w:space="0" w:color="auto"/>
        <w:right w:val="none" w:sz="0" w:space="0" w:color="auto"/>
      </w:divBdr>
    </w:div>
    <w:div w:id="1794861109">
      <w:bodyDiv w:val="1"/>
      <w:marLeft w:val="0"/>
      <w:marRight w:val="0"/>
      <w:marTop w:val="0"/>
      <w:marBottom w:val="0"/>
      <w:divBdr>
        <w:top w:val="none" w:sz="0" w:space="0" w:color="auto"/>
        <w:left w:val="none" w:sz="0" w:space="0" w:color="auto"/>
        <w:bottom w:val="none" w:sz="0" w:space="0" w:color="auto"/>
        <w:right w:val="none" w:sz="0" w:space="0" w:color="auto"/>
      </w:divBdr>
    </w:div>
    <w:div w:id="1800873048">
      <w:bodyDiv w:val="1"/>
      <w:marLeft w:val="0"/>
      <w:marRight w:val="0"/>
      <w:marTop w:val="0"/>
      <w:marBottom w:val="0"/>
      <w:divBdr>
        <w:top w:val="none" w:sz="0" w:space="0" w:color="auto"/>
        <w:left w:val="none" w:sz="0" w:space="0" w:color="auto"/>
        <w:bottom w:val="none" w:sz="0" w:space="0" w:color="auto"/>
        <w:right w:val="none" w:sz="0" w:space="0" w:color="auto"/>
      </w:divBdr>
    </w:div>
    <w:div w:id="1801222304">
      <w:bodyDiv w:val="1"/>
      <w:marLeft w:val="0"/>
      <w:marRight w:val="0"/>
      <w:marTop w:val="0"/>
      <w:marBottom w:val="0"/>
      <w:divBdr>
        <w:top w:val="none" w:sz="0" w:space="0" w:color="auto"/>
        <w:left w:val="none" w:sz="0" w:space="0" w:color="auto"/>
        <w:bottom w:val="none" w:sz="0" w:space="0" w:color="auto"/>
        <w:right w:val="none" w:sz="0" w:space="0" w:color="auto"/>
      </w:divBdr>
    </w:div>
    <w:div w:id="1806503151">
      <w:bodyDiv w:val="1"/>
      <w:marLeft w:val="0"/>
      <w:marRight w:val="0"/>
      <w:marTop w:val="0"/>
      <w:marBottom w:val="0"/>
      <w:divBdr>
        <w:top w:val="none" w:sz="0" w:space="0" w:color="auto"/>
        <w:left w:val="none" w:sz="0" w:space="0" w:color="auto"/>
        <w:bottom w:val="none" w:sz="0" w:space="0" w:color="auto"/>
        <w:right w:val="none" w:sz="0" w:space="0" w:color="auto"/>
      </w:divBdr>
    </w:div>
    <w:div w:id="1806775599">
      <w:bodyDiv w:val="1"/>
      <w:marLeft w:val="0"/>
      <w:marRight w:val="0"/>
      <w:marTop w:val="0"/>
      <w:marBottom w:val="0"/>
      <w:divBdr>
        <w:top w:val="none" w:sz="0" w:space="0" w:color="auto"/>
        <w:left w:val="none" w:sz="0" w:space="0" w:color="auto"/>
        <w:bottom w:val="none" w:sz="0" w:space="0" w:color="auto"/>
        <w:right w:val="none" w:sz="0" w:space="0" w:color="auto"/>
      </w:divBdr>
    </w:div>
    <w:div w:id="1816141698">
      <w:bodyDiv w:val="1"/>
      <w:marLeft w:val="0"/>
      <w:marRight w:val="0"/>
      <w:marTop w:val="0"/>
      <w:marBottom w:val="0"/>
      <w:divBdr>
        <w:top w:val="none" w:sz="0" w:space="0" w:color="auto"/>
        <w:left w:val="none" w:sz="0" w:space="0" w:color="auto"/>
        <w:bottom w:val="none" w:sz="0" w:space="0" w:color="auto"/>
        <w:right w:val="none" w:sz="0" w:space="0" w:color="auto"/>
      </w:divBdr>
    </w:div>
    <w:div w:id="1817455558">
      <w:bodyDiv w:val="1"/>
      <w:marLeft w:val="0"/>
      <w:marRight w:val="0"/>
      <w:marTop w:val="0"/>
      <w:marBottom w:val="0"/>
      <w:divBdr>
        <w:top w:val="none" w:sz="0" w:space="0" w:color="auto"/>
        <w:left w:val="none" w:sz="0" w:space="0" w:color="auto"/>
        <w:bottom w:val="none" w:sz="0" w:space="0" w:color="auto"/>
        <w:right w:val="none" w:sz="0" w:space="0" w:color="auto"/>
      </w:divBdr>
    </w:div>
    <w:div w:id="1819221497">
      <w:bodyDiv w:val="1"/>
      <w:marLeft w:val="0"/>
      <w:marRight w:val="0"/>
      <w:marTop w:val="0"/>
      <w:marBottom w:val="0"/>
      <w:divBdr>
        <w:top w:val="none" w:sz="0" w:space="0" w:color="auto"/>
        <w:left w:val="none" w:sz="0" w:space="0" w:color="auto"/>
        <w:bottom w:val="none" w:sz="0" w:space="0" w:color="auto"/>
        <w:right w:val="none" w:sz="0" w:space="0" w:color="auto"/>
      </w:divBdr>
    </w:div>
    <w:div w:id="18229637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sChild>
            <w:div w:id="617879265">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129"/>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7207">
      <w:bodyDiv w:val="1"/>
      <w:marLeft w:val="0"/>
      <w:marRight w:val="0"/>
      <w:marTop w:val="0"/>
      <w:marBottom w:val="0"/>
      <w:divBdr>
        <w:top w:val="none" w:sz="0" w:space="0" w:color="auto"/>
        <w:left w:val="none" w:sz="0" w:space="0" w:color="auto"/>
        <w:bottom w:val="none" w:sz="0" w:space="0" w:color="auto"/>
        <w:right w:val="none" w:sz="0" w:space="0" w:color="auto"/>
      </w:divBdr>
    </w:div>
    <w:div w:id="1864243407">
      <w:bodyDiv w:val="1"/>
      <w:marLeft w:val="0"/>
      <w:marRight w:val="0"/>
      <w:marTop w:val="0"/>
      <w:marBottom w:val="0"/>
      <w:divBdr>
        <w:top w:val="none" w:sz="0" w:space="0" w:color="auto"/>
        <w:left w:val="none" w:sz="0" w:space="0" w:color="auto"/>
        <w:bottom w:val="none" w:sz="0" w:space="0" w:color="auto"/>
        <w:right w:val="none" w:sz="0" w:space="0" w:color="auto"/>
      </w:divBdr>
    </w:div>
    <w:div w:id="1880629298">
      <w:bodyDiv w:val="1"/>
      <w:marLeft w:val="0"/>
      <w:marRight w:val="0"/>
      <w:marTop w:val="0"/>
      <w:marBottom w:val="0"/>
      <w:divBdr>
        <w:top w:val="none" w:sz="0" w:space="0" w:color="auto"/>
        <w:left w:val="none" w:sz="0" w:space="0" w:color="auto"/>
        <w:bottom w:val="none" w:sz="0" w:space="0" w:color="auto"/>
        <w:right w:val="none" w:sz="0" w:space="0" w:color="auto"/>
      </w:divBdr>
    </w:div>
    <w:div w:id="1886717864">
      <w:bodyDiv w:val="1"/>
      <w:marLeft w:val="0"/>
      <w:marRight w:val="0"/>
      <w:marTop w:val="0"/>
      <w:marBottom w:val="0"/>
      <w:divBdr>
        <w:top w:val="none" w:sz="0" w:space="0" w:color="auto"/>
        <w:left w:val="none" w:sz="0" w:space="0" w:color="auto"/>
        <w:bottom w:val="none" w:sz="0" w:space="0" w:color="auto"/>
        <w:right w:val="none" w:sz="0" w:space="0" w:color="auto"/>
      </w:divBdr>
    </w:div>
    <w:div w:id="1891648841">
      <w:bodyDiv w:val="1"/>
      <w:marLeft w:val="0"/>
      <w:marRight w:val="0"/>
      <w:marTop w:val="0"/>
      <w:marBottom w:val="0"/>
      <w:divBdr>
        <w:top w:val="none" w:sz="0" w:space="0" w:color="auto"/>
        <w:left w:val="none" w:sz="0" w:space="0" w:color="auto"/>
        <w:bottom w:val="none" w:sz="0" w:space="0" w:color="auto"/>
        <w:right w:val="none" w:sz="0" w:space="0" w:color="auto"/>
      </w:divBdr>
    </w:div>
    <w:div w:id="1904636001">
      <w:bodyDiv w:val="1"/>
      <w:marLeft w:val="0"/>
      <w:marRight w:val="0"/>
      <w:marTop w:val="0"/>
      <w:marBottom w:val="0"/>
      <w:divBdr>
        <w:top w:val="none" w:sz="0" w:space="0" w:color="auto"/>
        <w:left w:val="none" w:sz="0" w:space="0" w:color="auto"/>
        <w:bottom w:val="none" w:sz="0" w:space="0" w:color="auto"/>
        <w:right w:val="none" w:sz="0" w:space="0" w:color="auto"/>
      </w:divBdr>
    </w:div>
    <w:div w:id="1922596601">
      <w:bodyDiv w:val="1"/>
      <w:marLeft w:val="0"/>
      <w:marRight w:val="0"/>
      <w:marTop w:val="0"/>
      <w:marBottom w:val="0"/>
      <w:divBdr>
        <w:top w:val="none" w:sz="0" w:space="0" w:color="auto"/>
        <w:left w:val="none" w:sz="0" w:space="0" w:color="auto"/>
        <w:bottom w:val="none" w:sz="0" w:space="0" w:color="auto"/>
        <w:right w:val="none" w:sz="0" w:space="0" w:color="auto"/>
      </w:divBdr>
    </w:div>
    <w:div w:id="1932471509">
      <w:bodyDiv w:val="1"/>
      <w:marLeft w:val="0"/>
      <w:marRight w:val="0"/>
      <w:marTop w:val="0"/>
      <w:marBottom w:val="0"/>
      <w:divBdr>
        <w:top w:val="none" w:sz="0" w:space="0" w:color="auto"/>
        <w:left w:val="none" w:sz="0" w:space="0" w:color="auto"/>
        <w:bottom w:val="none" w:sz="0" w:space="0" w:color="auto"/>
        <w:right w:val="none" w:sz="0" w:space="0" w:color="auto"/>
      </w:divBdr>
    </w:div>
    <w:div w:id="1996181213">
      <w:bodyDiv w:val="1"/>
      <w:marLeft w:val="0"/>
      <w:marRight w:val="0"/>
      <w:marTop w:val="0"/>
      <w:marBottom w:val="0"/>
      <w:divBdr>
        <w:top w:val="none" w:sz="0" w:space="0" w:color="auto"/>
        <w:left w:val="none" w:sz="0" w:space="0" w:color="auto"/>
        <w:bottom w:val="none" w:sz="0" w:space="0" w:color="auto"/>
        <w:right w:val="none" w:sz="0" w:space="0" w:color="auto"/>
      </w:divBdr>
    </w:div>
    <w:div w:id="2011324154">
      <w:bodyDiv w:val="1"/>
      <w:marLeft w:val="0"/>
      <w:marRight w:val="0"/>
      <w:marTop w:val="0"/>
      <w:marBottom w:val="0"/>
      <w:divBdr>
        <w:top w:val="none" w:sz="0" w:space="0" w:color="auto"/>
        <w:left w:val="none" w:sz="0" w:space="0" w:color="auto"/>
        <w:bottom w:val="none" w:sz="0" w:space="0" w:color="auto"/>
        <w:right w:val="none" w:sz="0" w:space="0" w:color="auto"/>
      </w:divBdr>
    </w:div>
    <w:div w:id="2018264271">
      <w:bodyDiv w:val="1"/>
      <w:marLeft w:val="0"/>
      <w:marRight w:val="0"/>
      <w:marTop w:val="0"/>
      <w:marBottom w:val="0"/>
      <w:divBdr>
        <w:top w:val="none" w:sz="0" w:space="0" w:color="auto"/>
        <w:left w:val="none" w:sz="0" w:space="0" w:color="auto"/>
        <w:bottom w:val="none" w:sz="0" w:space="0" w:color="auto"/>
        <w:right w:val="none" w:sz="0" w:space="0" w:color="auto"/>
      </w:divBdr>
    </w:div>
    <w:div w:id="2027706920">
      <w:bodyDiv w:val="1"/>
      <w:marLeft w:val="0"/>
      <w:marRight w:val="0"/>
      <w:marTop w:val="0"/>
      <w:marBottom w:val="0"/>
      <w:divBdr>
        <w:top w:val="none" w:sz="0" w:space="0" w:color="auto"/>
        <w:left w:val="none" w:sz="0" w:space="0" w:color="auto"/>
        <w:bottom w:val="none" w:sz="0" w:space="0" w:color="auto"/>
        <w:right w:val="none" w:sz="0" w:space="0" w:color="auto"/>
      </w:divBdr>
    </w:div>
    <w:div w:id="2032149364">
      <w:bodyDiv w:val="1"/>
      <w:marLeft w:val="0"/>
      <w:marRight w:val="0"/>
      <w:marTop w:val="0"/>
      <w:marBottom w:val="0"/>
      <w:divBdr>
        <w:top w:val="none" w:sz="0" w:space="0" w:color="auto"/>
        <w:left w:val="none" w:sz="0" w:space="0" w:color="auto"/>
        <w:bottom w:val="none" w:sz="0" w:space="0" w:color="auto"/>
        <w:right w:val="none" w:sz="0" w:space="0" w:color="auto"/>
      </w:divBdr>
      <w:divsChild>
        <w:div w:id="447967143">
          <w:marLeft w:val="0"/>
          <w:marRight w:val="0"/>
          <w:marTop w:val="0"/>
          <w:marBottom w:val="0"/>
          <w:divBdr>
            <w:top w:val="none" w:sz="0" w:space="0" w:color="auto"/>
            <w:left w:val="none" w:sz="0" w:space="0" w:color="auto"/>
            <w:bottom w:val="none" w:sz="0" w:space="0" w:color="auto"/>
            <w:right w:val="none" w:sz="0" w:space="0" w:color="auto"/>
          </w:divBdr>
          <w:divsChild>
            <w:div w:id="344285198">
              <w:marLeft w:val="0"/>
              <w:marRight w:val="0"/>
              <w:marTop w:val="0"/>
              <w:marBottom w:val="0"/>
              <w:divBdr>
                <w:top w:val="none" w:sz="0" w:space="0" w:color="auto"/>
                <w:left w:val="none" w:sz="0" w:space="0" w:color="auto"/>
                <w:bottom w:val="none" w:sz="0" w:space="0" w:color="auto"/>
                <w:right w:val="none" w:sz="0" w:space="0" w:color="auto"/>
              </w:divBdr>
              <w:divsChild>
                <w:div w:id="133565078">
                  <w:marLeft w:val="0"/>
                  <w:marRight w:val="0"/>
                  <w:marTop w:val="0"/>
                  <w:marBottom w:val="129"/>
                  <w:divBdr>
                    <w:top w:val="none" w:sz="0" w:space="0" w:color="auto"/>
                    <w:left w:val="none" w:sz="0" w:space="0" w:color="auto"/>
                    <w:bottom w:val="none" w:sz="0" w:space="0" w:color="auto"/>
                    <w:right w:val="none" w:sz="0" w:space="0" w:color="auto"/>
                  </w:divBdr>
                  <w:divsChild>
                    <w:div w:id="1776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2252">
      <w:bodyDiv w:val="1"/>
      <w:marLeft w:val="0"/>
      <w:marRight w:val="0"/>
      <w:marTop w:val="0"/>
      <w:marBottom w:val="0"/>
      <w:divBdr>
        <w:top w:val="none" w:sz="0" w:space="0" w:color="auto"/>
        <w:left w:val="none" w:sz="0" w:space="0" w:color="auto"/>
        <w:bottom w:val="none" w:sz="0" w:space="0" w:color="auto"/>
        <w:right w:val="none" w:sz="0" w:space="0" w:color="auto"/>
      </w:divBdr>
    </w:div>
    <w:div w:id="2053192969">
      <w:bodyDiv w:val="1"/>
      <w:marLeft w:val="0"/>
      <w:marRight w:val="0"/>
      <w:marTop w:val="0"/>
      <w:marBottom w:val="0"/>
      <w:divBdr>
        <w:top w:val="none" w:sz="0" w:space="0" w:color="auto"/>
        <w:left w:val="none" w:sz="0" w:space="0" w:color="auto"/>
        <w:bottom w:val="none" w:sz="0" w:space="0" w:color="auto"/>
        <w:right w:val="none" w:sz="0" w:space="0" w:color="auto"/>
      </w:divBdr>
    </w:div>
    <w:div w:id="2054573595">
      <w:bodyDiv w:val="1"/>
      <w:marLeft w:val="0"/>
      <w:marRight w:val="0"/>
      <w:marTop w:val="0"/>
      <w:marBottom w:val="0"/>
      <w:divBdr>
        <w:top w:val="none" w:sz="0" w:space="0" w:color="auto"/>
        <w:left w:val="none" w:sz="0" w:space="0" w:color="auto"/>
        <w:bottom w:val="none" w:sz="0" w:space="0" w:color="auto"/>
        <w:right w:val="none" w:sz="0" w:space="0" w:color="auto"/>
      </w:divBdr>
    </w:div>
    <w:div w:id="2056008307">
      <w:bodyDiv w:val="1"/>
      <w:marLeft w:val="0"/>
      <w:marRight w:val="0"/>
      <w:marTop w:val="0"/>
      <w:marBottom w:val="0"/>
      <w:divBdr>
        <w:top w:val="none" w:sz="0" w:space="0" w:color="auto"/>
        <w:left w:val="none" w:sz="0" w:space="0" w:color="auto"/>
        <w:bottom w:val="none" w:sz="0" w:space="0" w:color="auto"/>
        <w:right w:val="none" w:sz="0" w:space="0" w:color="auto"/>
      </w:divBdr>
    </w:div>
    <w:div w:id="2057194842">
      <w:bodyDiv w:val="1"/>
      <w:marLeft w:val="0"/>
      <w:marRight w:val="0"/>
      <w:marTop w:val="0"/>
      <w:marBottom w:val="0"/>
      <w:divBdr>
        <w:top w:val="none" w:sz="0" w:space="0" w:color="auto"/>
        <w:left w:val="none" w:sz="0" w:space="0" w:color="auto"/>
        <w:bottom w:val="none" w:sz="0" w:space="0" w:color="auto"/>
        <w:right w:val="none" w:sz="0" w:space="0" w:color="auto"/>
      </w:divBdr>
    </w:div>
    <w:div w:id="2077893961">
      <w:bodyDiv w:val="1"/>
      <w:marLeft w:val="0"/>
      <w:marRight w:val="0"/>
      <w:marTop w:val="0"/>
      <w:marBottom w:val="0"/>
      <w:divBdr>
        <w:top w:val="none" w:sz="0" w:space="0" w:color="auto"/>
        <w:left w:val="none" w:sz="0" w:space="0" w:color="auto"/>
        <w:bottom w:val="none" w:sz="0" w:space="0" w:color="auto"/>
        <w:right w:val="none" w:sz="0" w:space="0" w:color="auto"/>
      </w:divBdr>
    </w:div>
    <w:div w:id="2080666072">
      <w:bodyDiv w:val="1"/>
      <w:marLeft w:val="0"/>
      <w:marRight w:val="0"/>
      <w:marTop w:val="0"/>
      <w:marBottom w:val="0"/>
      <w:divBdr>
        <w:top w:val="none" w:sz="0" w:space="0" w:color="auto"/>
        <w:left w:val="none" w:sz="0" w:space="0" w:color="auto"/>
        <w:bottom w:val="none" w:sz="0" w:space="0" w:color="auto"/>
        <w:right w:val="none" w:sz="0" w:space="0" w:color="auto"/>
      </w:divBdr>
      <w:divsChild>
        <w:div w:id="720372983">
          <w:marLeft w:val="0"/>
          <w:marRight w:val="0"/>
          <w:marTop w:val="0"/>
          <w:marBottom w:val="0"/>
          <w:divBdr>
            <w:top w:val="none" w:sz="0" w:space="0" w:color="auto"/>
            <w:left w:val="none" w:sz="0" w:space="0" w:color="auto"/>
            <w:bottom w:val="none" w:sz="0" w:space="0" w:color="auto"/>
            <w:right w:val="none" w:sz="0" w:space="0" w:color="auto"/>
          </w:divBdr>
          <w:divsChild>
            <w:div w:id="1362821808">
              <w:marLeft w:val="0"/>
              <w:marRight w:val="0"/>
              <w:marTop w:val="0"/>
              <w:marBottom w:val="0"/>
              <w:divBdr>
                <w:top w:val="none" w:sz="0" w:space="0" w:color="auto"/>
                <w:left w:val="none" w:sz="0" w:space="0" w:color="auto"/>
                <w:bottom w:val="none" w:sz="0" w:space="0" w:color="auto"/>
                <w:right w:val="none" w:sz="0" w:space="0" w:color="auto"/>
              </w:divBdr>
              <w:divsChild>
                <w:div w:id="1431853735">
                  <w:marLeft w:val="0"/>
                  <w:marRight w:val="0"/>
                  <w:marTop w:val="0"/>
                  <w:marBottom w:val="129"/>
                  <w:divBdr>
                    <w:top w:val="none" w:sz="0" w:space="0" w:color="auto"/>
                    <w:left w:val="none" w:sz="0" w:space="0" w:color="auto"/>
                    <w:bottom w:val="none" w:sz="0" w:space="0" w:color="auto"/>
                    <w:right w:val="none" w:sz="0" w:space="0" w:color="auto"/>
                  </w:divBdr>
                  <w:divsChild>
                    <w:div w:id="2116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055664">
      <w:bodyDiv w:val="1"/>
      <w:marLeft w:val="0"/>
      <w:marRight w:val="0"/>
      <w:marTop w:val="0"/>
      <w:marBottom w:val="0"/>
      <w:divBdr>
        <w:top w:val="none" w:sz="0" w:space="0" w:color="auto"/>
        <w:left w:val="none" w:sz="0" w:space="0" w:color="auto"/>
        <w:bottom w:val="none" w:sz="0" w:space="0" w:color="auto"/>
        <w:right w:val="none" w:sz="0" w:space="0" w:color="auto"/>
      </w:divBdr>
    </w:div>
    <w:div w:id="2102097000">
      <w:bodyDiv w:val="1"/>
      <w:marLeft w:val="0"/>
      <w:marRight w:val="0"/>
      <w:marTop w:val="0"/>
      <w:marBottom w:val="0"/>
      <w:divBdr>
        <w:top w:val="none" w:sz="0" w:space="0" w:color="auto"/>
        <w:left w:val="none" w:sz="0" w:space="0" w:color="auto"/>
        <w:bottom w:val="none" w:sz="0" w:space="0" w:color="auto"/>
        <w:right w:val="none" w:sz="0" w:space="0" w:color="auto"/>
      </w:divBdr>
    </w:div>
    <w:div w:id="2142337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icrc.act.gov.au" TargetMode="Externa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eader" Target="header24.xml"/><Relationship Id="rId21" Type="http://schemas.openxmlformats.org/officeDocument/2006/relationships/header" Target="header7.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header" Target="header3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icrc@act.gov.au" TargetMode="External"/><Relationship Id="rId29" Type="http://schemas.openxmlformats.org/officeDocument/2006/relationships/header" Target="header14.xml"/><Relationship Id="rId41" Type="http://schemas.openxmlformats.org/officeDocument/2006/relationships/header" Target="header2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header" Target="header3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3.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6.xml"/><Relationship Id="rId44" Type="http://schemas.openxmlformats.org/officeDocument/2006/relationships/header" Target="header29.xml"/><Relationship Id="rId52"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crc@act.gov.au" TargetMode="Externa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yperlink" Target="http://www.legislation.act.gov.au" TargetMode="External"/><Relationship Id="rId8" Type="http://schemas.openxmlformats.org/officeDocument/2006/relationships/header" Target="header1.xml"/><Relationship Id="rId51" Type="http://schemas.openxmlformats.org/officeDocument/2006/relationships/header" Target="header35.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82862-E3C9-4A62-B78B-E548EDF9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62</Pages>
  <Words>17265</Words>
  <Characters>98414</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Regulated water and sewerage services</vt:lpstr>
    </vt:vector>
  </TitlesOfParts>
  <Company>ACT Government</Company>
  <LinksUpToDate>false</LinksUpToDate>
  <CharactersWithSpaces>115449</CharactersWithSpaces>
  <SharedDoc>false</SharedDoc>
  <HLinks>
    <vt:vector size="228" baseType="variant">
      <vt:variant>
        <vt:i4>8323196</vt:i4>
      </vt:variant>
      <vt:variant>
        <vt:i4>261</vt:i4>
      </vt:variant>
      <vt:variant>
        <vt:i4>0</vt:i4>
      </vt:variant>
      <vt:variant>
        <vt:i4>5</vt:i4>
      </vt:variant>
      <vt:variant>
        <vt:lpwstr>http://www.legislation.act.gov.au/</vt:lpwstr>
      </vt:variant>
      <vt:variant>
        <vt:lpwstr/>
      </vt:variant>
      <vt:variant>
        <vt:i4>1900597</vt:i4>
      </vt:variant>
      <vt:variant>
        <vt:i4>215</vt:i4>
      </vt:variant>
      <vt:variant>
        <vt:i4>0</vt:i4>
      </vt:variant>
      <vt:variant>
        <vt:i4>5</vt:i4>
      </vt:variant>
      <vt:variant>
        <vt:lpwstr/>
      </vt:variant>
      <vt:variant>
        <vt:lpwstr>_Toc475975311</vt:lpwstr>
      </vt:variant>
      <vt:variant>
        <vt:i4>1900597</vt:i4>
      </vt:variant>
      <vt:variant>
        <vt:i4>206</vt:i4>
      </vt:variant>
      <vt:variant>
        <vt:i4>0</vt:i4>
      </vt:variant>
      <vt:variant>
        <vt:i4>5</vt:i4>
      </vt:variant>
      <vt:variant>
        <vt:lpwstr/>
      </vt:variant>
      <vt:variant>
        <vt:lpwstr>_Toc475975310</vt:lpwstr>
      </vt:variant>
      <vt:variant>
        <vt:i4>1835061</vt:i4>
      </vt:variant>
      <vt:variant>
        <vt:i4>200</vt:i4>
      </vt:variant>
      <vt:variant>
        <vt:i4>0</vt:i4>
      </vt:variant>
      <vt:variant>
        <vt:i4>5</vt:i4>
      </vt:variant>
      <vt:variant>
        <vt:lpwstr/>
      </vt:variant>
      <vt:variant>
        <vt:lpwstr>_Toc475975309</vt:lpwstr>
      </vt:variant>
      <vt:variant>
        <vt:i4>1376306</vt:i4>
      </vt:variant>
      <vt:variant>
        <vt:i4>191</vt:i4>
      </vt:variant>
      <vt:variant>
        <vt:i4>0</vt:i4>
      </vt:variant>
      <vt:variant>
        <vt:i4>5</vt:i4>
      </vt:variant>
      <vt:variant>
        <vt:lpwstr/>
      </vt:variant>
      <vt:variant>
        <vt:lpwstr>_Toc476571718</vt:lpwstr>
      </vt:variant>
      <vt:variant>
        <vt:i4>1376306</vt:i4>
      </vt:variant>
      <vt:variant>
        <vt:i4>185</vt:i4>
      </vt:variant>
      <vt:variant>
        <vt:i4>0</vt:i4>
      </vt:variant>
      <vt:variant>
        <vt:i4>5</vt:i4>
      </vt:variant>
      <vt:variant>
        <vt:lpwstr/>
      </vt:variant>
      <vt:variant>
        <vt:lpwstr>_Toc476571717</vt:lpwstr>
      </vt:variant>
      <vt:variant>
        <vt:i4>1376306</vt:i4>
      </vt:variant>
      <vt:variant>
        <vt:i4>179</vt:i4>
      </vt:variant>
      <vt:variant>
        <vt:i4>0</vt:i4>
      </vt:variant>
      <vt:variant>
        <vt:i4>5</vt:i4>
      </vt:variant>
      <vt:variant>
        <vt:lpwstr/>
      </vt:variant>
      <vt:variant>
        <vt:lpwstr>_Toc476571716</vt:lpwstr>
      </vt:variant>
      <vt:variant>
        <vt:i4>1376306</vt:i4>
      </vt:variant>
      <vt:variant>
        <vt:i4>173</vt:i4>
      </vt:variant>
      <vt:variant>
        <vt:i4>0</vt:i4>
      </vt:variant>
      <vt:variant>
        <vt:i4>5</vt:i4>
      </vt:variant>
      <vt:variant>
        <vt:lpwstr/>
      </vt:variant>
      <vt:variant>
        <vt:lpwstr>_Toc476571715</vt:lpwstr>
      </vt:variant>
      <vt:variant>
        <vt:i4>1376306</vt:i4>
      </vt:variant>
      <vt:variant>
        <vt:i4>167</vt:i4>
      </vt:variant>
      <vt:variant>
        <vt:i4>0</vt:i4>
      </vt:variant>
      <vt:variant>
        <vt:i4>5</vt:i4>
      </vt:variant>
      <vt:variant>
        <vt:lpwstr/>
      </vt:variant>
      <vt:variant>
        <vt:lpwstr>_Toc476571714</vt:lpwstr>
      </vt:variant>
      <vt:variant>
        <vt:i4>1376306</vt:i4>
      </vt:variant>
      <vt:variant>
        <vt:i4>161</vt:i4>
      </vt:variant>
      <vt:variant>
        <vt:i4>0</vt:i4>
      </vt:variant>
      <vt:variant>
        <vt:i4>5</vt:i4>
      </vt:variant>
      <vt:variant>
        <vt:lpwstr/>
      </vt:variant>
      <vt:variant>
        <vt:lpwstr>_Toc476571713</vt:lpwstr>
      </vt:variant>
      <vt:variant>
        <vt:i4>1376306</vt:i4>
      </vt:variant>
      <vt:variant>
        <vt:i4>155</vt:i4>
      </vt:variant>
      <vt:variant>
        <vt:i4>0</vt:i4>
      </vt:variant>
      <vt:variant>
        <vt:i4>5</vt:i4>
      </vt:variant>
      <vt:variant>
        <vt:lpwstr/>
      </vt:variant>
      <vt:variant>
        <vt:lpwstr>_Toc476571712</vt:lpwstr>
      </vt:variant>
      <vt:variant>
        <vt:i4>1835059</vt:i4>
      </vt:variant>
      <vt:variant>
        <vt:i4>149</vt:i4>
      </vt:variant>
      <vt:variant>
        <vt:i4>0</vt:i4>
      </vt:variant>
      <vt:variant>
        <vt:i4>5</vt:i4>
      </vt:variant>
      <vt:variant>
        <vt:lpwstr/>
      </vt:variant>
      <vt:variant>
        <vt:lpwstr>_Toc476571688</vt:lpwstr>
      </vt:variant>
      <vt:variant>
        <vt:i4>1835059</vt:i4>
      </vt:variant>
      <vt:variant>
        <vt:i4>143</vt:i4>
      </vt:variant>
      <vt:variant>
        <vt:i4>0</vt:i4>
      </vt:variant>
      <vt:variant>
        <vt:i4>5</vt:i4>
      </vt:variant>
      <vt:variant>
        <vt:lpwstr/>
      </vt:variant>
      <vt:variant>
        <vt:lpwstr>_Toc476571687</vt:lpwstr>
      </vt:variant>
      <vt:variant>
        <vt:i4>1835059</vt:i4>
      </vt:variant>
      <vt:variant>
        <vt:i4>137</vt:i4>
      </vt:variant>
      <vt:variant>
        <vt:i4>0</vt:i4>
      </vt:variant>
      <vt:variant>
        <vt:i4>5</vt:i4>
      </vt:variant>
      <vt:variant>
        <vt:lpwstr/>
      </vt:variant>
      <vt:variant>
        <vt:lpwstr>_Toc476571686</vt:lpwstr>
      </vt:variant>
      <vt:variant>
        <vt:i4>1835059</vt:i4>
      </vt:variant>
      <vt:variant>
        <vt:i4>131</vt:i4>
      </vt:variant>
      <vt:variant>
        <vt:i4>0</vt:i4>
      </vt:variant>
      <vt:variant>
        <vt:i4>5</vt:i4>
      </vt:variant>
      <vt:variant>
        <vt:lpwstr/>
      </vt:variant>
      <vt:variant>
        <vt:lpwstr>_Toc476571685</vt:lpwstr>
      </vt:variant>
      <vt:variant>
        <vt:i4>1835059</vt:i4>
      </vt:variant>
      <vt:variant>
        <vt:i4>125</vt:i4>
      </vt:variant>
      <vt:variant>
        <vt:i4>0</vt:i4>
      </vt:variant>
      <vt:variant>
        <vt:i4>5</vt:i4>
      </vt:variant>
      <vt:variant>
        <vt:lpwstr/>
      </vt:variant>
      <vt:variant>
        <vt:lpwstr>_Toc476571684</vt:lpwstr>
      </vt:variant>
      <vt:variant>
        <vt:i4>1835059</vt:i4>
      </vt:variant>
      <vt:variant>
        <vt:i4>119</vt:i4>
      </vt:variant>
      <vt:variant>
        <vt:i4>0</vt:i4>
      </vt:variant>
      <vt:variant>
        <vt:i4>5</vt:i4>
      </vt:variant>
      <vt:variant>
        <vt:lpwstr/>
      </vt:variant>
      <vt:variant>
        <vt:lpwstr>_Toc476571683</vt:lpwstr>
      </vt:variant>
      <vt:variant>
        <vt:i4>1835059</vt:i4>
      </vt:variant>
      <vt:variant>
        <vt:i4>113</vt:i4>
      </vt:variant>
      <vt:variant>
        <vt:i4>0</vt:i4>
      </vt:variant>
      <vt:variant>
        <vt:i4>5</vt:i4>
      </vt:variant>
      <vt:variant>
        <vt:lpwstr/>
      </vt:variant>
      <vt:variant>
        <vt:lpwstr>_Toc476571682</vt:lpwstr>
      </vt:variant>
      <vt:variant>
        <vt:i4>1835059</vt:i4>
      </vt:variant>
      <vt:variant>
        <vt:i4>107</vt:i4>
      </vt:variant>
      <vt:variant>
        <vt:i4>0</vt:i4>
      </vt:variant>
      <vt:variant>
        <vt:i4>5</vt:i4>
      </vt:variant>
      <vt:variant>
        <vt:lpwstr/>
      </vt:variant>
      <vt:variant>
        <vt:lpwstr>_Toc476571681</vt:lpwstr>
      </vt:variant>
      <vt:variant>
        <vt:i4>1835059</vt:i4>
      </vt:variant>
      <vt:variant>
        <vt:i4>101</vt:i4>
      </vt:variant>
      <vt:variant>
        <vt:i4>0</vt:i4>
      </vt:variant>
      <vt:variant>
        <vt:i4>5</vt:i4>
      </vt:variant>
      <vt:variant>
        <vt:lpwstr/>
      </vt:variant>
      <vt:variant>
        <vt:lpwstr>_Toc476571680</vt:lpwstr>
      </vt:variant>
      <vt:variant>
        <vt:i4>1245235</vt:i4>
      </vt:variant>
      <vt:variant>
        <vt:i4>95</vt:i4>
      </vt:variant>
      <vt:variant>
        <vt:i4>0</vt:i4>
      </vt:variant>
      <vt:variant>
        <vt:i4>5</vt:i4>
      </vt:variant>
      <vt:variant>
        <vt:lpwstr/>
      </vt:variant>
      <vt:variant>
        <vt:lpwstr>_Toc476571679</vt:lpwstr>
      </vt:variant>
      <vt:variant>
        <vt:i4>1245235</vt:i4>
      </vt:variant>
      <vt:variant>
        <vt:i4>89</vt:i4>
      </vt:variant>
      <vt:variant>
        <vt:i4>0</vt:i4>
      </vt:variant>
      <vt:variant>
        <vt:i4>5</vt:i4>
      </vt:variant>
      <vt:variant>
        <vt:lpwstr/>
      </vt:variant>
      <vt:variant>
        <vt:lpwstr>_Toc476571678</vt:lpwstr>
      </vt:variant>
      <vt:variant>
        <vt:i4>1245235</vt:i4>
      </vt:variant>
      <vt:variant>
        <vt:i4>83</vt:i4>
      </vt:variant>
      <vt:variant>
        <vt:i4>0</vt:i4>
      </vt:variant>
      <vt:variant>
        <vt:i4>5</vt:i4>
      </vt:variant>
      <vt:variant>
        <vt:lpwstr/>
      </vt:variant>
      <vt:variant>
        <vt:lpwstr>_Toc476571677</vt:lpwstr>
      </vt:variant>
      <vt:variant>
        <vt:i4>1245235</vt:i4>
      </vt:variant>
      <vt:variant>
        <vt:i4>77</vt:i4>
      </vt:variant>
      <vt:variant>
        <vt:i4>0</vt:i4>
      </vt:variant>
      <vt:variant>
        <vt:i4>5</vt:i4>
      </vt:variant>
      <vt:variant>
        <vt:lpwstr/>
      </vt:variant>
      <vt:variant>
        <vt:lpwstr>_Toc476571676</vt:lpwstr>
      </vt:variant>
      <vt:variant>
        <vt:i4>1245235</vt:i4>
      </vt:variant>
      <vt:variant>
        <vt:i4>71</vt:i4>
      </vt:variant>
      <vt:variant>
        <vt:i4>0</vt:i4>
      </vt:variant>
      <vt:variant>
        <vt:i4>5</vt:i4>
      </vt:variant>
      <vt:variant>
        <vt:lpwstr/>
      </vt:variant>
      <vt:variant>
        <vt:lpwstr>_Toc476571675</vt:lpwstr>
      </vt:variant>
      <vt:variant>
        <vt:i4>1245235</vt:i4>
      </vt:variant>
      <vt:variant>
        <vt:i4>65</vt:i4>
      </vt:variant>
      <vt:variant>
        <vt:i4>0</vt:i4>
      </vt:variant>
      <vt:variant>
        <vt:i4>5</vt:i4>
      </vt:variant>
      <vt:variant>
        <vt:lpwstr/>
      </vt:variant>
      <vt:variant>
        <vt:lpwstr>_Toc476571674</vt:lpwstr>
      </vt:variant>
      <vt:variant>
        <vt:i4>1245235</vt:i4>
      </vt:variant>
      <vt:variant>
        <vt:i4>59</vt:i4>
      </vt:variant>
      <vt:variant>
        <vt:i4>0</vt:i4>
      </vt:variant>
      <vt:variant>
        <vt:i4>5</vt:i4>
      </vt:variant>
      <vt:variant>
        <vt:lpwstr/>
      </vt:variant>
      <vt:variant>
        <vt:lpwstr>_Toc476571673</vt:lpwstr>
      </vt:variant>
      <vt:variant>
        <vt:i4>1245235</vt:i4>
      </vt:variant>
      <vt:variant>
        <vt:i4>53</vt:i4>
      </vt:variant>
      <vt:variant>
        <vt:i4>0</vt:i4>
      </vt:variant>
      <vt:variant>
        <vt:i4>5</vt:i4>
      </vt:variant>
      <vt:variant>
        <vt:lpwstr/>
      </vt:variant>
      <vt:variant>
        <vt:lpwstr>_Toc476571672</vt:lpwstr>
      </vt:variant>
      <vt:variant>
        <vt:i4>1245235</vt:i4>
      </vt:variant>
      <vt:variant>
        <vt:i4>47</vt:i4>
      </vt:variant>
      <vt:variant>
        <vt:i4>0</vt:i4>
      </vt:variant>
      <vt:variant>
        <vt:i4>5</vt:i4>
      </vt:variant>
      <vt:variant>
        <vt:lpwstr/>
      </vt:variant>
      <vt:variant>
        <vt:lpwstr>_Toc476571671</vt:lpwstr>
      </vt:variant>
      <vt:variant>
        <vt:i4>1245235</vt:i4>
      </vt:variant>
      <vt:variant>
        <vt:i4>41</vt:i4>
      </vt:variant>
      <vt:variant>
        <vt:i4>0</vt:i4>
      </vt:variant>
      <vt:variant>
        <vt:i4>5</vt:i4>
      </vt:variant>
      <vt:variant>
        <vt:lpwstr/>
      </vt:variant>
      <vt:variant>
        <vt:lpwstr>_Toc476571670</vt:lpwstr>
      </vt:variant>
      <vt:variant>
        <vt:i4>1179699</vt:i4>
      </vt:variant>
      <vt:variant>
        <vt:i4>35</vt:i4>
      </vt:variant>
      <vt:variant>
        <vt:i4>0</vt:i4>
      </vt:variant>
      <vt:variant>
        <vt:i4>5</vt:i4>
      </vt:variant>
      <vt:variant>
        <vt:lpwstr/>
      </vt:variant>
      <vt:variant>
        <vt:lpwstr>_Toc476571669</vt:lpwstr>
      </vt:variant>
      <vt:variant>
        <vt:i4>1179699</vt:i4>
      </vt:variant>
      <vt:variant>
        <vt:i4>29</vt:i4>
      </vt:variant>
      <vt:variant>
        <vt:i4>0</vt:i4>
      </vt:variant>
      <vt:variant>
        <vt:i4>5</vt:i4>
      </vt:variant>
      <vt:variant>
        <vt:lpwstr/>
      </vt:variant>
      <vt:variant>
        <vt:lpwstr>_Toc476571668</vt:lpwstr>
      </vt:variant>
      <vt:variant>
        <vt:i4>1179699</vt:i4>
      </vt:variant>
      <vt:variant>
        <vt:i4>23</vt:i4>
      </vt:variant>
      <vt:variant>
        <vt:i4>0</vt:i4>
      </vt:variant>
      <vt:variant>
        <vt:i4>5</vt:i4>
      </vt:variant>
      <vt:variant>
        <vt:lpwstr/>
      </vt:variant>
      <vt:variant>
        <vt:lpwstr>_Toc476571667</vt:lpwstr>
      </vt:variant>
      <vt:variant>
        <vt:i4>1179699</vt:i4>
      </vt:variant>
      <vt:variant>
        <vt:i4>17</vt:i4>
      </vt:variant>
      <vt:variant>
        <vt:i4>0</vt:i4>
      </vt:variant>
      <vt:variant>
        <vt:i4>5</vt:i4>
      </vt:variant>
      <vt:variant>
        <vt:lpwstr/>
      </vt:variant>
      <vt:variant>
        <vt:lpwstr>_Toc476571666</vt:lpwstr>
      </vt:variant>
      <vt:variant>
        <vt:i4>1179699</vt:i4>
      </vt:variant>
      <vt:variant>
        <vt:i4>11</vt:i4>
      </vt:variant>
      <vt:variant>
        <vt:i4>0</vt:i4>
      </vt:variant>
      <vt:variant>
        <vt:i4>5</vt:i4>
      </vt:variant>
      <vt:variant>
        <vt:lpwstr/>
      </vt:variant>
      <vt:variant>
        <vt:lpwstr>_Toc476571665</vt:lpwstr>
      </vt:variant>
      <vt:variant>
        <vt:i4>4194351</vt:i4>
      </vt:variant>
      <vt:variant>
        <vt:i4>6</vt:i4>
      </vt:variant>
      <vt:variant>
        <vt:i4>0</vt:i4>
      </vt:variant>
      <vt:variant>
        <vt:i4>5</vt:i4>
      </vt:variant>
      <vt:variant>
        <vt:lpwstr>mailto:icrc@act.gov.au</vt:lpwstr>
      </vt:variant>
      <vt:variant>
        <vt:lpwstr/>
      </vt:variant>
      <vt:variant>
        <vt:i4>4194351</vt:i4>
      </vt:variant>
      <vt:variant>
        <vt:i4>3</vt:i4>
      </vt:variant>
      <vt:variant>
        <vt:i4>0</vt:i4>
      </vt:variant>
      <vt:variant>
        <vt:i4>5</vt:i4>
      </vt:variant>
      <vt:variant>
        <vt:lpwstr>mailto:icrc@act.gov.au</vt:lpwstr>
      </vt:variant>
      <vt:variant>
        <vt:lpwstr/>
      </vt:variant>
      <vt:variant>
        <vt:i4>6750261</vt:i4>
      </vt:variant>
      <vt:variant>
        <vt:i4>0</vt:i4>
      </vt:variant>
      <vt:variant>
        <vt:i4>0</vt:i4>
      </vt:variant>
      <vt:variant>
        <vt:i4>5</vt:i4>
      </vt:variant>
      <vt:variant>
        <vt:lpwstr>http://www.icrc.act.gov.au/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Regulated water and sewerage services</dc:title>
  <dc:creator>jack gregory</dc:creator>
  <cp:lastModifiedBy>Fahey, Andy</cp:lastModifiedBy>
  <cp:revision>44</cp:revision>
  <cp:lastPrinted>2017-03-29T23:17:00Z</cp:lastPrinted>
  <dcterms:created xsi:type="dcterms:W3CDTF">2017-03-28T23:56:00Z</dcterms:created>
  <dcterms:modified xsi:type="dcterms:W3CDTF">2017-03-31T02:24:00Z</dcterms:modified>
</cp:coreProperties>
</file>