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06" w:rsidRPr="00D11A5A" w:rsidRDefault="00A50906" w:rsidP="00D12367">
      <w:pPr>
        <w:spacing w:after="80"/>
        <w:ind w:left="1843" w:right="2410"/>
        <w:jc w:val="center"/>
        <w:rPr>
          <w:sz w:val="24"/>
          <w:szCs w:val="24"/>
          <w:lang w:val="en-AU"/>
        </w:rPr>
      </w:pPr>
      <w:bookmarkStart w:id="0" w:name="_GoBack"/>
      <w:bookmarkEnd w:id="0"/>
    </w:p>
    <w:p w:rsidR="00A50906" w:rsidRPr="00D11A5A" w:rsidRDefault="00A50906" w:rsidP="00D12367">
      <w:pPr>
        <w:spacing w:after="80"/>
        <w:ind w:left="1843" w:right="2410"/>
        <w:jc w:val="center"/>
        <w:rPr>
          <w:sz w:val="24"/>
          <w:szCs w:val="24"/>
          <w:lang w:val="en-AU"/>
        </w:rPr>
      </w:pPr>
    </w:p>
    <w:p w:rsidR="00A50906" w:rsidRPr="00D11A5A" w:rsidRDefault="00A50906" w:rsidP="00D12367">
      <w:pPr>
        <w:spacing w:after="80"/>
        <w:ind w:left="1843" w:right="2410"/>
        <w:jc w:val="center"/>
        <w:rPr>
          <w:sz w:val="24"/>
          <w:szCs w:val="24"/>
          <w:lang w:val="en-AU"/>
        </w:rPr>
      </w:pPr>
    </w:p>
    <w:p w:rsidR="00A50906" w:rsidRPr="00D11A5A" w:rsidRDefault="00A50906" w:rsidP="00D12367">
      <w:pPr>
        <w:spacing w:after="80"/>
        <w:ind w:left="1843" w:right="2410"/>
        <w:jc w:val="center"/>
        <w:rPr>
          <w:sz w:val="24"/>
          <w:szCs w:val="24"/>
          <w:lang w:val="en-AU"/>
        </w:rPr>
      </w:pPr>
    </w:p>
    <w:p w:rsidR="00796887" w:rsidRPr="00D11A5A" w:rsidRDefault="00796887" w:rsidP="00796887">
      <w:pPr>
        <w:tabs>
          <w:tab w:val="left" w:pos="5592"/>
        </w:tabs>
        <w:jc w:val="center"/>
        <w:rPr>
          <w:sz w:val="24"/>
          <w:szCs w:val="24"/>
          <w:lang w:val="en-AU"/>
        </w:rPr>
      </w:pPr>
    </w:p>
    <w:p w:rsidR="00796887" w:rsidRPr="00D11A5A" w:rsidRDefault="00796887" w:rsidP="00796887">
      <w:pPr>
        <w:rPr>
          <w:sz w:val="24"/>
          <w:szCs w:val="24"/>
          <w:lang w:val="en-AU"/>
        </w:rPr>
      </w:pPr>
    </w:p>
    <w:p w:rsidR="004D25B3" w:rsidRDefault="004D25B3" w:rsidP="004A66E2">
      <w:bookmarkStart w:id="1" w:name="_Toc27649604"/>
      <w:bookmarkStart w:id="2" w:name="_Toc43786474"/>
      <w:bookmarkStart w:id="3" w:name="_Toc44217184"/>
    </w:p>
    <w:p w:rsidR="004D25B3" w:rsidRPr="004D25B3" w:rsidRDefault="004D25B3" w:rsidP="004D25B3"/>
    <w:p w:rsidR="004D25B3" w:rsidRPr="004D25B3" w:rsidRDefault="004D25B3" w:rsidP="004D25B3"/>
    <w:p w:rsidR="004D25B3" w:rsidRPr="004D25B3" w:rsidRDefault="004D25B3" w:rsidP="004D25B3"/>
    <w:p w:rsidR="004D25B3" w:rsidRPr="004D25B3" w:rsidRDefault="004D25B3" w:rsidP="004D25B3"/>
    <w:p w:rsidR="004D25B3" w:rsidRPr="004D25B3" w:rsidRDefault="004D25B3" w:rsidP="00B026B8">
      <w:pPr>
        <w:jc w:val="right"/>
      </w:pPr>
    </w:p>
    <w:p w:rsidR="004D25B3" w:rsidRPr="004D25B3" w:rsidRDefault="004D25B3" w:rsidP="004D25B3"/>
    <w:p w:rsidR="004D25B3" w:rsidRPr="004D25B3" w:rsidRDefault="004D25B3" w:rsidP="004D25B3"/>
    <w:p w:rsidR="004D25B3" w:rsidRDefault="009518B8" w:rsidP="004D25B3">
      <w:pPr>
        <w:tabs>
          <w:tab w:val="left" w:pos="6825"/>
        </w:tabs>
      </w:pPr>
      <w:bookmarkStart w:id="4" w:name="_top"/>
      <w:bookmarkEnd w:id="4"/>
      <w:r>
        <w:rPr>
          <w:bCs/>
          <w:noProof/>
          <w:sz w:val="24"/>
          <w:szCs w:val="24"/>
          <w:lang w:val="en-AU" w:eastAsia="en-AU"/>
        </w:rPr>
        <w:pict>
          <v:shapetype id="_x0000_t202" coordsize="21600,21600" o:spt="202" path="m,l,21600r21600,l21600,xe">
            <v:stroke joinstyle="miter"/>
            <v:path gradientshapeok="t" o:connecttype="rect"/>
          </v:shapetype>
          <v:shape id="Text Box 2" o:spid="_x0000_s1026" type="#_x0000_t202" style="position:absolute;margin-left:119.9pt;margin-top:131.1pt;width:311.25pt;height:1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" stroked="f">
            <v:textbox style="mso-fit-shape-to-text:t">
              <w:txbxContent>
                <w:p w:rsidR="008175D9" w:rsidRPr="00654320" w:rsidRDefault="008175D9" w:rsidP="00601380">
                  <w:pPr>
                    <w:spacing w:after="80"/>
                    <w:ind w:left="142" w:right="98"/>
                    <w:jc w:val="right"/>
                    <w:rPr>
                      <w:rFonts w:ascii="Arial" w:hAnsi="Arial"/>
                      <w:b/>
                      <w:bCs/>
                      <w:sz w:val="36"/>
                      <w:szCs w:val="36"/>
                      <w:lang w:val="en-AU"/>
                    </w:rPr>
                  </w:pPr>
                  <w:r>
                    <w:rPr>
                      <w:rFonts w:ascii="Arial" w:hAnsi="Arial"/>
                      <w:b/>
                      <w:bCs/>
                      <w:sz w:val="36"/>
                      <w:szCs w:val="36"/>
                      <w:lang w:val="en-AU"/>
                    </w:rPr>
                    <w:t xml:space="preserve"> Proposed </w:t>
                  </w:r>
                  <w:r w:rsidRPr="002E2A84">
                    <w:rPr>
                      <w:rFonts w:ascii="Arial" w:hAnsi="Arial"/>
                      <w:b/>
                      <w:bCs/>
                      <w:sz w:val="36"/>
                      <w:szCs w:val="36"/>
                      <w:lang w:val="en-AU"/>
                    </w:rPr>
                    <w:t xml:space="preserve">Price </w:t>
                  </w:r>
                  <w:r>
                    <w:rPr>
                      <w:rFonts w:ascii="Arial" w:hAnsi="Arial"/>
                      <w:b/>
                      <w:bCs/>
                      <w:sz w:val="36"/>
                      <w:szCs w:val="36"/>
                      <w:lang w:val="en-AU"/>
                    </w:rPr>
                    <w:t>D</w:t>
                  </w:r>
                  <w:r w:rsidRPr="002E2A84">
                    <w:rPr>
                      <w:rFonts w:ascii="Arial" w:hAnsi="Arial"/>
                      <w:b/>
                      <w:bCs/>
                      <w:sz w:val="36"/>
                      <w:szCs w:val="36"/>
                      <w:lang w:val="en-AU"/>
                    </w:rPr>
                    <w:t>irection</w:t>
                  </w:r>
                </w:p>
                <w:sdt>
                  <w:sdtPr>
                    <w:rPr>
                      <w:rFonts w:ascii="Arial" w:hAnsi="Arial" w:cs="Arial"/>
                      <w:b/>
                      <w:color w:val="000033"/>
                      <w:sz w:val="32"/>
                      <w:szCs w:val="32"/>
                    </w:rPr>
                    <w:alias w:val="Title"/>
                    <w:id w:val="1290505121"/>
                    <w:placeholder>
                      <w:docPart w:val="542DDF4CB4944FD9B0D9D2A05ED3BF6B"/>
                    </w:placeholder>
                    <w:dataBinding w:prefixMappings="xmlns:ns0='http://purl.org/dc/elements/1.1/' xmlns:ns1='http://schemas.openxmlformats.org/package/2006/metadata/core-properties' " w:xpath="/ns1:coreProperties[1]/ns0:title[1]" w:storeItemID="{6C3C8BC8-F283-45AE-878A-BAB7291924A1}"/>
                    <w:text/>
                  </w:sdtPr>
                  <w:sdtEndPr/>
                  <w:sdtContent>
                    <w:p w:rsidR="008175D9" w:rsidRPr="000A4D58" w:rsidRDefault="008175D9" w:rsidP="00966CF6">
                      <w:pPr>
                        <w:ind w:left="142" w:right="98"/>
                        <w:jc w:val="right"/>
                        <w:rPr>
                          <w:rFonts w:ascii="Arial" w:hAnsi="Arial" w:cs="Arial"/>
                          <w:b/>
                          <w:color w:val="000033"/>
                          <w:sz w:val="48"/>
                          <w:szCs w:val="48"/>
                        </w:rPr>
                      </w:pPr>
                      <w:r w:rsidRPr="002E2A84">
                        <w:rPr>
                          <w:rFonts w:ascii="Arial" w:hAnsi="Arial" w:cs="Arial"/>
                          <w:b/>
                          <w:color w:val="000033"/>
                          <w:sz w:val="32"/>
                          <w:szCs w:val="32"/>
                        </w:rPr>
                        <w:t>Standing offer prices for the supply of electricity to small customers</w:t>
                      </w:r>
                    </w:p>
                  </w:sdtContent>
                </w:sdt>
                <w:p w:rsidR="008175D9" w:rsidRPr="00654320" w:rsidRDefault="008175D9" w:rsidP="00601380">
                  <w:pPr>
                    <w:ind w:left="142" w:right="98"/>
                    <w:jc w:val="right"/>
                    <w:rPr>
                      <w:rFonts w:ascii="Arial" w:hAnsi="Arial"/>
                      <w:b/>
                      <w:sz w:val="28"/>
                      <w:szCs w:val="28"/>
                      <w:lang w:val="en-AU"/>
                    </w:rPr>
                  </w:pPr>
                  <w:bookmarkStart w:id="5" w:name="_Toc265597563"/>
                  <w:r>
                    <w:rPr>
                      <w:rFonts w:ascii="Arial" w:hAnsi="Arial"/>
                      <w:b/>
                      <w:sz w:val="28"/>
                      <w:szCs w:val="28"/>
                      <w:lang w:val="en-AU"/>
                    </w:rPr>
                    <w:t>1 July 2017 to 30 June 2020</w:t>
                  </w:r>
                </w:p>
                <w:p w:rsidR="008175D9" w:rsidRPr="00654320" w:rsidRDefault="008175D9" w:rsidP="00601380">
                  <w:pPr>
                    <w:ind w:left="142" w:right="98"/>
                    <w:jc w:val="right"/>
                    <w:rPr>
                      <w:rFonts w:ascii="Arial" w:hAnsi="Arial"/>
                      <w:b/>
                      <w:sz w:val="28"/>
                      <w:szCs w:val="28"/>
                      <w:lang w:val="en-AU"/>
                    </w:rPr>
                  </w:pPr>
                  <w:r w:rsidRPr="00ED588D">
                    <w:rPr>
                      <w:rFonts w:ascii="Arial" w:hAnsi="Arial"/>
                      <w:b/>
                      <w:sz w:val="28"/>
                      <w:szCs w:val="28"/>
                      <w:lang w:val="en-AU"/>
                    </w:rPr>
                    <w:t>Report 2 of 201</w:t>
                  </w:r>
                  <w:bookmarkEnd w:id="5"/>
                  <w:r w:rsidRPr="00ED588D">
                    <w:rPr>
                      <w:rFonts w:ascii="Arial" w:hAnsi="Arial"/>
                      <w:b/>
                      <w:sz w:val="28"/>
                      <w:szCs w:val="28"/>
                      <w:lang w:val="en-AU"/>
                    </w:rPr>
                    <w:t>7</w:t>
                  </w:r>
                </w:p>
              </w:txbxContent>
            </v:textbox>
          </v:shape>
        </w:pict>
      </w:r>
    </w:p>
    <w:p w:rsidR="00231F4F" w:rsidRDefault="00231F4F" w:rsidP="004D25B3">
      <w:pPr>
        <w:tabs>
          <w:tab w:val="left" w:pos="6825"/>
        </w:tabs>
        <w:sectPr w:rsidR="00231F4F" w:rsidSect="00821827">
          <w:headerReference w:type="even" r:id="rId8"/>
          <w:headerReference w:type="default" r:id="rId9"/>
          <w:footerReference w:type="even" r:id="rId10"/>
          <w:footerReference w:type="first" r:id="rId11"/>
          <w:endnotePr>
            <w:numFmt w:val="decimal"/>
          </w:endnotePr>
          <w:type w:val="continuous"/>
          <w:pgSz w:w="11907" w:h="16840" w:code="9"/>
          <w:pgMar w:top="2268" w:right="2098" w:bottom="1701" w:left="2098" w:header="578" w:footer="578" w:gutter="0"/>
          <w:cols w:space="720"/>
          <w:docGrid w:linePitch="360"/>
        </w:sectPr>
      </w:pPr>
    </w:p>
    <w:p w:rsidR="00231F4F" w:rsidRDefault="00231F4F" w:rsidP="004D25B3">
      <w:pPr>
        <w:tabs>
          <w:tab w:val="left" w:pos="6825"/>
        </w:tabs>
      </w:pPr>
    </w:p>
    <w:p w:rsidR="00901EDF" w:rsidRPr="00B5530C" w:rsidRDefault="00901EDF" w:rsidP="00901EDF">
      <w:pPr>
        <w:pStyle w:val="References"/>
        <w:jc w:val="center"/>
      </w:pPr>
      <w:bookmarkStart w:id="6" w:name="_Toc44217186"/>
      <w:bookmarkStart w:id="7" w:name="_Toc118359366"/>
      <w:bookmarkEnd w:id="1"/>
      <w:bookmarkEnd w:id="2"/>
      <w:bookmarkEnd w:id="3"/>
      <w:r w:rsidRPr="00B5530C">
        <w:t xml:space="preserve">The Independent Competition and Regulatory Commission is a Territory Authority established under the </w:t>
      </w:r>
      <w:r w:rsidRPr="00C04AA0">
        <w:rPr>
          <w:rStyle w:val="Italic"/>
        </w:rPr>
        <w:t>Independent Competition and Regulatory Commission Act 1997</w:t>
      </w:r>
      <w:r w:rsidRPr="00B5530C">
        <w:t xml:space="preserve"> (</w:t>
      </w:r>
      <w:r>
        <w:t xml:space="preserve">the </w:t>
      </w:r>
      <w:r w:rsidRPr="00B5530C">
        <w:t xml:space="preserve">ICRC Act). </w:t>
      </w:r>
      <w:r w:rsidR="00EB74D5">
        <w:t xml:space="preserve"> </w:t>
      </w:r>
      <w:r w:rsidRPr="00B5530C">
        <w:t>The Commission is constituted under the ICRC Act by one or more standing</w:t>
      </w:r>
      <w:r>
        <w:t xml:space="preserve"> commissioners and </w:t>
      </w:r>
      <w:r w:rsidRPr="00B5530C">
        <w:t xml:space="preserve">any associated commissioners appointed for particular purposes. </w:t>
      </w:r>
      <w:r w:rsidR="00EB74D5">
        <w:t xml:space="preserve"> </w:t>
      </w:r>
      <w:r w:rsidRPr="00B5530C">
        <w:t>Commissioners are statutory appointments</w:t>
      </w:r>
      <w:r>
        <w:t xml:space="preserve">. </w:t>
      </w:r>
      <w:r w:rsidR="00EB74D5">
        <w:t xml:space="preserve"> </w:t>
      </w:r>
      <w:r>
        <w:t xml:space="preserve">Joe Dimasi is the current Senior </w:t>
      </w:r>
      <w:r w:rsidRPr="00B5530C">
        <w:t>Commissioner who constitute</w:t>
      </w:r>
      <w:r>
        <w:t>s</w:t>
      </w:r>
      <w:r w:rsidRPr="00B5530C">
        <w:t xml:space="preserve"> the Commission</w:t>
      </w:r>
      <w:r>
        <w:t xml:space="preserve"> and </w:t>
      </w:r>
      <w:r w:rsidRPr="00B5530C">
        <w:t>take</w:t>
      </w:r>
      <w:r>
        <w:t>s</w:t>
      </w:r>
      <w:r w:rsidRPr="00B5530C">
        <w:t xml:space="preserve"> direct responsibility for delivery of the outcomes of the Commission.</w:t>
      </w:r>
    </w:p>
    <w:p w:rsidR="00901EDF" w:rsidRPr="00B5530C" w:rsidRDefault="00901EDF" w:rsidP="00901EDF">
      <w:pPr>
        <w:pStyle w:val="References"/>
        <w:jc w:val="center"/>
      </w:pPr>
      <w:r>
        <w:t>The Commission</w:t>
      </w:r>
      <w:r w:rsidRPr="00B5530C">
        <w:t xml:space="preserve"> ha</w:t>
      </w:r>
      <w:r>
        <w:t>s</w:t>
      </w:r>
      <w:r w:rsidRPr="00B5530C">
        <w:t xml:space="preserve"> responsibilities for a broad range of regulatory and utility administrative matters. </w:t>
      </w:r>
      <w:r w:rsidR="00EB74D5">
        <w:t xml:space="preserve"> </w:t>
      </w:r>
      <w:r>
        <w:t>The Commission</w:t>
      </w:r>
      <w:r w:rsidRPr="00B5530C">
        <w:t xml:space="preserve"> ha</w:t>
      </w:r>
      <w:r>
        <w:t>s</w:t>
      </w:r>
      <w:r w:rsidRPr="00B5530C">
        <w:t xml:space="preserve"> responsibility under the ICRC Act for regulating and advising government about pricing and other matters for monopoly, near-monopoly and ministerially declared regulated industries, </w:t>
      </w:r>
      <w:r>
        <w:t xml:space="preserve">and </w:t>
      </w:r>
      <w:r w:rsidRPr="00B5530C">
        <w:t>providing advice on competitive neutrality complaints and government-regulated activities.</w:t>
      </w:r>
      <w:r w:rsidR="00EB74D5">
        <w:t xml:space="preserve"> </w:t>
      </w:r>
      <w:r w:rsidRPr="00B5530C">
        <w:t xml:space="preserve"> </w:t>
      </w:r>
      <w:r>
        <w:t xml:space="preserve">The Commission </w:t>
      </w:r>
      <w:r w:rsidRPr="00B5530C">
        <w:t>also ha</w:t>
      </w:r>
      <w:r>
        <w:t>s</w:t>
      </w:r>
      <w:r w:rsidRPr="00B5530C">
        <w:t xml:space="preserve"> responsibility for arbitrating infrastructure access disputes under the ICRC Act.</w:t>
      </w:r>
      <w:r w:rsidR="00EB74D5">
        <w:t xml:space="preserve"> </w:t>
      </w:r>
      <w:r w:rsidRPr="00B5530C">
        <w:t xml:space="preserve"> In discharging </w:t>
      </w:r>
      <w:r>
        <w:t xml:space="preserve">its </w:t>
      </w:r>
      <w:r w:rsidRPr="00B5530C">
        <w:t xml:space="preserve">objectives and functions, </w:t>
      </w:r>
      <w:r>
        <w:t xml:space="preserve">the Commission </w:t>
      </w:r>
      <w:r w:rsidRPr="00B5530C">
        <w:t>provide</w:t>
      </w:r>
      <w:r>
        <w:t>s</w:t>
      </w:r>
      <w:r w:rsidRPr="00B5530C">
        <w:t xml:space="preserve"> independent robust analysis and advice.</w:t>
      </w:r>
    </w:p>
    <w:p w:rsidR="00901EDF" w:rsidRPr="00B5530C" w:rsidRDefault="00901EDF" w:rsidP="00901EDF">
      <w:pPr>
        <w:pStyle w:val="References"/>
        <w:jc w:val="center"/>
      </w:pPr>
      <w:r>
        <w:t>The Commission’s</w:t>
      </w:r>
      <w:r w:rsidRPr="00B5530C">
        <w:t xml:space="preserve"> objectives are set out in section 7 </w:t>
      </w:r>
      <w:r w:rsidR="00DA7718">
        <w:t xml:space="preserve">and 19L </w:t>
      </w:r>
      <w:r w:rsidRPr="00B5530C">
        <w:t xml:space="preserve">of the ICRC Act and section 3 of the </w:t>
      </w:r>
      <w:r w:rsidRPr="0036790F">
        <w:rPr>
          <w:i/>
        </w:rPr>
        <w:t>Utilities</w:t>
      </w:r>
      <w:r>
        <w:rPr>
          <w:i/>
        </w:rPr>
        <w:t> </w:t>
      </w:r>
      <w:r w:rsidRPr="0036790F">
        <w:rPr>
          <w:i/>
        </w:rPr>
        <w:t>Act</w:t>
      </w:r>
      <w:r>
        <w:rPr>
          <w:i/>
        </w:rPr>
        <w:t> </w:t>
      </w:r>
      <w:r w:rsidRPr="0036790F">
        <w:rPr>
          <w:i/>
        </w:rPr>
        <w:t>2000</w:t>
      </w:r>
      <w:r w:rsidRPr="00B5530C">
        <w:t>.</w:t>
      </w:r>
    </w:p>
    <w:p w:rsidR="00901EDF" w:rsidRPr="00B5530C" w:rsidRDefault="00901EDF" w:rsidP="00901EDF">
      <w:pPr>
        <w:pStyle w:val="References"/>
        <w:jc w:val="center"/>
      </w:pPr>
      <w:r w:rsidRPr="00B5530C">
        <w:t xml:space="preserve">Correspondence or other inquiries may be directed to </w:t>
      </w:r>
      <w:r>
        <w:t>the Commission</w:t>
      </w:r>
      <w:r w:rsidRPr="00B5530C">
        <w:t xml:space="preserve"> at the </w:t>
      </w:r>
      <w:r>
        <w:t xml:space="preserve">following </w:t>
      </w:r>
      <w:r w:rsidRPr="00B5530C">
        <w:t>addresses:</w:t>
      </w:r>
    </w:p>
    <w:p w:rsidR="00901EDF" w:rsidRPr="00B5530C" w:rsidRDefault="00901EDF" w:rsidP="0090619F">
      <w:pPr>
        <w:pStyle w:val="References"/>
        <w:jc w:val="center"/>
      </w:pPr>
      <w:r w:rsidRPr="00B5530C">
        <w:t>Independent Competition and Regulatory Commission</w:t>
      </w:r>
      <w:r w:rsidRPr="00B5530C">
        <w:br/>
        <w:t>PO Box 161</w:t>
      </w:r>
      <w:r w:rsidRPr="00B5530C">
        <w:br/>
        <w:t>Civic Square ACT 2608</w:t>
      </w:r>
    </w:p>
    <w:p w:rsidR="00901EDF" w:rsidRPr="00B5530C" w:rsidRDefault="00901EDF" w:rsidP="0090619F">
      <w:pPr>
        <w:pStyle w:val="References"/>
        <w:jc w:val="center"/>
      </w:pPr>
      <w:r w:rsidRPr="00B5530C">
        <w:t>Level 8</w:t>
      </w:r>
      <w:r w:rsidRPr="00B5530C">
        <w:br/>
        <w:t>221 London Circuit</w:t>
      </w:r>
      <w:r w:rsidRPr="00B5530C">
        <w:br/>
        <w:t>Canberra ACT 2601</w:t>
      </w:r>
    </w:p>
    <w:p w:rsidR="002D118D" w:rsidRDefault="00901EDF" w:rsidP="00901EDF">
      <w:pPr>
        <w:jc w:val="center"/>
      </w:pPr>
      <w:r>
        <w:t xml:space="preserve">The Commission </w:t>
      </w:r>
      <w:r w:rsidRPr="00B5530C">
        <w:t xml:space="preserve">may be contacted at the above addresses, by telephone on (02) 6205 0799, or by fax on (02) 6207 5887. </w:t>
      </w:r>
      <w:r>
        <w:t xml:space="preserve">The Commission’s </w:t>
      </w:r>
      <w:r w:rsidRPr="00B5530C">
        <w:t xml:space="preserve">website is at </w:t>
      </w:r>
      <w:hyperlink r:id="rId12" w:history="1">
        <w:r w:rsidRPr="00B5530C">
          <w:rPr>
            <w:rStyle w:val="Hyperlink"/>
          </w:rPr>
          <w:t>www.icrc.act.gov.au</w:t>
        </w:r>
      </w:hyperlink>
      <w:r w:rsidRPr="00B5530C">
        <w:t xml:space="preserve"> and </w:t>
      </w:r>
      <w:r>
        <w:t xml:space="preserve">its </w:t>
      </w:r>
      <w:r w:rsidRPr="00B5530C">
        <w:t xml:space="preserve">email address is </w:t>
      </w:r>
      <w:hyperlink r:id="rId13" w:history="1">
        <w:r w:rsidRPr="00B5530C">
          <w:rPr>
            <w:rStyle w:val="Hyperlink"/>
          </w:rPr>
          <w:t>icrc@act.gov.au</w:t>
        </w:r>
      </w:hyperlink>
      <w:r>
        <w:rPr>
          <w:rStyle w:val="Hyperlink"/>
        </w:rPr>
        <w:t>.</w:t>
      </w:r>
    </w:p>
    <w:p w:rsidR="00022732" w:rsidRPr="00022732" w:rsidRDefault="00022732" w:rsidP="00022732"/>
    <w:p w:rsidR="00022732" w:rsidRPr="00022732" w:rsidRDefault="00022732" w:rsidP="0066599B">
      <w:pPr>
        <w:sectPr w:rsidR="00022732" w:rsidRPr="00022732" w:rsidSect="00146073">
          <w:headerReference w:type="default" r:id="rId14"/>
          <w:footerReference w:type="default" r:id="rId15"/>
          <w:endnotePr>
            <w:numFmt w:val="decimal"/>
          </w:endnotePr>
          <w:type w:val="oddPage"/>
          <w:pgSz w:w="11907" w:h="16840" w:code="9"/>
          <w:pgMar w:top="2268" w:right="2098" w:bottom="1701" w:left="2098" w:header="578" w:footer="578" w:gutter="0"/>
          <w:pgNumType w:fmt="lowerRoman" w:start="1"/>
          <w:cols w:space="720"/>
          <w:docGrid w:linePitch="360"/>
        </w:sectPr>
      </w:pPr>
    </w:p>
    <w:bookmarkEnd w:id="6"/>
    <w:bookmarkEnd w:id="7"/>
    <w:p w:rsidR="00D5242B" w:rsidRDefault="00D5242B">
      <w:pPr>
        <w:rPr>
          <w:rFonts w:ascii="Tahoma" w:hAnsi="Tahoma" w:cs="Tahoma"/>
          <w:b/>
          <w:sz w:val="40"/>
          <w:lang w:val="en-AU"/>
        </w:rPr>
      </w:pPr>
      <w:r w:rsidRPr="0079190D">
        <w:rPr>
          <w:rFonts w:ascii="Tahoma" w:hAnsi="Tahoma" w:cs="Tahoma"/>
          <w:b/>
          <w:sz w:val="40"/>
          <w:lang w:val="en-AU"/>
        </w:rPr>
        <w:lastRenderedPageBreak/>
        <w:t>Contents</w:t>
      </w:r>
    </w:p>
    <w:bookmarkStart w:id="8" w:name="_Toc44217187"/>
    <w:p w:rsidR="00926D0D" w:rsidRDefault="00C32A01">
      <w:pPr>
        <w:pStyle w:val="TOC1"/>
        <w:tabs>
          <w:tab w:val="left" w:pos="1080"/>
        </w:tabs>
        <w:rPr>
          <w:rFonts w:asciiTheme="minorHAnsi" w:eastAsiaTheme="minorEastAsia" w:hAnsiTheme="minorHAnsi" w:cstheme="minorBidi"/>
          <w:b w:val="0"/>
          <w:szCs w:val="22"/>
          <w:lang w:val="en-AU" w:eastAsia="en-AU"/>
        </w:rPr>
      </w:pPr>
      <w:r>
        <w:rPr>
          <w:sz w:val="24"/>
          <w:szCs w:val="24"/>
          <w:lang w:val="en-AU"/>
        </w:rPr>
        <w:fldChar w:fldCharType="begin"/>
      </w:r>
      <w:r w:rsidR="007000EA">
        <w:rPr>
          <w:sz w:val="24"/>
          <w:szCs w:val="24"/>
          <w:lang w:val="en-AU"/>
        </w:rPr>
        <w:instrText xml:space="preserve"> TOC \h \z \t "Heading 1,2,Heading 2,3,Heading Appendix 1,1,Heading 1a,2,Heading Part,1,Heading Appendix 2,2,Heading Appendix 3,3" </w:instrText>
      </w:r>
      <w:r>
        <w:rPr>
          <w:sz w:val="24"/>
          <w:szCs w:val="24"/>
          <w:lang w:val="en-AU"/>
        </w:rPr>
        <w:fldChar w:fldCharType="separate"/>
      </w:r>
      <w:hyperlink w:anchor="_Toc478131759" w:history="1">
        <w:r w:rsidR="00926D0D" w:rsidRPr="007D076D">
          <w:rPr>
            <w:rStyle w:val="Hyperlink"/>
          </w:rPr>
          <w:t>Part A</w:t>
        </w:r>
        <w:r w:rsidR="00926D0D">
          <w:rPr>
            <w:rFonts w:asciiTheme="minorHAnsi" w:eastAsiaTheme="minorEastAsia" w:hAnsiTheme="minorHAnsi" w:cstheme="minorBidi"/>
            <w:b w:val="0"/>
            <w:szCs w:val="22"/>
            <w:lang w:val="en-AU" w:eastAsia="en-AU"/>
          </w:rPr>
          <w:tab/>
        </w:r>
        <w:r w:rsidR="00926D0D" w:rsidRPr="007D076D">
          <w:rPr>
            <w:rStyle w:val="Hyperlink"/>
          </w:rPr>
          <w:t>Preliminary</w:t>
        </w:r>
        <w:r w:rsidR="00926D0D">
          <w:rPr>
            <w:webHidden/>
          </w:rPr>
          <w:tab/>
        </w:r>
        <w:r>
          <w:rPr>
            <w:webHidden/>
          </w:rPr>
          <w:fldChar w:fldCharType="begin"/>
        </w:r>
        <w:r w:rsidR="00926D0D">
          <w:rPr>
            <w:webHidden/>
          </w:rPr>
          <w:instrText xml:space="preserve"> PAGEREF _Toc478131759 \h </w:instrText>
        </w:r>
        <w:r>
          <w:rPr>
            <w:webHidden/>
          </w:rPr>
        </w:r>
        <w:r>
          <w:rPr>
            <w:webHidden/>
          </w:rPr>
          <w:fldChar w:fldCharType="separate"/>
        </w:r>
        <w:r w:rsidR="00926D0D">
          <w:rPr>
            <w:webHidden/>
          </w:rPr>
          <w:t>1</w:t>
        </w:r>
        <w:r>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60" w:history="1">
        <w:r w:rsidR="00926D0D" w:rsidRPr="007D076D">
          <w:rPr>
            <w:rStyle w:val="Hyperlink"/>
          </w:rPr>
          <w:t>1</w:t>
        </w:r>
        <w:r w:rsidR="00926D0D">
          <w:rPr>
            <w:rFonts w:asciiTheme="minorHAnsi" w:eastAsiaTheme="minorEastAsia" w:hAnsiTheme="minorHAnsi" w:cstheme="minorBidi"/>
            <w:szCs w:val="22"/>
            <w:lang w:val="en-AU" w:eastAsia="en-AU"/>
          </w:rPr>
          <w:tab/>
        </w:r>
        <w:r w:rsidR="00926D0D" w:rsidRPr="007D076D">
          <w:rPr>
            <w:rStyle w:val="Hyperlink"/>
          </w:rPr>
          <w:t>Proposed price direction</w:t>
        </w:r>
        <w:r w:rsidR="00926D0D">
          <w:rPr>
            <w:webHidden/>
          </w:rPr>
          <w:tab/>
        </w:r>
        <w:r w:rsidR="00C32A01">
          <w:rPr>
            <w:webHidden/>
          </w:rPr>
          <w:fldChar w:fldCharType="begin"/>
        </w:r>
        <w:r w:rsidR="00926D0D">
          <w:rPr>
            <w:webHidden/>
          </w:rPr>
          <w:instrText xml:space="preserve"> PAGEREF _Toc478131760 \h </w:instrText>
        </w:r>
        <w:r w:rsidR="00C32A01">
          <w:rPr>
            <w:webHidden/>
          </w:rPr>
        </w:r>
        <w:r w:rsidR="00C32A01">
          <w:rPr>
            <w:webHidden/>
          </w:rPr>
          <w:fldChar w:fldCharType="separate"/>
        </w:r>
        <w:r w:rsidR="00926D0D">
          <w:rPr>
            <w:webHidden/>
          </w:rPr>
          <w:t>1</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61" w:history="1">
        <w:r w:rsidR="00926D0D" w:rsidRPr="007D076D">
          <w:rPr>
            <w:rStyle w:val="Hyperlink"/>
          </w:rPr>
          <w:t>2</w:t>
        </w:r>
        <w:r w:rsidR="00926D0D">
          <w:rPr>
            <w:rFonts w:asciiTheme="minorHAnsi" w:eastAsiaTheme="minorEastAsia" w:hAnsiTheme="minorHAnsi" w:cstheme="minorBidi"/>
            <w:szCs w:val="22"/>
            <w:lang w:val="en-AU" w:eastAsia="en-AU"/>
          </w:rPr>
          <w:tab/>
        </w:r>
        <w:r w:rsidR="00926D0D" w:rsidRPr="007D076D">
          <w:rPr>
            <w:rStyle w:val="Hyperlink"/>
          </w:rPr>
          <w:t>The regulatory period</w:t>
        </w:r>
        <w:r w:rsidR="00926D0D">
          <w:rPr>
            <w:webHidden/>
          </w:rPr>
          <w:tab/>
        </w:r>
        <w:r w:rsidR="00C32A01">
          <w:rPr>
            <w:webHidden/>
          </w:rPr>
          <w:fldChar w:fldCharType="begin"/>
        </w:r>
        <w:r w:rsidR="00926D0D">
          <w:rPr>
            <w:webHidden/>
          </w:rPr>
          <w:instrText xml:space="preserve"> PAGEREF _Toc478131761 \h </w:instrText>
        </w:r>
        <w:r w:rsidR="00C32A01">
          <w:rPr>
            <w:webHidden/>
          </w:rPr>
        </w:r>
        <w:r w:rsidR="00C32A01">
          <w:rPr>
            <w:webHidden/>
          </w:rPr>
          <w:fldChar w:fldCharType="separate"/>
        </w:r>
        <w:r w:rsidR="00926D0D">
          <w:rPr>
            <w:webHidden/>
          </w:rPr>
          <w:t>2</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62" w:history="1">
        <w:r w:rsidR="00926D0D" w:rsidRPr="007D076D">
          <w:rPr>
            <w:rStyle w:val="Hyperlink"/>
          </w:rPr>
          <w:t>3</w:t>
        </w:r>
        <w:r w:rsidR="00926D0D">
          <w:rPr>
            <w:rFonts w:asciiTheme="minorHAnsi" w:eastAsiaTheme="minorEastAsia" w:hAnsiTheme="minorHAnsi" w:cstheme="minorBidi"/>
            <w:szCs w:val="22"/>
            <w:lang w:val="en-AU" w:eastAsia="en-AU"/>
          </w:rPr>
          <w:tab/>
        </w:r>
        <w:r w:rsidR="00926D0D" w:rsidRPr="007D076D">
          <w:rPr>
            <w:rStyle w:val="Hyperlink"/>
          </w:rPr>
          <w:t>Application of the Price Direction</w:t>
        </w:r>
        <w:r w:rsidR="00926D0D">
          <w:rPr>
            <w:webHidden/>
          </w:rPr>
          <w:tab/>
        </w:r>
        <w:r w:rsidR="00C32A01">
          <w:rPr>
            <w:webHidden/>
          </w:rPr>
          <w:fldChar w:fldCharType="begin"/>
        </w:r>
        <w:r w:rsidR="00926D0D">
          <w:rPr>
            <w:webHidden/>
          </w:rPr>
          <w:instrText xml:space="preserve"> PAGEREF _Toc478131762 \h </w:instrText>
        </w:r>
        <w:r w:rsidR="00C32A01">
          <w:rPr>
            <w:webHidden/>
          </w:rPr>
        </w:r>
        <w:r w:rsidR="00C32A01">
          <w:rPr>
            <w:webHidden/>
          </w:rPr>
          <w:fldChar w:fldCharType="separate"/>
        </w:r>
        <w:r w:rsidR="00926D0D">
          <w:rPr>
            <w:webHidden/>
          </w:rPr>
          <w:t>2</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63" w:history="1">
        <w:r w:rsidR="00926D0D" w:rsidRPr="007D076D">
          <w:rPr>
            <w:rStyle w:val="Hyperlink"/>
          </w:rPr>
          <w:t>4</w:t>
        </w:r>
        <w:r w:rsidR="00926D0D">
          <w:rPr>
            <w:rFonts w:asciiTheme="minorHAnsi" w:eastAsiaTheme="minorEastAsia" w:hAnsiTheme="minorHAnsi" w:cstheme="minorBidi"/>
            <w:szCs w:val="22"/>
            <w:lang w:val="en-AU" w:eastAsia="en-AU"/>
          </w:rPr>
          <w:tab/>
        </w:r>
        <w:r w:rsidR="00926D0D" w:rsidRPr="007D076D">
          <w:rPr>
            <w:rStyle w:val="Hyperlink"/>
          </w:rPr>
          <w:t>Section 20(2) of the ICRC Act</w:t>
        </w:r>
        <w:r w:rsidR="00926D0D">
          <w:rPr>
            <w:webHidden/>
          </w:rPr>
          <w:tab/>
        </w:r>
        <w:r w:rsidR="00C32A01">
          <w:rPr>
            <w:webHidden/>
          </w:rPr>
          <w:fldChar w:fldCharType="begin"/>
        </w:r>
        <w:r w:rsidR="00926D0D">
          <w:rPr>
            <w:webHidden/>
          </w:rPr>
          <w:instrText xml:space="preserve"> PAGEREF _Toc478131763 \h </w:instrText>
        </w:r>
        <w:r w:rsidR="00C32A01">
          <w:rPr>
            <w:webHidden/>
          </w:rPr>
        </w:r>
        <w:r w:rsidR="00C32A01">
          <w:rPr>
            <w:webHidden/>
          </w:rPr>
          <w:fldChar w:fldCharType="separate"/>
        </w:r>
        <w:r w:rsidR="00926D0D">
          <w:rPr>
            <w:webHidden/>
          </w:rPr>
          <w:t>2</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64" w:history="1">
        <w:r w:rsidR="00926D0D" w:rsidRPr="007D076D">
          <w:rPr>
            <w:rStyle w:val="Hyperlink"/>
          </w:rPr>
          <w:t>5</w:t>
        </w:r>
        <w:r w:rsidR="00926D0D">
          <w:rPr>
            <w:rFonts w:asciiTheme="minorHAnsi" w:eastAsiaTheme="minorEastAsia" w:hAnsiTheme="minorHAnsi" w:cstheme="minorBidi"/>
            <w:szCs w:val="22"/>
            <w:lang w:val="en-AU" w:eastAsia="en-AU"/>
          </w:rPr>
          <w:tab/>
        </w:r>
        <w:r w:rsidR="00926D0D" w:rsidRPr="007D076D">
          <w:rPr>
            <w:rStyle w:val="Hyperlink"/>
          </w:rPr>
          <w:t>Notes and interpretation</w:t>
        </w:r>
        <w:r w:rsidR="00926D0D">
          <w:rPr>
            <w:webHidden/>
          </w:rPr>
          <w:tab/>
        </w:r>
        <w:r w:rsidR="00C32A01">
          <w:rPr>
            <w:webHidden/>
          </w:rPr>
          <w:fldChar w:fldCharType="begin"/>
        </w:r>
        <w:r w:rsidR="00926D0D">
          <w:rPr>
            <w:webHidden/>
          </w:rPr>
          <w:instrText xml:space="preserve"> PAGEREF _Toc478131764 \h </w:instrText>
        </w:r>
        <w:r w:rsidR="00C32A01">
          <w:rPr>
            <w:webHidden/>
          </w:rPr>
        </w:r>
        <w:r w:rsidR="00C32A01">
          <w:rPr>
            <w:webHidden/>
          </w:rPr>
          <w:fldChar w:fldCharType="separate"/>
        </w:r>
        <w:r w:rsidR="00926D0D">
          <w:rPr>
            <w:webHidden/>
          </w:rPr>
          <w:t>2</w:t>
        </w:r>
        <w:r w:rsidR="00C32A01">
          <w:rPr>
            <w:webHidden/>
          </w:rPr>
          <w:fldChar w:fldCharType="end"/>
        </w:r>
      </w:hyperlink>
    </w:p>
    <w:p w:rsidR="00926D0D" w:rsidRDefault="009518B8">
      <w:pPr>
        <w:pStyle w:val="TOC1"/>
        <w:tabs>
          <w:tab w:val="left" w:pos="1080"/>
        </w:tabs>
        <w:rPr>
          <w:rFonts w:asciiTheme="minorHAnsi" w:eastAsiaTheme="minorEastAsia" w:hAnsiTheme="minorHAnsi" w:cstheme="minorBidi"/>
          <w:b w:val="0"/>
          <w:szCs w:val="22"/>
          <w:lang w:val="en-AU" w:eastAsia="en-AU"/>
        </w:rPr>
      </w:pPr>
      <w:hyperlink w:anchor="_Toc478131765" w:history="1">
        <w:r w:rsidR="00926D0D" w:rsidRPr="007D076D">
          <w:rPr>
            <w:rStyle w:val="Hyperlink"/>
          </w:rPr>
          <w:t>Part B</w:t>
        </w:r>
        <w:r w:rsidR="00926D0D">
          <w:rPr>
            <w:rFonts w:asciiTheme="minorHAnsi" w:eastAsiaTheme="minorEastAsia" w:hAnsiTheme="minorHAnsi" w:cstheme="minorBidi"/>
            <w:b w:val="0"/>
            <w:szCs w:val="22"/>
            <w:lang w:val="en-AU" w:eastAsia="en-AU"/>
          </w:rPr>
          <w:tab/>
        </w:r>
        <w:r w:rsidR="00926D0D" w:rsidRPr="007D076D">
          <w:rPr>
            <w:rStyle w:val="Hyperlink"/>
          </w:rPr>
          <w:t>Price regulation</w:t>
        </w:r>
        <w:r w:rsidR="00926D0D">
          <w:rPr>
            <w:webHidden/>
          </w:rPr>
          <w:tab/>
        </w:r>
        <w:r w:rsidR="00C32A01">
          <w:rPr>
            <w:webHidden/>
          </w:rPr>
          <w:fldChar w:fldCharType="begin"/>
        </w:r>
        <w:r w:rsidR="00926D0D">
          <w:rPr>
            <w:webHidden/>
          </w:rPr>
          <w:instrText xml:space="preserve"> PAGEREF _Toc478131765 \h </w:instrText>
        </w:r>
        <w:r w:rsidR="00C32A01">
          <w:rPr>
            <w:webHidden/>
          </w:rPr>
        </w:r>
        <w:r w:rsidR="00C32A01">
          <w:rPr>
            <w:webHidden/>
          </w:rPr>
          <w:fldChar w:fldCharType="separate"/>
        </w:r>
        <w:r w:rsidR="00926D0D">
          <w:rPr>
            <w:webHidden/>
          </w:rPr>
          <w:t>5</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66" w:history="1">
        <w:r w:rsidR="00926D0D" w:rsidRPr="007D076D">
          <w:rPr>
            <w:rStyle w:val="Hyperlink"/>
          </w:rPr>
          <w:t>6</w:t>
        </w:r>
        <w:r w:rsidR="00926D0D">
          <w:rPr>
            <w:rFonts w:asciiTheme="minorHAnsi" w:eastAsiaTheme="minorEastAsia" w:hAnsiTheme="minorHAnsi" w:cstheme="minorBidi"/>
            <w:szCs w:val="22"/>
            <w:lang w:val="en-AU" w:eastAsia="en-AU"/>
          </w:rPr>
          <w:tab/>
        </w:r>
        <w:r w:rsidR="00926D0D" w:rsidRPr="007D076D">
          <w:rPr>
            <w:rStyle w:val="Hyperlink"/>
          </w:rPr>
          <w:t>Standing offer prices</w:t>
        </w:r>
        <w:r w:rsidR="00926D0D">
          <w:rPr>
            <w:webHidden/>
          </w:rPr>
          <w:tab/>
        </w:r>
        <w:r w:rsidR="00C32A01">
          <w:rPr>
            <w:webHidden/>
          </w:rPr>
          <w:fldChar w:fldCharType="begin"/>
        </w:r>
        <w:r w:rsidR="00926D0D">
          <w:rPr>
            <w:webHidden/>
          </w:rPr>
          <w:instrText xml:space="preserve"> PAGEREF _Toc478131766 \h </w:instrText>
        </w:r>
        <w:r w:rsidR="00C32A01">
          <w:rPr>
            <w:webHidden/>
          </w:rPr>
        </w:r>
        <w:r w:rsidR="00C32A01">
          <w:rPr>
            <w:webHidden/>
          </w:rPr>
          <w:fldChar w:fldCharType="separate"/>
        </w:r>
        <w:r w:rsidR="00926D0D">
          <w:rPr>
            <w:webHidden/>
          </w:rPr>
          <w:t>5</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67" w:history="1">
        <w:r w:rsidR="00926D0D" w:rsidRPr="007D076D">
          <w:rPr>
            <w:rStyle w:val="Hyperlink"/>
          </w:rPr>
          <w:t>7</w:t>
        </w:r>
        <w:r w:rsidR="00926D0D">
          <w:rPr>
            <w:rFonts w:asciiTheme="minorHAnsi" w:eastAsiaTheme="minorEastAsia" w:hAnsiTheme="minorHAnsi" w:cstheme="minorBidi"/>
            <w:szCs w:val="22"/>
            <w:lang w:val="en-AU" w:eastAsia="en-AU"/>
          </w:rPr>
          <w:tab/>
        </w:r>
        <w:r w:rsidR="00926D0D" w:rsidRPr="007D076D">
          <w:rPr>
            <w:rStyle w:val="Hyperlink"/>
          </w:rPr>
          <w:t>Determination of Y</w:t>
        </w:r>
        <w:r w:rsidR="00926D0D" w:rsidRPr="007D076D">
          <w:rPr>
            <w:rStyle w:val="Hyperlink"/>
            <w:vertAlign w:val="superscript"/>
          </w:rPr>
          <w:t>t</w:t>
        </w:r>
        <w:r w:rsidR="00926D0D" w:rsidRPr="007D076D">
          <w:rPr>
            <w:rStyle w:val="Hyperlink"/>
          </w:rPr>
          <w:t xml:space="preserve"> for 2017–18</w:t>
        </w:r>
        <w:r w:rsidR="00926D0D">
          <w:rPr>
            <w:webHidden/>
          </w:rPr>
          <w:tab/>
        </w:r>
        <w:r w:rsidR="00C32A01">
          <w:rPr>
            <w:webHidden/>
          </w:rPr>
          <w:fldChar w:fldCharType="begin"/>
        </w:r>
        <w:r w:rsidR="00926D0D">
          <w:rPr>
            <w:webHidden/>
          </w:rPr>
          <w:instrText xml:space="preserve"> PAGEREF _Toc478131767 \h </w:instrText>
        </w:r>
        <w:r w:rsidR="00C32A01">
          <w:rPr>
            <w:webHidden/>
          </w:rPr>
        </w:r>
        <w:r w:rsidR="00C32A01">
          <w:rPr>
            <w:webHidden/>
          </w:rPr>
          <w:fldChar w:fldCharType="separate"/>
        </w:r>
        <w:r w:rsidR="00926D0D">
          <w:rPr>
            <w:webHidden/>
          </w:rPr>
          <w:t>5</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68" w:history="1">
        <w:r w:rsidR="00926D0D" w:rsidRPr="007D076D">
          <w:rPr>
            <w:rStyle w:val="Hyperlink"/>
          </w:rPr>
          <w:t>8</w:t>
        </w:r>
        <w:r w:rsidR="00926D0D">
          <w:rPr>
            <w:rFonts w:asciiTheme="minorHAnsi" w:eastAsiaTheme="minorEastAsia" w:hAnsiTheme="minorHAnsi" w:cstheme="minorBidi"/>
            <w:szCs w:val="22"/>
            <w:lang w:val="en-AU" w:eastAsia="en-AU"/>
          </w:rPr>
          <w:tab/>
        </w:r>
        <w:r w:rsidR="00926D0D" w:rsidRPr="007D076D">
          <w:rPr>
            <w:rStyle w:val="Hyperlink"/>
          </w:rPr>
          <w:t>Annual recalibration</w:t>
        </w:r>
        <w:r w:rsidR="00926D0D">
          <w:rPr>
            <w:webHidden/>
          </w:rPr>
          <w:tab/>
        </w:r>
        <w:r w:rsidR="00C32A01">
          <w:rPr>
            <w:webHidden/>
          </w:rPr>
          <w:fldChar w:fldCharType="begin"/>
        </w:r>
        <w:r w:rsidR="00926D0D">
          <w:rPr>
            <w:webHidden/>
          </w:rPr>
          <w:instrText xml:space="preserve"> PAGEREF _Toc478131768 \h </w:instrText>
        </w:r>
        <w:r w:rsidR="00C32A01">
          <w:rPr>
            <w:webHidden/>
          </w:rPr>
        </w:r>
        <w:r w:rsidR="00C32A01">
          <w:rPr>
            <w:webHidden/>
          </w:rPr>
          <w:fldChar w:fldCharType="separate"/>
        </w:r>
        <w:r w:rsidR="00926D0D">
          <w:rPr>
            <w:webHidden/>
          </w:rPr>
          <w:t>5</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69" w:history="1">
        <w:r w:rsidR="00926D0D" w:rsidRPr="007D076D">
          <w:rPr>
            <w:rStyle w:val="Hyperlink"/>
          </w:rPr>
          <w:t>8.1</w:t>
        </w:r>
        <w:r w:rsidR="00926D0D">
          <w:rPr>
            <w:rFonts w:asciiTheme="minorHAnsi" w:eastAsiaTheme="minorEastAsia" w:hAnsiTheme="minorHAnsi" w:cstheme="minorBidi"/>
            <w:szCs w:val="22"/>
            <w:lang w:val="en-AU" w:eastAsia="en-AU"/>
          </w:rPr>
          <w:tab/>
        </w:r>
        <w:r w:rsidR="00926D0D" w:rsidRPr="007D076D">
          <w:rPr>
            <w:rStyle w:val="Hyperlink"/>
          </w:rPr>
          <w:t>The assessment process</w:t>
        </w:r>
        <w:r w:rsidR="00926D0D">
          <w:rPr>
            <w:webHidden/>
          </w:rPr>
          <w:tab/>
        </w:r>
        <w:r w:rsidR="00C32A01">
          <w:rPr>
            <w:webHidden/>
          </w:rPr>
          <w:fldChar w:fldCharType="begin"/>
        </w:r>
        <w:r w:rsidR="00926D0D">
          <w:rPr>
            <w:webHidden/>
          </w:rPr>
          <w:instrText xml:space="preserve"> PAGEREF _Toc478131769 \h </w:instrText>
        </w:r>
        <w:r w:rsidR="00C32A01">
          <w:rPr>
            <w:webHidden/>
          </w:rPr>
        </w:r>
        <w:r w:rsidR="00C32A01">
          <w:rPr>
            <w:webHidden/>
          </w:rPr>
          <w:fldChar w:fldCharType="separate"/>
        </w:r>
        <w:r w:rsidR="00926D0D">
          <w:rPr>
            <w:webHidden/>
          </w:rPr>
          <w:t>6</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70" w:history="1">
        <w:r w:rsidR="00926D0D" w:rsidRPr="007D076D">
          <w:rPr>
            <w:rStyle w:val="Hyperlink"/>
          </w:rPr>
          <w:t>8.2</w:t>
        </w:r>
        <w:r w:rsidR="00926D0D">
          <w:rPr>
            <w:rFonts w:asciiTheme="minorHAnsi" w:eastAsiaTheme="minorEastAsia" w:hAnsiTheme="minorHAnsi" w:cstheme="minorBidi"/>
            <w:szCs w:val="22"/>
            <w:lang w:val="en-AU" w:eastAsia="en-AU"/>
          </w:rPr>
          <w:tab/>
        </w:r>
        <w:r w:rsidR="00926D0D" w:rsidRPr="007D076D">
          <w:rPr>
            <w:rStyle w:val="Hyperlink"/>
          </w:rPr>
          <w:t>The value of Y</w:t>
        </w:r>
        <w:r w:rsidR="00926D0D" w:rsidRPr="007D076D">
          <w:rPr>
            <w:rStyle w:val="Hyperlink"/>
            <w:vertAlign w:val="superscript"/>
          </w:rPr>
          <w:t>t</w:t>
        </w:r>
        <w:r w:rsidR="00926D0D">
          <w:rPr>
            <w:webHidden/>
          </w:rPr>
          <w:tab/>
        </w:r>
        <w:r w:rsidR="00C32A01">
          <w:rPr>
            <w:webHidden/>
          </w:rPr>
          <w:fldChar w:fldCharType="begin"/>
        </w:r>
        <w:r w:rsidR="00926D0D">
          <w:rPr>
            <w:webHidden/>
          </w:rPr>
          <w:instrText xml:space="preserve"> PAGEREF _Toc478131770 \h </w:instrText>
        </w:r>
        <w:r w:rsidR="00C32A01">
          <w:rPr>
            <w:webHidden/>
          </w:rPr>
        </w:r>
        <w:r w:rsidR="00C32A01">
          <w:rPr>
            <w:webHidden/>
          </w:rPr>
          <w:fldChar w:fldCharType="separate"/>
        </w:r>
        <w:r w:rsidR="00926D0D">
          <w:rPr>
            <w:webHidden/>
          </w:rPr>
          <w:t>7</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71" w:history="1">
        <w:r w:rsidR="00926D0D" w:rsidRPr="007D076D">
          <w:rPr>
            <w:rStyle w:val="Hyperlink"/>
          </w:rPr>
          <w:t>8.3</w:t>
        </w:r>
        <w:r w:rsidR="00926D0D">
          <w:rPr>
            <w:rFonts w:asciiTheme="minorHAnsi" w:eastAsiaTheme="minorEastAsia" w:hAnsiTheme="minorHAnsi" w:cstheme="minorBidi"/>
            <w:szCs w:val="22"/>
            <w:lang w:val="en-AU" w:eastAsia="en-AU"/>
          </w:rPr>
          <w:tab/>
        </w:r>
        <w:r w:rsidR="00926D0D" w:rsidRPr="007D076D">
          <w:rPr>
            <w:rStyle w:val="Hyperlink"/>
          </w:rPr>
          <w:t>Calculation of the change in CPI</w:t>
        </w:r>
        <w:r w:rsidR="00926D0D">
          <w:rPr>
            <w:webHidden/>
          </w:rPr>
          <w:tab/>
        </w:r>
        <w:r w:rsidR="00C32A01">
          <w:rPr>
            <w:webHidden/>
          </w:rPr>
          <w:fldChar w:fldCharType="begin"/>
        </w:r>
        <w:r w:rsidR="00926D0D">
          <w:rPr>
            <w:webHidden/>
          </w:rPr>
          <w:instrText xml:space="preserve"> PAGEREF _Toc478131771 \h </w:instrText>
        </w:r>
        <w:r w:rsidR="00C32A01">
          <w:rPr>
            <w:webHidden/>
          </w:rPr>
        </w:r>
        <w:r w:rsidR="00C32A01">
          <w:rPr>
            <w:webHidden/>
          </w:rPr>
          <w:fldChar w:fldCharType="separate"/>
        </w:r>
        <w:r w:rsidR="00926D0D">
          <w:rPr>
            <w:webHidden/>
          </w:rPr>
          <w:t>7</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72" w:history="1">
        <w:r w:rsidR="00926D0D" w:rsidRPr="007D076D">
          <w:rPr>
            <w:rStyle w:val="Hyperlink"/>
          </w:rPr>
          <w:t>8.4</w:t>
        </w:r>
        <w:r w:rsidR="00926D0D">
          <w:rPr>
            <w:rFonts w:asciiTheme="minorHAnsi" w:eastAsiaTheme="minorEastAsia" w:hAnsiTheme="minorHAnsi" w:cstheme="minorBidi"/>
            <w:szCs w:val="22"/>
            <w:lang w:val="en-AU" w:eastAsia="en-AU"/>
          </w:rPr>
          <w:tab/>
        </w:r>
        <w:r w:rsidR="00926D0D" w:rsidRPr="007D076D">
          <w:rPr>
            <w:rStyle w:val="Hyperlink"/>
          </w:rPr>
          <w:t>Calculation of energy purchase costs</w:t>
        </w:r>
        <w:r w:rsidR="00926D0D">
          <w:rPr>
            <w:webHidden/>
          </w:rPr>
          <w:tab/>
        </w:r>
        <w:r w:rsidR="00C32A01">
          <w:rPr>
            <w:webHidden/>
          </w:rPr>
          <w:fldChar w:fldCharType="begin"/>
        </w:r>
        <w:r w:rsidR="00926D0D">
          <w:rPr>
            <w:webHidden/>
          </w:rPr>
          <w:instrText xml:space="preserve"> PAGEREF _Toc478131772 \h </w:instrText>
        </w:r>
        <w:r w:rsidR="00C32A01">
          <w:rPr>
            <w:webHidden/>
          </w:rPr>
        </w:r>
        <w:r w:rsidR="00C32A01">
          <w:rPr>
            <w:webHidden/>
          </w:rPr>
          <w:fldChar w:fldCharType="separate"/>
        </w:r>
        <w:r w:rsidR="00926D0D">
          <w:rPr>
            <w:webHidden/>
          </w:rPr>
          <w:t>8</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73" w:history="1">
        <w:r w:rsidR="00926D0D" w:rsidRPr="007D076D">
          <w:rPr>
            <w:rStyle w:val="Hyperlink"/>
          </w:rPr>
          <w:t>9</w:t>
        </w:r>
        <w:r w:rsidR="00926D0D">
          <w:rPr>
            <w:rFonts w:asciiTheme="minorHAnsi" w:eastAsiaTheme="minorEastAsia" w:hAnsiTheme="minorHAnsi" w:cstheme="minorBidi"/>
            <w:szCs w:val="22"/>
            <w:lang w:val="en-AU" w:eastAsia="en-AU"/>
          </w:rPr>
          <w:tab/>
        </w:r>
        <w:r w:rsidR="00926D0D" w:rsidRPr="007D076D">
          <w:rPr>
            <w:rStyle w:val="Hyperlink"/>
          </w:rPr>
          <w:t>Pass-through events</w:t>
        </w:r>
        <w:r w:rsidR="00926D0D">
          <w:rPr>
            <w:webHidden/>
          </w:rPr>
          <w:tab/>
        </w:r>
        <w:r w:rsidR="00C32A01">
          <w:rPr>
            <w:webHidden/>
          </w:rPr>
          <w:fldChar w:fldCharType="begin"/>
        </w:r>
        <w:r w:rsidR="00926D0D">
          <w:rPr>
            <w:webHidden/>
          </w:rPr>
          <w:instrText xml:space="preserve"> PAGEREF _Toc478131773 \h </w:instrText>
        </w:r>
        <w:r w:rsidR="00C32A01">
          <w:rPr>
            <w:webHidden/>
          </w:rPr>
        </w:r>
        <w:r w:rsidR="00C32A01">
          <w:rPr>
            <w:webHidden/>
          </w:rPr>
          <w:fldChar w:fldCharType="separate"/>
        </w:r>
        <w:r w:rsidR="00926D0D">
          <w:rPr>
            <w:webHidden/>
          </w:rPr>
          <w:t>9</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74" w:history="1">
        <w:r w:rsidR="00926D0D" w:rsidRPr="007D076D">
          <w:rPr>
            <w:rStyle w:val="Hyperlink"/>
            <w:lang w:val="en-AU"/>
          </w:rPr>
          <w:t>9.1</w:t>
        </w:r>
        <w:r w:rsidR="00926D0D">
          <w:rPr>
            <w:rFonts w:asciiTheme="minorHAnsi" w:eastAsiaTheme="minorEastAsia" w:hAnsiTheme="minorHAnsi" w:cstheme="minorBidi"/>
            <w:szCs w:val="22"/>
            <w:lang w:val="en-AU" w:eastAsia="en-AU"/>
          </w:rPr>
          <w:tab/>
        </w:r>
        <w:r w:rsidR="00926D0D" w:rsidRPr="007D076D">
          <w:rPr>
            <w:rStyle w:val="Hyperlink"/>
            <w:lang w:val="en-AU"/>
          </w:rPr>
          <w:t>Application for a pass-through event</w:t>
        </w:r>
        <w:r w:rsidR="00926D0D">
          <w:rPr>
            <w:webHidden/>
          </w:rPr>
          <w:tab/>
        </w:r>
        <w:r w:rsidR="00C32A01">
          <w:rPr>
            <w:webHidden/>
          </w:rPr>
          <w:fldChar w:fldCharType="begin"/>
        </w:r>
        <w:r w:rsidR="00926D0D">
          <w:rPr>
            <w:webHidden/>
          </w:rPr>
          <w:instrText xml:space="preserve"> PAGEREF _Toc478131774 \h </w:instrText>
        </w:r>
        <w:r w:rsidR="00C32A01">
          <w:rPr>
            <w:webHidden/>
          </w:rPr>
        </w:r>
        <w:r w:rsidR="00C32A01">
          <w:rPr>
            <w:webHidden/>
          </w:rPr>
          <w:fldChar w:fldCharType="separate"/>
        </w:r>
        <w:r w:rsidR="00926D0D">
          <w:rPr>
            <w:webHidden/>
          </w:rPr>
          <w:t>9</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75" w:history="1">
        <w:r w:rsidR="00926D0D" w:rsidRPr="007D076D">
          <w:rPr>
            <w:rStyle w:val="Hyperlink"/>
          </w:rPr>
          <w:t>9.2</w:t>
        </w:r>
        <w:r w:rsidR="00926D0D">
          <w:rPr>
            <w:rFonts w:asciiTheme="minorHAnsi" w:eastAsiaTheme="minorEastAsia" w:hAnsiTheme="minorHAnsi" w:cstheme="minorBidi"/>
            <w:szCs w:val="22"/>
            <w:lang w:val="en-AU" w:eastAsia="en-AU"/>
          </w:rPr>
          <w:tab/>
        </w:r>
        <w:r w:rsidR="00926D0D" w:rsidRPr="007D076D">
          <w:rPr>
            <w:rStyle w:val="Hyperlink"/>
            <w:lang w:val="en-AU"/>
          </w:rPr>
          <w:t>Commission may accept, reject or amend the application</w:t>
        </w:r>
        <w:r w:rsidR="00926D0D">
          <w:rPr>
            <w:webHidden/>
          </w:rPr>
          <w:tab/>
        </w:r>
        <w:r w:rsidR="00C32A01">
          <w:rPr>
            <w:webHidden/>
          </w:rPr>
          <w:fldChar w:fldCharType="begin"/>
        </w:r>
        <w:r w:rsidR="00926D0D">
          <w:rPr>
            <w:webHidden/>
          </w:rPr>
          <w:instrText xml:space="preserve"> PAGEREF _Toc478131775 \h </w:instrText>
        </w:r>
        <w:r w:rsidR="00C32A01">
          <w:rPr>
            <w:webHidden/>
          </w:rPr>
        </w:r>
        <w:r w:rsidR="00C32A01">
          <w:rPr>
            <w:webHidden/>
          </w:rPr>
          <w:fldChar w:fldCharType="separate"/>
        </w:r>
        <w:r w:rsidR="00926D0D">
          <w:rPr>
            <w:webHidden/>
          </w:rPr>
          <w:t>9</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76" w:history="1">
        <w:r w:rsidR="00926D0D" w:rsidRPr="007D076D">
          <w:rPr>
            <w:rStyle w:val="Hyperlink"/>
          </w:rPr>
          <w:t>9.3</w:t>
        </w:r>
        <w:r w:rsidR="00926D0D">
          <w:rPr>
            <w:rFonts w:asciiTheme="minorHAnsi" w:eastAsiaTheme="minorEastAsia" w:hAnsiTheme="minorHAnsi" w:cstheme="minorBidi"/>
            <w:szCs w:val="22"/>
            <w:lang w:val="en-AU" w:eastAsia="en-AU"/>
          </w:rPr>
          <w:tab/>
        </w:r>
        <w:r w:rsidR="00926D0D" w:rsidRPr="007D076D">
          <w:rPr>
            <w:rStyle w:val="Hyperlink"/>
          </w:rPr>
          <w:t>Commission may initiate pass-through event</w:t>
        </w:r>
        <w:r w:rsidR="00926D0D">
          <w:rPr>
            <w:webHidden/>
          </w:rPr>
          <w:tab/>
        </w:r>
        <w:r w:rsidR="00C32A01">
          <w:rPr>
            <w:webHidden/>
          </w:rPr>
          <w:fldChar w:fldCharType="begin"/>
        </w:r>
        <w:r w:rsidR="00926D0D">
          <w:rPr>
            <w:webHidden/>
          </w:rPr>
          <w:instrText xml:space="preserve"> PAGEREF _Toc478131776 \h </w:instrText>
        </w:r>
        <w:r w:rsidR="00C32A01">
          <w:rPr>
            <w:webHidden/>
          </w:rPr>
        </w:r>
        <w:r w:rsidR="00C32A01">
          <w:rPr>
            <w:webHidden/>
          </w:rPr>
          <w:fldChar w:fldCharType="separate"/>
        </w:r>
        <w:r w:rsidR="00926D0D">
          <w:rPr>
            <w:webHidden/>
          </w:rPr>
          <w:t>9</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77" w:history="1">
        <w:r w:rsidR="00926D0D" w:rsidRPr="007D076D">
          <w:rPr>
            <w:rStyle w:val="Hyperlink"/>
          </w:rPr>
          <w:t>9.4</w:t>
        </w:r>
        <w:r w:rsidR="00926D0D">
          <w:rPr>
            <w:rFonts w:asciiTheme="minorHAnsi" w:eastAsiaTheme="minorEastAsia" w:hAnsiTheme="minorHAnsi" w:cstheme="minorBidi"/>
            <w:szCs w:val="22"/>
            <w:lang w:val="en-AU" w:eastAsia="en-AU"/>
          </w:rPr>
          <w:tab/>
        </w:r>
        <w:r w:rsidR="00926D0D" w:rsidRPr="007D076D">
          <w:rPr>
            <w:rStyle w:val="Hyperlink"/>
          </w:rPr>
          <w:t>Further information</w:t>
        </w:r>
        <w:r w:rsidR="00926D0D">
          <w:rPr>
            <w:webHidden/>
          </w:rPr>
          <w:tab/>
        </w:r>
        <w:r w:rsidR="00C32A01">
          <w:rPr>
            <w:webHidden/>
          </w:rPr>
          <w:fldChar w:fldCharType="begin"/>
        </w:r>
        <w:r w:rsidR="00926D0D">
          <w:rPr>
            <w:webHidden/>
          </w:rPr>
          <w:instrText xml:space="preserve"> PAGEREF _Toc478131777 \h </w:instrText>
        </w:r>
        <w:r w:rsidR="00C32A01">
          <w:rPr>
            <w:webHidden/>
          </w:rPr>
        </w:r>
        <w:r w:rsidR="00C32A01">
          <w:rPr>
            <w:webHidden/>
          </w:rPr>
          <w:fldChar w:fldCharType="separate"/>
        </w:r>
        <w:r w:rsidR="00926D0D">
          <w:rPr>
            <w:webHidden/>
          </w:rPr>
          <w:t>10</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78" w:history="1">
        <w:r w:rsidR="00926D0D" w:rsidRPr="007D076D">
          <w:rPr>
            <w:rStyle w:val="Hyperlink"/>
          </w:rPr>
          <w:t>9.5</w:t>
        </w:r>
        <w:r w:rsidR="00926D0D">
          <w:rPr>
            <w:rFonts w:asciiTheme="minorHAnsi" w:eastAsiaTheme="minorEastAsia" w:hAnsiTheme="minorHAnsi" w:cstheme="minorBidi"/>
            <w:szCs w:val="22"/>
            <w:lang w:val="en-AU" w:eastAsia="en-AU"/>
          </w:rPr>
          <w:tab/>
        </w:r>
        <w:r w:rsidR="00926D0D" w:rsidRPr="007D076D">
          <w:rPr>
            <w:rStyle w:val="Hyperlink"/>
          </w:rPr>
          <w:t>Regulatory change event</w:t>
        </w:r>
        <w:r w:rsidR="00926D0D">
          <w:rPr>
            <w:webHidden/>
          </w:rPr>
          <w:tab/>
        </w:r>
        <w:r w:rsidR="00C32A01">
          <w:rPr>
            <w:webHidden/>
          </w:rPr>
          <w:fldChar w:fldCharType="begin"/>
        </w:r>
        <w:r w:rsidR="00926D0D">
          <w:rPr>
            <w:webHidden/>
          </w:rPr>
          <w:instrText xml:space="preserve"> PAGEREF _Toc478131778 \h </w:instrText>
        </w:r>
        <w:r w:rsidR="00C32A01">
          <w:rPr>
            <w:webHidden/>
          </w:rPr>
        </w:r>
        <w:r w:rsidR="00C32A01">
          <w:rPr>
            <w:webHidden/>
          </w:rPr>
          <w:fldChar w:fldCharType="separate"/>
        </w:r>
        <w:r w:rsidR="00926D0D">
          <w:rPr>
            <w:webHidden/>
          </w:rPr>
          <w:t>10</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79" w:history="1">
        <w:r w:rsidR="00926D0D" w:rsidRPr="007D076D">
          <w:rPr>
            <w:rStyle w:val="Hyperlink"/>
          </w:rPr>
          <w:t>9.6</w:t>
        </w:r>
        <w:r w:rsidR="00926D0D">
          <w:rPr>
            <w:rFonts w:asciiTheme="minorHAnsi" w:eastAsiaTheme="minorEastAsia" w:hAnsiTheme="minorHAnsi" w:cstheme="minorBidi"/>
            <w:szCs w:val="22"/>
            <w:lang w:val="en-AU" w:eastAsia="en-AU"/>
          </w:rPr>
          <w:tab/>
        </w:r>
        <w:r w:rsidR="00926D0D" w:rsidRPr="007D076D">
          <w:rPr>
            <w:rStyle w:val="Hyperlink"/>
          </w:rPr>
          <w:t>Tax change event</w:t>
        </w:r>
        <w:r w:rsidR="00926D0D">
          <w:rPr>
            <w:webHidden/>
          </w:rPr>
          <w:tab/>
        </w:r>
        <w:r w:rsidR="00C32A01">
          <w:rPr>
            <w:webHidden/>
          </w:rPr>
          <w:fldChar w:fldCharType="begin"/>
        </w:r>
        <w:r w:rsidR="00926D0D">
          <w:rPr>
            <w:webHidden/>
          </w:rPr>
          <w:instrText xml:space="preserve"> PAGEREF _Toc478131779 \h </w:instrText>
        </w:r>
        <w:r w:rsidR="00C32A01">
          <w:rPr>
            <w:webHidden/>
          </w:rPr>
        </w:r>
        <w:r w:rsidR="00C32A01">
          <w:rPr>
            <w:webHidden/>
          </w:rPr>
          <w:fldChar w:fldCharType="separate"/>
        </w:r>
        <w:r w:rsidR="00926D0D">
          <w:rPr>
            <w:webHidden/>
          </w:rPr>
          <w:t>10</w:t>
        </w:r>
        <w:r w:rsidR="00C32A01">
          <w:rPr>
            <w:webHidden/>
          </w:rPr>
          <w:fldChar w:fldCharType="end"/>
        </w:r>
      </w:hyperlink>
    </w:p>
    <w:p w:rsidR="00926D0D" w:rsidRDefault="009518B8">
      <w:pPr>
        <w:pStyle w:val="TOC3"/>
        <w:rPr>
          <w:rFonts w:asciiTheme="minorHAnsi" w:eastAsiaTheme="minorEastAsia" w:hAnsiTheme="minorHAnsi" w:cstheme="minorBidi"/>
          <w:szCs w:val="22"/>
          <w:lang w:val="en-AU" w:eastAsia="en-AU"/>
        </w:rPr>
      </w:pPr>
      <w:hyperlink w:anchor="_Toc478131780" w:history="1">
        <w:r w:rsidR="00926D0D" w:rsidRPr="007D076D">
          <w:rPr>
            <w:rStyle w:val="Hyperlink"/>
          </w:rPr>
          <w:t>9.7</w:t>
        </w:r>
        <w:r w:rsidR="00926D0D">
          <w:rPr>
            <w:rFonts w:asciiTheme="minorHAnsi" w:eastAsiaTheme="minorEastAsia" w:hAnsiTheme="minorHAnsi" w:cstheme="minorBidi"/>
            <w:szCs w:val="22"/>
            <w:lang w:val="en-AU" w:eastAsia="en-AU"/>
          </w:rPr>
          <w:tab/>
        </w:r>
        <w:r w:rsidR="00926D0D" w:rsidRPr="007D076D">
          <w:rPr>
            <w:rStyle w:val="Hyperlink"/>
          </w:rPr>
          <w:t>Calculation of a regulatory change or tax change event</w:t>
        </w:r>
        <w:r w:rsidR="00926D0D">
          <w:rPr>
            <w:webHidden/>
          </w:rPr>
          <w:tab/>
        </w:r>
        <w:r w:rsidR="00C32A01">
          <w:rPr>
            <w:webHidden/>
          </w:rPr>
          <w:fldChar w:fldCharType="begin"/>
        </w:r>
        <w:r w:rsidR="00926D0D">
          <w:rPr>
            <w:webHidden/>
          </w:rPr>
          <w:instrText xml:space="preserve"> PAGEREF _Toc478131780 \h </w:instrText>
        </w:r>
        <w:r w:rsidR="00C32A01">
          <w:rPr>
            <w:webHidden/>
          </w:rPr>
        </w:r>
        <w:r w:rsidR="00C32A01">
          <w:rPr>
            <w:webHidden/>
          </w:rPr>
          <w:fldChar w:fldCharType="separate"/>
        </w:r>
        <w:r w:rsidR="00926D0D">
          <w:rPr>
            <w:webHidden/>
          </w:rPr>
          <w:t>11</w:t>
        </w:r>
        <w:r w:rsidR="00C32A01">
          <w:rPr>
            <w:webHidden/>
          </w:rPr>
          <w:fldChar w:fldCharType="end"/>
        </w:r>
      </w:hyperlink>
    </w:p>
    <w:p w:rsidR="00926D0D" w:rsidRDefault="009518B8">
      <w:pPr>
        <w:pStyle w:val="TOC1"/>
        <w:tabs>
          <w:tab w:val="left" w:pos="1080"/>
        </w:tabs>
        <w:rPr>
          <w:rFonts w:asciiTheme="minorHAnsi" w:eastAsiaTheme="minorEastAsia" w:hAnsiTheme="minorHAnsi" w:cstheme="minorBidi"/>
          <w:b w:val="0"/>
          <w:szCs w:val="22"/>
          <w:lang w:val="en-AU" w:eastAsia="en-AU"/>
        </w:rPr>
      </w:pPr>
      <w:hyperlink w:anchor="_Toc478131781" w:history="1">
        <w:r w:rsidR="00926D0D" w:rsidRPr="007D076D">
          <w:rPr>
            <w:rStyle w:val="Hyperlink"/>
          </w:rPr>
          <w:t>Part C</w:t>
        </w:r>
        <w:r w:rsidR="00926D0D">
          <w:rPr>
            <w:rFonts w:asciiTheme="minorHAnsi" w:eastAsiaTheme="minorEastAsia" w:hAnsiTheme="minorHAnsi" w:cstheme="minorBidi"/>
            <w:b w:val="0"/>
            <w:szCs w:val="22"/>
            <w:lang w:val="en-AU" w:eastAsia="en-AU"/>
          </w:rPr>
          <w:tab/>
        </w:r>
        <w:r w:rsidR="00926D0D" w:rsidRPr="007D076D">
          <w:rPr>
            <w:rStyle w:val="Hyperlink"/>
          </w:rPr>
          <w:t>Legislative provisions</w:t>
        </w:r>
        <w:r w:rsidR="00926D0D">
          <w:rPr>
            <w:webHidden/>
          </w:rPr>
          <w:tab/>
        </w:r>
        <w:r w:rsidR="00C32A01">
          <w:rPr>
            <w:webHidden/>
          </w:rPr>
          <w:fldChar w:fldCharType="begin"/>
        </w:r>
        <w:r w:rsidR="00926D0D">
          <w:rPr>
            <w:webHidden/>
          </w:rPr>
          <w:instrText xml:space="preserve"> PAGEREF _Toc478131781 \h </w:instrText>
        </w:r>
        <w:r w:rsidR="00C32A01">
          <w:rPr>
            <w:webHidden/>
          </w:rPr>
        </w:r>
        <w:r w:rsidR="00C32A01">
          <w:rPr>
            <w:webHidden/>
          </w:rPr>
          <w:fldChar w:fldCharType="separate"/>
        </w:r>
        <w:r w:rsidR="00926D0D">
          <w:rPr>
            <w:webHidden/>
          </w:rPr>
          <w:t>13</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82" w:history="1">
        <w:r w:rsidR="00926D0D" w:rsidRPr="007D076D">
          <w:rPr>
            <w:rStyle w:val="Hyperlink"/>
          </w:rPr>
          <w:t>10</w:t>
        </w:r>
        <w:r w:rsidR="00926D0D">
          <w:rPr>
            <w:rFonts w:asciiTheme="minorHAnsi" w:eastAsiaTheme="minorEastAsia" w:hAnsiTheme="minorHAnsi" w:cstheme="minorBidi"/>
            <w:szCs w:val="22"/>
            <w:lang w:val="en-AU" w:eastAsia="en-AU"/>
          </w:rPr>
          <w:tab/>
        </w:r>
        <w:r w:rsidR="00926D0D" w:rsidRPr="007D076D">
          <w:rPr>
            <w:rStyle w:val="Hyperlink"/>
          </w:rPr>
          <w:t>Price Direction variation trigger events</w:t>
        </w:r>
        <w:r w:rsidR="00926D0D">
          <w:rPr>
            <w:webHidden/>
          </w:rPr>
          <w:tab/>
        </w:r>
        <w:r w:rsidR="00C32A01">
          <w:rPr>
            <w:webHidden/>
          </w:rPr>
          <w:fldChar w:fldCharType="begin"/>
        </w:r>
        <w:r w:rsidR="00926D0D">
          <w:rPr>
            <w:webHidden/>
          </w:rPr>
          <w:instrText xml:space="preserve"> PAGEREF _Toc478131782 \h </w:instrText>
        </w:r>
        <w:r w:rsidR="00C32A01">
          <w:rPr>
            <w:webHidden/>
          </w:rPr>
        </w:r>
        <w:r w:rsidR="00C32A01">
          <w:rPr>
            <w:webHidden/>
          </w:rPr>
          <w:fldChar w:fldCharType="separate"/>
        </w:r>
        <w:r w:rsidR="00926D0D">
          <w:rPr>
            <w:webHidden/>
          </w:rPr>
          <w:t>13</w:t>
        </w:r>
        <w:r w:rsidR="00C32A01">
          <w:rPr>
            <w:webHidden/>
          </w:rPr>
          <w:fldChar w:fldCharType="end"/>
        </w:r>
      </w:hyperlink>
    </w:p>
    <w:p w:rsidR="00926D0D" w:rsidRDefault="009518B8">
      <w:pPr>
        <w:pStyle w:val="TOC2"/>
        <w:rPr>
          <w:rFonts w:asciiTheme="minorHAnsi" w:eastAsiaTheme="minorEastAsia" w:hAnsiTheme="minorHAnsi" w:cstheme="minorBidi"/>
          <w:szCs w:val="22"/>
          <w:lang w:val="en-AU" w:eastAsia="en-AU"/>
        </w:rPr>
      </w:pPr>
      <w:hyperlink w:anchor="_Toc478131783" w:history="1">
        <w:r w:rsidR="00926D0D" w:rsidRPr="007D076D">
          <w:rPr>
            <w:rStyle w:val="Hyperlink"/>
          </w:rPr>
          <w:t>11</w:t>
        </w:r>
        <w:r w:rsidR="00926D0D">
          <w:rPr>
            <w:rFonts w:asciiTheme="minorHAnsi" w:eastAsiaTheme="minorEastAsia" w:hAnsiTheme="minorHAnsi" w:cstheme="minorBidi"/>
            <w:szCs w:val="22"/>
            <w:lang w:val="en-AU" w:eastAsia="en-AU"/>
          </w:rPr>
          <w:tab/>
        </w:r>
        <w:r w:rsidR="00926D0D" w:rsidRPr="007D076D">
          <w:rPr>
            <w:rStyle w:val="Hyperlink"/>
          </w:rPr>
          <w:t>Reset principle</w:t>
        </w:r>
        <w:r w:rsidR="00926D0D">
          <w:rPr>
            <w:webHidden/>
          </w:rPr>
          <w:tab/>
        </w:r>
        <w:r w:rsidR="00C32A01">
          <w:rPr>
            <w:webHidden/>
          </w:rPr>
          <w:fldChar w:fldCharType="begin"/>
        </w:r>
        <w:r w:rsidR="00926D0D">
          <w:rPr>
            <w:webHidden/>
          </w:rPr>
          <w:instrText xml:space="preserve"> PAGEREF _Toc478131783 \h </w:instrText>
        </w:r>
        <w:r w:rsidR="00C32A01">
          <w:rPr>
            <w:webHidden/>
          </w:rPr>
        </w:r>
        <w:r w:rsidR="00C32A01">
          <w:rPr>
            <w:webHidden/>
          </w:rPr>
          <w:fldChar w:fldCharType="separate"/>
        </w:r>
        <w:r w:rsidR="00926D0D">
          <w:rPr>
            <w:webHidden/>
          </w:rPr>
          <w:t>13</w:t>
        </w:r>
        <w:r w:rsidR="00C32A01">
          <w:rPr>
            <w:webHidden/>
          </w:rPr>
          <w:fldChar w:fldCharType="end"/>
        </w:r>
      </w:hyperlink>
    </w:p>
    <w:p w:rsidR="00926D0D" w:rsidRDefault="009518B8">
      <w:pPr>
        <w:pStyle w:val="TOC1"/>
        <w:tabs>
          <w:tab w:val="left" w:pos="1800"/>
        </w:tabs>
        <w:rPr>
          <w:rFonts w:asciiTheme="minorHAnsi" w:eastAsiaTheme="minorEastAsia" w:hAnsiTheme="minorHAnsi" w:cstheme="minorBidi"/>
          <w:b w:val="0"/>
          <w:szCs w:val="22"/>
          <w:lang w:val="en-AU" w:eastAsia="en-AU"/>
        </w:rPr>
      </w:pPr>
      <w:hyperlink w:anchor="_Toc478131784" w:history="1">
        <w:r w:rsidR="00926D0D" w:rsidRPr="007D076D">
          <w:rPr>
            <w:rStyle w:val="Hyperlink"/>
          </w:rPr>
          <w:t>Attachment 1</w:t>
        </w:r>
        <w:r w:rsidR="00926D0D">
          <w:rPr>
            <w:rFonts w:asciiTheme="minorHAnsi" w:eastAsiaTheme="minorEastAsia" w:hAnsiTheme="minorHAnsi" w:cstheme="minorBidi"/>
            <w:b w:val="0"/>
            <w:szCs w:val="22"/>
            <w:lang w:val="en-AU" w:eastAsia="en-AU"/>
          </w:rPr>
          <w:tab/>
        </w:r>
        <w:r w:rsidR="00926D0D" w:rsidRPr="007D076D">
          <w:rPr>
            <w:rStyle w:val="Hyperlink"/>
          </w:rPr>
          <w:t>Compliance</w:t>
        </w:r>
        <w:r w:rsidR="00926D0D">
          <w:rPr>
            <w:webHidden/>
          </w:rPr>
          <w:tab/>
        </w:r>
        <w:r w:rsidR="00C32A01">
          <w:rPr>
            <w:webHidden/>
          </w:rPr>
          <w:fldChar w:fldCharType="begin"/>
        </w:r>
        <w:r w:rsidR="00926D0D">
          <w:rPr>
            <w:webHidden/>
          </w:rPr>
          <w:instrText xml:space="preserve"> PAGEREF _Toc478131784 \h </w:instrText>
        </w:r>
        <w:r w:rsidR="00C32A01">
          <w:rPr>
            <w:webHidden/>
          </w:rPr>
        </w:r>
        <w:r w:rsidR="00C32A01">
          <w:rPr>
            <w:webHidden/>
          </w:rPr>
          <w:fldChar w:fldCharType="separate"/>
        </w:r>
        <w:r w:rsidR="00926D0D">
          <w:rPr>
            <w:webHidden/>
          </w:rPr>
          <w:t>15</w:t>
        </w:r>
        <w:r w:rsidR="00C32A01">
          <w:rPr>
            <w:webHidden/>
          </w:rPr>
          <w:fldChar w:fldCharType="end"/>
        </w:r>
      </w:hyperlink>
    </w:p>
    <w:p w:rsidR="00926D0D" w:rsidRDefault="009518B8">
      <w:pPr>
        <w:pStyle w:val="TOC1"/>
        <w:rPr>
          <w:rFonts w:asciiTheme="minorHAnsi" w:eastAsiaTheme="minorEastAsia" w:hAnsiTheme="minorHAnsi" w:cstheme="minorBidi"/>
          <w:b w:val="0"/>
          <w:szCs w:val="22"/>
          <w:lang w:val="en-AU" w:eastAsia="en-AU"/>
        </w:rPr>
      </w:pPr>
      <w:hyperlink w:anchor="_Toc478131791" w:history="1">
        <w:r w:rsidR="00926D0D" w:rsidRPr="007D076D">
          <w:rPr>
            <w:rStyle w:val="Hyperlink"/>
          </w:rPr>
          <w:t>Abbreviations and acronyms</w:t>
        </w:r>
        <w:r w:rsidR="00926D0D">
          <w:rPr>
            <w:webHidden/>
          </w:rPr>
          <w:tab/>
        </w:r>
        <w:r w:rsidR="00C32A01">
          <w:rPr>
            <w:webHidden/>
          </w:rPr>
          <w:fldChar w:fldCharType="begin"/>
        </w:r>
        <w:r w:rsidR="00926D0D">
          <w:rPr>
            <w:webHidden/>
          </w:rPr>
          <w:instrText xml:space="preserve"> PAGEREF _Toc478131791 \h </w:instrText>
        </w:r>
        <w:r w:rsidR="00C32A01">
          <w:rPr>
            <w:webHidden/>
          </w:rPr>
        </w:r>
        <w:r w:rsidR="00C32A01">
          <w:rPr>
            <w:webHidden/>
          </w:rPr>
          <w:fldChar w:fldCharType="separate"/>
        </w:r>
        <w:r w:rsidR="00926D0D">
          <w:rPr>
            <w:webHidden/>
          </w:rPr>
          <w:t>19</w:t>
        </w:r>
        <w:r w:rsidR="00C32A01">
          <w:rPr>
            <w:webHidden/>
          </w:rPr>
          <w:fldChar w:fldCharType="end"/>
        </w:r>
      </w:hyperlink>
    </w:p>
    <w:p w:rsidR="000B5F19" w:rsidRDefault="00C32A01" w:rsidP="0079190D">
      <w:pPr>
        <w:rPr>
          <w:noProof/>
          <w:sz w:val="24"/>
          <w:szCs w:val="24"/>
          <w:lang w:val="en-AU"/>
        </w:rPr>
      </w:pPr>
      <w:r>
        <w:rPr>
          <w:noProof/>
          <w:sz w:val="24"/>
          <w:szCs w:val="24"/>
          <w:lang w:val="en-AU"/>
        </w:rPr>
        <w:fldChar w:fldCharType="end"/>
      </w:r>
      <w:r w:rsidR="000B5F19">
        <w:rPr>
          <w:noProof/>
          <w:sz w:val="24"/>
          <w:szCs w:val="24"/>
          <w:lang w:val="en-AU"/>
        </w:rPr>
        <w:br w:type="page"/>
      </w:r>
    </w:p>
    <w:p w:rsidR="00DE3143" w:rsidRPr="0079190D" w:rsidRDefault="00043BCD" w:rsidP="0079190D">
      <w:pPr>
        <w:rPr>
          <w:rFonts w:ascii="Arial" w:hAnsi="Arial" w:cs="Arial"/>
          <w:b/>
          <w:sz w:val="26"/>
          <w:szCs w:val="26"/>
        </w:rPr>
      </w:pPr>
      <w:r w:rsidRPr="0079190D">
        <w:rPr>
          <w:rFonts w:ascii="Arial" w:hAnsi="Arial" w:cs="Arial"/>
          <w:b/>
          <w:sz w:val="26"/>
          <w:szCs w:val="26"/>
        </w:rPr>
        <w:lastRenderedPageBreak/>
        <w:t>List of tables</w:t>
      </w:r>
    </w:p>
    <w:p w:rsidR="00872B13" w:rsidRDefault="00C32A01">
      <w:pPr>
        <w:pStyle w:val="TableofFigures"/>
        <w:rPr>
          <w:rFonts w:asciiTheme="minorHAnsi" w:eastAsiaTheme="minorEastAsia" w:hAnsiTheme="minorHAnsi" w:cstheme="minorBidi"/>
          <w:szCs w:val="22"/>
          <w:lang w:val="en-AU" w:eastAsia="en-AU"/>
        </w:rPr>
      </w:pPr>
      <w:r>
        <w:rPr>
          <w:lang w:val="en-AU"/>
        </w:rPr>
        <w:fldChar w:fldCharType="begin"/>
      </w:r>
      <w:r w:rsidR="00437EF5">
        <w:rPr>
          <w:lang w:val="en-AU"/>
        </w:rPr>
        <w:instrText xml:space="preserve"> TOC \h \z \c "Table" </w:instrText>
      </w:r>
      <w:r>
        <w:rPr>
          <w:lang w:val="en-AU"/>
        </w:rPr>
        <w:fldChar w:fldCharType="separate"/>
      </w:r>
      <w:hyperlink w:anchor="_Toc477866948" w:history="1">
        <w:r w:rsidR="00872B13" w:rsidRPr="00B32C6C">
          <w:rPr>
            <w:rStyle w:val="Hyperlink"/>
          </w:rPr>
          <w:t>Table 8.1</w:t>
        </w:r>
        <w:r w:rsidR="00872B13">
          <w:rPr>
            <w:rFonts w:asciiTheme="minorHAnsi" w:eastAsiaTheme="minorEastAsia" w:hAnsiTheme="minorHAnsi" w:cstheme="minorBidi"/>
            <w:szCs w:val="22"/>
            <w:lang w:val="en-AU" w:eastAsia="en-AU"/>
          </w:rPr>
          <w:tab/>
        </w:r>
        <w:r w:rsidR="00872B13" w:rsidRPr="00B32C6C">
          <w:rPr>
            <w:rStyle w:val="Hyperlink"/>
          </w:rPr>
          <w:t>Annual recalibration timeline</w:t>
        </w:r>
        <w:r w:rsidR="00872B13">
          <w:rPr>
            <w:webHidden/>
          </w:rPr>
          <w:tab/>
        </w:r>
        <w:r>
          <w:rPr>
            <w:webHidden/>
          </w:rPr>
          <w:fldChar w:fldCharType="begin"/>
        </w:r>
        <w:r w:rsidR="00872B13">
          <w:rPr>
            <w:webHidden/>
          </w:rPr>
          <w:instrText xml:space="preserve"> PAGEREF _Toc477866948 \h </w:instrText>
        </w:r>
        <w:r>
          <w:rPr>
            <w:webHidden/>
          </w:rPr>
        </w:r>
        <w:r>
          <w:rPr>
            <w:webHidden/>
          </w:rPr>
          <w:fldChar w:fldCharType="separate"/>
        </w:r>
        <w:r w:rsidR="00872B13">
          <w:rPr>
            <w:webHidden/>
          </w:rPr>
          <w:t>6</w:t>
        </w:r>
        <w:r>
          <w:rPr>
            <w:webHidden/>
          </w:rPr>
          <w:fldChar w:fldCharType="end"/>
        </w:r>
      </w:hyperlink>
    </w:p>
    <w:p w:rsidR="00872B13" w:rsidRDefault="009518B8">
      <w:pPr>
        <w:pStyle w:val="TableofFigures"/>
        <w:rPr>
          <w:rFonts w:asciiTheme="minorHAnsi" w:eastAsiaTheme="minorEastAsia" w:hAnsiTheme="minorHAnsi" w:cstheme="minorBidi"/>
          <w:szCs w:val="22"/>
          <w:lang w:val="en-AU" w:eastAsia="en-AU"/>
        </w:rPr>
      </w:pPr>
      <w:hyperlink w:anchor="_Toc477866949" w:history="1">
        <w:r w:rsidR="00872B13" w:rsidRPr="00B32C6C">
          <w:rPr>
            <w:rStyle w:val="Hyperlink"/>
          </w:rPr>
          <w:t>Table 8.2</w:t>
        </w:r>
        <w:r w:rsidR="00872B13">
          <w:rPr>
            <w:rFonts w:asciiTheme="minorHAnsi" w:eastAsiaTheme="minorEastAsia" w:hAnsiTheme="minorHAnsi" w:cstheme="minorBidi"/>
            <w:szCs w:val="22"/>
            <w:lang w:val="en-AU" w:eastAsia="en-AU"/>
          </w:rPr>
          <w:tab/>
        </w:r>
        <w:r w:rsidR="00872B13" w:rsidRPr="00B32C6C">
          <w:rPr>
            <w:rStyle w:val="Hyperlink"/>
          </w:rPr>
          <w:t>Components of the cost-index model</w:t>
        </w:r>
        <w:r w:rsidR="00872B13">
          <w:rPr>
            <w:webHidden/>
          </w:rPr>
          <w:tab/>
        </w:r>
        <w:r w:rsidR="00C32A01">
          <w:rPr>
            <w:webHidden/>
          </w:rPr>
          <w:fldChar w:fldCharType="begin"/>
        </w:r>
        <w:r w:rsidR="00872B13">
          <w:rPr>
            <w:webHidden/>
          </w:rPr>
          <w:instrText xml:space="preserve"> PAGEREF _Toc477866949 \h </w:instrText>
        </w:r>
        <w:r w:rsidR="00C32A01">
          <w:rPr>
            <w:webHidden/>
          </w:rPr>
        </w:r>
        <w:r w:rsidR="00C32A01">
          <w:rPr>
            <w:webHidden/>
          </w:rPr>
          <w:fldChar w:fldCharType="separate"/>
        </w:r>
        <w:r w:rsidR="00872B13">
          <w:rPr>
            <w:webHidden/>
          </w:rPr>
          <w:t>7</w:t>
        </w:r>
        <w:r w:rsidR="00C32A01">
          <w:rPr>
            <w:webHidden/>
          </w:rPr>
          <w:fldChar w:fldCharType="end"/>
        </w:r>
      </w:hyperlink>
    </w:p>
    <w:p w:rsidR="00022732" w:rsidRDefault="00C32A01" w:rsidP="00022732">
      <w:pPr>
        <w:rPr>
          <w:noProof/>
          <w:lang w:val="en-AU"/>
        </w:rPr>
      </w:pPr>
      <w:r>
        <w:rPr>
          <w:noProof/>
          <w:lang w:val="en-AU"/>
        </w:rPr>
        <w:fldChar w:fldCharType="end"/>
      </w:r>
    </w:p>
    <w:p w:rsidR="00CF112C" w:rsidRDefault="00CF112C">
      <w:pPr>
        <w:spacing w:after="0" w:line="240" w:lineRule="auto"/>
        <w:rPr>
          <w:noProof/>
          <w:lang w:val="en-AU"/>
        </w:rPr>
        <w:sectPr w:rsidR="00CF112C" w:rsidSect="00992E7F">
          <w:headerReference w:type="even" r:id="rId16"/>
          <w:headerReference w:type="default" r:id="rId17"/>
          <w:endnotePr>
            <w:numFmt w:val="decimal"/>
          </w:endnotePr>
          <w:type w:val="oddPage"/>
          <w:pgSz w:w="11907" w:h="16840" w:code="9"/>
          <w:pgMar w:top="2268" w:right="2098" w:bottom="1701" w:left="2098" w:header="578" w:footer="578" w:gutter="0"/>
          <w:pgNumType w:fmt="lowerRoman"/>
          <w:cols w:space="720"/>
          <w:docGrid w:linePitch="360"/>
        </w:sectPr>
      </w:pPr>
    </w:p>
    <w:p w:rsidR="00307062" w:rsidRDefault="00B325BA" w:rsidP="00307062">
      <w:pPr>
        <w:pStyle w:val="HeadingPart"/>
      </w:pPr>
      <w:bookmarkStart w:id="9" w:name="_Toc359411858"/>
      <w:bookmarkStart w:id="10" w:name="_Toc359411859"/>
      <w:bookmarkStart w:id="11" w:name="_Toc359411860"/>
      <w:bookmarkStart w:id="12" w:name="_Ref359595173"/>
      <w:bookmarkStart w:id="13" w:name="_Toc478131759"/>
      <w:bookmarkStart w:id="14" w:name="_Toc118359367"/>
      <w:bookmarkStart w:id="15" w:name="_Toc202785427"/>
      <w:bookmarkStart w:id="16" w:name="_Toc260327869"/>
      <w:bookmarkStart w:id="17" w:name="_Ref348972103"/>
      <w:bookmarkStart w:id="18" w:name="_Ref348972148"/>
      <w:bookmarkStart w:id="19" w:name="_Ref348972184"/>
      <w:bookmarkStart w:id="20" w:name="_Ref348972380"/>
      <w:bookmarkStart w:id="21" w:name="_Ref348973375"/>
      <w:bookmarkStart w:id="22" w:name="_Ref349636790"/>
      <w:bookmarkStart w:id="23" w:name="_Ref349636885"/>
      <w:bookmarkStart w:id="24" w:name="_Ref349636888"/>
      <w:bookmarkStart w:id="25" w:name="_Ref349636916"/>
      <w:bookmarkEnd w:id="9"/>
      <w:bookmarkEnd w:id="10"/>
      <w:bookmarkEnd w:id="11"/>
      <w:r>
        <w:lastRenderedPageBreak/>
        <w:t>Preliminary</w:t>
      </w:r>
      <w:bookmarkEnd w:id="12"/>
      <w:bookmarkEnd w:id="13"/>
    </w:p>
    <w:p w:rsidR="00A1291C" w:rsidRPr="00A1291C" w:rsidRDefault="00344B72" w:rsidP="00A1291C">
      <w:pPr>
        <w:pStyle w:val="Heading1"/>
      </w:pPr>
      <w:bookmarkStart w:id="26" w:name="_Toc359595461"/>
      <w:bookmarkStart w:id="27" w:name="_Toc359595573"/>
      <w:bookmarkStart w:id="28" w:name="_Toc359595621"/>
      <w:bookmarkStart w:id="29" w:name="_Toc359595662"/>
      <w:bookmarkStart w:id="30" w:name="_Toc359595703"/>
      <w:bookmarkStart w:id="31" w:name="_Toc359595744"/>
      <w:bookmarkStart w:id="32" w:name="_Toc359595870"/>
      <w:bookmarkStart w:id="33" w:name="_Toc359595911"/>
      <w:bookmarkStart w:id="34" w:name="_Toc359595952"/>
      <w:bookmarkStart w:id="35" w:name="_Toc359835185"/>
      <w:bookmarkStart w:id="36" w:name="_Toc478131760"/>
      <w:bookmarkStart w:id="37" w:name="_Ref348979335"/>
      <w:bookmarkStart w:id="38" w:name="_Ref348979348"/>
      <w:bookmarkStart w:id="39" w:name="_Ref348979356"/>
      <w:bookmarkStart w:id="40" w:name="_Ref348979361"/>
      <w:bookmarkStart w:id="41" w:name="_Ref349052442"/>
      <w:bookmarkEnd w:id="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P</w:t>
      </w:r>
      <w:r w:rsidR="00830AD3">
        <w:t>roposed p</w:t>
      </w:r>
      <w:r w:rsidR="009D46EF">
        <w:t>rice d</w:t>
      </w:r>
      <w:r w:rsidR="00A1291C">
        <w:t>irection</w:t>
      </w:r>
      <w:r w:rsidR="00830AD3">
        <w:rPr>
          <w:rStyle w:val="FootnoteReference"/>
        </w:rPr>
        <w:footnoteReference w:id="1"/>
      </w:r>
      <w:bookmarkEnd w:id="36"/>
    </w:p>
    <w:p w:rsidR="000B5CA5" w:rsidRDefault="00A1291C" w:rsidP="000B5CA5">
      <w:r>
        <w:t xml:space="preserve">This Price Direction is </w:t>
      </w:r>
      <w:r w:rsidR="008261A4">
        <w:t>set out</w:t>
      </w:r>
      <w:r w:rsidR="007D273D">
        <w:t xml:space="preserve"> in</w:t>
      </w:r>
      <w:r w:rsidR="008261A4">
        <w:t xml:space="preserve"> accordance with</w:t>
      </w:r>
      <w:r w:rsidR="007C5C33">
        <w:t xml:space="preserve"> the </w:t>
      </w:r>
      <w:r w:rsidR="00E274DE" w:rsidRPr="00E274DE">
        <w:rPr>
          <w:i/>
        </w:rPr>
        <w:t>Independent Competition and Regulatory Commission Act 1997</w:t>
      </w:r>
      <w:r w:rsidR="00E274DE" w:rsidRPr="00E274DE">
        <w:t xml:space="preserve"> (ICRC Act or the Act)</w:t>
      </w:r>
      <w:r w:rsidR="00E274DE">
        <w:t xml:space="preserve"> </w:t>
      </w:r>
      <w:r>
        <w:t xml:space="preserve">and the </w:t>
      </w:r>
      <w:r w:rsidR="007C5C33">
        <w:t xml:space="preserve">terms of reference issued </w:t>
      </w:r>
      <w:r w:rsidR="000B5CA5">
        <w:t xml:space="preserve">by the referring authority for an investigation into, and the making of, a </w:t>
      </w:r>
      <w:r w:rsidR="00B608A4">
        <w:t>p</w:t>
      </w:r>
      <w:r w:rsidR="000B5CA5">
        <w:t xml:space="preserve">rice </w:t>
      </w:r>
      <w:r w:rsidR="00B608A4">
        <w:t>d</w:t>
      </w:r>
      <w:r w:rsidR="000B5CA5">
        <w:t>irection for</w:t>
      </w:r>
      <w:r w:rsidR="00B608A4">
        <w:t xml:space="preserve"> </w:t>
      </w:r>
      <w:r w:rsidR="00AE1AB7">
        <w:t xml:space="preserve">standing offer prices </w:t>
      </w:r>
      <w:r w:rsidR="003A75FE">
        <w:t xml:space="preserve">for </w:t>
      </w:r>
      <w:r w:rsidR="00B608A4">
        <w:t xml:space="preserve">the supply of electricity </w:t>
      </w:r>
      <w:r w:rsidR="00AE1AB7">
        <w:t>to small custom</w:t>
      </w:r>
      <w:r w:rsidR="00F639B6">
        <w:t>ers consuming under 100</w:t>
      </w:r>
      <w:r w:rsidR="00131856">
        <w:t xml:space="preserve"> </w:t>
      </w:r>
      <w:r w:rsidR="00F639B6">
        <w:t xml:space="preserve">MWh per </w:t>
      </w:r>
      <w:r w:rsidR="003D64F6">
        <w:t xml:space="preserve">consumption </w:t>
      </w:r>
      <w:r w:rsidR="00D57C0A">
        <w:t>period of 12 consecutive months</w:t>
      </w:r>
      <w:r w:rsidR="00F639B6">
        <w:t>.</w:t>
      </w:r>
      <w:r w:rsidR="000B5CA5">
        <w:rPr>
          <w:rStyle w:val="FootnoteReference"/>
        </w:rPr>
        <w:footnoteReference w:id="2"/>
      </w:r>
      <w:r w:rsidR="00430398">
        <w:t xml:space="preserve"> </w:t>
      </w:r>
      <w:r w:rsidR="00EB74D5">
        <w:t xml:space="preserve"> </w:t>
      </w:r>
      <w:r w:rsidR="00AE1AB7">
        <w:t>The terms of re</w:t>
      </w:r>
      <w:r w:rsidR="00E36094">
        <w:t>ference further set out that this P</w:t>
      </w:r>
      <w:r w:rsidR="00AE1AB7">
        <w:t xml:space="preserve">rice </w:t>
      </w:r>
      <w:r w:rsidR="00E36094">
        <w:t>D</w:t>
      </w:r>
      <w:r w:rsidR="00AE1AB7">
        <w:t>irection is to apply to ActewAGL Retail</w:t>
      </w:r>
      <w:r w:rsidR="003D64F6">
        <w:t xml:space="preserve"> for the period stipulated below in clause </w:t>
      </w:r>
      <w:r w:rsidR="00C32A01">
        <w:fldChar w:fldCharType="begin"/>
      </w:r>
      <w:r w:rsidR="003D64F6">
        <w:instrText xml:space="preserve"> REF _Ref358209017 \r \h </w:instrText>
      </w:r>
      <w:r w:rsidR="00C32A01">
        <w:fldChar w:fldCharType="separate"/>
      </w:r>
      <w:r w:rsidR="00FA2DC9">
        <w:t>2</w:t>
      </w:r>
      <w:r w:rsidR="00C32A01">
        <w:fldChar w:fldCharType="end"/>
      </w:r>
      <w:r w:rsidR="00AE1AB7">
        <w:t>.</w:t>
      </w:r>
    </w:p>
    <w:p w:rsidR="000B5CA5" w:rsidRDefault="000B5CA5" w:rsidP="000B5CA5">
      <w:r>
        <w:t xml:space="preserve">The </w:t>
      </w:r>
      <w:r w:rsidR="00433E5C">
        <w:t>P</w:t>
      </w:r>
      <w:r w:rsidR="00430120">
        <w:t>ri</w:t>
      </w:r>
      <w:r>
        <w:t xml:space="preserve">ce </w:t>
      </w:r>
      <w:r w:rsidR="00433E5C">
        <w:t>D</w:t>
      </w:r>
      <w:r>
        <w:t>irection consists of</w:t>
      </w:r>
      <w:r w:rsidR="00D009A6">
        <w:t xml:space="preserve"> p</w:t>
      </w:r>
      <w:r w:rsidR="003A75FE">
        <w:t>arts A through C</w:t>
      </w:r>
      <w:r>
        <w:t>, the clauses and subclauses in those parts, th</w:t>
      </w:r>
      <w:r w:rsidR="00430120">
        <w:t xml:space="preserve">e tables in those parts, and </w:t>
      </w:r>
      <w:r w:rsidR="003B0FC6">
        <w:t xml:space="preserve">one </w:t>
      </w:r>
      <w:r>
        <w:t xml:space="preserve">attachment. </w:t>
      </w:r>
    </w:p>
    <w:p w:rsidR="000B5CA5" w:rsidRDefault="000B5CA5" w:rsidP="000B5CA5">
      <w:pPr>
        <w:pStyle w:val="BulletIntro"/>
      </w:pPr>
      <w:r>
        <w:t>The parts are set out as follows:</w:t>
      </w:r>
    </w:p>
    <w:p w:rsidR="000B5CA5" w:rsidRDefault="00131856" w:rsidP="000B5CA5">
      <w:pPr>
        <w:pStyle w:val="Bullet"/>
      </w:pPr>
      <w:r>
        <w:t>Part A – Preliminary</w:t>
      </w:r>
    </w:p>
    <w:p w:rsidR="000B5CA5" w:rsidRDefault="000B5CA5" w:rsidP="000B5CA5">
      <w:pPr>
        <w:pStyle w:val="Bullet"/>
      </w:pPr>
      <w:r>
        <w:t xml:space="preserve">Part B – </w:t>
      </w:r>
      <w:r w:rsidR="004A1310">
        <w:t>Price regulation method</w:t>
      </w:r>
    </w:p>
    <w:p w:rsidR="000B5CA5" w:rsidRDefault="00831E40" w:rsidP="000B5CA5">
      <w:pPr>
        <w:pStyle w:val="BulletLast"/>
      </w:pPr>
      <w:r>
        <w:t xml:space="preserve">Part </w:t>
      </w:r>
      <w:r w:rsidR="00FB7B6C">
        <w:t xml:space="preserve">C </w:t>
      </w:r>
      <w:r>
        <w:t>– Legislative provisions</w:t>
      </w:r>
    </w:p>
    <w:p w:rsidR="000B5CA5" w:rsidRPr="002A348C" w:rsidRDefault="000B5CA5" w:rsidP="000B5CA5">
      <w:r w:rsidRPr="002A348C">
        <w:t xml:space="preserve">Part A sets out the preliminary information to the </w:t>
      </w:r>
      <w:r w:rsidR="00B32A85">
        <w:t>Price D</w:t>
      </w:r>
      <w:r>
        <w:t>irection</w:t>
      </w:r>
      <w:r w:rsidRPr="002A348C">
        <w:t xml:space="preserve">. </w:t>
      </w:r>
    </w:p>
    <w:p w:rsidR="000B5CA5" w:rsidRDefault="000B5CA5" w:rsidP="000B5CA5">
      <w:r w:rsidRPr="002A348C">
        <w:t xml:space="preserve">Part B </w:t>
      </w:r>
      <w:r>
        <w:t>sets out the</w:t>
      </w:r>
      <w:r w:rsidRPr="002A348C">
        <w:t xml:space="preserve"> </w:t>
      </w:r>
      <w:r w:rsidR="004A1310">
        <w:t xml:space="preserve">formula for the </w:t>
      </w:r>
      <w:r w:rsidR="00693BF7">
        <w:t>weighted average</w:t>
      </w:r>
      <w:r w:rsidR="004A1310">
        <w:t xml:space="preserve"> price cap </w:t>
      </w:r>
      <w:r w:rsidR="00FB7B6C">
        <w:t xml:space="preserve">to apply for the regulatory period. </w:t>
      </w:r>
      <w:r w:rsidR="00EB74D5">
        <w:t xml:space="preserve"> </w:t>
      </w:r>
      <w:r w:rsidR="00FB7B6C">
        <w:t>The part</w:t>
      </w:r>
      <w:r w:rsidR="004A1310">
        <w:t xml:space="preserve"> then sets </w:t>
      </w:r>
      <w:r w:rsidRPr="002A348C">
        <w:t xml:space="preserve">out </w:t>
      </w:r>
      <w:r>
        <w:t xml:space="preserve">the </w:t>
      </w:r>
      <w:r w:rsidR="00D04934">
        <w:t>determination of</w:t>
      </w:r>
      <w:r w:rsidR="00BF5A7B">
        <w:t xml:space="preserve"> the maximum average percentage change</w:t>
      </w:r>
      <w:r w:rsidR="002217E3">
        <w:t>s</w:t>
      </w:r>
      <w:r w:rsidR="00BF5A7B">
        <w:t xml:space="preserve"> in prices (</w:t>
      </w:r>
      <w:r w:rsidR="00CB4C81">
        <w:t>Y</w:t>
      </w:r>
      <w:r w:rsidR="00CB4C81" w:rsidRPr="00334576">
        <w:rPr>
          <w:vertAlign w:val="superscript"/>
        </w:rPr>
        <w:t>t</w:t>
      </w:r>
      <w:r w:rsidR="00380FF4" w:rsidRPr="00380FF4">
        <w:t>)</w:t>
      </w:r>
      <w:r w:rsidR="00CB4C81" w:rsidRPr="00E41832">
        <w:t xml:space="preserve"> </w:t>
      </w:r>
      <w:r w:rsidR="00D822BF">
        <w:t>for 2017–</w:t>
      </w:r>
      <w:r w:rsidR="001F67F2">
        <w:t xml:space="preserve">18 </w:t>
      </w:r>
      <w:r w:rsidR="00D04934">
        <w:t>and</w:t>
      </w:r>
      <w:r w:rsidR="00CB4C81">
        <w:t xml:space="preserve"> the </w:t>
      </w:r>
      <w:r>
        <w:t xml:space="preserve">regulatory method to </w:t>
      </w:r>
      <w:r w:rsidR="004A1310">
        <w:t xml:space="preserve">recalibrate the </w:t>
      </w:r>
      <w:r w:rsidR="00D04934">
        <w:t>weighted average price cap</w:t>
      </w:r>
      <w:r w:rsidR="004A1310">
        <w:t xml:space="preserve"> on an annual basis for the years</w:t>
      </w:r>
      <w:r>
        <w:t xml:space="preserve"> </w:t>
      </w:r>
      <w:r w:rsidR="001F67F2">
        <w:t>2018–19</w:t>
      </w:r>
      <w:r w:rsidR="007C5C33">
        <w:t xml:space="preserve"> </w:t>
      </w:r>
      <w:r w:rsidR="00FB7B6C">
        <w:t xml:space="preserve">and </w:t>
      </w:r>
      <w:r w:rsidR="00EC29FA">
        <w:t>201</w:t>
      </w:r>
      <w:r w:rsidR="001F67F2">
        <w:t>9</w:t>
      </w:r>
      <w:r w:rsidR="00FE28FF">
        <w:t>–</w:t>
      </w:r>
      <w:r w:rsidR="001F67F2">
        <w:t>20</w:t>
      </w:r>
      <w:r w:rsidR="00C6552A">
        <w:t>.</w:t>
      </w:r>
      <w:r>
        <w:t xml:space="preserve"> </w:t>
      </w:r>
      <w:r w:rsidR="00D822BF">
        <w:t xml:space="preserve"> </w:t>
      </w:r>
      <w:r>
        <w:t>The regulatory method includ</w:t>
      </w:r>
      <w:r w:rsidR="007C5C33">
        <w:t>es provision</w:t>
      </w:r>
      <w:r w:rsidR="00097790">
        <w:t>s</w:t>
      </w:r>
      <w:r w:rsidR="007C5C33">
        <w:t xml:space="preserve"> for </w:t>
      </w:r>
      <w:r w:rsidR="004A1310">
        <w:t xml:space="preserve">the inclusion of </w:t>
      </w:r>
      <w:r w:rsidR="007C5C33">
        <w:t xml:space="preserve">pass-throughs </w:t>
      </w:r>
      <w:r w:rsidR="002217E3">
        <w:t>at the time of the annual recalibrations</w:t>
      </w:r>
      <w:r>
        <w:t>.</w:t>
      </w:r>
    </w:p>
    <w:p w:rsidR="00255E61" w:rsidRDefault="000B5CA5" w:rsidP="000B5CA5">
      <w:r>
        <w:t xml:space="preserve">Part </w:t>
      </w:r>
      <w:r w:rsidR="00FB7B6C">
        <w:t>C</w:t>
      </w:r>
      <w:r w:rsidR="00FB7B6C" w:rsidRPr="002A348C">
        <w:t xml:space="preserve"> </w:t>
      </w:r>
      <w:r w:rsidRPr="002A348C">
        <w:t xml:space="preserve">sets out </w:t>
      </w:r>
      <w:r>
        <w:t>the reset principle and trigger mechanisms for variation of the</w:t>
      </w:r>
      <w:r w:rsidR="00B32A85">
        <w:t xml:space="preserve"> Price D</w:t>
      </w:r>
      <w:r>
        <w:t>irection</w:t>
      </w:r>
      <w:r w:rsidR="00C52824">
        <w:t xml:space="preserve"> once in force</w:t>
      </w:r>
      <w:r w:rsidR="00097790">
        <w:t>.</w:t>
      </w:r>
    </w:p>
    <w:p w:rsidR="00307062" w:rsidRPr="00B325BA" w:rsidRDefault="006B0949" w:rsidP="00FC5394">
      <w:pPr>
        <w:pStyle w:val="Heading1"/>
      </w:pPr>
      <w:bookmarkStart w:id="42" w:name="_Ref358209017"/>
      <w:bookmarkStart w:id="43" w:name="_Ref358209057"/>
      <w:bookmarkStart w:id="44" w:name="_Ref358209071"/>
      <w:bookmarkStart w:id="45" w:name="_Ref358209084"/>
      <w:bookmarkStart w:id="46" w:name="_Ref358209185"/>
      <w:bookmarkStart w:id="47" w:name="_Toc478131761"/>
      <w:r>
        <w:lastRenderedPageBreak/>
        <w:t>The regulatory period</w:t>
      </w:r>
      <w:bookmarkEnd w:id="37"/>
      <w:bookmarkEnd w:id="38"/>
      <w:bookmarkEnd w:id="39"/>
      <w:bookmarkEnd w:id="40"/>
      <w:bookmarkEnd w:id="41"/>
      <w:bookmarkEnd w:id="42"/>
      <w:bookmarkEnd w:id="43"/>
      <w:bookmarkEnd w:id="44"/>
      <w:bookmarkEnd w:id="45"/>
      <w:bookmarkEnd w:id="46"/>
      <w:bookmarkEnd w:id="47"/>
    </w:p>
    <w:p w:rsidR="00B55C6F" w:rsidRDefault="006B0949" w:rsidP="00366B2E">
      <w:r w:rsidRPr="00C6552A">
        <w:t xml:space="preserve">This </w:t>
      </w:r>
      <w:r w:rsidR="00B32A85">
        <w:t>Price D</w:t>
      </w:r>
      <w:r w:rsidRPr="00C6552A">
        <w:t>irection determines, within the meaning of the ICRC Act,</w:t>
      </w:r>
      <w:r w:rsidR="00103E1C">
        <w:t xml:space="preserve"> the</w:t>
      </w:r>
      <w:r w:rsidRPr="00C6552A">
        <w:t xml:space="preserve"> </w:t>
      </w:r>
      <w:r w:rsidR="00EC29FA">
        <w:t xml:space="preserve">maximum </w:t>
      </w:r>
      <w:r w:rsidR="00693BF7">
        <w:t>weighted average</w:t>
      </w:r>
      <w:r w:rsidR="00EC29FA">
        <w:t xml:space="preserve"> price cap</w:t>
      </w:r>
      <w:r w:rsidR="002217E3">
        <w:t>s to</w:t>
      </w:r>
      <w:r w:rsidR="00EC29FA">
        <w:t xml:space="preserve"> appl</w:t>
      </w:r>
      <w:r w:rsidR="002217E3">
        <w:t>y</w:t>
      </w:r>
      <w:r w:rsidR="00EC29FA">
        <w:t xml:space="preserve"> </w:t>
      </w:r>
      <w:r w:rsidR="00AD313F">
        <w:t>f</w:t>
      </w:r>
      <w:r w:rsidR="00EC29FA">
        <w:t xml:space="preserve">or the </w:t>
      </w:r>
      <w:r w:rsidR="00901EDF">
        <w:t>period 1 July 2017</w:t>
      </w:r>
      <w:r w:rsidRPr="00C6552A">
        <w:t xml:space="preserve"> to 30 June </w:t>
      </w:r>
      <w:r w:rsidR="00470755" w:rsidRPr="00C6552A">
        <w:t>20</w:t>
      </w:r>
      <w:r w:rsidR="00901EDF">
        <w:t>20</w:t>
      </w:r>
      <w:r w:rsidRPr="00C6552A">
        <w:t>.</w:t>
      </w:r>
    </w:p>
    <w:p w:rsidR="00C6685F" w:rsidRDefault="00C6685F" w:rsidP="00C6685F">
      <w:pPr>
        <w:pStyle w:val="Heading1"/>
      </w:pPr>
      <w:bookmarkStart w:id="48" w:name="_Toc478131762"/>
      <w:r>
        <w:t xml:space="preserve">Application of the </w:t>
      </w:r>
      <w:r w:rsidR="00B32A85">
        <w:t>Price Direction</w:t>
      </w:r>
      <w:bookmarkEnd w:id="48"/>
    </w:p>
    <w:p w:rsidR="00C6685F" w:rsidRPr="00890B1B" w:rsidRDefault="00C6552A" w:rsidP="00890B1B">
      <w:r w:rsidRPr="00890B1B">
        <w:t>Pursuant to the terms of reference</w:t>
      </w:r>
      <w:r w:rsidR="000363A7">
        <w:t xml:space="preserve"> and section 15(4) of the ICRC Act</w:t>
      </w:r>
      <w:r w:rsidRPr="00890B1B">
        <w:t>, t</w:t>
      </w:r>
      <w:r w:rsidR="00C6685F" w:rsidRPr="00890B1B">
        <w:t xml:space="preserve">his </w:t>
      </w:r>
      <w:r w:rsidR="00B32A85">
        <w:t>Price Direction</w:t>
      </w:r>
      <w:r w:rsidRPr="00890B1B">
        <w:t xml:space="preserve"> applies to </w:t>
      </w:r>
      <w:r w:rsidR="00C6685F" w:rsidRPr="00237106">
        <w:rPr>
          <w:b/>
        </w:rPr>
        <w:t xml:space="preserve">ActewAGL Retail ABN 46 221 314 841 </w:t>
      </w:r>
      <w:r w:rsidR="00C6685F" w:rsidRPr="00890B1B">
        <w:t xml:space="preserve">(the partnership of ACTEW Retail Ltd </w:t>
      </w:r>
      <w:r w:rsidR="00225331" w:rsidRPr="00890B1B">
        <w:t xml:space="preserve">ABN 23 074 371 207 </w:t>
      </w:r>
      <w:r w:rsidR="00C6685F" w:rsidRPr="00890B1B">
        <w:t>and AGL ACT Retail Investments P</w:t>
      </w:r>
      <w:r w:rsidR="00154A8A" w:rsidRPr="00890B1B">
        <w:t>t</w:t>
      </w:r>
      <w:r w:rsidR="00C6685F" w:rsidRPr="00890B1B">
        <w:t xml:space="preserve">y Ltd </w:t>
      </w:r>
      <w:r w:rsidR="00890B1B" w:rsidRPr="00890B1B">
        <w:t>ABN 53 093 631 586</w:t>
      </w:r>
      <w:r w:rsidR="00C6685F" w:rsidRPr="00890B1B">
        <w:t>)</w:t>
      </w:r>
      <w:r w:rsidR="000B5CE1" w:rsidRPr="00890B1B">
        <w:t>.</w:t>
      </w:r>
    </w:p>
    <w:p w:rsidR="00307062" w:rsidRDefault="00EC7DCB" w:rsidP="00AB3A40">
      <w:pPr>
        <w:pStyle w:val="Heading1"/>
      </w:pPr>
      <w:bookmarkStart w:id="49" w:name="_Toc478131763"/>
      <w:r>
        <w:t>S</w:t>
      </w:r>
      <w:r w:rsidR="001860A1">
        <w:t>ection 20(2) of the ICRC Act</w:t>
      </w:r>
      <w:bookmarkEnd w:id="49"/>
    </w:p>
    <w:p w:rsidR="001860A1" w:rsidRPr="00890B1B" w:rsidRDefault="00701061" w:rsidP="00890B1B">
      <w:r w:rsidRPr="00890B1B">
        <w:t>Under section 20(4) of the ICRC Act, t</w:t>
      </w:r>
      <w:r w:rsidR="001860A1" w:rsidRPr="00890B1B">
        <w:t xml:space="preserve">he </w:t>
      </w:r>
      <w:r w:rsidR="006F6880">
        <w:t xml:space="preserve">Independent Competition and Regulatory </w:t>
      </w:r>
      <w:r w:rsidR="001860A1" w:rsidRPr="00890B1B">
        <w:t>Commission</w:t>
      </w:r>
      <w:r w:rsidR="006F6880">
        <w:t xml:space="preserve"> (the Commission)</w:t>
      </w:r>
      <w:r w:rsidR="001860A1" w:rsidRPr="00890B1B">
        <w:t xml:space="preserve"> </w:t>
      </w:r>
      <w:r w:rsidRPr="00890B1B">
        <w:t xml:space="preserve">is required to </w:t>
      </w:r>
      <w:r w:rsidR="001860A1" w:rsidRPr="00890B1B">
        <w:t xml:space="preserve">indicate in the </w:t>
      </w:r>
      <w:r w:rsidR="00B32A85">
        <w:t>price d</w:t>
      </w:r>
      <w:r w:rsidR="00DF35B8" w:rsidRPr="00890B1B">
        <w:t>irection</w:t>
      </w:r>
      <w:r w:rsidR="001860A1" w:rsidRPr="00890B1B">
        <w:t xml:space="preserve"> the extent to which it has had regard to the matters referred to in section</w:t>
      </w:r>
      <w:r w:rsidR="005C1BB1" w:rsidRPr="00890B1B">
        <w:t> </w:t>
      </w:r>
      <w:r w:rsidR="001860A1" w:rsidRPr="00890B1B">
        <w:t>20(2)</w:t>
      </w:r>
      <w:r w:rsidR="00BC7151" w:rsidRPr="00890B1B">
        <w:t xml:space="preserve"> of the ICRC Act. </w:t>
      </w:r>
      <w:r w:rsidR="00C00DD3" w:rsidRPr="00890B1B">
        <w:t xml:space="preserve"> </w:t>
      </w:r>
      <w:r w:rsidR="004F7275" w:rsidRPr="00890B1B">
        <w:t>The t</w:t>
      </w:r>
      <w:r w:rsidR="001860A1" w:rsidRPr="00890B1B">
        <w:t xml:space="preserve">able in </w:t>
      </w:r>
      <w:r w:rsidR="00F02CC9">
        <w:t xml:space="preserve">attachment </w:t>
      </w:r>
      <w:r w:rsidR="00C32A01">
        <w:fldChar w:fldCharType="begin"/>
      </w:r>
      <w:r w:rsidR="00F02CC9">
        <w:instrText xml:space="preserve"> REF _Ref477867338 \r \h </w:instrText>
      </w:r>
      <w:r w:rsidR="00C32A01">
        <w:fldChar w:fldCharType="separate"/>
      </w:r>
      <w:r w:rsidR="00F02CC9">
        <w:t>A1.2.3</w:t>
      </w:r>
      <w:r w:rsidR="00C32A01">
        <w:fldChar w:fldCharType="end"/>
      </w:r>
      <w:r w:rsidR="00D268E8" w:rsidRPr="00890B1B">
        <w:t xml:space="preserve"> </w:t>
      </w:r>
      <w:r w:rsidR="009600C2" w:rsidRPr="00890B1B">
        <w:t>indicates the extent to which the Commission has had regard to the matters referred to in section 20(2).</w:t>
      </w:r>
    </w:p>
    <w:p w:rsidR="00307062" w:rsidRDefault="00366B2E" w:rsidP="00AB3A40">
      <w:pPr>
        <w:pStyle w:val="Heading1"/>
      </w:pPr>
      <w:bookmarkStart w:id="50" w:name="_Toc357586328"/>
      <w:bookmarkStart w:id="51" w:name="_Toc357591790"/>
      <w:bookmarkStart w:id="52" w:name="_Toc357595947"/>
      <w:bookmarkStart w:id="53" w:name="_Toc357596002"/>
      <w:bookmarkStart w:id="54" w:name="_Toc357597061"/>
      <w:bookmarkStart w:id="55" w:name="_Toc357597116"/>
      <w:bookmarkStart w:id="56" w:name="_Toc357855611"/>
      <w:bookmarkStart w:id="57" w:name="_Toc357855685"/>
      <w:bookmarkStart w:id="58" w:name="_Toc357860067"/>
      <w:bookmarkStart w:id="59" w:name="_Toc357860124"/>
      <w:bookmarkStart w:id="60" w:name="_Toc357860203"/>
      <w:bookmarkStart w:id="61" w:name="_Toc357863819"/>
      <w:bookmarkStart w:id="62" w:name="_Toc358120523"/>
      <w:bookmarkStart w:id="63" w:name="_Toc358129018"/>
      <w:bookmarkStart w:id="64" w:name="_Ref357593185"/>
      <w:bookmarkStart w:id="65" w:name="_Toc478131764"/>
      <w:bookmarkEnd w:id="50"/>
      <w:bookmarkEnd w:id="51"/>
      <w:bookmarkEnd w:id="52"/>
      <w:bookmarkEnd w:id="53"/>
      <w:bookmarkEnd w:id="54"/>
      <w:bookmarkEnd w:id="55"/>
      <w:bookmarkEnd w:id="56"/>
      <w:bookmarkEnd w:id="57"/>
      <w:bookmarkEnd w:id="58"/>
      <w:bookmarkEnd w:id="59"/>
      <w:bookmarkEnd w:id="60"/>
      <w:bookmarkEnd w:id="61"/>
      <w:bookmarkEnd w:id="62"/>
      <w:bookmarkEnd w:id="63"/>
      <w:r>
        <w:t>Notes</w:t>
      </w:r>
      <w:bookmarkEnd w:id="64"/>
      <w:r>
        <w:t xml:space="preserve"> </w:t>
      </w:r>
      <w:r w:rsidR="0097302C">
        <w:t>and interpretation</w:t>
      </w:r>
      <w:bookmarkEnd w:id="65"/>
    </w:p>
    <w:p w:rsidR="00366B2E" w:rsidRPr="002A2D33" w:rsidRDefault="00366B2E" w:rsidP="00366B2E">
      <w:pPr>
        <w:pStyle w:val="Heading50"/>
        <w:rPr>
          <w:rStyle w:val="Bold"/>
        </w:rPr>
      </w:pPr>
      <w:r w:rsidRPr="002A2D33">
        <w:rPr>
          <w:rStyle w:val="Bold"/>
        </w:rPr>
        <w:t>Business days</w:t>
      </w:r>
    </w:p>
    <w:p w:rsidR="00366B2E" w:rsidRDefault="00701061" w:rsidP="00366B2E">
      <w:r>
        <w:t xml:space="preserve">Business days are </w:t>
      </w:r>
      <w:r w:rsidR="00366B2E">
        <w:t xml:space="preserve">all days other than Saturday, Sunday and </w:t>
      </w:r>
      <w:r w:rsidR="00812E1A">
        <w:t xml:space="preserve">ACT </w:t>
      </w:r>
      <w:r w:rsidR="00366B2E">
        <w:t xml:space="preserve">public holidays. </w:t>
      </w:r>
    </w:p>
    <w:p w:rsidR="00366B2E" w:rsidRDefault="00366B2E" w:rsidP="00366B2E">
      <w:r>
        <w:t xml:space="preserve">Dates outlined in the </w:t>
      </w:r>
      <w:r w:rsidR="00B32A85">
        <w:t>Price Direction</w:t>
      </w:r>
      <w:r>
        <w:t xml:space="preserve"> that require a specified action that fall on a non-business day will be deemed to fall on the first business day </w:t>
      </w:r>
      <w:r w:rsidR="00701061">
        <w:t>following</w:t>
      </w:r>
      <w:r w:rsidR="00FA4319">
        <w:t xml:space="preserve"> the non-business day.</w:t>
      </w:r>
    </w:p>
    <w:p w:rsidR="0004386E" w:rsidRPr="002A2D33" w:rsidRDefault="0004386E" w:rsidP="0004386E">
      <w:pPr>
        <w:pStyle w:val="Heading50"/>
        <w:rPr>
          <w:rStyle w:val="Bold"/>
        </w:rPr>
      </w:pPr>
      <w:r w:rsidRPr="002A2D33">
        <w:rPr>
          <w:rStyle w:val="Bold"/>
        </w:rPr>
        <w:t>Monetary values</w:t>
      </w:r>
    </w:p>
    <w:p w:rsidR="0004386E" w:rsidRDefault="0004386E" w:rsidP="0004386E">
      <w:r>
        <w:t xml:space="preserve">All monetary values in the </w:t>
      </w:r>
      <w:r w:rsidR="00B32A85">
        <w:t>Price Direction</w:t>
      </w:r>
      <w:r>
        <w:t xml:space="preserve"> are in Australian dollars.</w:t>
      </w:r>
    </w:p>
    <w:p w:rsidR="00EE2BDE" w:rsidRPr="00EE2BDE" w:rsidRDefault="00EE2BDE" w:rsidP="00EE2BDE">
      <w:pPr>
        <w:pStyle w:val="Heading50"/>
        <w:rPr>
          <w:rStyle w:val="Bold"/>
        </w:rPr>
      </w:pPr>
      <w:r w:rsidRPr="00EE2BDE">
        <w:rPr>
          <w:rStyle w:val="Bold"/>
        </w:rPr>
        <w:t>National Energy Retail Law (ACT)</w:t>
      </w:r>
    </w:p>
    <w:p w:rsidR="00EE2BDE" w:rsidRDefault="00EE2BDE" w:rsidP="00366B2E">
      <w:r>
        <w:t xml:space="preserve">As defined in section 6(1)(b) of the </w:t>
      </w:r>
      <w:r w:rsidRPr="00EE2BDE">
        <w:rPr>
          <w:i/>
        </w:rPr>
        <w:t>National Energy Retail Law (ACT) Act 2012</w:t>
      </w:r>
      <w:r>
        <w:rPr>
          <w:i/>
        </w:rPr>
        <w:t>.</w:t>
      </w:r>
    </w:p>
    <w:p w:rsidR="00A6306B" w:rsidRDefault="00A6306B" w:rsidP="00A6306B">
      <w:pPr>
        <w:pStyle w:val="Heading50"/>
        <w:rPr>
          <w:rStyle w:val="Bold"/>
        </w:rPr>
      </w:pPr>
      <w:r w:rsidRPr="002160E2">
        <w:rPr>
          <w:rStyle w:val="Bold"/>
        </w:rPr>
        <w:t xml:space="preserve">Reference to </w:t>
      </w:r>
      <w:r>
        <w:rPr>
          <w:rStyle w:val="Bold"/>
        </w:rPr>
        <w:t>clauses</w:t>
      </w:r>
    </w:p>
    <w:p w:rsidR="00A6306B" w:rsidRDefault="00A6306B" w:rsidP="00A6306B">
      <w:r>
        <w:t xml:space="preserve">Unless otherwise stated, a cross-reference to a clause in the Price Direction includes the subclauses in that clause. </w:t>
      </w:r>
    </w:p>
    <w:p w:rsidR="00255E61" w:rsidRDefault="002160E2">
      <w:pPr>
        <w:pStyle w:val="Heading50"/>
        <w:rPr>
          <w:rStyle w:val="Bold"/>
        </w:rPr>
      </w:pPr>
      <w:r w:rsidRPr="002160E2">
        <w:rPr>
          <w:rStyle w:val="Bold"/>
        </w:rPr>
        <w:t>Reference to years</w:t>
      </w:r>
    </w:p>
    <w:p w:rsidR="00C52824" w:rsidRDefault="004718A4" w:rsidP="008F3C73">
      <w:r>
        <w:t xml:space="preserve">Unless </w:t>
      </w:r>
      <w:r w:rsidR="00B95BF5">
        <w:t>otherwise</w:t>
      </w:r>
      <w:r>
        <w:t xml:space="preserve"> stated, </w:t>
      </w:r>
      <w:r w:rsidR="00701061">
        <w:t xml:space="preserve">a </w:t>
      </w:r>
      <w:r>
        <w:t>r</w:t>
      </w:r>
      <w:r w:rsidR="009702E5">
        <w:t xml:space="preserve">eference to </w:t>
      </w:r>
      <w:r w:rsidR="00701061">
        <w:t xml:space="preserve">a </w:t>
      </w:r>
      <w:r w:rsidR="009702E5">
        <w:t xml:space="preserve">year in the form </w:t>
      </w:r>
      <w:r w:rsidR="001F67F2">
        <w:rPr>
          <w:rStyle w:val="Italic"/>
        </w:rPr>
        <w:t>2017</w:t>
      </w:r>
      <w:r w:rsidR="00B70524" w:rsidRPr="00FA48A6">
        <w:rPr>
          <w:rStyle w:val="Italic"/>
        </w:rPr>
        <w:t>–1</w:t>
      </w:r>
      <w:r w:rsidR="001F67F2">
        <w:rPr>
          <w:rStyle w:val="Italic"/>
        </w:rPr>
        <w:t>8</w:t>
      </w:r>
      <w:r w:rsidR="004A5ECF">
        <w:t xml:space="preserve"> (as an example) means the financial year from 1 July to 30 June.</w:t>
      </w:r>
      <w:r w:rsidR="00DE7ECB">
        <w:t xml:space="preserve"> </w:t>
      </w:r>
    </w:p>
    <w:p w:rsidR="006A3D3E" w:rsidRDefault="006A3D3E" w:rsidP="006A3D3E">
      <w:pPr>
        <w:pStyle w:val="Heading50"/>
        <w:rPr>
          <w:rStyle w:val="Bold"/>
        </w:rPr>
      </w:pPr>
      <w:r>
        <w:rPr>
          <w:rStyle w:val="Bold"/>
        </w:rPr>
        <w:lastRenderedPageBreak/>
        <w:t xml:space="preserve">Small </w:t>
      </w:r>
      <w:r w:rsidR="007F300C">
        <w:rPr>
          <w:rStyle w:val="Bold"/>
        </w:rPr>
        <w:t>c</w:t>
      </w:r>
      <w:r>
        <w:rPr>
          <w:rStyle w:val="Bold"/>
        </w:rPr>
        <w:t>ustomer</w:t>
      </w:r>
    </w:p>
    <w:p w:rsidR="00231F4F" w:rsidRDefault="006F6880" w:rsidP="006A3D3E">
      <w:r>
        <w:rPr>
          <w:rStyle w:val="Bold"/>
          <w:b w:val="0"/>
        </w:rPr>
        <w:t>D</w:t>
      </w:r>
      <w:r w:rsidR="007B1536">
        <w:rPr>
          <w:rStyle w:val="Bold"/>
          <w:b w:val="0"/>
        </w:rPr>
        <w:t xml:space="preserve">efined in </w:t>
      </w:r>
      <w:r w:rsidR="00EE2BDE">
        <w:rPr>
          <w:rStyle w:val="Bold"/>
          <w:b w:val="0"/>
        </w:rPr>
        <w:t>the terms of reference</w:t>
      </w:r>
      <w:r>
        <w:rPr>
          <w:rStyle w:val="Bold"/>
          <w:b w:val="0"/>
        </w:rPr>
        <w:t xml:space="preserve"> as being a</w:t>
      </w:r>
      <w:r w:rsidR="00B2485F">
        <w:rPr>
          <w:rStyle w:val="Bold"/>
          <w:b w:val="0"/>
        </w:rPr>
        <w:t xml:space="preserve"> </w:t>
      </w:r>
      <w:r w:rsidR="00543132">
        <w:rPr>
          <w:rStyle w:val="Bold"/>
          <w:b w:val="0"/>
        </w:rPr>
        <w:t>customer of ActewAGL</w:t>
      </w:r>
      <w:r w:rsidR="00B2485F">
        <w:rPr>
          <w:rStyle w:val="Bold"/>
          <w:b w:val="0"/>
        </w:rPr>
        <w:t xml:space="preserve"> </w:t>
      </w:r>
      <w:r w:rsidR="00543132">
        <w:rPr>
          <w:rStyle w:val="Bold"/>
          <w:b w:val="0"/>
        </w:rPr>
        <w:t xml:space="preserve">Retail </w:t>
      </w:r>
      <w:r w:rsidR="00B2485F">
        <w:rPr>
          <w:rStyle w:val="Bold"/>
          <w:b w:val="0"/>
        </w:rPr>
        <w:t xml:space="preserve">paying the standing offer price for the supply of electricity and who </w:t>
      </w:r>
      <w:r w:rsidR="00543132">
        <w:rPr>
          <w:rStyle w:val="Bold"/>
          <w:b w:val="0"/>
        </w:rPr>
        <w:t>consum</w:t>
      </w:r>
      <w:r w:rsidR="00B2485F">
        <w:rPr>
          <w:rStyle w:val="Bold"/>
          <w:b w:val="0"/>
        </w:rPr>
        <w:t>es</w:t>
      </w:r>
      <w:r w:rsidR="00543132">
        <w:rPr>
          <w:rStyle w:val="Bold"/>
          <w:b w:val="0"/>
        </w:rPr>
        <w:t xml:space="preserve"> less than 100</w:t>
      </w:r>
      <w:r w:rsidR="00131856">
        <w:rPr>
          <w:rStyle w:val="Bold"/>
          <w:b w:val="0"/>
        </w:rPr>
        <w:t xml:space="preserve"> </w:t>
      </w:r>
      <w:r w:rsidR="00543132">
        <w:rPr>
          <w:rStyle w:val="Bold"/>
          <w:b w:val="0"/>
        </w:rPr>
        <w:t>MWh of electricity</w:t>
      </w:r>
      <w:r w:rsidR="00B2485F" w:rsidRPr="00B2485F">
        <w:rPr>
          <w:rStyle w:val="Bold"/>
          <w:b w:val="0"/>
        </w:rPr>
        <w:t xml:space="preserve"> </w:t>
      </w:r>
      <w:r w:rsidR="00B2485F">
        <w:rPr>
          <w:rStyle w:val="Bold"/>
          <w:b w:val="0"/>
        </w:rPr>
        <w:t>per consumption year</w:t>
      </w:r>
      <w:r w:rsidR="00543132">
        <w:rPr>
          <w:rStyle w:val="Bold"/>
          <w:b w:val="0"/>
        </w:rPr>
        <w:t>.</w:t>
      </w:r>
    </w:p>
    <w:p w:rsidR="00AA4F93" w:rsidRDefault="00AA4F93" w:rsidP="00AA4F93">
      <w:pPr>
        <w:pStyle w:val="Heading50"/>
        <w:rPr>
          <w:rStyle w:val="Bold"/>
        </w:rPr>
      </w:pPr>
      <w:r>
        <w:rPr>
          <w:rStyle w:val="Bold"/>
        </w:rPr>
        <w:t>Standing offer prices</w:t>
      </w:r>
    </w:p>
    <w:p w:rsidR="009F4CEA" w:rsidRDefault="00962ADD">
      <w:pPr>
        <w:rPr>
          <w:rStyle w:val="Bold"/>
          <w:b w:val="0"/>
        </w:rPr>
      </w:pPr>
      <w:r>
        <w:rPr>
          <w:rStyle w:val="Bold"/>
          <w:b w:val="0"/>
        </w:rPr>
        <w:t>As described</w:t>
      </w:r>
      <w:r w:rsidR="0004386E">
        <w:rPr>
          <w:rStyle w:val="Bold"/>
          <w:b w:val="0"/>
        </w:rPr>
        <w:t xml:space="preserve"> in</w:t>
      </w:r>
      <w:r w:rsidR="00106E03">
        <w:rPr>
          <w:rStyle w:val="Bold"/>
          <w:b w:val="0"/>
        </w:rPr>
        <w:t xml:space="preserve"> clause 2 of</w:t>
      </w:r>
      <w:r w:rsidR="0004386E">
        <w:rPr>
          <w:rStyle w:val="Bold"/>
          <w:b w:val="0"/>
        </w:rPr>
        <w:t xml:space="preserve"> </w:t>
      </w:r>
      <w:r w:rsidR="00C331E8">
        <w:rPr>
          <w:rStyle w:val="Bold"/>
          <w:b w:val="0"/>
        </w:rPr>
        <w:t xml:space="preserve">the terms of reference. </w:t>
      </w:r>
    </w:p>
    <w:p w:rsidR="00F925F3" w:rsidRPr="0006229C" w:rsidRDefault="00237106" w:rsidP="0006229C">
      <w:pPr>
        <w:pStyle w:val="Heading50"/>
        <w:rPr>
          <w:rStyle w:val="Bold"/>
        </w:rPr>
      </w:pPr>
      <w:r w:rsidRPr="0006229C">
        <w:rPr>
          <w:rStyle w:val="Bold"/>
        </w:rPr>
        <w:t>S</w:t>
      </w:r>
      <w:r w:rsidR="00F925F3" w:rsidRPr="0006229C">
        <w:rPr>
          <w:rStyle w:val="Bold"/>
        </w:rPr>
        <w:t>tandard retail contract</w:t>
      </w:r>
    </w:p>
    <w:p w:rsidR="008D1420" w:rsidRPr="001F24F0" w:rsidRDefault="00106E03" w:rsidP="005C2E10">
      <w:pPr>
        <w:rPr>
          <w:lang w:val="en-AU"/>
        </w:rPr>
        <w:sectPr w:rsidR="008D1420" w:rsidRPr="001F24F0" w:rsidSect="00BA1BFD">
          <w:headerReference w:type="even" r:id="rId18"/>
          <w:headerReference w:type="default" r:id="rId19"/>
          <w:endnotePr>
            <w:numFmt w:val="decimal"/>
          </w:endnotePr>
          <w:type w:val="oddPage"/>
          <w:pgSz w:w="11907" w:h="16840" w:code="9"/>
          <w:pgMar w:top="2268" w:right="2098" w:bottom="1701" w:left="2098" w:header="578" w:footer="578" w:gutter="0"/>
          <w:pgNumType w:start="1"/>
          <w:cols w:space="720"/>
          <w:titlePg/>
          <w:docGrid w:linePitch="360"/>
        </w:sectPr>
      </w:pPr>
      <w:r>
        <w:rPr>
          <w:rStyle w:val="Bold"/>
          <w:b w:val="0"/>
        </w:rPr>
        <w:t>Has the same meaning as in the</w:t>
      </w:r>
      <w:r w:rsidR="0004386E">
        <w:rPr>
          <w:rStyle w:val="Bold"/>
          <w:b w:val="0"/>
        </w:rPr>
        <w:t xml:space="preserve"> </w:t>
      </w:r>
      <w:r w:rsidR="0004386E" w:rsidRPr="00AA4F93">
        <w:rPr>
          <w:rStyle w:val="Bold"/>
          <w:b w:val="0"/>
          <w:i/>
        </w:rPr>
        <w:t>National Energy Retail Law (ACT</w:t>
      </w:r>
      <w:r w:rsidR="00237106">
        <w:rPr>
          <w:rStyle w:val="Bold"/>
          <w:b w:val="0"/>
          <w:i/>
        </w:rPr>
        <w:t>)</w:t>
      </w:r>
      <w:r w:rsidR="00237106" w:rsidRPr="00237106">
        <w:rPr>
          <w:rStyle w:val="Bold"/>
          <w:b w:val="0"/>
        </w:rPr>
        <w:t xml:space="preserve"> for small customers </w:t>
      </w:r>
      <w:r>
        <w:rPr>
          <w:rStyle w:val="Bold"/>
          <w:b w:val="0"/>
        </w:rPr>
        <w:t>paying the standing offer price</w:t>
      </w:r>
      <w:r w:rsidR="00237106">
        <w:rPr>
          <w:rStyle w:val="Bold"/>
          <w:b w:val="0"/>
        </w:rPr>
        <w:t>.</w:t>
      </w:r>
    </w:p>
    <w:p w:rsidR="007A1FA7" w:rsidRDefault="002375F2" w:rsidP="007A1FA7">
      <w:pPr>
        <w:pStyle w:val="HeadingPart"/>
      </w:pPr>
      <w:bookmarkStart w:id="66" w:name="_Toc359595467"/>
      <w:bookmarkStart w:id="67" w:name="_Toc359595579"/>
      <w:bookmarkStart w:id="68" w:name="_Toc359595627"/>
      <w:bookmarkStart w:id="69" w:name="_Toc359595668"/>
      <w:bookmarkStart w:id="70" w:name="_Toc359595709"/>
      <w:bookmarkStart w:id="71" w:name="_Toc359595750"/>
      <w:bookmarkStart w:id="72" w:name="_Toc359595876"/>
      <w:bookmarkStart w:id="73" w:name="_Toc359595917"/>
      <w:bookmarkStart w:id="74" w:name="_Toc359595958"/>
      <w:bookmarkStart w:id="75" w:name="_Toc359835191"/>
      <w:bookmarkStart w:id="76" w:name="_Toc349296740"/>
      <w:bookmarkStart w:id="77" w:name="_Toc349301353"/>
      <w:bookmarkStart w:id="78" w:name="_Toc349307261"/>
      <w:bookmarkStart w:id="79" w:name="_Toc349311771"/>
      <w:bookmarkStart w:id="80" w:name="_Toc349316139"/>
      <w:bookmarkStart w:id="81" w:name="_Toc349560304"/>
      <w:bookmarkStart w:id="82" w:name="_Toc349296741"/>
      <w:bookmarkStart w:id="83" w:name="_Toc349301354"/>
      <w:bookmarkStart w:id="84" w:name="_Toc349307262"/>
      <w:bookmarkStart w:id="85" w:name="_Toc349311772"/>
      <w:bookmarkStart w:id="86" w:name="_Toc349316140"/>
      <w:bookmarkStart w:id="87" w:name="_Toc349560305"/>
      <w:bookmarkStart w:id="88" w:name="_Ref356120717"/>
      <w:bookmarkStart w:id="89" w:name="_Ref477514806"/>
      <w:bookmarkStart w:id="90" w:name="_Toc478131765"/>
      <w:bookmarkStart w:id="91" w:name="_Ref348972302"/>
      <w:bookmarkStart w:id="92" w:name="_Toc26032793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lastRenderedPageBreak/>
        <w:t>Price regulatio</w:t>
      </w:r>
      <w:bookmarkEnd w:id="88"/>
      <w:r w:rsidR="00B32F8F">
        <w:t>n</w:t>
      </w:r>
      <w:bookmarkEnd w:id="89"/>
      <w:bookmarkEnd w:id="90"/>
    </w:p>
    <w:p w:rsidR="00621447" w:rsidRDefault="00621447" w:rsidP="00621447">
      <w:pPr>
        <w:pStyle w:val="Heading1"/>
      </w:pPr>
      <w:bookmarkStart w:id="93" w:name="_Ref375209219"/>
      <w:bookmarkStart w:id="94" w:name="_Ref375209229"/>
      <w:bookmarkStart w:id="95" w:name="_Toc478131766"/>
      <w:r>
        <w:t>Standing offer prices</w:t>
      </w:r>
      <w:bookmarkEnd w:id="93"/>
      <w:bookmarkEnd w:id="94"/>
      <w:bookmarkEnd w:id="95"/>
    </w:p>
    <w:p w:rsidR="00022732" w:rsidRDefault="00621447" w:rsidP="00022732">
      <w:pPr>
        <w:rPr>
          <w:highlight w:val="yellow"/>
        </w:rPr>
      </w:pPr>
      <w:r w:rsidRPr="00055BAD">
        <w:rPr>
          <w:lang w:val="en-AU"/>
        </w:rPr>
        <w:t xml:space="preserve">ActewAGL Retail must ensure that its </w:t>
      </w:r>
      <w:r>
        <w:rPr>
          <w:lang w:val="en-AU"/>
        </w:rPr>
        <w:t xml:space="preserve">standing offer prices for </w:t>
      </w:r>
      <w:r w:rsidR="005C2E10">
        <w:t xml:space="preserve">each year of the regulatory period </w:t>
      </w:r>
      <w:r w:rsidRPr="00055BAD">
        <w:rPr>
          <w:lang w:val="en-AU"/>
        </w:rPr>
        <w:t>com</w:t>
      </w:r>
      <w:r>
        <w:rPr>
          <w:lang w:val="en-AU"/>
        </w:rPr>
        <w:t xml:space="preserve">ply with the following </w:t>
      </w:r>
      <w:r w:rsidR="00693BF7">
        <w:rPr>
          <w:lang w:val="en-AU"/>
        </w:rPr>
        <w:t>weighted average</w:t>
      </w:r>
      <w:r w:rsidRPr="00055BAD">
        <w:rPr>
          <w:lang w:val="en-AU"/>
        </w:rPr>
        <w:t xml:space="preserve"> price cap formula:</w:t>
      </w:r>
    </w:p>
    <w:p w:rsidR="006009B1" w:rsidRPr="006009B1" w:rsidRDefault="00022732" w:rsidP="006009B1">
      <w:pPr>
        <w:keepNext/>
      </w:pPr>
      <m:oMathPara>
        <m:oMath>
          <m:r>
            <m:rPr>
              <m:sty m:val="p"/>
            </m:rPr>
            <w:rPr>
              <w:rFonts w:ascii="Cambria Math" w:hAnsi="Cambria Math"/>
            </w:rPr>
            <m:t>1+</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t</m:t>
              </m:r>
            </m:sup>
          </m:sSup>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m</m:t>
                      </m:r>
                    </m:sup>
                    <m:e>
                      <m:sSubSup>
                        <m:sSubSupPr>
                          <m:ctrlPr>
                            <w:rPr>
                              <w:rFonts w:ascii="Cambria Math" w:hAnsi="Cambria Math"/>
                            </w:rPr>
                          </m:ctrlPr>
                        </m:sSubSupPr>
                        <m:e>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ij</m:t>
                              </m:r>
                            </m:sub>
                            <m:sup>
                              <m:r>
                                <m:rPr>
                                  <m:sty m:val="p"/>
                                </m:rPr>
                                <w:rPr>
                                  <w:rFonts w:ascii="Cambria Math" w:hAnsi="Cambria Math"/>
                                </w:rPr>
                                <m:t>t</m:t>
                              </m:r>
                            </m:sup>
                          </m:sSubSup>
                          <m:r>
                            <m:rPr>
                              <m:sty m:val="p"/>
                            </m:rPr>
                            <w:rPr>
                              <w:rFonts w:ascii="Cambria Math" w:hAnsi="Cambria Math"/>
                            </w:rPr>
                            <m:t>Q</m:t>
                          </m:r>
                        </m:e>
                        <m:sub>
                          <m:r>
                            <m:rPr>
                              <m:sty m:val="p"/>
                            </m:rPr>
                            <w:rPr>
                              <w:rFonts w:ascii="Cambria Math" w:hAnsi="Cambria Math"/>
                            </w:rPr>
                            <m:t>ij</m:t>
                          </m:r>
                        </m:sub>
                        <m:sup>
                          <m:r>
                            <m:rPr>
                              <m:sty m:val="p"/>
                            </m:rPr>
                            <w:rPr>
                              <w:rFonts w:ascii="Cambria Math" w:hAnsi="Cambria Math"/>
                            </w:rPr>
                            <m:t>t-1</m:t>
                          </m:r>
                        </m:sup>
                      </m:sSubSup>
                    </m:e>
                  </m:nary>
                </m:e>
              </m:nary>
            </m:num>
            <m:den>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m</m:t>
                      </m:r>
                    </m:sup>
                    <m:e>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ij</m:t>
                          </m:r>
                        </m:sub>
                        <m:sup>
                          <m:r>
                            <m:rPr>
                              <m:sty m:val="p"/>
                            </m:rPr>
                            <w:rPr>
                              <w:rFonts w:ascii="Cambria Math" w:hAnsi="Cambria Math"/>
                            </w:rPr>
                            <m:t>t-1</m:t>
                          </m:r>
                        </m:sup>
                      </m:sSubSup>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ij</m:t>
                          </m:r>
                        </m:sub>
                        <m:sup>
                          <m:r>
                            <m:rPr>
                              <m:sty m:val="p"/>
                            </m:rPr>
                            <w:rPr>
                              <w:rFonts w:ascii="Cambria Math" w:hAnsi="Cambria Math"/>
                            </w:rPr>
                            <m:t>t-1</m:t>
                          </m:r>
                        </m:sup>
                      </m:sSubSup>
                    </m:e>
                  </m:nary>
                </m:e>
              </m:nary>
            </m:den>
          </m:f>
        </m:oMath>
      </m:oMathPara>
    </w:p>
    <w:p w:rsidR="006009B1" w:rsidRPr="006009B1" w:rsidRDefault="00022732" w:rsidP="006009B1">
      <w:pPr>
        <w:keepNext/>
      </w:pPr>
      <w:r w:rsidRPr="00022732">
        <w:t>where</w:t>
      </w:r>
      <w:r w:rsidR="00F16633">
        <w:t>:</w:t>
      </w:r>
    </w:p>
    <w:p w:rsidR="005B0200" w:rsidRDefault="00022732" w:rsidP="005B0200">
      <w:pPr>
        <w:pStyle w:val="Bullet"/>
        <w:keepNext/>
      </w:pPr>
      <w:r w:rsidRPr="00022732">
        <w:t xml:space="preserve">ActewAGL Retail has n </w:t>
      </w:r>
      <w:r w:rsidR="00F66572">
        <w:t xml:space="preserve">standing offer </w:t>
      </w:r>
      <w:r w:rsidRPr="00022732">
        <w:t xml:space="preserve">tariffs that each have up to m </w:t>
      </w:r>
      <w:r w:rsidR="00F66572">
        <w:t xml:space="preserve">price </w:t>
      </w:r>
      <w:r w:rsidRPr="00022732">
        <w:t>components.</w:t>
      </w:r>
    </w:p>
    <w:p w:rsidR="005B0200" w:rsidRPr="006009B1" w:rsidRDefault="005B0200" w:rsidP="005B0200">
      <w:pPr>
        <w:pStyle w:val="Bullet"/>
        <w:keepNext/>
      </w:pPr>
      <m:oMath>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t</m:t>
            </m:r>
          </m:sup>
        </m:sSup>
      </m:oMath>
      <w:r w:rsidR="008237D6">
        <w:t xml:space="preserve"> </w:t>
      </w:r>
      <w:r w:rsidRPr="006009B1">
        <w:t xml:space="preserve">is the maximum percentage change in </w:t>
      </w:r>
      <w:r w:rsidR="00C43037">
        <w:t xml:space="preserve">average </w:t>
      </w:r>
      <w:r w:rsidR="00057BDE">
        <w:t>standing offer prices</w:t>
      </w:r>
      <w:r w:rsidRPr="006009B1">
        <w:t xml:space="preserve"> determined in accordance with the cost-index model.</w:t>
      </w:r>
    </w:p>
    <w:p w:rsidR="006009B1" w:rsidRPr="006009B1" w:rsidRDefault="009518B8" w:rsidP="006009B1">
      <w:pPr>
        <w:pStyle w:val="Bullet"/>
        <w:keepNext/>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ij</m:t>
            </m:r>
          </m:sub>
          <m:sup>
            <m:r>
              <m:rPr>
                <m:sty m:val="p"/>
              </m:rPr>
              <w:rPr>
                <w:rFonts w:ascii="Cambria Math" w:hAnsi="Cambria Math"/>
              </w:rPr>
              <m:t>t</m:t>
            </m:r>
          </m:sup>
        </m:sSubSup>
        <m:r>
          <m:rPr>
            <m:sty m:val="p"/>
          </m:rPr>
          <w:rPr>
            <w:rFonts w:ascii="Cambria Math" w:hAnsi="Cambria Math"/>
          </w:rPr>
          <m:t xml:space="preserve"> </m:t>
        </m:r>
      </m:oMath>
      <w:r w:rsidR="00022732" w:rsidRPr="00022732">
        <w:t xml:space="preserve">is the price that ActewAGL Retail proposes to charge for component j of </w:t>
      </w:r>
      <w:r w:rsidR="00057BDE">
        <w:t xml:space="preserve">standing offer </w:t>
      </w:r>
      <w:r w:rsidR="00022732" w:rsidRPr="00022732">
        <w:t>tariff i for year t.</w:t>
      </w:r>
    </w:p>
    <w:p w:rsidR="006009B1" w:rsidRPr="006009B1" w:rsidRDefault="009518B8" w:rsidP="006009B1">
      <w:pPr>
        <w:pStyle w:val="Bullet"/>
        <w:keepNext/>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ij</m:t>
            </m:r>
          </m:sub>
          <m:sup>
            <m:r>
              <m:rPr>
                <m:sty m:val="p"/>
              </m:rPr>
              <w:rPr>
                <w:rFonts w:ascii="Cambria Math" w:hAnsi="Cambria Math"/>
              </w:rPr>
              <m:t>t-1</m:t>
            </m:r>
          </m:sup>
        </m:sSubSup>
      </m:oMath>
      <w:r w:rsidR="00022732" w:rsidRPr="00022732">
        <w:t xml:space="preserve"> is the price that ActewAGL Retail charges for component j of </w:t>
      </w:r>
      <w:r w:rsidR="00057BDE">
        <w:t xml:space="preserve">standing offer </w:t>
      </w:r>
      <w:r w:rsidR="00022732" w:rsidRPr="00022732">
        <w:t>tariff i in the year t-1.</w:t>
      </w:r>
    </w:p>
    <w:p w:rsidR="00022732" w:rsidRDefault="009518B8" w:rsidP="00022732">
      <w:pPr>
        <w:pStyle w:val="BulletLast"/>
      </w:pPr>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ij</m:t>
            </m:r>
          </m:sub>
          <m:sup>
            <m:r>
              <m:rPr>
                <m:sty m:val="p"/>
              </m:rPr>
              <w:rPr>
                <w:rFonts w:ascii="Cambria Math" w:hAnsi="Cambria Math"/>
              </w:rPr>
              <m:t>t-1</m:t>
            </m:r>
          </m:sup>
        </m:sSubSup>
      </m:oMath>
      <w:r w:rsidR="00022732" w:rsidRPr="00022732">
        <w:t xml:space="preserve"> is the reference quantity for component j of the </w:t>
      </w:r>
      <w:r w:rsidR="00057BDE">
        <w:t xml:space="preserve">standing offer </w:t>
      </w:r>
      <w:r w:rsidR="00022732" w:rsidRPr="00022732">
        <w:t>tariff i defined as the actual quantity (in both customer numbers or megawatt hours) as reported by ActewAGL Retail for the 12-month period ending 31 March in year t–1.</w:t>
      </w:r>
    </w:p>
    <w:p w:rsidR="00B76EF2" w:rsidRDefault="00703413">
      <w:r w:rsidRPr="00E41832">
        <w:t>For t</w:t>
      </w:r>
      <w:r w:rsidR="00C853E8">
        <w:t>he 2017–18</w:t>
      </w:r>
      <w:r w:rsidR="000F7AC9">
        <w:t xml:space="preserve"> regulatory year, </w:t>
      </w:r>
      <w:r w:rsidR="008237D6">
        <w:t>Y</w:t>
      </w:r>
      <w:r w:rsidR="008237D6" w:rsidRPr="00334576">
        <w:rPr>
          <w:vertAlign w:val="superscript"/>
        </w:rPr>
        <w:t>t</w:t>
      </w:r>
      <w:r w:rsidR="008237D6">
        <w:t xml:space="preserve"> </w:t>
      </w:r>
      <w:r w:rsidR="002A66ED">
        <w:t xml:space="preserve">is </w:t>
      </w:r>
      <w:r w:rsidR="005D124F">
        <w:t>set out in</w:t>
      </w:r>
      <w:r>
        <w:t xml:space="preserve"> clause</w:t>
      </w:r>
      <w:r w:rsidR="0022553C">
        <w:t xml:space="preserve"> </w:t>
      </w:r>
      <w:r w:rsidR="00C32A01">
        <w:fldChar w:fldCharType="begin"/>
      </w:r>
      <w:r w:rsidR="0022553C">
        <w:instrText xml:space="preserve"> REF _Ref389055060 \r \h </w:instrText>
      </w:r>
      <w:r w:rsidR="00C32A01">
        <w:fldChar w:fldCharType="separate"/>
      </w:r>
      <w:r w:rsidR="00FA2DC9">
        <w:t>7</w:t>
      </w:r>
      <w:r w:rsidR="00C32A01">
        <w:fldChar w:fldCharType="end"/>
      </w:r>
      <w:r>
        <w:t>.</w:t>
      </w:r>
      <w:r w:rsidR="00EB74D5">
        <w:t xml:space="preserve"> </w:t>
      </w:r>
      <w:r w:rsidRPr="00E41832">
        <w:t xml:space="preserve"> For t</w:t>
      </w:r>
      <w:r w:rsidR="00C853E8">
        <w:t xml:space="preserve">he 2018–19 and </w:t>
      </w:r>
      <w:r w:rsidR="00F83EFC">
        <w:br/>
      </w:r>
      <w:r w:rsidR="00C853E8">
        <w:t>2019–20</w:t>
      </w:r>
      <w:r>
        <w:t xml:space="preserve"> regulatory years, </w:t>
      </w:r>
      <w:r w:rsidR="008237D6">
        <w:t>Y</w:t>
      </w:r>
      <w:r w:rsidR="008237D6" w:rsidRPr="00334576">
        <w:rPr>
          <w:vertAlign w:val="superscript"/>
        </w:rPr>
        <w:t>t</w:t>
      </w:r>
      <w:r w:rsidR="007037F7">
        <w:rPr>
          <w:vertAlign w:val="superscript"/>
        </w:rPr>
        <w:t xml:space="preserve"> </w:t>
      </w:r>
      <w:r>
        <w:t xml:space="preserve">is calculated in accordance with clause </w:t>
      </w:r>
      <w:r w:rsidR="00C32A01">
        <w:fldChar w:fldCharType="begin"/>
      </w:r>
      <w:r w:rsidR="00236FD1">
        <w:instrText xml:space="preserve"> REF _Ref375211984 \r \h </w:instrText>
      </w:r>
      <w:r w:rsidR="00C32A01">
        <w:fldChar w:fldCharType="separate"/>
      </w:r>
      <w:r w:rsidR="00FA2DC9">
        <w:t>8</w:t>
      </w:r>
      <w:r w:rsidR="00C32A01">
        <w:fldChar w:fldCharType="end"/>
      </w:r>
      <w:r>
        <w:t xml:space="preserve">. </w:t>
      </w:r>
      <w:bookmarkStart w:id="96" w:name="_Ref388953333"/>
    </w:p>
    <w:p w:rsidR="00B76EF2" w:rsidRDefault="00380FF4">
      <w:pPr>
        <w:pStyle w:val="Heading1"/>
      </w:pPr>
      <w:bookmarkStart w:id="97" w:name="_Ref389055060"/>
      <w:bookmarkStart w:id="98" w:name="_Toc478131767"/>
      <w:r w:rsidRPr="00380FF4">
        <w:t>Determination of</w:t>
      </w:r>
      <w:r w:rsidR="00334576">
        <w:t xml:space="preserve"> Y</w:t>
      </w:r>
      <w:r w:rsidRPr="00380FF4">
        <w:rPr>
          <w:vertAlign w:val="superscript"/>
        </w:rPr>
        <w:t>t</w:t>
      </w:r>
      <w:r w:rsidR="001F67F2">
        <w:t xml:space="preserve"> for 2017</w:t>
      </w:r>
      <w:r w:rsidR="00D04934">
        <w:t>–</w:t>
      </w:r>
      <w:r w:rsidRPr="00380FF4">
        <w:t>1</w:t>
      </w:r>
      <w:bookmarkEnd w:id="97"/>
      <w:r w:rsidR="001F67F2">
        <w:t>8</w:t>
      </w:r>
      <w:bookmarkEnd w:id="98"/>
    </w:p>
    <w:bookmarkEnd w:id="96"/>
    <w:p w:rsidR="007236C9" w:rsidRDefault="008237D6" w:rsidP="00703413">
      <w:r>
        <w:t>Y</w:t>
      </w:r>
      <w:r w:rsidRPr="00334576">
        <w:rPr>
          <w:vertAlign w:val="superscript"/>
        </w:rPr>
        <w:t>t</w:t>
      </w:r>
      <w:r w:rsidR="006D6AF2" w:rsidRPr="00E41832">
        <w:t xml:space="preserve"> </w:t>
      </w:r>
      <w:r w:rsidR="001F67F2">
        <w:t>for the 2017</w:t>
      </w:r>
      <w:r w:rsidR="00D04934">
        <w:t>–</w:t>
      </w:r>
      <w:r w:rsidR="001F67F2">
        <w:t>18</w:t>
      </w:r>
      <w:r w:rsidR="006D6AF2">
        <w:t xml:space="preserve"> regulatory year is </w:t>
      </w:r>
      <w:r w:rsidR="00E76AB1">
        <w:t>10.9</w:t>
      </w:r>
      <w:r w:rsidR="008011CA">
        <w:t xml:space="preserve"> per cent</w:t>
      </w:r>
      <w:r w:rsidR="006D6AF2">
        <w:t>.</w:t>
      </w:r>
    </w:p>
    <w:p w:rsidR="005A619A" w:rsidRDefault="007236C9" w:rsidP="00474E88">
      <w:r>
        <w:t xml:space="preserve">Approval of the schedule of </w:t>
      </w:r>
      <w:r w:rsidR="00BE5AF7">
        <w:t>standing offer prices</w:t>
      </w:r>
      <w:r w:rsidR="00C853E8">
        <w:t xml:space="preserve"> for </w:t>
      </w:r>
      <w:r w:rsidR="008237D6">
        <w:t>Y</w:t>
      </w:r>
      <w:r w:rsidR="008237D6" w:rsidRPr="00334576">
        <w:rPr>
          <w:vertAlign w:val="superscript"/>
        </w:rPr>
        <w:t>t</w:t>
      </w:r>
      <w:r w:rsidRPr="00E41832">
        <w:t xml:space="preserve"> </w:t>
      </w:r>
      <w:r>
        <w:t xml:space="preserve">will occur as per steps </w:t>
      </w:r>
      <w:r w:rsidR="00C32A01">
        <w:fldChar w:fldCharType="begin"/>
      </w:r>
      <w:r>
        <w:instrText xml:space="preserve"> REF _Ref374098173 \r \h </w:instrText>
      </w:r>
      <w:r w:rsidR="00C32A01">
        <w:fldChar w:fldCharType="separate"/>
      </w:r>
      <w:r w:rsidR="00FA2DC9">
        <w:t>(e)</w:t>
      </w:r>
      <w:r w:rsidR="00C32A01">
        <w:fldChar w:fldCharType="end"/>
      </w:r>
      <w:r>
        <w:t xml:space="preserve"> and </w:t>
      </w:r>
      <w:r w:rsidR="00C32A01">
        <w:fldChar w:fldCharType="begin"/>
      </w:r>
      <w:r>
        <w:instrText xml:space="preserve"> REF _Ref379277831 \r \h </w:instrText>
      </w:r>
      <w:r w:rsidR="00C32A01">
        <w:fldChar w:fldCharType="separate"/>
      </w:r>
      <w:r w:rsidR="00FA2DC9">
        <w:t>(f)</w:t>
      </w:r>
      <w:r w:rsidR="00C32A01">
        <w:fldChar w:fldCharType="end"/>
      </w:r>
      <w:r>
        <w:t xml:space="preserve"> in clause </w:t>
      </w:r>
      <w:r w:rsidR="00C32A01">
        <w:fldChar w:fldCharType="begin"/>
      </w:r>
      <w:r>
        <w:instrText xml:space="preserve"> REF _Ref374095548 \r \h </w:instrText>
      </w:r>
      <w:r w:rsidR="00C32A01">
        <w:fldChar w:fldCharType="separate"/>
      </w:r>
      <w:r w:rsidR="00FA2DC9">
        <w:t>8.1</w:t>
      </w:r>
      <w:r w:rsidR="00C32A01">
        <w:fldChar w:fldCharType="end"/>
      </w:r>
      <w:r>
        <w:t>.</w:t>
      </w:r>
      <w:r w:rsidR="0074257A">
        <w:t xml:space="preserve"> </w:t>
      </w:r>
    </w:p>
    <w:p w:rsidR="009C538E" w:rsidRDefault="00076C3E">
      <w:pPr>
        <w:pStyle w:val="Heading1"/>
      </w:pPr>
      <w:bookmarkStart w:id="99" w:name="_Toc389121773"/>
      <w:bookmarkStart w:id="100" w:name="_Toc389122884"/>
      <w:bookmarkStart w:id="101" w:name="_Toc379546712"/>
      <w:bookmarkStart w:id="102" w:name="_Toc379548189"/>
      <w:bookmarkStart w:id="103" w:name="_Toc389121774"/>
      <w:bookmarkStart w:id="104" w:name="_Toc389122885"/>
      <w:bookmarkStart w:id="105" w:name="_Toc389121775"/>
      <w:bookmarkStart w:id="106" w:name="_Toc389122886"/>
      <w:bookmarkStart w:id="107" w:name="_Ref375211984"/>
      <w:bookmarkStart w:id="108" w:name="_Toc478131768"/>
      <w:bookmarkEnd w:id="99"/>
      <w:bookmarkEnd w:id="100"/>
      <w:bookmarkEnd w:id="101"/>
      <w:bookmarkEnd w:id="102"/>
      <w:bookmarkEnd w:id="103"/>
      <w:bookmarkEnd w:id="104"/>
      <w:bookmarkEnd w:id="105"/>
      <w:bookmarkEnd w:id="106"/>
      <w:r>
        <w:t>Annual recalibration</w:t>
      </w:r>
      <w:bookmarkEnd w:id="107"/>
      <w:bookmarkEnd w:id="108"/>
      <w:r>
        <w:t xml:space="preserve"> </w:t>
      </w:r>
    </w:p>
    <w:p w:rsidR="00C43AF9" w:rsidRPr="00CC1554" w:rsidRDefault="00621447" w:rsidP="00CC1554">
      <w:r>
        <w:t xml:space="preserve">For the </w:t>
      </w:r>
      <w:r w:rsidR="002023C9">
        <w:t xml:space="preserve">regulatory </w:t>
      </w:r>
      <w:r>
        <w:t xml:space="preserve">years </w:t>
      </w:r>
      <w:r w:rsidR="00C853E8">
        <w:t>2018–19</w:t>
      </w:r>
      <w:r w:rsidR="00962ADD">
        <w:t xml:space="preserve"> and</w:t>
      </w:r>
      <w:r w:rsidR="00C853E8">
        <w:t xml:space="preserve"> 2019–20</w:t>
      </w:r>
      <w:r w:rsidR="006741E6">
        <w:t xml:space="preserve"> </w:t>
      </w:r>
      <w:r>
        <w:t>t</w:t>
      </w:r>
      <w:r w:rsidR="00C43AF9">
        <w:t>he Commission will ma</w:t>
      </w:r>
      <w:r w:rsidR="002023C9">
        <w:t xml:space="preserve">ke </w:t>
      </w:r>
      <w:r w:rsidR="00AF0A92">
        <w:t>annual recalibration</w:t>
      </w:r>
      <w:r w:rsidR="000F43FD">
        <w:t>s</w:t>
      </w:r>
      <w:r w:rsidR="009F6EA4">
        <w:t xml:space="preserve"> </w:t>
      </w:r>
      <w:r w:rsidR="002375F2">
        <w:t>as</w:t>
      </w:r>
      <w:r w:rsidR="001F1EE7">
        <w:t xml:space="preserve"> </w:t>
      </w:r>
      <w:r w:rsidR="00A65018">
        <w:t xml:space="preserve">per the timeline </w:t>
      </w:r>
      <w:r w:rsidR="00C43AF9">
        <w:t xml:space="preserve">set out in </w:t>
      </w:r>
      <w:r w:rsidR="00C32A01">
        <w:fldChar w:fldCharType="begin"/>
      </w:r>
      <w:r w:rsidR="00C43AF9">
        <w:instrText xml:space="preserve"> REF _Ref373914045 \h </w:instrText>
      </w:r>
      <w:r w:rsidR="00C32A01">
        <w:fldChar w:fldCharType="separate"/>
      </w:r>
      <w:r w:rsidR="00FA2DC9">
        <w:t xml:space="preserve">Table </w:t>
      </w:r>
      <w:r w:rsidR="00FA2DC9">
        <w:rPr>
          <w:noProof/>
        </w:rPr>
        <w:t>8</w:t>
      </w:r>
      <w:r w:rsidR="00FA2DC9">
        <w:t>.</w:t>
      </w:r>
      <w:r w:rsidR="00FA2DC9">
        <w:rPr>
          <w:noProof/>
        </w:rPr>
        <w:t>1</w:t>
      </w:r>
      <w:r w:rsidR="00C32A01">
        <w:fldChar w:fldCharType="end"/>
      </w:r>
      <w:r w:rsidR="006F3E5F" w:rsidRPr="006F3E5F">
        <w:t xml:space="preserve"> </w:t>
      </w:r>
      <w:r w:rsidR="006F3E5F">
        <w:t xml:space="preserve">to </w:t>
      </w:r>
      <w:r w:rsidR="00C853E8">
        <w:t>ascertain</w:t>
      </w:r>
      <w:r w:rsidR="00EB74D5">
        <w:t xml:space="preserve"> the</w:t>
      </w:r>
      <w:r w:rsidR="00C853E8">
        <w:t xml:space="preserve"> </w:t>
      </w:r>
      <w:r w:rsidR="008237D6">
        <w:t>Y</w:t>
      </w:r>
      <w:r w:rsidR="008237D6" w:rsidRPr="00334576">
        <w:rPr>
          <w:vertAlign w:val="superscript"/>
        </w:rPr>
        <w:t>t</w:t>
      </w:r>
      <w:r w:rsidR="008237D6">
        <w:t xml:space="preserve"> </w:t>
      </w:r>
      <w:r w:rsidR="00A65018">
        <w:t xml:space="preserve">that will apply in the </w:t>
      </w:r>
      <w:r w:rsidR="00693BF7">
        <w:t>weighted average</w:t>
      </w:r>
      <w:r w:rsidR="00A65018">
        <w:t xml:space="preserve"> price cap formula for each year. </w:t>
      </w:r>
      <w:r w:rsidR="00CC1554">
        <w:t>As part of the recalibratio</w:t>
      </w:r>
      <w:r w:rsidR="008237D6">
        <w:t>n of Y</w:t>
      </w:r>
      <w:r w:rsidR="008237D6" w:rsidRPr="00334576">
        <w:rPr>
          <w:vertAlign w:val="superscript"/>
        </w:rPr>
        <w:t>t</w:t>
      </w:r>
      <w:r w:rsidR="008237D6">
        <w:t xml:space="preserve"> t</w:t>
      </w:r>
      <w:r w:rsidR="00D22DC8">
        <w:t xml:space="preserve">he Commission will consider pass-through applications as set out in clause </w:t>
      </w:r>
      <w:r w:rsidR="00C32A01">
        <w:fldChar w:fldCharType="begin"/>
      </w:r>
      <w:r w:rsidR="00D22DC8">
        <w:instrText xml:space="preserve"> REF _Ref374095912 \r \h </w:instrText>
      </w:r>
      <w:r w:rsidR="00C32A01">
        <w:fldChar w:fldCharType="separate"/>
      </w:r>
      <w:r w:rsidR="00FA2DC9">
        <w:t>9</w:t>
      </w:r>
      <w:r w:rsidR="00C32A01">
        <w:fldChar w:fldCharType="end"/>
      </w:r>
      <w:r w:rsidR="00D22DC8">
        <w:t xml:space="preserve"> and its sub-clauses.</w:t>
      </w:r>
    </w:p>
    <w:p w:rsidR="00C43AF9" w:rsidRPr="00E46031" w:rsidRDefault="00C43AF9" w:rsidP="00C43AF9">
      <w:pPr>
        <w:pStyle w:val="TableName"/>
      </w:pPr>
      <w:bookmarkStart w:id="109" w:name="_Ref373914045"/>
      <w:bookmarkStart w:id="110" w:name="_Toc477866948"/>
      <w:r>
        <w:lastRenderedPageBreak/>
        <w:t xml:space="preserve">Table </w:t>
      </w:r>
      <w:r w:rsidR="00C32A01">
        <w:fldChar w:fldCharType="begin"/>
      </w:r>
      <w:r w:rsidR="007B2604">
        <w:instrText xml:space="preserve"> STYLEREF 1 \s </w:instrText>
      </w:r>
      <w:r w:rsidR="00C32A01">
        <w:fldChar w:fldCharType="separate"/>
      </w:r>
      <w:r w:rsidR="00FA2DC9">
        <w:rPr>
          <w:noProof/>
        </w:rPr>
        <w:t>8</w:t>
      </w:r>
      <w:r w:rsidR="00C32A01">
        <w:fldChar w:fldCharType="end"/>
      </w:r>
      <w:r w:rsidR="007B2604">
        <w:t>.</w:t>
      </w:r>
      <w:r w:rsidR="00C32A01">
        <w:fldChar w:fldCharType="begin"/>
      </w:r>
      <w:r w:rsidR="007B2604">
        <w:instrText xml:space="preserve"> SEQ Table \* ARABIC \s 1 </w:instrText>
      </w:r>
      <w:r w:rsidR="00C32A01">
        <w:fldChar w:fldCharType="separate"/>
      </w:r>
      <w:r w:rsidR="00FA2DC9">
        <w:rPr>
          <w:noProof/>
        </w:rPr>
        <w:t>1</w:t>
      </w:r>
      <w:r w:rsidR="00C32A01">
        <w:fldChar w:fldCharType="end"/>
      </w:r>
      <w:bookmarkEnd w:id="109"/>
      <w:r w:rsidRPr="00E46031">
        <w:tab/>
        <w:t>Annual recalibration</w:t>
      </w:r>
      <w:r w:rsidR="006F67E3">
        <w:t xml:space="preserve"> timeline</w:t>
      </w:r>
      <w:bookmarkEnd w:id="110"/>
    </w:p>
    <w:tbl>
      <w:tblPr>
        <w:tblW w:w="7371" w:type="dxa"/>
        <w:tblInd w:w="108" w:type="dxa"/>
        <w:tblLayout w:type="fixed"/>
        <w:tblLook w:val="04A0" w:firstRow="1" w:lastRow="0" w:firstColumn="1" w:lastColumn="0" w:noHBand="0" w:noVBand="1"/>
      </w:tblPr>
      <w:tblGrid>
        <w:gridCol w:w="2268"/>
        <w:gridCol w:w="2694"/>
        <w:gridCol w:w="2409"/>
      </w:tblGrid>
      <w:tr w:rsidR="00C43AF9" w:rsidRPr="00195FA2" w:rsidTr="00C43AF9">
        <w:trPr>
          <w:trHeight w:val="279"/>
        </w:trPr>
        <w:tc>
          <w:tcPr>
            <w:tcW w:w="2268" w:type="dxa"/>
            <w:tcBorders>
              <w:top w:val="single" w:sz="12" w:space="0" w:color="1F497D" w:themeColor="text2"/>
              <w:left w:val="nil"/>
              <w:bottom w:val="single" w:sz="8" w:space="0" w:color="1F497D" w:themeColor="text2"/>
              <w:right w:val="nil"/>
            </w:tcBorders>
            <w:shd w:val="clear" w:color="auto" w:fill="DBE5F1" w:themeFill="accent1" w:themeFillTint="33"/>
            <w:noWrap/>
            <w:vAlign w:val="center"/>
            <w:hideMark/>
          </w:tcPr>
          <w:p w:rsidR="00C43AF9" w:rsidRPr="00A2062F" w:rsidRDefault="00C43AF9" w:rsidP="00C43AF9">
            <w:pPr>
              <w:pStyle w:val="TableHeadingLeft"/>
            </w:pPr>
            <w:r w:rsidRPr="006B4E3E">
              <w:t> </w:t>
            </w:r>
          </w:p>
        </w:tc>
        <w:tc>
          <w:tcPr>
            <w:tcW w:w="2694" w:type="dxa"/>
            <w:tcBorders>
              <w:top w:val="single" w:sz="12" w:space="0" w:color="1F497D" w:themeColor="text2"/>
              <w:left w:val="nil"/>
              <w:bottom w:val="single" w:sz="8" w:space="0" w:color="1F497D" w:themeColor="text2"/>
              <w:right w:val="nil"/>
            </w:tcBorders>
            <w:shd w:val="clear" w:color="auto" w:fill="DBE5F1" w:themeFill="accent1" w:themeFillTint="33"/>
            <w:noWrap/>
            <w:vAlign w:val="center"/>
            <w:hideMark/>
          </w:tcPr>
          <w:p w:rsidR="00C43AF9" w:rsidRPr="00A2062F" w:rsidRDefault="003A741B" w:rsidP="00C43AF9">
            <w:pPr>
              <w:pStyle w:val="TableHeadingLeft"/>
            </w:pPr>
            <w:r>
              <w:t>A</w:t>
            </w:r>
            <w:r w:rsidR="00C43AF9">
              <w:t>ssessment process</w:t>
            </w:r>
          </w:p>
        </w:tc>
        <w:tc>
          <w:tcPr>
            <w:tcW w:w="2409" w:type="dxa"/>
            <w:tcBorders>
              <w:top w:val="single" w:sz="12" w:space="0" w:color="1F497D" w:themeColor="text2"/>
              <w:left w:val="nil"/>
              <w:bottom w:val="single" w:sz="8" w:space="0" w:color="1F497D" w:themeColor="text2"/>
              <w:right w:val="nil"/>
            </w:tcBorders>
            <w:shd w:val="clear" w:color="auto" w:fill="DBE5F1" w:themeFill="accent1" w:themeFillTint="33"/>
            <w:noWrap/>
            <w:vAlign w:val="center"/>
            <w:hideMark/>
          </w:tcPr>
          <w:p w:rsidR="00B76EF2" w:rsidRDefault="00C43AF9">
            <w:pPr>
              <w:pStyle w:val="TableHeadingLeft"/>
              <w:rPr>
                <w:color w:val="000033"/>
                <w:kern w:val="28"/>
              </w:rPr>
            </w:pPr>
            <w:r>
              <w:t xml:space="preserve">Period </w:t>
            </w:r>
            <w:r w:rsidR="000F43FD">
              <w:t>price cap</w:t>
            </w:r>
            <w:r>
              <w:t xml:space="preserve"> </w:t>
            </w:r>
            <w:r w:rsidR="00BF5A7B">
              <w:t>applies</w:t>
            </w:r>
          </w:p>
        </w:tc>
      </w:tr>
      <w:tr w:rsidR="00C43AF9" w:rsidRPr="00195FA2" w:rsidTr="00C43AF9">
        <w:trPr>
          <w:trHeight w:val="279"/>
        </w:trPr>
        <w:tc>
          <w:tcPr>
            <w:tcW w:w="2268" w:type="dxa"/>
            <w:tcBorders>
              <w:top w:val="single" w:sz="8" w:space="0" w:color="1F497D" w:themeColor="text2"/>
              <w:left w:val="nil"/>
              <w:bottom w:val="nil"/>
              <w:right w:val="nil"/>
            </w:tcBorders>
            <w:shd w:val="clear" w:color="auto" w:fill="auto"/>
            <w:hideMark/>
          </w:tcPr>
          <w:p w:rsidR="00C43AF9" w:rsidRPr="00A2062F" w:rsidRDefault="00C43AF9" w:rsidP="00C43AF9">
            <w:pPr>
              <w:pStyle w:val="TableTextLeft"/>
            </w:pPr>
            <w:r>
              <w:t>First annual recalibration</w:t>
            </w:r>
          </w:p>
        </w:tc>
        <w:tc>
          <w:tcPr>
            <w:tcW w:w="2694" w:type="dxa"/>
            <w:tcBorders>
              <w:top w:val="single" w:sz="8" w:space="0" w:color="1F497D" w:themeColor="text2"/>
              <w:left w:val="nil"/>
              <w:bottom w:val="nil"/>
              <w:right w:val="nil"/>
            </w:tcBorders>
            <w:shd w:val="clear" w:color="auto" w:fill="auto"/>
            <w:hideMark/>
          </w:tcPr>
          <w:p w:rsidR="00C43AF9" w:rsidRDefault="00C853E8" w:rsidP="00C43AF9">
            <w:pPr>
              <w:pStyle w:val="TableTextLeft"/>
              <w:jc w:val="both"/>
            </w:pPr>
            <w:r>
              <w:t>10 May 2018 to 7 June 2018</w:t>
            </w:r>
          </w:p>
        </w:tc>
        <w:tc>
          <w:tcPr>
            <w:tcW w:w="2409" w:type="dxa"/>
            <w:tcBorders>
              <w:top w:val="single" w:sz="8" w:space="0" w:color="1F497D" w:themeColor="text2"/>
              <w:left w:val="nil"/>
              <w:bottom w:val="nil"/>
              <w:right w:val="nil"/>
            </w:tcBorders>
            <w:shd w:val="clear" w:color="auto" w:fill="auto"/>
            <w:hideMark/>
          </w:tcPr>
          <w:p w:rsidR="00C43AF9" w:rsidRDefault="00C43AF9" w:rsidP="00C43AF9">
            <w:pPr>
              <w:pStyle w:val="TableTextLeft"/>
              <w:jc w:val="both"/>
            </w:pPr>
            <w:r>
              <w:t xml:space="preserve">1 July </w:t>
            </w:r>
            <w:r w:rsidR="00C853E8">
              <w:t>2018 to 30 June 2019</w:t>
            </w:r>
          </w:p>
        </w:tc>
      </w:tr>
      <w:tr w:rsidR="00CC1554" w:rsidRPr="00195FA2" w:rsidTr="00C43AF9">
        <w:trPr>
          <w:trHeight w:val="279"/>
        </w:trPr>
        <w:tc>
          <w:tcPr>
            <w:tcW w:w="2268" w:type="dxa"/>
            <w:tcBorders>
              <w:top w:val="nil"/>
              <w:left w:val="nil"/>
              <w:bottom w:val="single" w:sz="12" w:space="0" w:color="1F497D" w:themeColor="text2"/>
              <w:right w:val="nil"/>
            </w:tcBorders>
            <w:shd w:val="clear" w:color="auto" w:fill="auto"/>
            <w:hideMark/>
          </w:tcPr>
          <w:p w:rsidR="00CC1554" w:rsidRDefault="00A01A9E" w:rsidP="00C43AF9">
            <w:pPr>
              <w:pStyle w:val="TableTextLeft"/>
            </w:pPr>
            <w:r>
              <w:t xml:space="preserve">Second </w:t>
            </w:r>
            <w:r w:rsidR="00CC1554">
              <w:t>annual recalibration</w:t>
            </w:r>
          </w:p>
        </w:tc>
        <w:tc>
          <w:tcPr>
            <w:tcW w:w="2694" w:type="dxa"/>
            <w:tcBorders>
              <w:top w:val="nil"/>
              <w:left w:val="nil"/>
              <w:bottom w:val="single" w:sz="12" w:space="0" w:color="1F497D" w:themeColor="text2"/>
              <w:right w:val="nil"/>
            </w:tcBorders>
            <w:shd w:val="clear" w:color="auto" w:fill="auto"/>
            <w:hideMark/>
          </w:tcPr>
          <w:p w:rsidR="00CC1554" w:rsidRDefault="00CC1554" w:rsidP="00A01A9E">
            <w:pPr>
              <w:pStyle w:val="TableTextLeft"/>
              <w:jc w:val="both"/>
            </w:pPr>
            <w:r>
              <w:t xml:space="preserve">10 May </w:t>
            </w:r>
            <w:r w:rsidR="00C853E8">
              <w:t>2018</w:t>
            </w:r>
            <w:r w:rsidR="00A01A9E">
              <w:t xml:space="preserve"> </w:t>
            </w:r>
            <w:r>
              <w:t xml:space="preserve">to 7 June </w:t>
            </w:r>
            <w:r w:rsidR="00C853E8">
              <w:t>2018</w:t>
            </w:r>
          </w:p>
        </w:tc>
        <w:tc>
          <w:tcPr>
            <w:tcW w:w="2409" w:type="dxa"/>
            <w:tcBorders>
              <w:top w:val="nil"/>
              <w:left w:val="nil"/>
              <w:bottom w:val="single" w:sz="12" w:space="0" w:color="1F497D" w:themeColor="text2"/>
              <w:right w:val="nil"/>
            </w:tcBorders>
            <w:shd w:val="clear" w:color="auto" w:fill="auto"/>
            <w:hideMark/>
          </w:tcPr>
          <w:p w:rsidR="00CC1554" w:rsidRDefault="00CC1554" w:rsidP="00A01A9E">
            <w:pPr>
              <w:pStyle w:val="TableTextLeft"/>
              <w:jc w:val="both"/>
            </w:pPr>
            <w:r>
              <w:t xml:space="preserve">1 July </w:t>
            </w:r>
            <w:r w:rsidR="00C26A3D">
              <w:t>2019</w:t>
            </w:r>
            <w:r w:rsidR="00A01A9E">
              <w:t xml:space="preserve"> </w:t>
            </w:r>
            <w:r>
              <w:t xml:space="preserve">to 30 June </w:t>
            </w:r>
            <w:r w:rsidR="00C26A3D">
              <w:t>2020</w:t>
            </w:r>
          </w:p>
        </w:tc>
      </w:tr>
    </w:tbl>
    <w:p w:rsidR="00C43AF9" w:rsidRDefault="00BB21FC" w:rsidP="00A814AA">
      <w:pPr>
        <w:pStyle w:val="Heading2"/>
      </w:pPr>
      <w:bookmarkStart w:id="111" w:name="_Ref374095548"/>
      <w:bookmarkStart w:id="112" w:name="_Ref374098170"/>
      <w:bookmarkStart w:id="113" w:name="_Toc478131769"/>
      <w:r>
        <w:t xml:space="preserve">The </w:t>
      </w:r>
      <w:r w:rsidR="006F3E5F">
        <w:t>assessment</w:t>
      </w:r>
      <w:r w:rsidR="00B60419">
        <w:t xml:space="preserve"> </w:t>
      </w:r>
      <w:r>
        <w:t>process</w:t>
      </w:r>
      <w:bookmarkEnd w:id="111"/>
      <w:bookmarkEnd w:id="112"/>
      <w:bookmarkEnd w:id="113"/>
    </w:p>
    <w:p w:rsidR="00B267AF" w:rsidRDefault="00B267AF" w:rsidP="00B267AF">
      <w:r>
        <w:t xml:space="preserve">Clause </w:t>
      </w:r>
      <w:r w:rsidR="00C32A01">
        <w:fldChar w:fldCharType="begin"/>
      </w:r>
      <w:r>
        <w:instrText xml:space="preserve"> REF _Ref374095548 \r \h </w:instrText>
      </w:r>
      <w:r w:rsidR="00C32A01">
        <w:fldChar w:fldCharType="separate"/>
      </w:r>
      <w:r w:rsidR="00FA2DC9">
        <w:t>8.1</w:t>
      </w:r>
      <w:r w:rsidR="00C32A01">
        <w:fldChar w:fldCharType="end"/>
      </w:r>
      <w:r>
        <w:t xml:space="preserve"> sets out the</w:t>
      </w:r>
      <w:r w:rsidR="00100356">
        <w:t xml:space="preserve"> assessment</w:t>
      </w:r>
      <w:r w:rsidR="006741E6">
        <w:t xml:space="preserve"> process for an</w:t>
      </w:r>
      <w:r>
        <w:t xml:space="preserve"> annual recalibration.</w:t>
      </w:r>
      <w:r w:rsidR="00097426">
        <w:t xml:space="preserve"> </w:t>
      </w:r>
      <w:r w:rsidR="000E780D">
        <w:t xml:space="preserve">The dates set out relate to the year of the relevant assessment </w:t>
      </w:r>
      <w:r w:rsidR="00097426">
        <w:t>process.</w:t>
      </w:r>
      <w:r w:rsidR="00097426" w:rsidRPr="00097426">
        <w:t xml:space="preserve"> </w:t>
      </w:r>
      <w:r w:rsidR="00097426">
        <w:t xml:space="preserve">The assessment process occurs prior to the relevant regulatory year for which the </w:t>
      </w:r>
      <w:r w:rsidR="00693BF7">
        <w:t>weighted average</w:t>
      </w:r>
      <w:r w:rsidR="00A97640">
        <w:t xml:space="preserve"> price cap is </w:t>
      </w:r>
      <w:r w:rsidR="00097426">
        <w:t>set.</w:t>
      </w:r>
    </w:p>
    <w:p w:rsidR="005D1768" w:rsidRDefault="005D1768" w:rsidP="00B267AF">
      <w:r>
        <w:t>The assessment process will occur as follows:</w:t>
      </w:r>
    </w:p>
    <w:p w:rsidR="00B76EF2" w:rsidRDefault="00B267AF">
      <w:pPr>
        <w:pStyle w:val="LetteredList"/>
        <w:numPr>
          <w:ilvl w:val="0"/>
          <w:numId w:val="15"/>
        </w:numPr>
      </w:pPr>
      <w:bookmarkStart w:id="114" w:name="_Ref374100446"/>
      <w:r>
        <w:t xml:space="preserve">On or before 10 </w:t>
      </w:r>
      <w:r w:rsidR="000E780D">
        <w:t>May</w:t>
      </w:r>
      <w:r>
        <w:t xml:space="preserve">, ActewAGL </w:t>
      </w:r>
      <w:r w:rsidR="00B82C5D">
        <w:t xml:space="preserve">Retail </w:t>
      </w:r>
      <w:r w:rsidR="00A01A9E">
        <w:t xml:space="preserve">must </w:t>
      </w:r>
      <w:r>
        <w:t>submit to the Commission the following information:</w:t>
      </w:r>
      <w:bookmarkEnd w:id="114"/>
    </w:p>
    <w:p w:rsidR="00B267AF" w:rsidRDefault="00B267AF" w:rsidP="005B5352">
      <w:pPr>
        <w:pStyle w:val="LetteredList"/>
        <w:numPr>
          <w:ilvl w:val="1"/>
          <w:numId w:val="10"/>
        </w:numPr>
      </w:pPr>
      <w:r>
        <w:t xml:space="preserve">Calculation </w:t>
      </w:r>
      <w:r w:rsidR="006F67E3">
        <w:t>of</w:t>
      </w:r>
      <w:r>
        <w:t xml:space="preserve"> costs associated with achieving environmental objectives for the year in question, including LRET, SRE</w:t>
      </w:r>
      <w:r w:rsidR="00830D0E">
        <w:t>S</w:t>
      </w:r>
      <w:r>
        <w:t xml:space="preserve"> and ACT </w:t>
      </w:r>
      <w:r w:rsidR="00BF5A7B">
        <w:t>E</w:t>
      </w:r>
      <w:r>
        <w:t xml:space="preserve">nergy </w:t>
      </w:r>
      <w:r w:rsidR="00BF5A7B">
        <w:t>E</w:t>
      </w:r>
      <w:r>
        <w:t xml:space="preserve">fficiency </w:t>
      </w:r>
      <w:r w:rsidR="00BF5A7B">
        <w:t>Improvement S</w:t>
      </w:r>
      <w:r>
        <w:t>cheme costs, and any proposed adjustments.</w:t>
      </w:r>
    </w:p>
    <w:p w:rsidR="00B267AF" w:rsidRDefault="009B635F" w:rsidP="005B5352">
      <w:pPr>
        <w:pStyle w:val="LetteredList"/>
        <w:numPr>
          <w:ilvl w:val="1"/>
          <w:numId w:val="10"/>
        </w:numPr>
      </w:pPr>
      <w:bookmarkStart w:id="115" w:name="_Ref374100450"/>
      <w:r>
        <w:t xml:space="preserve">Full accounting of all proposed pass-through event costs that may be claimed under clause </w:t>
      </w:r>
      <w:r w:rsidR="00C32A01">
        <w:fldChar w:fldCharType="begin"/>
      </w:r>
      <w:r>
        <w:instrText xml:space="preserve"> REF _Ref374095912 \r \h </w:instrText>
      </w:r>
      <w:r w:rsidR="00C32A01">
        <w:fldChar w:fldCharType="separate"/>
      </w:r>
      <w:r w:rsidR="00FA2DC9">
        <w:t>9</w:t>
      </w:r>
      <w:r w:rsidR="00C32A01">
        <w:fldChar w:fldCharType="end"/>
      </w:r>
      <w:r>
        <w:t xml:space="preserve"> and its sub-clauses.</w:t>
      </w:r>
      <w:bookmarkEnd w:id="115"/>
    </w:p>
    <w:p w:rsidR="009B635F" w:rsidRDefault="009B635F" w:rsidP="0065183C">
      <w:pPr>
        <w:pStyle w:val="LetteredList"/>
      </w:pPr>
      <w:r>
        <w:t>ActewAGL Retail must submit to the Commission for verification the updated network cost</w:t>
      </w:r>
      <w:r w:rsidR="00FC0D15">
        <w:t xml:space="preserve"> allowance</w:t>
      </w:r>
      <w:r>
        <w:t xml:space="preserve"> for the regulated customer load as soon as </w:t>
      </w:r>
      <w:r w:rsidR="00FC0D15">
        <w:t>ActewAGL Distribution’s network charges</w:t>
      </w:r>
      <w:r>
        <w:t xml:space="preserve"> are approved by the </w:t>
      </w:r>
      <w:r w:rsidR="0065183C">
        <w:t>A</w:t>
      </w:r>
      <w:r w:rsidR="00A66CFE">
        <w:t>ustralian Energy Regulator (AER)</w:t>
      </w:r>
      <w:r>
        <w:t>.</w:t>
      </w:r>
    </w:p>
    <w:p w:rsidR="009B635F" w:rsidRDefault="00512AB2" w:rsidP="009B635F">
      <w:pPr>
        <w:pStyle w:val="LetteredList"/>
      </w:pPr>
      <w:r>
        <w:t xml:space="preserve">As per clause </w:t>
      </w:r>
      <w:r w:rsidR="00C32A01">
        <w:fldChar w:fldCharType="begin"/>
      </w:r>
      <w:r>
        <w:instrText xml:space="preserve"> REF _Ref374097429 \r \h </w:instrText>
      </w:r>
      <w:r w:rsidR="00C32A01">
        <w:fldChar w:fldCharType="separate"/>
      </w:r>
      <w:r w:rsidR="00FA2DC9">
        <w:t>8.4</w:t>
      </w:r>
      <w:r w:rsidR="00C32A01">
        <w:fldChar w:fldCharType="end"/>
      </w:r>
      <w:r>
        <w:t>, the Commission will determine the energy purchase cost component based on data available up to 31 May.</w:t>
      </w:r>
    </w:p>
    <w:p w:rsidR="00512AB2" w:rsidRDefault="000C6CC9" w:rsidP="009B635F">
      <w:pPr>
        <w:pStyle w:val="LetteredList"/>
      </w:pPr>
      <w:r>
        <w:t xml:space="preserve">As per clause </w:t>
      </w:r>
      <w:r w:rsidR="00C32A01">
        <w:fldChar w:fldCharType="begin"/>
      </w:r>
      <w:r>
        <w:instrText xml:space="preserve"> REF _Ref374097965 \r \h </w:instrText>
      </w:r>
      <w:r w:rsidR="00C32A01">
        <w:fldChar w:fldCharType="separate"/>
      </w:r>
      <w:r w:rsidR="00FA2DC9">
        <w:t>8.2</w:t>
      </w:r>
      <w:r w:rsidR="00C32A01">
        <w:fldChar w:fldCharType="end"/>
      </w:r>
      <w:r w:rsidR="00833CB6">
        <w:t>, t</w:t>
      </w:r>
      <w:r w:rsidR="000E780D">
        <w:t xml:space="preserve">he Commission will determine the </w:t>
      </w:r>
      <w:r w:rsidR="00512AB2">
        <w:t xml:space="preserve">value of </w:t>
      </w:r>
      <w:r w:rsidR="00022732" w:rsidRPr="00022732">
        <w:rPr>
          <w:szCs w:val="22"/>
          <w:lang w:val="en-AU"/>
        </w:rPr>
        <w:t>Y</w:t>
      </w:r>
      <w:r w:rsidR="00022732" w:rsidRPr="00022732">
        <w:rPr>
          <w:szCs w:val="22"/>
          <w:vertAlign w:val="superscript"/>
          <w:lang w:val="en-AU"/>
        </w:rPr>
        <w:t>t</w:t>
      </w:r>
      <w:r w:rsidR="00830D0E">
        <w:rPr>
          <w:szCs w:val="22"/>
          <w:lang w:val="en-AU"/>
        </w:rPr>
        <w:t>, which is the</w:t>
      </w:r>
      <w:r w:rsidR="00830D0E">
        <w:t xml:space="preserve"> </w:t>
      </w:r>
      <w:r w:rsidR="00512AB2">
        <w:t>percentage by which</w:t>
      </w:r>
      <w:r w:rsidR="00A97640">
        <w:t xml:space="preserve"> the </w:t>
      </w:r>
      <w:r w:rsidR="00693BF7">
        <w:t>weighted average</w:t>
      </w:r>
      <w:r w:rsidR="00A97640">
        <w:t xml:space="preserve"> price </w:t>
      </w:r>
      <w:r w:rsidR="00512AB2">
        <w:t>cap may adjust.</w:t>
      </w:r>
      <w:r w:rsidR="000E780D">
        <w:t xml:space="preserve"> </w:t>
      </w:r>
      <w:r w:rsidR="00EB74D5">
        <w:t xml:space="preserve"> </w:t>
      </w:r>
      <w:r w:rsidR="000E780D">
        <w:t xml:space="preserve">The Commission will provide its determination to ActewAGL </w:t>
      </w:r>
      <w:r w:rsidR="00B82C5D">
        <w:t xml:space="preserve">Retail </w:t>
      </w:r>
      <w:r w:rsidR="000E780D">
        <w:t>on or before 7</w:t>
      </w:r>
      <w:r w:rsidR="00187B53">
        <w:t> </w:t>
      </w:r>
      <w:r w:rsidR="000E780D">
        <w:t>Jun</w:t>
      </w:r>
      <w:r w:rsidR="00286643">
        <w:t>e, although this date may be extended if approved network</w:t>
      </w:r>
      <w:r w:rsidR="00F631EA">
        <w:t xml:space="preserve"> c</w:t>
      </w:r>
      <w:r w:rsidR="00FC0D15">
        <w:t>harges</w:t>
      </w:r>
      <w:r w:rsidR="00286643">
        <w:t xml:space="preserve"> have not been </w:t>
      </w:r>
      <w:r w:rsidR="00BF5A7B">
        <w:t xml:space="preserve">published </w:t>
      </w:r>
      <w:r w:rsidR="00F631EA">
        <w:t>by the AER</w:t>
      </w:r>
      <w:r w:rsidR="00286643">
        <w:t xml:space="preserve"> in time for the Commission to adhere to this date.</w:t>
      </w:r>
    </w:p>
    <w:p w:rsidR="00512AB2" w:rsidRDefault="000C6CC9" w:rsidP="009B635F">
      <w:pPr>
        <w:pStyle w:val="LetteredList"/>
      </w:pPr>
      <w:bookmarkStart w:id="116" w:name="_Ref374098173"/>
      <w:r>
        <w:t>ActewAGL Retail</w:t>
      </w:r>
      <w:r w:rsidR="000E780D">
        <w:t xml:space="preserve"> </w:t>
      </w:r>
      <w:r w:rsidR="00A01A9E">
        <w:t xml:space="preserve">must </w:t>
      </w:r>
      <w:r w:rsidR="000E780D">
        <w:t>provide the Commission with its proposed schedule</w:t>
      </w:r>
      <w:r w:rsidR="005309C7">
        <w:t>(s)</w:t>
      </w:r>
      <w:r w:rsidR="000E780D">
        <w:t xml:space="preserve"> of standing offer prices</w:t>
      </w:r>
      <w:r>
        <w:t xml:space="preserve"> including the associated </w:t>
      </w:r>
      <w:r w:rsidR="00693BF7">
        <w:t>weighted average</w:t>
      </w:r>
      <w:r>
        <w:t xml:space="preserve"> price cap calculations.</w:t>
      </w:r>
      <w:bookmarkEnd w:id="116"/>
    </w:p>
    <w:p w:rsidR="000C6CC9" w:rsidRDefault="000C6CC9" w:rsidP="009B635F">
      <w:pPr>
        <w:pStyle w:val="LetteredList"/>
      </w:pPr>
      <w:bookmarkStart w:id="117" w:name="_Ref379277831"/>
      <w:r>
        <w:t xml:space="preserve">Subsequent to clause </w:t>
      </w:r>
      <w:r w:rsidR="00C32A01">
        <w:fldChar w:fldCharType="begin"/>
      </w:r>
      <w:r>
        <w:instrText xml:space="preserve"> REF _Ref374098170 \r \h </w:instrText>
      </w:r>
      <w:r w:rsidR="00C32A01">
        <w:fldChar w:fldCharType="separate"/>
      </w:r>
      <w:r w:rsidR="00FA2DC9">
        <w:t>8.1</w:t>
      </w:r>
      <w:r w:rsidR="00C32A01">
        <w:fldChar w:fldCharType="end"/>
      </w:r>
      <w:r w:rsidR="00C32A01">
        <w:fldChar w:fldCharType="begin"/>
      </w:r>
      <w:r>
        <w:instrText xml:space="preserve"> REF _Ref374098173 \r \h </w:instrText>
      </w:r>
      <w:r w:rsidR="00C32A01">
        <w:fldChar w:fldCharType="separate"/>
      </w:r>
      <w:r w:rsidR="00FA2DC9">
        <w:t>(e)</w:t>
      </w:r>
      <w:r w:rsidR="00C32A01">
        <w:fldChar w:fldCharType="end"/>
      </w:r>
      <w:r>
        <w:t xml:space="preserve"> occurring</w:t>
      </w:r>
      <w:r w:rsidR="00EF3B0F">
        <w:t>,</w:t>
      </w:r>
      <w:r>
        <w:t xml:space="preserve"> the Commission will – subject to an assessment that the pro</w:t>
      </w:r>
      <w:r w:rsidR="00B32A85">
        <w:t>posals are consistent with the Price D</w:t>
      </w:r>
      <w:r>
        <w:t xml:space="preserve">irection – approve the proposed prices within two </w:t>
      </w:r>
      <w:r w:rsidR="00F631EA">
        <w:t>business</w:t>
      </w:r>
      <w:r>
        <w:t xml:space="preserve"> days of receipt of the proposed schedule</w:t>
      </w:r>
      <w:r w:rsidR="005309C7">
        <w:t>(s)</w:t>
      </w:r>
      <w:r>
        <w:t>.</w:t>
      </w:r>
      <w:bookmarkEnd w:id="117"/>
    </w:p>
    <w:p w:rsidR="00B76EF2" w:rsidRPr="00661642" w:rsidRDefault="002E2A84">
      <w:pPr>
        <w:pStyle w:val="Heading3"/>
      </w:pPr>
      <w:r w:rsidRPr="002E2A84">
        <w:lastRenderedPageBreak/>
        <w:t>Interim prices may apply</w:t>
      </w:r>
    </w:p>
    <w:p w:rsidR="00B76EF2" w:rsidRDefault="002E2A84">
      <w:r w:rsidRPr="002E2A84">
        <w:t>In the eve</w:t>
      </w:r>
      <w:r w:rsidR="00661642">
        <w:t xml:space="preserve">nt the </w:t>
      </w:r>
      <w:r w:rsidRPr="002E2A84">
        <w:t xml:space="preserve">AER </w:t>
      </w:r>
      <w:r w:rsidR="00661642">
        <w:t>does not p</w:t>
      </w:r>
      <w:r w:rsidR="00FC0D15">
        <w:t xml:space="preserve">ublish approved </w:t>
      </w:r>
      <w:r w:rsidRPr="002E2A84">
        <w:t xml:space="preserve">network </w:t>
      </w:r>
      <w:r w:rsidR="00661642">
        <w:t>c</w:t>
      </w:r>
      <w:r w:rsidR="00FC0D15">
        <w:t>harges</w:t>
      </w:r>
      <w:r w:rsidR="00661642">
        <w:t xml:space="preserve"> </w:t>
      </w:r>
      <w:r w:rsidR="00EF2777">
        <w:t xml:space="preserve">in time </w:t>
      </w:r>
      <w:r w:rsidR="00540A1D">
        <w:t>to allow the Commission to determine</w:t>
      </w:r>
      <w:r w:rsidR="00661642">
        <w:t xml:space="preserve"> </w:t>
      </w:r>
      <w:r w:rsidRPr="002E2A84">
        <w:t>Y</w:t>
      </w:r>
      <w:r w:rsidRPr="002E2A84">
        <w:rPr>
          <w:vertAlign w:val="superscript"/>
        </w:rPr>
        <w:t>t</w:t>
      </w:r>
      <w:r w:rsidRPr="002E2A84">
        <w:t xml:space="preserve"> </w:t>
      </w:r>
      <w:r w:rsidR="00661642">
        <w:t xml:space="preserve">for the approved standing offer prices to </w:t>
      </w:r>
      <w:r w:rsidRPr="002E2A84">
        <w:t>apply on 1 July</w:t>
      </w:r>
      <w:r w:rsidR="00661642">
        <w:t xml:space="preserve"> in a regulatory year, A</w:t>
      </w:r>
      <w:r w:rsidRPr="002E2A84">
        <w:t xml:space="preserve">ctewAGL Retail’s schedule of standing offer prices in place under the regulated weighted average price cap as at 30 June </w:t>
      </w:r>
      <w:r w:rsidR="00540A1D">
        <w:t xml:space="preserve">in the same calendar year </w:t>
      </w:r>
      <w:r w:rsidRPr="002E2A84">
        <w:t>will be the standing offer prices unt</w:t>
      </w:r>
      <w:r w:rsidR="002253AA">
        <w:t>il the new standing offer prices are approved.</w:t>
      </w:r>
    </w:p>
    <w:p w:rsidR="00970E92" w:rsidRPr="002253AA" w:rsidRDefault="002E2A84" w:rsidP="00A814AA">
      <w:pPr>
        <w:pStyle w:val="Heading2"/>
      </w:pPr>
      <w:bookmarkStart w:id="118" w:name="_Ref374089735"/>
      <w:bookmarkStart w:id="119" w:name="_Ref374097965"/>
      <w:bookmarkStart w:id="120" w:name="_Toc478131770"/>
      <w:r w:rsidRPr="002E2A84">
        <w:t xml:space="preserve">The value of </w:t>
      </w:r>
      <w:bookmarkEnd w:id="118"/>
      <w:bookmarkEnd w:id="119"/>
      <w:r w:rsidRPr="002E2A84">
        <w:t>Y</w:t>
      </w:r>
      <w:r w:rsidRPr="002E2A84">
        <w:rPr>
          <w:vertAlign w:val="superscript"/>
        </w:rPr>
        <w:t>t</w:t>
      </w:r>
      <w:bookmarkEnd w:id="120"/>
    </w:p>
    <w:p w:rsidR="00970E92" w:rsidRDefault="00C26A3D" w:rsidP="00970E92">
      <w:pPr>
        <w:rPr>
          <w:szCs w:val="22"/>
          <w:lang w:val="en-AU"/>
        </w:rPr>
      </w:pPr>
      <w:r>
        <w:t>For the regulatory years 2018–19 and 2019–20</w:t>
      </w:r>
      <w:r w:rsidR="002E2A84" w:rsidRPr="002E2A84">
        <w:t xml:space="preserve">, the Commission will determine </w:t>
      </w:r>
      <w:r w:rsidR="002E2A84" w:rsidRPr="002E2A84">
        <w:rPr>
          <w:szCs w:val="22"/>
          <w:lang w:val="en-AU"/>
        </w:rPr>
        <w:t>Y</w:t>
      </w:r>
      <w:r w:rsidR="002E2A84" w:rsidRPr="002E2A84">
        <w:rPr>
          <w:szCs w:val="22"/>
          <w:vertAlign w:val="superscript"/>
          <w:lang w:val="en-AU"/>
        </w:rPr>
        <w:t>t</w:t>
      </w:r>
      <w:r w:rsidR="002E2A84" w:rsidRPr="002E2A84">
        <w:t xml:space="preserve"> to be the percentage change in the cost index calculated from the components listed in </w:t>
      </w:r>
      <w:r w:rsidR="00C32A01">
        <w:fldChar w:fldCharType="begin"/>
      </w:r>
      <w:r w:rsidR="00323A0C">
        <w:instrText xml:space="preserve"> REF _Ref374089228 \h </w:instrText>
      </w:r>
      <w:r w:rsidR="00C32A01">
        <w:fldChar w:fldCharType="separate"/>
      </w:r>
      <w:r w:rsidR="00323A0C">
        <w:t xml:space="preserve">Table </w:t>
      </w:r>
      <w:r w:rsidR="00323A0C">
        <w:rPr>
          <w:noProof/>
        </w:rPr>
        <w:t>8</w:t>
      </w:r>
      <w:r w:rsidR="00323A0C">
        <w:t>.</w:t>
      </w:r>
      <w:r w:rsidR="00323A0C">
        <w:rPr>
          <w:noProof/>
        </w:rPr>
        <w:t>2</w:t>
      </w:r>
      <w:r w:rsidR="00C32A01">
        <w:fldChar w:fldCharType="end"/>
      </w:r>
      <w:r w:rsidR="00C8078C">
        <w:t>.</w:t>
      </w:r>
    </w:p>
    <w:p w:rsidR="009B797F" w:rsidRDefault="00970E92" w:rsidP="009B797F">
      <w:pPr>
        <w:pStyle w:val="FigureName"/>
      </w:pPr>
      <w:bookmarkStart w:id="121" w:name="_Ref374089228"/>
      <w:bookmarkStart w:id="122" w:name="_Ref374089206"/>
      <w:bookmarkStart w:id="123" w:name="_Ref389575662"/>
      <w:bookmarkStart w:id="124" w:name="_Toc477866949"/>
      <w:r>
        <w:t xml:space="preserve">Table </w:t>
      </w:r>
      <w:r w:rsidR="00C32A01">
        <w:fldChar w:fldCharType="begin"/>
      </w:r>
      <w:r w:rsidR="007B2604">
        <w:instrText xml:space="preserve"> STYLEREF 1 \s </w:instrText>
      </w:r>
      <w:r w:rsidR="00C32A01">
        <w:fldChar w:fldCharType="separate"/>
      </w:r>
      <w:r w:rsidR="00FA2DC9">
        <w:rPr>
          <w:noProof/>
        </w:rPr>
        <w:t>8</w:t>
      </w:r>
      <w:r w:rsidR="00C32A01">
        <w:fldChar w:fldCharType="end"/>
      </w:r>
      <w:r w:rsidR="007B2604">
        <w:t>.</w:t>
      </w:r>
      <w:r w:rsidR="00C32A01">
        <w:fldChar w:fldCharType="begin"/>
      </w:r>
      <w:r w:rsidR="007B2604">
        <w:instrText xml:space="preserve"> SEQ Table \* ARABIC \s 1 </w:instrText>
      </w:r>
      <w:r w:rsidR="00C32A01">
        <w:fldChar w:fldCharType="separate"/>
      </w:r>
      <w:r w:rsidR="00FA2DC9">
        <w:rPr>
          <w:noProof/>
        </w:rPr>
        <w:t>2</w:t>
      </w:r>
      <w:r w:rsidR="00C32A01">
        <w:fldChar w:fldCharType="end"/>
      </w:r>
      <w:bookmarkEnd w:id="121"/>
      <w:r>
        <w:tab/>
      </w:r>
      <w:r w:rsidR="00380FF4" w:rsidRPr="00524835">
        <w:t xml:space="preserve">Components </w:t>
      </w:r>
      <w:r w:rsidR="00954E30" w:rsidRPr="00524835">
        <w:t>of the cost</w:t>
      </w:r>
      <w:r w:rsidR="00C157AB" w:rsidRPr="00524835">
        <w:t>-</w:t>
      </w:r>
      <w:r w:rsidR="00954E30" w:rsidRPr="00524835">
        <w:t>index mode</w:t>
      </w:r>
      <w:r w:rsidR="009B797F" w:rsidRPr="00524835">
        <w:t>l</w:t>
      </w:r>
      <w:bookmarkEnd w:id="122"/>
      <w:bookmarkEnd w:id="123"/>
      <w:bookmarkEnd w:id="124"/>
    </w:p>
    <w:tbl>
      <w:tblPr>
        <w:tblW w:w="8291" w:type="dxa"/>
        <w:tblInd w:w="108" w:type="dxa"/>
        <w:tblLayout w:type="fixed"/>
        <w:tblLook w:val="04A0" w:firstRow="1" w:lastRow="0" w:firstColumn="1" w:lastColumn="0" w:noHBand="0" w:noVBand="1"/>
      </w:tblPr>
      <w:tblGrid>
        <w:gridCol w:w="2627"/>
        <w:gridCol w:w="5664"/>
      </w:tblGrid>
      <w:tr w:rsidR="005D397C" w:rsidRPr="005D397C" w:rsidTr="00103E1C">
        <w:trPr>
          <w:trHeight w:val="570"/>
        </w:trPr>
        <w:tc>
          <w:tcPr>
            <w:tcW w:w="2627" w:type="dxa"/>
            <w:tcBorders>
              <w:top w:val="single" w:sz="12" w:space="0" w:color="1F497D"/>
              <w:left w:val="nil"/>
              <w:bottom w:val="single" w:sz="8" w:space="0" w:color="1F497D"/>
              <w:right w:val="nil"/>
            </w:tcBorders>
            <w:shd w:val="clear" w:color="auto" w:fill="DBE5F1"/>
            <w:hideMark/>
          </w:tcPr>
          <w:p w:rsidR="005D397C" w:rsidRPr="005D397C" w:rsidRDefault="005D397C" w:rsidP="005D397C">
            <w:pPr>
              <w:keepNext/>
              <w:spacing w:before="120" w:after="120" w:line="240" w:lineRule="auto"/>
              <w:ind w:left="1077" w:hanging="1077"/>
              <w:rPr>
                <w:rFonts w:ascii="Arial Narrow" w:hAnsi="Arial Narrow"/>
                <w:b/>
                <w:sz w:val="20"/>
              </w:rPr>
            </w:pPr>
            <w:r w:rsidRPr="005D397C">
              <w:rPr>
                <w:rFonts w:ascii="Arial Narrow" w:hAnsi="Arial Narrow"/>
                <w:b/>
                <w:sz w:val="20"/>
              </w:rPr>
              <w:t>Component</w:t>
            </w:r>
          </w:p>
        </w:tc>
        <w:tc>
          <w:tcPr>
            <w:tcW w:w="5664" w:type="dxa"/>
            <w:tcBorders>
              <w:top w:val="single" w:sz="12" w:space="0" w:color="1F497D"/>
              <w:left w:val="nil"/>
              <w:bottom w:val="single" w:sz="8" w:space="0" w:color="1F497D"/>
              <w:right w:val="nil"/>
            </w:tcBorders>
            <w:shd w:val="clear" w:color="auto" w:fill="DBE5F1"/>
            <w:hideMark/>
          </w:tcPr>
          <w:p w:rsidR="005D397C" w:rsidRPr="005D397C" w:rsidRDefault="005D397C" w:rsidP="005D397C">
            <w:pPr>
              <w:keepNext/>
              <w:spacing w:before="120" w:after="120" w:line="240" w:lineRule="auto"/>
              <w:ind w:left="1077" w:hanging="1077"/>
              <w:rPr>
                <w:rFonts w:ascii="Arial Narrow" w:hAnsi="Arial Narrow"/>
                <w:b/>
                <w:sz w:val="20"/>
              </w:rPr>
            </w:pPr>
            <w:r w:rsidRPr="005D397C">
              <w:rPr>
                <w:rFonts w:ascii="Arial Narrow" w:hAnsi="Arial Narrow"/>
                <w:b/>
                <w:sz w:val="20"/>
              </w:rPr>
              <w:t>Method</w:t>
            </w:r>
          </w:p>
        </w:tc>
      </w:tr>
      <w:tr w:rsidR="005D397C" w:rsidRPr="005D397C" w:rsidTr="00103E1C">
        <w:trPr>
          <w:trHeight w:val="300"/>
        </w:trPr>
        <w:tc>
          <w:tcPr>
            <w:tcW w:w="2627" w:type="dxa"/>
            <w:tcBorders>
              <w:top w:val="single" w:sz="8" w:space="0" w:color="1F497D"/>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Energy purchase cost ($/MWh)</w:t>
            </w:r>
          </w:p>
        </w:tc>
        <w:tc>
          <w:tcPr>
            <w:tcW w:w="5664" w:type="dxa"/>
            <w:tcBorders>
              <w:top w:val="single" w:sz="8" w:space="0" w:color="1F497D"/>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As determined by the Commission at the time of the recalibration using the energy purchase cost model</w:t>
            </w:r>
          </w:p>
        </w:tc>
      </w:tr>
      <w:tr w:rsidR="005D397C" w:rsidRPr="005D397C" w:rsidTr="00103E1C">
        <w:trPr>
          <w:trHeight w:val="300"/>
        </w:trPr>
        <w:tc>
          <w:tcPr>
            <w:tcW w:w="2627" w:type="dxa"/>
            <w:tcBorders>
              <w:top w:val="nil"/>
              <w:left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LRET and SRES costs ($/MWh)</w:t>
            </w:r>
          </w:p>
        </w:tc>
        <w:tc>
          <w:tcPr>
            <w:tcW w:w="5664" w:type="dxa"/>
            <w:tcBorders>
              <w:top w:val="nil"/>
              <w:left w:val="nil"/>
              <w:right w:val="nil"/>
            </w:tcBorders>
            <w:shd w:val="clear" w:color="auto" w:fill="auto"/>
            <w:noWrap/>
            <w:hideMark/>
          </w:tcPr>
          <w:p w:rsidR="005D397C" w:rsidRPr="005D397C" w:rsidRDefault="005D397C" w:rsidP="005D397C">
            <w:pPr>
              <w:spacing w:before="40" w:after="40" w:line="240" w:lineRule="auto"/>
              <w:rPr>
                <w:rFonts w:ascii="Arial Narrow" w:hAnsi="Arial Narrow"/>
                <w:b/>
                <w:color w:val="000033"/>
                <w:kern w:val="28"/>
                <w:sz w:val="18"/>
              </w:rPr>
            </w:pPr>
            <w:r w:rsidRPr="005D397C">
              <w:rPr>
                <w:rFonts w:ascii="Arial Narrow" w:hAnsi="Arial Narrow"/>
                <w:sz w:val="18"/>
              </w:rPr>
              <w:t xml:space="preserve">Estimates from ActewAGL Retail for the 2018–19 and 2019–20 years respectively, which are verified and applied using the Commission’s methodology </w:t>
            </w:r>
          </w:p>
        </w:tc>
      </w:tr>
      <w:tr w:rsidR="005D397C" w:rsidRPr="005D397C" w:rsidTr="00103E1C">
        <w:trPr>
          <w:trHeight w:val="300"/>
        </w:trPr>
        <w:tc>
          <w:tcPr>
            <w:tcW w:w="2627" w:type="dxa"/>
            <w:tcBorders>
              <w:top w:val="nil"/>
              <w:left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Energy Efficiency Improvement Scheme</w:t>
            </w:r>
          </w:p>
        </w:tc>
        <w:tc>
          <w:tcPr>
            <w:tcW w:w="5664" w:type="dxa"/>
            <w:tcBorders>
              <w:top w:val="nil"/>
              <w:left w:val="nil"/>
              <w:right w:val="nil"/>
            </w:tcBorders>
            <w:shd w:val="clear" w:color="auto" w:fill="auto"/>
            <w:noWrap/>
            <w:hideMark/>
          </w:tcPr>
          <w:p w:rsidR="005D397C" w:rsidRPr="005D397C" w:rsidRDefault="005D397C" w:rsidP="005D397C">
            <w:pPr>
              <w:spacing w:before="40" w:after="40" w:line="240" w:lineRule="auto"/>
              <w:rPr>
                <w:rFonts w:ascii="Arial Narrow" w:hAnsi="Arial Narrow"/>
                <w:b/>
                <w:color w:val="000033"/>
                <w:kern w:val="28"/>
                <w:sz w:val="18"/>
              </w:rPr>
            </w:pPr>
            <w:r w:rsidRPr="005D397C">
              <w:rPr>
                <w:rFonts w:ascii="Arial Narrow" w:hAnsi="Arial Narrow"/>
                <w:sz w:val="18"/>
              </w:rPr>
              <w:t>Estimates from ActewAGL Retail for the 2018–19 and 2019–20 years as required, subject to a prudence and efficiency assessment, with costs determined using the Commission’s methodology</w:t>
            </w:r>
          </w:p>
        </w:tc>
      </w:tr>
      <w:tr w:rsidR="005D397C" w:rsidRPr="005D397C" w:rsidTr="00103E1C">
        <w:trPr>
          <w:trHeight w:val="300"/>
        </w:trPr>
        <w:tc>
          <w:tcPr>
            <w:tcW w:w="2627" w:type="dxa"/>
            <w:tcBorders>
              <w:top w:val="nil"/>
              <w:left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Energy losses (%)</w:t>
            </w:r>
          </w:p>
        </w:tc>
        <w:tc>
          <w:tcPr>
            <w:tcW w:w="5664" w:type="dxa"/>
            <w:tcBorders>
              <w:top w:val="nil"/>
              <w:left w:val="nil"/>
              <w:right w:val="nil"/>
            </w:tcBorders>
            <w:shd w:val="clear" w:color="auto" w:fill="auto"/>
            <w:noWrap/>
            <w:hideMark/>
          </w:tcPr>
          <w:p w:rsidR="005D397C" w:rsidRPr="005D397C" w:rsidRDefault="005D397C" w:rsidP="005D397C">
            <w:pPr>
              <w:spacing w:before="40" w:after="40" w:line="240" w:lineRule="auto"/>
              <w:rPr>
                <w:rFonts w:ascii="Arial Narrow" w:hAnsi="Arial Narrow"/>
                <w:b/>
                <w:color w:val="000033"/>
                <w:kern w:val="28"/>
                <w:sz w:val="18"/>
              </w:rPr>
            </w:pPr>
            <w:r w:rsidRPr="005D397C">
              <w:rPr>
                <w:rFonts w:ascii="Arial Narrow" w:hAnsi="Arial Narrow"/>
                <w:sz w:val="18"/>
              </w:rPr>
              <w:t>Based on AEMO’s estimates for 2018–19 and 2019–20 as appropriate</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Energy contracting costs ($/MWh)</w:t>
            </w:r>
          </w:p>
        </w:tc>
        <w:tc>
          <w:tcPr>
            <w:tcW w:w="5664" w:type="dxa"/>
            <w:tcBorders>
              <w:top w:val="nil"/>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Previous year’s value adjusted by the change in CPI</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NEM fees ($/MWh)</w:t>
            </w:r>
          </w:p>
        </w:tc>
        <w:tc>
          <w:tcPr>
            <w:tcW w:w="5664" w:type="dxa"/>
            <w:tcBorders>
              <w:top w:val="nil"/>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Previous year’s value adjusted by the change in CPI</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Retail operating costs ($/MWh)</w:t>
            </w:r>
          </w:p>
        </w:tc>
        <w:tc>
          <w:tcPr>
            <w:tcW w:w="5664" w:type="dxa"/>
            <w:tcBorders>
              <w:top w:val="nil"/>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Previous year’s value adjusted by the change in CPI</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Network costs ($/MWh)</w:t>
            </w:r>
          </w:p>
        </w:tc>
        <w:tc>
          <w:tcPr>
            <w:tcW w:w="5664" w:type="dxa"/>
            <w:tcBorders>
              <w:top w:val="nil"/>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As determined and approved by the AER and applied by ActewAGL Retail to the standard retail contract customer load, and subsequently verified by the Commission</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Cost pass-through ($/MWh)</w:t>
            </w:r>
          </w:p>
        </w:tc>
        <w:tc>
          <w:tcPr>
            <w:tcW w:w="5664" w:type="dxa"/>
            <w:tcBorders>
              <w:top w:val="nil"/>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 xml:space="preserve">Cost pass-through verified by the Commission in current dollars as adjusted by the change in CPI </w:t>
            </w:r>
          </w:p>
        </w:tc>
      </w:tr>
      <w:tr w:rsidR="005D397C" w:rsidRPr="005D397C" w:rsidTr="00103E1C">
        <w:trPr>
          <w:trHeight w:val="315"/>
        </w:trPr>
        <w:tc>
          <w:tcPr>
            <w:tcW w:w="2627" w:type="dxa"/>
            <w:tcBorders>
              <w:top w:val="nil"/>
              <w:left w:val="nil"/>
              <w:bottom w:val="single" w:sz="12" w:space="0" w:color="1F497D"/>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Retail margin (% )</w:t>
            </w:r>
          </w:p>
        </w:tc>
        <w:tc>
          <w:tcPr>
            <w:tcW w:w="5664" w:type="dxa"/>
            <w:tcBorders>
              <w:top w:val="nil"/>
              <w:left w:val="nil"/>
              <w:bottom w:val="single" w:sz="12" w:space="0" w:color="1F497D"/>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Previous year’s value in dollars per MWh adjusted by the change in CPI</w:t>
            </w:r>
          </w:p>
        </w:tc>
      </w:tr>
    </w:tbl>
    <w:p w:rsidR="005D397C" w:rsidRPr="00D05F85" w:rsidRDefault="005D397C" w:rsidP="005D397C">
      <w:pPr>
        <w:pStyle w:val="TableNotesLast"/>
      </w:pPr>
      <w:r>
        <w:t xml:space="preserve">Note: </w:t>
      </w:r>
      <w:r>
        <w:tab/>
        <w:t xml:space="preserve">Change in the CPI is calculated as per clause </w:t>
      </w:r>
      <w:r w:rsidR="008175D9">
        <w:fldChar w:fldCharType="begin"/>
      </w:r>
      <w:r w:rsidR="008175D9">
        <w:instrText xml:space="preserve"> REF _Ref374089361 \r \h  \* MERGEFORMAT </w:instrText>
      </w:r>
      <w:r w:rsidR="008175D9">
        <w:fldChar w:fldCharType="separate"/>
      </w:r>
      <w:r>
        <w:t>8.3</w:t>
      </w:r>
      <w:r w:rsidR="008175D9">
        <w:fldChar w:fldCharType="end"/>
      </w:r>
      <w:r>
        <w:t>.</w:t>
      </w:r>
    </w:p>
    <w:p w:rsidR="00970E92" w:rsidRDefault="00B60419" w:rsidP="00A814AA">
      <w:pPr>
        <w:pStyle w:val="Heading2"/>
      </w:pPr>
      <w:bookmarkStart w:id="125" w:name="_Ref374089361"/>
      <w:bookmarkStart w:id="126" w:name="_Ref374089764"/>
      <w:bookmarkStart w:id="127" w:name="_Toc478131771"/>
      <w:r>
        <w:t xml:space="preserve">Calculation of </w:t>
      </w:r>
      <w:r w:rsidR="001367D9">
        <w:t xml:space="preserve">the change in </w:t>
      </w:r>
      <w:r>
        <w:t>CPI</w:t>
      </w:r>
      <w:bookmarkEnd w:id="125"/>
      <w:bookmarkEnd w:id="126"/>
      <w:bookmarkEnd w:id="127"/>
    </w:p>
    <w:p w:rsidR="00970E92" w:rsidRDefault="00833CB6" w:rsidP="00970E92">
      <w:r>
        <w:t>T</w:t>
      </w:r>
      <w:r w:rsidR="00970E92" w:rsidRPr="00776BA9">
        <w:t xml:space="preserve">he Commission </w:t>
      </w:r>
      <w:r w:rsidR="00970E92">
        <w:t xml:space="preserve">will </w:t>
      </w:r>
      <w:r w:rsidR="00970E92" w:rsidRPr="00776BA9">
        <w:t>calculat</w:t>
      </w:r>
      <w:r w:rsidR="00970E92">
        <w:t>e</w:t>
      </w:r>
      <w:r w:rsidR="00970E92" w:rsidRPr="00776BA9">
        <w:t xml:space="preserve"> the </w:t>
      </w:r>
      <w:r w:rsidR="00970E92">
        <w:t>percentage change in the consumer price index</w:t>
      </w:r>
      <w:r w:rsidR="005F5E37">
        <w:t xml:space="preserve"> for any relevant year t</w:t>
      </w:r>
      <w:r w:rsidR="00970E92">
        <w:t xml:space="preserve"> </w:t>
      </w:r>
      <w:r w:rsidR="00970E92" w:rsidRPr="00776BA9">
        <w:t xml:space="preserve">using the following formula, populated with the Australian Bureau of Statistics </w:t>
      </w:r>
      <w:r w:rsidR="00970E92">
        <w:t>a</w:t>
      </w:r>
      <w:r w:rsidR="00970E92" w:rsidRPr="00776BA9">
        <w:t xml:space="preserve">ll </w:t>
      </w:r>
      <w:r w:rsidR="00970E92">
        <w:t>g</w:t>
      </w:r>
      <w:r w:rsidR="00970E92" w:rsidRPr="00776BA9">
        <w:t xml:space="preserve">roups </w:t>
      </w:r>
      <w:r w:rsidR="00970E92">
        <w:t>i</w:t>
      </w:r>
      <w:r w:rsidR="00970E92" w:rsidRPr="00776BA9">
        <w:t>ndex for the weighted average of eight capital cities</w:t>
      </w:r>
      <w:r w:rsidR="00970E92">
        <w:t>.</w:t>
      </w:r>
    </w:p>
    <w:p w:rsidR="00970E92" w:rsidRDefault="00970E92" w:rsidP="00970E92">
      <m:oMathPara>
        <m:oMathParaPr>
          <m:jc m:val="center"/>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CPI</m:t>
                  </m:r>
                </m:e>
                <m:sub>
                  <m:r>
                    <m:rPr>
                      <m:sty m:val="p"/>
                    </m:rPr>
                    <w:rPr>
                      <w:rFonts w:ascii="Cambria Math" w:hAnsi="Cambria Math"/>
                    </w:rPr>
                    <m:t>Mar(t-2)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Jun(t-2)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Sep</m:t>
                  </m:r>
                  <m:d>
                    <m:dPr>
                      <m:ctrlPr>
                        <w:rPr>
                          <w:rFonts w:ascii="Cambria Math" w:hAnsi="Cambria Math"/>
                        </w:rPr>
                      </m:ctrlPr>
                    </m:dPr>
                    <m:e>
                      <m:r>
                        <m:rPr>
                          <m:sty m:val="p"/>
                        </m:rPr>
                        <w:rPr>
                          <w:rFonts w:ascii="Cambria Math" w:hAnsi="Cambria Math"/>
                        </w:rPr>
                        <m:t>t-1</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Dec(t-1)</m:t>
                  </m:r>
                </m:sub>
              </m:sSub>
            </m:num>
            <m:den>
              <m:sSub>
                <m:sSubPr>
                  <m:ctrlPr>
                    <w:rPr>
                      <w:rFonts w:ascii="Cambria Math" w:hAnsi="Cambria Math"/>
                    </w:rPr>
                  </m:ctrlPr>
                </m:sSubPr>
                <m:e>
                  <m:r>
                    <m:rPr>
                      <m:sty m:val="p"/>
                    </m:rPr>
                    <w:rPr>
                      <w:rFonts w:ascii="Cambria Math" w:hAnsi="Cambria Math"/>
                    </w:rPr>
                    <m:t>CPI</m:t>
                  </m:r>
                </m:e>
                <m:sub>
                  <m:r>
                    <m:rPr>
                      <m:sty m:val="p"/>
                    </m:rPr>
                    <w:rPr>
                      <w:rFonts w:ascii="Cambria Math" w:hAnsi="Cambria Math"/>
                    </w:rPr>
                    <m:t>Mar(t-3)</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Jun(t-3)</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Sep</m:t>
                  </m:r>
                  <m:d>
                    <m:dPr>
                      <m:ctrlPr>
                        <w:rPr>
                          <w:rFonts w:ascii="Cambria Math" w:hAnsi="Cambria Math"/>
                        </w:rPr>
                      </m:ctrlPr>
                    </m:dPr>
                    <m:e>
                      <m:r>
                        <m:rPr>
                          <m:sty m:val="p"/>
                        </m:rPr>
                        <w:rPr>
                          <w:rFonts w:ascii="Cambria Math" w:hAnsi="Cambria Math"/>
                        </w:rPr>
                        <m:t>t-2</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Dec(t-2)</m:t>
                  </m:r>
                </m:sub>
              </m:sSub>
            </m:den>
          </m:f>
          <m:r>
            <m:rPr>
              <m:sty m:val="p"/>
            </m:rPr>
            <w:rPr>
              <w:rFonts w:ascii="Cambria Math" w:hAnsi="Cambria Math"/>
            </w:rPr>
            <m:t>-1</m:t>
          </m:r>
        </m:oMath>
      </m:oMathPara>
    </w:p>
    <w:p w:rsidR="00970E92" w:rsidRDefault="00970E92" w:rsidP="00A814AA">
      <w:pPr>
        <w:pStyle w:val="Heading2"/>
      </w:pPr>
      <w:bookmarkStart w:id="128" w:name="_Ref374097429"/>
      <w:bookmarkStart w:id="129" w:name="_Toc478131772"/>
      <w:r w:rsidRPr="00055BAD">
        <w:lastRenderedPageBreak/>
        <w:t xml:space="preserve">Calculation </w:t>
      </w:r>
      <w:r>
        <w:t>of energy purchase</w:t>
      </w:r>
      <w:r w:rsidR="009B635F">
        <w:t xml:space="preserve"> costs</w:t>
      </w:r>
      <w:bookmarkEnd w:id="128"/>
      <w:bookmarkEnd w:id="129"/>
    </w:p>
    <w:p w:rsidR="00970E92" w:rsidRDefault="00833CB6" w:rsidP="00970E92">
      <w:pPr>
        <w:rPr>
          <w:szCs w:val="22"/>
          <w:lang w:val="en-AU"/>
        </w:rPr>
      </w:pPr>
      <w:r>
        <w:t>T</w:t>
      </w:r>
      <w:r w:rsidR="00970E92">
        <w:rPr>
          <w:szCs w:val="22"/>
          <w:lang w:val="en-AU"/>
        </w:rPr>
        <w:t xml:space="preserve">he </w:t>
      </w:r>
      <w:r w:rsidR="00970E92" w:rsidRPr="00055BAD">
        <w:rPr>
          <w:szCs w:val="22"/>
          <w:lang w:val="en-AU"/>
        </w:rPr>
        <w:t xml:space="preserve">Commission will calculate </w:t>
      </w:r>
      <w:r w:rsidR="00970E92" w:rsidRPr="00055BAD">
        <w:rPr>
          <w:lang w:val="en-AU"/>
        </w:rPr>
        <w:t>energy purchase cost</w:t>
      </w:r>
      <w:r w:rsidR="00970E92">
        <w:rPr>
          <w:lang w:val="en-AU"/>
        </w:rPr>
        <w:t>s</w:t>
      </w:r>
      <w:r w:rsidR="00970E92" w:rsidRPr="00055BAD">
        <w:rPr>
          <w:szCs w:val="22"/>
          <w:lang w:val="en-AU"/>
        </w:rPr>
        <w:t xml:space="preserve"> </w:t>
      </w:r>
      <w:r w:rsidR="009771E4">
        <w:t>for 2018–19</w:t>
      </w:r>
      <w:r w:rsidR="005F5E37">
        <w:t xml:space="preserve"> and </w:t>
      </w:r>
      <w:r w:rsidR="009771E4">
        <w:t>2019–20</w:t>
      </w:r>
      <w:r w:rsidR="003609E3">
        <w:t xml:space="preserve"> </w:t>
      </w:r>
      <w:r w:rsidR="00970E92" w:rsidRPr="00055BAD">
        <w:rPr>
          <w:szCs w:val="22"/>
          <w:lang w:val="en-AU"/>
        </w:rPr>
        <w:t>in the manner set out below:</w:t>
      </w:r>
    </w:p>
    <w:p w:rsidR="00022732" w:rsidRDefault="009518B8" w:rsidP="00022732">
      <w:pPr>
        <w:jc w:val="center"/>
      </w:pPr>
      <m:oMath>
        <m:sSub>
          <m:sSubPr>
            <m:ctrlPr>
              <w:rPr>
                <w:rFonts w:ascii="Cambria Math" w:hAnsi="Cambria Math"/>
              </w:rPr>
            </m:ctrlPr>
          </m:sSubPr>
          <m:e>
            <m:r>
              <w:rPr>
                <w:rFonts w:ascii="Cambria Math" w:hAnsi="Cambria Math"/>
              </w:rPr>
              <m:t>EPC</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FP</m:t>
            </m:r>
          </m:e>
          <m:sub>
            <m:r>
              <m:rPr>
                <m:sty m:val="p"/>
              </m:rPr>
              <w:rPr>
                <w:rFonts w:ascii="Cambria Math" w:hAnsi="Cambria Math"/>
              </w:rPr>
              <m:t>s</m:t>
            </m:r>
          </m:sub>
        </m:sSub>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M</m:t>
                    </m:r>
                  </m:e>
                  <m:sub>
                    <m:r>
                      <w:rPr>
                        <w:rFonts w:ascii="Cambria Math" w:hAnsi="Cambria Math"/>
                      </w:rPr>
                      <m:t>s</m:t>
                    </m:r>
                  </m:sub>
                </m:sSub>
              </m:e>
            </m:d>
            <m:r>
              <m:rPr>
                <m:sty m:val="p"/>
              </m:rPr>
              <w:rPr>
                <w:rFonts w:ascii="Cambria Math" w:hAnsi="Cambria Math"/>
              </w:rPr>
              <m:t>×</m:t>
            </m:r>
            <m:sSub>
              <m:sSubPr>
                <m:ctrlPr>
                  <w:rPr>
                    <w:rFonts w:ascii="Cambria Math" w:hAnsi="Cambria Math"/>
                  </w:rPr>
                </m:ctrlPr>
              </m:sSubPr>
              <m:e>
                <m:r>
                  <w:rPr>
                    <w:rFonts w:ascii="Cambria Math" w:hAnsi="Cambria Math"/>
                  </w:rPr>
                  <m:t>LS</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LR</m:t>
                </m:r>
              </m:e>
              <m:sub>
                <m:r>
                  <w:rPr>
                    <w:rFonts w:ascii="Cambria Math" w:hAnsi="Cambria Math"/>
                  </w:rPr>
                  <m:t>s</m:t>
                </m:r>
              </m:sub>
            </m:sSub>
          </m:e>
        </m:d>
      </m:oMath>
      <w:r w:rsidR="00E4261A">
        <w:t xml:space="preserve"> </w:t>
      </w:r>
      <w:r w:rsidR="009B797F">
        <w:t xml:space="preserve">+ C </w:t>
      </w:r>
      <w:r w:rsidR="00DA7F05">
        <w:t>and</w:t>
      </w:r>
    </w:p>
    <w:p w:rsidR="00022732" w:rsidRDefault="00DA7F05" w:rsidP="00022732">
      <m:oMathPara>
        <m:oMathParaPr>
          <m:jc m:val="center"/>
        </m:oMathParaPr>
        <m:oMath>
          <m:r>
            <m:rPr>
              <m:sty m:val="p"/>
            </m:rPr>
            <w:rPr>
              <w:rFonts w:ascii="Cambria Math" w:hAnsi="Cambria Math"/>
            </w:rPr>
            <m:t xml:space="preserve">EPC= </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4</m:t>
              </m:r>
            </m:sup>
            <m:e>
              <m:sSub>
                <m:sSubPr>
                  <m:ctrlPr>
                    <w:rPr>
                      <w:rFonts w:ascii="Cambria Math" w:hAnsi="Cambria Math"/>
                    </w:rPr>
                  </m:ctrlPr>
                </m:sSubPr>
                <m:e>
                  <m:r>
                    <m:rPr>
                      <m:sty m:val="p"/>
                    </m:rPr>
                    <w:rPr>
                      <w:rFonts w:ascii="Cambria Math" w:hAnsi="Cambria Math"/>
                    </w:rPr>
                    <m:t>w</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EPC</m:t>
                  </m:r>
                </m:e>
                <m:sub>
                  <m:r>
                    <m:rPr>
                      <m:sty m:val="p"/>
                    </m:rPr>
                    <w:rPr>
                      <w:rFonts w:ascii="Cambria Math" w:hAnsi="Cambria Math"/>
                    </w:rPr>
                    <m:t>s</m:t>
                  </m:r>
                </m:sub>
              </m:sSub>
            </m:e>
          </m:nary>
        </m:oMath>
      </m:oMathPara>
    </w:p>
    <w:p w:rsidR="00C402C2" w:rsidRDefault="00A03E55">
      <w:pPr>
        <w:pStyle w:val="Bullet"/>
        <w:numPr>
          <w:ilvl w:val="0"/>
          <w:numId w:val="0"/>
        </w:numPr>
      </w:pPr>
      <w:r w:rsidRPr="00A03E55">
        <w:t xml:space="preserve">where the following are defined for each quarter </w:t>
      </w:r>
      <m:oMath>
        <m:r>
          <w:rPr>
            <w:rFonts w:ascii="Cambria Math" w:hAnsi="Cambria Math"/>
          </w:rPr>
          <m:t>s</m:t>
        </m:r>
      </m:oMath>
      <w:r w:rsidRPr="00A03E55">
        <w:t>:</w:t>
      </w:r>
    </w:p>
    <w:p w:rsidR="009F4CEA" w:rsidRDefault="009518B8">
      <w:pPr>
        <w:pStyle w:val="Bullet"/>
      </w:pPr>
      <m:oMath>
        <m:sSub>
          <m:sSubPr>
            <m:ctrlPr>
              <w:rPr>
                <w:rFonts w:ascii="Cambria Math" w:hAnsi="Cambria Math"/>
              </w:rPr>
            </m:ctrlPr>
          </m:sSubPr>
          <m:e>
            <m:r>
              <w:rPr>
                <w:rFonts w:ascii="Cambria Math" w:hAnsi="Cambria Math"/>
              </w:rPr>
              <m:t>EPC</m:t>
            </m:r>
          </m:e>
          <m:sub>
            <m:r>
              <w:rPr>
                <w:rFonts w:ascii="Cambria Math" w:hAnsi="Cambria Math"/>
              </w:rPr>
              <m:t>s</m:t>
            </m:r>
          </m:sub>
        </m:sSub>
      </m:oMath>
      <w:r w:rsidR="00A03E55" w:rsidRPr="00A03E55">
        <w:t xml:space="preserve"> denotes the energy purchase cost.</w:t>
      </w:r>
    </w:p>
    <w:p w:rsidR="009F4CEA" w:rsidRDefault="009518B8">
      <w:pPr>
        <w:pStyle w:val="Bullet"/>
      </w:pPr>
      <m:oMath>
        <m:sSub>
          <m:sSubPr>
            <m:ctrlPr>
              <w:rPr>
                <w:rFonts w:ascii="Cambria Math" w:hAnsi="Cambria Math"/>
              </w:rPr>
            </m:ctrlPr>
          </m:sSubPr>
          <m:e>
            <m:r>
              <w:rPr>
                <w:rFonts w:ascii="Cambria Math" w:hAnsi="Cambria Math"/>
              </w:rPr>
              <m:t>FP</m:t>
            </m:r>
          </m:e>
          <m:sub>
            <m:r>
              <w:rPr>
                <w:rFonts w:ascii="Cambria Math" w:hAnsi="Cambria Math"/>
              </w:rPr>
              <m:t>s</m:t>
            </m:r>
          </m:sub>
        </m:sSub>
      </m:oMath>
      <w:r w:rsidR="00A03E55" w:rsidRPr="00A03E55">
        <w:t xml:space="preserve"> denotes the</w:t>
      </w:r>
      <w:r w:rsidR="00904100">
        <w:t xml:space="preserve"> </w:t>
      </w:r>
      <w:r w:rsidR="00A03E55" w:rsidRPr="00A03E55">
        <w:t>forward price.</w:t>
      </w:r>
    </w:p>
    <w:p w:rsidR="009F4CEA" w:rsidRDefault="009518B8">
      <w:pPr>
        <w:pStyle w:val="Bullet"/>
      </w:pPr>
      <m:oMath>
        <m:sSub>
          <m:sSubPr>
            <m:ctrlPr>
              <w:rPr>
                <w:rFonts w:ascii="Cambria Math" w:hAnsi="Cambria Math"/>
              </w:rPr>
            </m:ctrlPr>
          </m:sSubPr>
          <m:e>
            <m:r>
              <w:rPr>
                <w:rFonts w:ascii="Cambria Math" w:hAnsi="Cambria Math"/>
              </w:rPr>
              <m:t>M</m:t>
            </m:r>
          </m:e>
          <m:sub>
            <m:r>
              <w:rPr>
                <w:rFonts w:ascii="Cambria Math" w:hAnsi="Cambria Math"/>
              </w:rPr>
              <m:t>s</m:t>
            </m:r>
          </m:sub>
        </m:sSub>
      </m:oMath>
      <w:r w:rsidR="00A03E55" w:rsidRPr="00A03E55">
        <w:t xml:space="preserve"> denotes the forward price margin.</w:t>
      </w:r>
    </w:p>
    <w:p w:rsidR="009F4CEA" w:rsidRDefault="009518B8">
      <w:pPr>
        <w:pStyle w:val="Bullet"/>
      </w:pPr>
      <m:oMath>
        <m:sSub>
          <m:sSubPr>
            <m:ctrlPr>
              <w:rPr>
                <w:rFonts w:ascii="Cambria Math" w:hAnsi="Cambria Math"/>
              </w:rPr>
            </m:ctrlPr>
          </m:sSubPr>
          <m:e>
            <m:r>
              <w:rPr>
                <w:rFonts w:ascii="Cambria Math" w:hAnsi="Cambria Math"/>
              </w:rPr>
              <m:t>LS</m:t>
            </m:r>
          </m:e>
          <m:sub>
            <m:r>
              <w:rPr>
                <w:rFonts w:ascii="Cambria Math" w:hAnsi="Cambria Math"/>
              </w:rPr>
              <m:t>s</m:t>
            </m:r>
          </m:sub>
        </m:sSub>
      </m:oMath>
      <w:r w:rsidR="00A03E55" w:rsidRPr="00A03E55">
        <w:t xml:space="preserve"> denotes the load shape.</w:t>
      </w:r>
      <w:r w:rsidR="00904100">
        <w:t xml:space="preserve"> </w:t>
      </w:r>
    </w:p>
    <w:p w:rsidR="009F4CEA" w:rsidRDefault="009518B8">
      <w:pPr>
        <w:pStyle w:val="Bullet"/>
      </w:pPr>
      <m:oMath>
        <m:sSub>
          <m:sSubPr>
            <m:ctrlPr>
              <w:rPr>
                <w:rFonts w:ascii="Cambria Math" w:hAnsi="Cambria Math"/>
              </w:rPr>
            </m:ctrlPr>
          </m:sSubPr>
          <m:e>
            <m:r>
              <w:rPr>
                <w:rFonts w:ascii="Cambria Math" w:hAnsi="Cambria Math"/>
              </w:rPr>
              <m:t>LR</m:t>
            </m:r>
          </m:e>
          <m:sub>
            <m:r>
              <w:rPr>
                <w:rFonts w:ascii="Cambria Math" w:hAnsi="Cambria Math"/>
              </w:rPr>
              <m:t>s</m:t>
            </m:r>
          </m:sub>
        </m:sSub>
      </m:oMath>
      <w:r w:rsidR="00A03E55" w:rsidRPr="00A03E55">
        <w:t xml:space="preserve"> denotes the load ratio.</w:t>
      </w:r>
    </w:p>
    <w:p w:rsidR="009B3A07" w:rsidRDefault="009B3A07">
      <w:pPr>
        <w:pStyle w:val="Bullet"/>
      </w:pPr>
      <m:oMath>
        <m:r>
          <m:rPr>
            <m:sty m:val="p"/>
          </m:rPr>
          <w:rPr>
            <w:rFonts w:ascii="Cambria Math" w:hAnsi="Cambria Math"/>
          </w:rPr>
          <m:t>C</m:t>
        </m:r>
      </m:oMath>
      <w:r w:rsidRPr="000726A0">
        <w:t xml:space="preserve"> denotes the cost of carbon</w:t>
      </w:r>
      <w:r w:rsidR="003C2434">
        <w:t xml:space="preserve">. </w:t>
      </w:r>
    </w:p>
    <w:p w:rsidR="009F4CEA" w:rsidRDefault="009518B8">
      <w:pPr>
        <w:pStyle w:val="Bullet"/>
      </w:p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s</m:t>
            </m:r>
          </m:sub>
        </m:sSub>
      </m:oMath>
      <w:r w:rsidR="00773020" w:rsidRPr="00773020">
        <w:t xml:space="preserve"> denotes the </w:t>
      </w:r>
      <w:r w:rsidR="00904100">
        <w:t>quarterly</w:t>
      </w:r>
      <w:r w:rsidR="00DE41E9">
        <w:t xml:space="preserve"> load weight</w:t>
      </w:r>
      <w:r w:rsidR="00773020" w:rsidRPr="00773020">
        <w:t>.</w:t>
      </w:r>
    </w:p>
    <w:p w:rsidR="009B3A07" w:rsidRDefault="009B3A07">
      <w:pPr>
        <w:pStyle w:val="Bullet"/>
      </w:pPr>
      <w:r w:rsidRPr="009C2F97">
        <w:t>the subscript s denotes the quarter</w:t>
      </w:r>
      <w:r>
        <w:t>.</w:t>
      </w:r>
    </w:p>
    <w:p w:rsidR="009F4CEA" w:rsidRDefault="00B837CF">
      <w:pPr>
        <w:pStyle w:val="BulletLast"/>
      </w:pPr>
      <m:oMath>
        <m:r>
          <m:rPr>
            <m:sty m:val="p"/>
          </m:rPr>
          <w:rPr>
            <w:rFonts w:ascii="Cambria Math" w:hAnsi="Cambria Math"/>
          </w:rPr>
          <m:t>EPC</m:t>
        </m:r>
      </m:oMath>
      <w:r w:rsidR="00773020">
        <w:t xml:space="preserve"> without the subscript denotes the annual energy purchase cost. </w:t>
      </w:r>
    </w:p>
    <w:p w:rsidR="00C27EFA" w:rsidRDefault="00D1600B" w:rsidP="00C27EFA">
      <w:r>
        <w:t>T</w:t>
      </w:r>
      <w:r w:rsidR="00D86490">
        <w:t>hese components are calculated as follows</w:t>
      </w:r>
      <w:r>
        <w:t xml:space="preserve"> for each year</w:t>
      </w:r>
      <w:r w:rsidR="00D86490">
        <w:t>:</w:t>
      </w:r>
    </w:p>
    <w:p w:rsidR="009F4CEA" w:rsidRDefault="00A03E55">
      <w:pPr>
        <w:pStyle w:val="Bullet"/>
        <w:rPr>
          <w:lang w:val="en-AU" w:eastAsia="en-AU"/>
        </w:rPr>
      </w:pPr>
      <w:r w:rsidRPr="00A03E55">
        <w:rPr>
          <w:lang w:val="en-AU" w:eastAsia="en-AU"/>
        </w:rPr>
        <w:t xml:space="preserve">The forward price is the simple average price of the </w:t>
      </w:r>
      <w:r w:rsidR="007D53E3">
        <w:rPr>
          <w:lang w:val="en-AU" w:eastAsia="en-AU"/>
        </w:rPr>
        <w:t>Australian Stock Exchange (ASX) market</w:t>
      </w:r>
      <w:r w:rsidRPr="00A03E55">
        <w:rPr>
          <w:lang w:val="en-AU" w:eastAsia="en-AU"/>
        </w:rPr>
        <w:t xml:space="preserve"> prices for New South Wales </w:t>
      </w:r>
      <w:r w:rsidR="00FB3FC8">
        <w:t xml:space="preserve">for the 23 month period up to </w:t>
      </w:r>
      <w:r w:rsidRPr="00A03E55">
        <w:rPr>
          <w:lang w:val="en-AU" w:eastAsia="en-AU"/>
        </w:rPr>
        <w:t>31</w:t>
      </w:r>
      <w:r w:rsidR="00FB3FC8">
        <w:t> </w:t>
      </w:r>
      <w:r w:rsidRPr="00A03E55">
        <w:rPr>
          <w:lang w:val="en-AU" w:eastAsia="en-AU"/>
        </w:rPr>
        <w:t xml:space="preserve">May </w:t>
      </w:r>
      <w:r w:rsidR="00FB3FC8">
        <w:t>prior to the regulatory year in question</w:t>
      </w:r>
      <w:r w:rsidRPr="00A03E55">
        <w:rPr>
          <w:lang w:val="en-AU" w:eastAsia="en-AU"/>
        </w:rPr>
        <w:t>. The annual forward price is applied to all four quarters of</w:t>
      </w:r>
      <w:r w:rsidR="00FB3FC8">
        <w:t xml:space="preserve"> the regulatory year</w:t>
      </w:r>
      <w:r w:rsidRPr="00A03E55">
        <w:rPr>
          <w:lang w:val="en-AU" w:eastAsia="en-AU"/>
        </w:rPr>
        <w:t>.</w:t>
      </w:r>
    </w:p>
    <w:p w:rsidR="009F4CEA" w:rsidRDefault="00A03E55">
      <w:pPr>
        <w:pStyle w:val="Bullet"/>
        <w:rPr>
          <w:lang w:val="en-AU" w:eastAsia="en-AU"/>
        </w:rPr>
      </w:pPr>
      <w:r w:rsidRPr="00A03E55">
        <w:rPr>
          <w:lang w:val="en-AU" w:eastAsia="en-AU"/>
        </w:rPr>
        <w:t xml:space="preserve">The forward price margin is set at </w:t>
      </w:r>
      <w:r w:rsidR="00904100">
        <w:rPr>
          <w:lang w:val="en-AU" w:eastAsia="en-AU"/>
        </w:rPr>
        <w:t>five</w:t>
      </w:r>
      <w:r w:rsidR="00904100">
        <w:t xml:space="preserve"> </w:t>
      </w:r>
      <w:r w:rsidR="00FB3FC8">
        <w:t>per cent</w:t>
      </w:r>
      <w:r w:rsidRPr="00A03E55">
        <w:rPr>
          <w:lang w:val="en-AU" w:eastAsia="en-AU"/>
        </w:rPr>
        <w:t xml:space="preserve">. </w:t>
      </w:r>
    </w:p>
    <w:p w:rsidR="0031716C" w:rsidRDefault="00D1600B" w:rsidP="0031716C">
      <w:pPr>
        <w:pStyle w:val="Bullet"/>
        <w:rPr>
          <w:lang w:val="en-AU" w:eastAsia="en-AU"/>
        </w:rPr>
      </w:pPr>
      <w:r w:rsidRPr="00D1600B">
        <w:rPr>
          <w:lang w:val="en-AU" w:eastAsia="en-AU"/>
        </w:rPr>
        <w:t xml:space="preserve">The load shape is the ratio of the load-weighted spot price to the time-weighted spot price where loads are based on the ActewAGL </w:t>
      </w:r>
      <w:r w:rsidR="0021405D">
        <w:rPr>
          <w:lang w:val="en-AU" w:eastAsia="en-AU"/>
        </w:rPr>
        <w:t xml:space="preserve">Distribution </w:t>
      </w:r>
      <w:r w:rsidRPr="00D1600B">
        <w:rPr>
          <w:lang w:val="en-AU" w:eastAsia="en-AU"/>
        </w:rPr>
        <w:t xml:space="preserve">net system load profile as reported by the Australian Energy Market Operator (AEMO). </w:t>
      </w:r>
      <w:r w:rsidR="00EB74D5">
        <w:rPr>
          <w:lang w:val="en-AU" w:eastAsia="en-AU"/>
        </w:rPr>
        <w:t xml:space="preserve"> </w:t>
      </w:r>
      <w:r w:rsidRPr="00D1600B">
        <w:rPr>
          <w:lang w:val="en-AU" w:eastAsia="en-AU"/>
        </w:rPr>
        <w:t xml:space="preserve">The load shape is equal to the average load shape from </w:t>
      </w:r>
      <w:r w:rsidR="00C50F5A" w:rsidRPr="00C50F5A">
        <w:rPr>
          <w:lang w:val="en-AU" w:eastAsia="en-AU"/>
        </w:rPr>
        <w:t>2003-04</w:t>
      </w:r>
      <w:r w:rsidRPr="00D1600B">
        <w:rPr>
          <w:lang w:val="en-AU" w:eastAsia="en-AU"/>
        </w:rPr>
        <w:t xml:space="preserve"> through the latest data available.</w:t>
      </w:r>
    </w:p>
    <w:p w:rsidR="009F4CEA" w:rsidRDefault="000166DA">
      <w:pPr>
        <w:pStyle w:val="BulletLast"/>
      </w:pPr>
      <w:r w:rsidRPr="00EB74D5">
        <w:rPr>
          <w:lang w:val="en-AU" w:eastAsia="en-AU"/>
        </w:rPr>
        <w:t xml:space="preserve"> The cost of carbon is treated as zero in the pricing model given that the national carbon-pricing scheme was abolished effective from 1 July 2014. </w:t>
      </w:r>
      <w:r w:rsidR="00EB74D5">
        <w:rPr>
          <w:lang w:val="en-AU" w:eastAsia="en-AU"/>
        </w:rPr>
        <w:t xml:space="preserve"> </w:t>
      </w:r>
      <w:r w:rsidR="00D1600B" w:rsidRPr="00D1600B">
        <w:rPr>
          <w:lang w:val="en-AU" w:eastAsia="en-AU"/>
        </w:rPr>
        <w:t xml:space="preserve">The load ratio for each quarter is equal to the ratio of the maximum half-hourly load in the quarter to the average half-hourly load in the quarter. </w:t>
      </w:r>
      <w:r w:rsidR="00EB74D5">
        <w:rPr>
          <w:lang w:val="en-AU" w:eastAsia="en-AU"/>
        </w:rPr>
        <w:t xml:space="preserve"> </w:t>
      </w:r>
      <w:r w:rsidR="00D1600B" w:rsidRPr="00D1600B">
        <w:rPr>
          <w:lang w:val="en-AU" w:eastAsia="en-AU"/>
        </w:rPr>
        <w:t xml:space="preserve">The load to be used is the net system load profile for ActewAGL </w:t>
      </w:r>
      <w:r w:rsidR="00DD372C">
        <w:rPr>
          <w:lang w:val="en-AU" w:eastAsia="en-AU"/>
        </w:rPr>
        <w:t xml:space="preserve">Retail </w:t>
      </w:r>
      <w:r w:rsidR="00D1600B" w:rsidRPr="00D1600B">
        <w:rPr>
          <w:lang w:val="en-AU" w:eastAsia="en-AU"/>
        </w:rPr>
        <w:t>as reported by the AEMO.</w:t>
      </w:r>
      <w:r w:rsidR="00EB74D5">
        <w:rPr>
          <w:lang w:val="en-AU" w:eastAsia="en-AU"/>
        </w:rPr>
        <w:t xml:space="preserve"> </w:t>
      </w:r>
      <w:r w:rsidR="00D1600B" w:rsidRPr="00D1600B">
        <w:rPr>
          <w:lang w:val="en-AU" w:eastAsia="en-AU"/>
        </w:rPr>
        <w:t xml:space="preserve"> The load </w:t>
      </w:r>
      <w:r w:rsidR="00EC36DA">
        <w:rPr>
          <w:lang w:val="en-AU" w:eastAsia="en-AU"/>
        </w:rPr>
        <w:t>ratio</w:t>
      </w:r>
      <w:r w:rsidR="00D1600B" w:rsidRPr="00D1600B">
        <w:rPr>
          <w:lang w:val="en-AU" w:eastAsia="en-AU"/>
        </w:rPr>
        <w:t xml:space="preserve"> to be applied for quarter </w:t>
      </w:r>
      <w:r w:rsidR="00D1600B" w:rsidRPr="00D1600B">
        <w:rPr>
          <w:rFonts w:ascii="Cambria Math" w:hAnsi="Cambria Math" w:cs="Cambria Math"/>
          <w:lang w:val="en-AU" w:eastAsia="en-AU"/>
        </w:rPr>
        <w:t>𝑠</w:t>
      </w:r>
      <w:r w:rsidR="00D1600B" w:rsidRPr="00D1600B">
        <w:rPr>
          <w:lang w:val="en-AU" w:eastAsia="en-AU"/>
        </w:rPr>
        <w:t xml:space="preserve"> is equal </w:t>
      </w:r>
      <w:r w:rsidR="00EC36DA">
        <w:rPr>
          <w:lang w:val="en-AU" w:eastAsia="en-AU"/>
        </w:rPr>
        <w:t xml:space="preserve">to the </w:t>
      </w:r>
      <w:r w:rsidR="00D1600B" w:rsidRPr="00D1600B">
        <w:rPr>
          <w:lang w:val="en-AU" w:eastAsia="en-AU"/>
        </w:rPr>
        <w:t xml:space="preserve">maximum load </w:t>
      </w:r>
      <w:r w:rsidR="00EC36DA">
        <w:rPr>
          <w:lang w:val="en-AU" w:eastAsia="en-AU"/>
        </w:rPr>
        <w:t>ratio</w:t>
      </w:r>
      <w:r w:rsidR="00F9030B">
        <w:rPr>
          <w:lang w:val="en-AU" w:eastAsia="en-AU"/>
        </w:rPr>
        <w:t xml:space="preserve"> observed to date plus 0.1.</w:t>
      </w:r>
      <w:r w:rsidR="00EB74D5">
        <w:rPr>
          <w:lang w:val="en-AU" w:eastAsia="en-AU"/>
        </w:rPr>
        <w:t xml:space="preserve"> </w:t>
      </w:r>
      <w:r w:rsidR="00380FF4" w:rsidRPr="00380FF4">
        <w:rPr>
          <w:lang w:val="en-AU" w:eastAsia="en-AU"/>
        </w:rPr>
        <w:t>The load weights f</w:t>
      </w:r>
      <w:r w:rsidR="00D1600B" w:rsidRPr="00D1600B">
        <w:rPr>
          <w:lang w:val="en-AU" w:eastAsia="en-AU"/>
        </w:rPr>
        <w:t>or each q</w:t>
      </w:r>
      <w:r w:rsidR="00380FF4" w:rsidRPr="00380FF4">
        <w:rPr>
          <w:lang w:val="en-AU" w:eastAsia="en-AU"/>
        </w:rPr>
        <w:t xml:space="preserve">uarter are equal to the historical average load in that quarter divided by the sum of the historical average load for all four quarters. </w:t>
      </w:r>
      <w:r w:rsidR="00EB74D5">
        <w:rPr>
          <w:lang w:val="en-AU" w:eastAsia="en-AU"/>
        </w:rPr>
        <w:t xml:space="preserve"> </w:t>
      </w:r>
      <w:r w:rsidR="00380FF4" w:rsidRPr="00380FF4">
        <w:rPr>
          <w:lang w:val="en-AU" w:eastAsia="en-AU"/>
        </w:rPr>
        <w:t xml:space="preserve">The historical average load </w:t>
      </w:r>
      <w:r w:rsidR="00D1600B" w:rsidRPr="00D1600B">
        <w:rPr>
          <w:lang w:val="en-AU" w:eastAsia="en-AU"/>
        </w:rPr>
        <w:t>fo</w:t>
      </w:r>
      <w:r w:rsidR="00380FF4" w:rsidRPr="00380FF4">
        <w:rPr>
          <w:lang w:val="en-AU" w:eastAsia="en-AU"/>
        </w:rPr>
        <w:t xml:space="preserve">r a </w:t>
      </w:r>
      <w:r w:rsidR="00D1600B" w:rsidRPr="00D1600B">
        <w:rPr>
          <w:lang w:val="en-AU" w:eastAsia="en-AU"/>
        </w:rPr>
        <w:t xml:space="preserve">quarter is </w:t>
      </w:r>
      <w:r w:rsidR="00D1600B" w:rsidRPr="00D1600B">
        <w:rPr>
          <w:lang w:val="en-AU" w:eastAsia="en-AU"/>
        </w:rPr>
        <w:lastRenderedPageBreak/>
        <w:t>the simple average of the aver</w:t>
      </w:r>
      <w:r w:rsidR="00380FF4" w:rsidRPr="00380FF4">
        <w:rPr>
          <w:lang w:val="en-AU" w:eastAsia="en-AU"/>
        </w:rPr>
        <w:t xml:space="preserve">age loads for that quarter for the period from 2003-04 through </w:t>
      </w:r>
      <w:r w:rsidR="00B7082D" w:rsidRPr="00B7082D">
        <w:t xml:space="preserve">the </w:t>
      </w:r>
      <w:r w:rsidR="00380FF4" w:rsidRPr="00380FF4">
        <w:rPr>
          <w:lang w:val="en-AU" w:eastAsia="en-AU"/>
        </w:rPr>
        <w:t>latest data available.</w:t>
      </w:r>
      <w:r w:rsidR="00EB74D5">
        <w:rPr>
          <w:lang w:val="en-AU" w:eastAsia="en-AU"/>
        </w:rPr>
        <w:t xml:space="preserve"> </w:t>
      </w:r>
      <w:r w:rsidR="00380FF4" w:rsidRPr="00380FF4">
        <w:rPr>
          <w:lang w:val="en-AU" w:eastAsia="en-AU"/>
        </w:rPr>
        <w:t xml:space="preserve"> The load to be used</w:t>
      </w:r>
      <w:r w:rsidR="00D1600B" w:rsidRPr="00D1600B">
        <w:rPr>
          <w:lang w:val="en-AU" w:eastAsia="en-AU"/>
        </w:rPr>
        <w:t xml:space="preserve"> is the net system load profile for ActewAGL </w:t>
      </w:r>
      <w:r w:rsidR="00DD372C">
        <w:rPr>
          <w:lang w:val="en-AU" w:eastAsia="en-AU"/>
        </w:rPr>
        <w:t xml:space="preserve">Distribution </w:t>
      </w:r>
      <w:r w:rsidR="00D1600B" w:rsidRPr="00D1600B">
        <w:rPr>
          <w:lang w:val="en-AU" w:eastAsia="en-AU"/>
        </w:rPr>
        <w:t>as reported by the AEMO.</w:t>
      </w:r>
    </w:p>
    <w:p w:rsidR="0055178D" w:rsidRDefault="0055178D" w:rsidP="00C43AF9">
      <w:pPr>
        <w:pStyle w:val="Heading1"/>
      </w:pPr>
      <w:bookmarkStart w:id="130" w:name="_Toc375211482"/>
      <w:bookmarkStart w:id="131" w:name="_Toc375214259"/>
      <w:bookmarkStart w:id="132" w:name="_Toc375215191"/>
      <w:bookmarkStart w:id="133" w:name="_Ref374095912"/>
      <w:bookmarkStart w:id="134" w:name="_Toc478131773"/>
      <w:bookmarkStart w:id="135" w:name="_Ref348972290"/>
      <w:bookmarkStart w:id="136" w:name="_Ref348972292"/>
      <w:bookmarkStart w:id="137" w:name="_Ref348972339"/>
      <w:bookmarkStart w:id="138" w:name="_Ref348972341"/>
      <w:bookmarkStart w:id="139" w:name="_Ref348973353"/>
      <w:bookmarkStart w:id="140" w:name="_Ref348973355"/>
      <w:bookmarkStart w:id="141" w:name="_Ref348973395"/>
      <w:bookmarkStart w:id="142" w:name="_Ref348973398"/>
      <w:bookmarkEnd w:id="91"/>
      <w:bookmarkEnd w:id="130"/>
      <w:bookmarkEnd w:id="131"/>
      <w:bookmarkEnd w:id="132"/>
      <w:r>
        <w:t>Pass-through</w:t>
      </w:r>
      <w:bookmarkStart w:id="143" w:name="_Ref348977003"/>
      <w:bookmarkStart w:id="144" w:name="_Ref348977131"/>
      <w:bookmarkStart w:id="145" w:name="_Ref348977196"/>
      <w:bookmarkStart w:id="146" w:name="_Ref348977370"/>
      <w:bookmarkStart w:id="147" w:name="_Ref348977939"/>
      <w:bookmarkStart w:id="148" w:name="_Ref348978156"/>
      <w:r>
        <w:t xml:space="preserve"> events</w:t>
      </w:r>
      <w:bookmarkEnd w:id="133"/>
      <w:bookmarkEnd w:id="134"/>
    </w:p>
    <w:p w:rsidR="00B76EF2" w:rsidRDefault="00380FF4">
      <w:pPr>
        <w:pStyle w:val="Heading2"/>
        <w:rPr>
          <w:lang w:val="en-AU"/>
        </w:rPr>
      </w:pPr>
      <w:bookmarkStart w:id="149" w:name="_Toc385409912"/>
      <w:bookmarkStart w:id="150" w:name="_Toc385415708"/>
      <w:bookmarkStart w:id="151" w:name="_Toc389121782"/>
      <w:bookmarkStart w:id="152" w:name="_Toc389122893"/>
      <w:bookmarkStart w:id="153" w:name="_Toc264018535"/>
      <w:bookmarkStart w:id="154" w:name="_Ref374102160"/>
      <w:bookmarkStart w:id="155" w:name="_Ref374103133"/>
      <w:bookmarkStart w:id="156" w:name="_Ref375208685"/>
      <w:bookmarkStart w:id="157" w:name="_Toc478131774"/>
      <w:bookmarkEnd w:id="143"/>
      <w:bookmarkEnd w:id="144"/>
      <w:bookmarkEnd w:id="145"/>
      <w:bookmarkEnd w:id="146"/>
      <w:bookmarkEnd w:id="147"/>
      <w:bookmarkEnd w:id="148"/>
      <w:bookmarkEnd w:id="149"/>
      <w:bookmarkEnd w:id="150"/>
      <w:bookmarkEnd w:id="151"/>
      <w:bookmarkEnd w:id="152"/>
      <w:r w:rsidRPr="00380FF4">
        <w:rPr>
          <w:lang w:val="en-AU"/>
        </w:rPr>
        <w:t>Application for a pass-through ev</w:t>
      </w:r>
      <w:bookmarkEnd w:id="153"/>
      <w:bookmarkEnd w:id="154"/>
      <w:bookmarkEnd w:id="155"/>
      <w:r w:rsidRPr="00380FF4">
        <w:rPr>
          <w:lang w:val="en-AU"/>
        </w:rPr>
        <w:t>ent</w:t>
      </w:r>
      <w:bookmarkEnd w:id="156"/>
      <w:bookmarkEnd w:id="157"/>
    </w:p>
    <w:p w:rsidR="00CC711F" w:rsidRDefault="00380FF4" w:rsidP="00CC711F">
      <w:pPr>
        <w:rPr>
          <w:lang w:val="en-AU"/>
        </w:rPr>
      </w:pPr>
      <w:r w:rsidRPr="00380FF4">
        <w:rPr>
          <w:lang w:val="en-AU"/>
        </w:rPr>
        <w:t>ActewAGL Retail may make an application</w:t>
      </w:r>
      <w:r w:rsidR="00CC711F" w:rsidRPr="00055BAD">
        <w:rPr>
          <w:lang w:val="en-AU"/>
        </w:rPr>
        <w:t xml:space="preserve"> to the Commission for</w:t>
      </w:r>
      <w:r w:rsidR="00CC711F">
        <w:rPr>
          <w:lang w:val="en-AU"/>
        </w:rPr>
        <w:t xml:space="preserve"> consideration of </w:t>
      </w:r>
      <w:r w:rsidR="00CC711F" w:rsidRPr="00055BAD">
        <w:rPr>
          <w:lang w:val="en-AU"/>
        </w:rPr>
        <w:t>a pass-through</w:t>
      </w:r>
      <w:r w:rsidR="00CC711F">
        <w:rPr>
          <w:lang w:val="en-AU"/>
        </w:rPr>
        <w:t xml:space="preserve"> event </w:t>
      </w:r>
      <w:r w:rsidR="002E6ECE">
        <w:rPr>
          <w:lang w:val="en-AU"/>
        </w:rPr>
        <w:t>as part</w:t>
      </w:r>
      <w:r w:rsidR="00CC711F" w:rsidRPr="0046612E">
        <w:rPr>
          <w:lang w:val="en-AU"/>
        </w:rPr>
        <w:t xml:space="preserve"> of the </w:t>
      </w:r>
      <w:r w:rsidR="00CC711F">
        <w:rPr>
          <w:lang w:val="en-AU"/>
        </w:rPr>
        <w:t xml:space="preserve">annual </w:t>
      </w:r>
      <w:r w:rsidR="00CC711F" w:rsidRPr="0046612E">
        <w:rPr>
          <w:lang w:val="en-AU"/>
        </w:rPr>
        <w:t>recalibration process as per clause</w:t>
      </w:r>
      <w:r w:rsidR="007F7E42">
        <w:t xml:space="preserve"> </w:t>
      </w:r>
      <w:r w:rsidR="00C32A01">
        <w:rPr>
          <w:lang w:val="en-AU"/>
        </w:rPr>
        <w:fldChar w:fldCharType="begin"/>
      </w:r>
      <w:r w:rsidR="007F7E42">
        <w:instrText xml:space="preserve"> REF _Ref375211984 \r \h </w:instrText>
      </w:r>
      <w:r w:rsidR="00C32A01">
        <w:rPr>
          <w:lang w:val="en-AU"/>
        </w:rPr>
      </w:r>
      <w:r w:rsidR="00C32A01">
        <w:rPr>
          <w:lang w:val="en-AU"/>
        </w:rPr>
        <w:fldChar w:fldCharType="separate"/>
      </w:r>
      <w:r w:rsidR="00FA2DC9">
        <w:t>8</w:t>
      </w:r>
      <w:r w:rsidR="00C32A01">
        <w:rPr>
          <w:lang w:val="en-AU"/>
        </w:rPr>
        <w:fldChar w:fldCharType="end"/>
      </w:r>
      <w:r w:rsidR="002E6ECE">
        <w:rPr>
          <w:lang w:val="en-AU"/>
        </w:rPr>
        <w:t>. Applications may be made for the following events:</w:t>
      </w:r>
    </w:p>
    <w:p w:rsidR="002E6ECE" w:rsidRDefault="002E6ECE" w:rsidP="002E6ECE">
      <w:pPr>
        <w:pStyle w:val="LetteredList"/>
        <w:numPr>
          <w:ilvl w:val="0"/>
          <w:numId w:val="13"/>
        </w:numPr>
        <w:rPr>
          <w:lang w:val="en-AU"/>
        </w:rPr>
      </w:pPr>
      <w:r>
        <w:rPr>
          <w:lang w:val="en-AU"/>
        </w:rPr>
        <w:t>Regulatory change event (clause</w:t>
      </w:r>
      <w:r w:rsidR="00BC4A71">
        <w:t xml:space="preserve"> </w:t>
      </w:r>
      <w:r w:rsidR="00C32A01">
        <w:rPr>
          <w:lang w:val="en-AU"/>
        </w:rPr>
        <w:fldChar w:fldCharType="begin"/>
      </w:r>
      <w:r w:rsidR="00BC4A71">
        <w:rPr>
          <w:lang w:val="en-AU"/>
        </w:rPr>
        <w:instrText xml:space="preserve"> REF _Ref375208241 \r \h </w:instrText>
      </w:r>
      <w:r w:rsidR="00C32A01">
        <w:rPr>
          <w:lang w:val="en-AU"/>
        </w:rPr>
      </w:r>
      <w:r w:rsidR="00C32A01">
        <w:rPr>
          <w:lang w:val="en-AU"/>
        </w:rPr>
        <w:fldChar w:fldCharType="separate"/>
      </w:r>
      <w:r w:rsidR="00FA2DC9">
        <w:rPr>
          <w:lang w:val="en-AU"/>
        </w:rPr>
        <w:t>9.5</w:t>
      </w:r>
      <w:r w:rsidR="00C32A01">
        <w:rPr>
          <w:lang w:val="en-AU"/>
        </w:rPr>
        <w:fldChar w:fldCharType="end"/>
      </w:r>
      <w:r>
        <w:rPr>
          <w:lang w:val="en-AU"/>
        </w:rPr>
        <w:t>);</w:t>
      </w:r>
      <w:r w:rsidR="0045608E">
        <w:t xml:space="preserve"> or</w:t>
      </w:r>
    </w:p>
    <w:p w:rsidR="002E6ECE" w:rsidRPr="00BF7EAD" w:rsidRDefault="002E6ECE" w:rsidP="002E6ECE">
      <w:pPr>
        <w:pStyle w:val="LetteredList"/>
        <w:numPr>
          <w:ilvl w:val="0"/>
          <w:numId w:val="13"/>
        </w:numPr>
        <w:rPr>
          <w:lang w:val="en-AU"/>
        </w:rPr>
      </w:pPr>
      <w:r>
        <w:rPr>
          <w:lang w:val="en-AU"/>
        </w:rPr>
        <w:t>Tax change event (clause</w:t>
      </w:r>
      <w:r w:rsidR="006928BF">
        <w:t xml:space="preserve"> </w:t>
      </w:r>
      <w:r w:rsidR="00C32A01">
        <w:rPr>
          <w:lang w:val="en-AU"/>
        </w:rPr>
        <w:fldChar w:fldCharType="begin"/>
      </w:r>
      <w:r w:rsidR="006928BF">
        <w:rPr>
          <w:lang w:val="en-AU"/>
        </w:rPr>
        <w:instrText xml:space="preserve"> REF _Ref375208608 \r \h </w:instrText>
      </w:r>
      <w:r w:rsidR="00C32A01">
        <w:rPr>
          <w:lang w:val="en-AU"/>
        </w:rPr>
      </w:r>
      <w:r w:rsidR="00C32A01">
        <w:rPr>
          <w:lang w:val="en-AU"/>
        </w:rPr>
        <w:fldChar w:fldCharType="separate"/>
      </w:r>
      <w:r w:rsidR="00FA2DC9">
        <w:rPr>
          <w:lang w:val="en-AU"/>
        </w:rPr>
        <w:t>9.6</w:t>
      </w:r>
      <w:r w:rsidR="00C32A01">
        <w:rPr>
          <w:lang w:val="en-AU"/>
        </w:rPr>
        <w:fldChar w:fldCharType="end"/>
      </w:r>
      <w:r>
        <w:rPr>
          <w:lang w:val="en-AU"/>
        </w:rPr>
        <w:t>)</w:t>
      </w:r>
      <w:r w:rsidR="0045608E">
        <w:t>.</w:t>
      </w:r>
    </w:p>
    <w:p w:rsidR="00B76EF2" w:rsidRDefault="00380FF4">
      <w:pPr>
        <w:pStyle w:val="Heading2"/>
      </w:pPr>
      <w:bookmarkStart w:id="158" w:name="_Toc478131775"/>
      <w:r w:rsidRPr="00380FF4">
        <w:rPr>
          <w:szCs w:val="22"/>
          <w:lang w:val="en-AU"/>
        </w:rPr>
        <w:t>Commission may accept, reject or amend the application</w:t>
      </w:r>
      <w:bookmarkEnd w:id="158"/>
    </w:p>
    <w:p w:rsidR="004E1A4C" w:rsidRDefault="00BF7EAD" w:rsidP="00BF7EAD">
      <w:r>
        <w:t xml:space="preserve">Consideration by the Commission under clause </w:t>
      </w:r>
      <w:r w:rsidR="00C32A01">
        <w:fldChar w:fldCharType="begin"/>
      </w:r>
      <w:r>
        <w:instrText xml:space="preserve"> REF _Ref374095912 \r \h </w:instrText>
      </w:r>
      <w:r w:rsidR="00C32A01">
        <w:fldChar w:fldCharType="separate"/>
      </w:r>
      <w:r w:rsidR="00FA2DC9">
        <w:t>9</w:t>
      </w:r>
      <w:r w:rsidR="00C32A01">
        <w:fldChar w:fldCharType="end"/>
      </w:r>
      <w:r>
        <w:t xml:space="preserve"> and its sub-clauses of an application for a pass-through event may result in a pass-through event application being accepted, rejected or amended.</w:t>
      </w:r>
      <w:r w:rsidR="00EB74D5">
        <w:t xml:space="preserve"> </w:t>
      </w:r>
      <w:r>
        <w:t xml:space="preserve"> If the Commission amends a pass-through application, the amended costs are those that are passed through in the annual recalibration.</w:t>
      </w:r>
      <w:r w:rsidR="00EB74D5">
        <w:t xml:space="preserve"> </w:t>
      </w:r>
      <w:r>
        <w:t xml:space="preserve"> The Commission will provide a statement of reasons if it rejects or amends a pass-through event.</w:t>
      </w:r>
    </w:p>
    <w:p w:rsidR="00B76EF2" w:rsidRDefault="006928BF">
      <w:pPr>
        <w:pStyle w:val="Heading2"/>
      </w:pPr>
      <w:bookmarkStart w:id="159" w:name="_Toc478131776"/>
      <w:r>
        <w:t>Commission</w:t>
      </w:r>
      <w:r w:rsidR="00B35AA3">
        <w:t xml:space="preserve"> may </w:t>
      </w:r>
      <w:r>
        <w:t>initiate pass-through event</w:t>
      </w:r>
      <w:bookmarkEnd w:id="159"/>
    </w:p>
    <w:p w:rsidR="00536FE6" w:rsidRDefault="006928BF">
      <w:r>
        <w:t xml:space="preserve">The Commission may initiate one or more pass-through events set out under clauses </w:t>
      </w:r>
      <w:r w:rsidR="00C32A01" w:rsidRPr="006928BF">
        <w:fldChar w:fldCharType="begin"/>
      </w:r>
      <w:r w:rsidRPr="006928BF">
        <w:instrText xml:space="preserve"> REF _Ref375208241 \r \h </w:instrText>
      </w:r>
      <w:r w:rsidR="00C32A01" w:rsidRPr="006928BF">
        <w:fldChar w:fldCharType="separate"/>
      </w:r>
      <w:r w:rsidR="00FA2DC9">
        <w:t>9.5</w:t>
      </w:r>
      <w:r w:rsidR="00C32A01" w:rsidRPr="006928BF">
        <w:fldChar w:fldCharType="end"/>
      </w:r>
      <w:r>
        <w:t xml:space="preserve"> and </w:t>
      </w:r>
      <w:r w:rsidR="00C32A01">
        <w:fldChar w:fldCharType="begin"/>
      </w:r>
      <w:r w:rsidR="00B617B5">
        <w:instrText xml:space="preserve"> REF _Ref375208608 \r \h </w:instrText>
      </w:r>
      <w:r w:rsidR="00C32A01">
        <w:fldChar w:fldCharType="separate"/>
      </w:r>
      <w:r w:rsidR="00FA2DC9">
        <w:t>9.6</w:t>
      </w:r>
      <w:r w:rsidR="00C32A01">
        <w:fldChar w:fldCharType="end"/>
      </w:r>
      <w:r w:rsidR="00B617B5">
        <w:t xml:space="preserve"> </w:t>
      </w:r>
      <w:r>
        <w:t>without an application from ActewAGL Retail.</w:t>
      </w:r>
      <w:r w:rsidR="00536FE6">
        <w:t xml:space="preserve"> </w:t>
      </w:r>
      <w:r w:rsidR="00EB74D5">
        <w:t xml:space="preserve"> </w:t>
      </w:r>
      <w:r w:rsidR="00536FE6">
        <w:t xml:space="preserve">The </w:t>
      </w:r>
      <w:r w:rsidR="00716F7A">
        <w:t>following steps will be taken in relation to a</w:t>
      </w:r>
      <w:r w:rsidR="0028116B">
        <w:t xml:space="preserve"> pass-through </w:t>
      </w:r>
      <w:r w:rsidR="00716F7A">
        <w:t xml:space="preserve">event </w:t>
      </w:r>
      <w:r w:rsidR="00536FE6">
        <w:t>initiat</w:t>
      </w:r>
      <w:r w:rsidR="00716F7A">
        <w:t>ed by the Commission:</w:t>
      </w:r>
    </w:p>
    <w:p w:rsidR="00B76EF2" w:rsidRDefault="00716F7A">
      <w:pPr>
        <w:pStyle w:val="LetteredList"/>
        <w:numPr>
          <w:ilvl w:val="0"/>
          <w:numId w:val="16"/>
        </w:numPr>
      </w:pPr>
      <w:r>
        <w:t>The Commission will advise ActewAGL Retail that it is intending to initiate a pass-through review as part of an annual recalibration process.</w:t>
      </w:r>
    </w:p>
    <w:p w:rsidR="00B76EF2" w:rsidRDefault="00716F7A">
      <w:pPr>
        <w:pStyle w:val="LetteredList"/>
      </w:pPr>
      <w:r>
        <w:t>The Commission will provide ActewAGL Retail with a document outlining the Commission’s proposed de</w:t>
      </w:r>
      <w:r w:rsidR="00D848D3">
        <w:t>cision</w:t>
      </w:r>
      <w:r>
        <w:t>, including relevant material on which the de</w:t>
      </w:r>
      <w:r w:rsidR="00D848D3">
        <w:t>cision</w:t>
      </w:r>
      <w:r>
        <w:t xml:space="preserve"> is based.</w:t>
      </w:r>
    </w:p>
    <w:p w:rsidR="00B76EF2" w:rsidRDefault="00716F7A">
      <w:pPr>
        <w:pStyle w:val="LetteredListLast"/>
      </w:pPr>
      <w:r>
        <w:t xml:space="preserve">ActewAGL Retail </w:t>
      </w:r>
      <w:r w:rsidR="00DD7E7E">
        <w:t xml:space="preserve">will be provided with </w:t>
      </w:r>
      <w:r>
        <w:t xml:space="preserve">the opportunity to respond to the Commission’s proposed </w:t>
      </w:r>
      <w:r w:rsidR="00D848D3">
        <w:t xml:space="preserve">pass-through </w:t>
      </w:r>
      <w:r>
        <w:t>de</w:t>
      </w:r>
      <w:r w:rsidR="00D848D3">
        <w:t xml:space="preserve">cision </w:t>
      </w:r>
      <w:r w:rsidR="00DD7E7E">
        <w:t>before the Commission</w:t>
      </w:r>
      <w:r w:rsidR="00D848D3">
        <w:t xml:space="preserve"> determines </w:t>
      </w:r>
      <w:r w:rsidR="008D0604">
        <w:t xml:space="preserve">and provides </w:t>
      </w:r>
      <w:r w:rsidR="00D848D3">
        <w:t xml:space="preserve">the value of </w:t>
      </w:r>
      <w:r w:rsidR="00D848D3" w:rsidRPr="00CD4E97">
        <w:rPr>
          <w:szCs w:val="22"/>
          <w:lang w:val="en-AU"/>
        </w:rPr>
        <w:t>Y</w:t>
      </w:r>
      <w:r w:rsidR="00380FF4" w:rsidRPr="00380FF4">
        <w:rPr>
          <w:szCs w:val="22"/>
          <w:vertAlign w:val="superscript"/>
          <w:lang w:val="en-AU"/>
        </w:rPr>
        <w:t>t</w:t>
      </w:r>
      <w:r w:rsidR="00D848D3">
        <w:t xml:space="preserve"> </w:t>
      </w:r>
      <w:r w:rsidR="008D0604">
        <w:t xml:space="preserve">to ActewAGL Retail </w:t>
      </w:r>
      <w:r w:rsidR="00D848D3">
        <w:t xml:space="preserve">under clause </w:t>
      </w:r>
      <w:r w:rsidR="008175D9">
        <w:fldChar w:fldCharType="begin"/>
      </w:r>
      <w:r w:rsidR="008175D9">
        <w:instrText xml:space="preserve"> REF _Ref374095548 \r \h  \* MERGEFORMAT </w:instrText>
      </w:r>
      <w:r w:rsidR="008175D9">
        <w:fldChar w:fldCharType="separate"/>
      </w:r>
      <w:r w:rsidR="00FA2DC9">
        <w:t>8.1</w:t>
      </w:r>
      <w:r w:rsidR="008175D9">
        <w:fldChar w:fldCharType="end"/>
      </w:r>
      <w:r>
        <w:t>.</w:t>
      </w:r>
    </w:p>
    <w:p w:rsidR="006E19C2" w:rsidRDefault="00B23B02">
      <w:pPr>
        <w:pStyle w:val="Heading2"/>
      </w:pPr>
      <w:bookmarkStart w:id="160" w:name="_Toc478131777"/>
      <w:r>
        <w:lastRenderedPageBreak/>
        <w:t>Further information</w:t>
      </w:r>
      <w:bookmarkEnd w:id="160"/>
    </w:p>
    <w:p w:rsidR="00B23B02" w:rsidRDefault="00B23B02" w:rsidP="00B23B02">
      <w:r>
        <w:t>The Commission may seek further information from ActewAGL Retail in relation to an application for a pass-through event or a Commission initiated pass-through event.</w:t>
      </w:r>
    </w:p>
    <w:p w:rsidR="00B76EF2" w:rsidRDefault="00BC4A71">
      <w:pPr>
        <w:pStyle w:val="Heading2"/>
      </w:pPr>
      <w:bookmarkStart w:id="161" w:name="_Ref375208241"/>
      <w:bookmarkStart w:id="162" w:name="_Toc478131778"/>
      <w:r w:rsidRPr="00BC4A71">
        <w:t>Regulatory change event</w:t>
      </w:r>
      <w:bookmarkEnd w:id="161"/>
      <w:bookmarkEnd w:id="162"/>
    </w:p>
    <w:p w:rsidR="00BC4A71" w:rsidRPr="00BC4A71" w:rsidRDefault="00BC4A71" w:rsidP="00BC4A71">
      <w:pPr>
        <w:pStyle w:val="BulletIntro"/>
      </w:pPr>
      <w:r w:rsidRPr="00BC4A71">
        <w:t xml:space="preserve">A regulatory change event is a decision made </w:t>
      </w:r>
      <w:r>
        <w:t xml:space="preserve">on or after </w:t>
      </w:r>
      <w:r w:rsidR="00B42A45">
        <w:t xml:space="preserve">31 May </w:t>
      </w:r>
      <w:r w:rsidR="0011160E">
        <w:t>2017</w:t>
      </w:r>
      <w:r w:rsidRPr="00BC4A71">
        <w:t xml:space="preserve"> and </w:t>
      </w:r>
      <w:r>
        <w:t xml:space="preserve">before </w:t>
      </w:r>
      <w:r w:rsidRPr="00BC4A71">
        <w:t>30</w:t>
      </w:r>
      <w:r>
        <w:t> </w:t>
      </w:r>
      <w:r w:rsidRPr="00BC4A71">
        <w:t xml:space="preserve">June </w:t>
      </w:r>
      <w:r w:rsidR="0011160E">
        <w:t>2020</w:t>
      </w:r>
      <w:r w:rsidR="0007553A" w:rsidRPr="00BC4A71">
        <w:t xml:space="preserve"> </w:t>
      </w:r>
      <w:r w:rsidRPr="00BC4A71">
        <w:t>by any</w:t>
      </w:r>
      <w:r w:rsidR="0007553A">
        <w:t xml:space="preserve"> ACT or Commonwealth</w:t>
      </w:r>
      <w:r w:rsidRPr="00BC4A71">
        <w:t xml:space="preserve"> ‘Authority’</w:t>
      </w:r>
      <w:r w:rsidR="00F745AC">
        <w:rPr>
          <w:rStyle w:val="FootnoteReference"/>
        </w:rPr>
        <w:footnoteReference w:id="3"/>
      </w:r>
      <w:r w:rsidRPr="00BC4A71">
        <w:t xml:space="preserve"> that has the e</w:t>
      </w:r>
      <w:r w:rsidR="00082E78">
        <w:t>ffect</w:t>
      </w:r>
      <w:r w:rsidRPr="00BC4A71">
        <w:t xml:space="preserve"> of varying the nature, scope, standard or risk of providing services to small customers, or the manner in which those services are provided. </w:t>
      </w:r>
      <w:r w:rsidR="00EB74D5">
        <w:t xml:space="preserve"> </w:t>
      </w:r>
      <w:r w:rsidRPr="00BC4A71">
        <w:t>A regulatory change event includes obligations in respect of:</w:t>
      </w:r>
    </w:p>
    <w:p w:rsidR="00BC4A71" w:rsidRPr="00043123" w:rsidRDefault="00BC4A71" w:rsidP="00BC4A71">
      <w:pPr>
        <w:pStyle w:val="Bullet"/>
      </w:pPr>
      <w:r w:rsidRPr="00043123">
        <w:t>any customer hardship program</w:t>
      </w:r>
      <w:r w:rsidR="00830A4A">
        <w:t>;</w:t>
      </w:r>
    </w:p>
    <w:p w:rsidR="00BC4A71" w:rsidRPr="00043123" w:rsidRDefault="00BC4A71" w:rsidP="00BC4A71">
      <w:pPr>
        <w:pStyle w:val="Bullet"/>
      </w:pPr>
      <w:r w:rsidRPr="00043123">
        <w:t>retailer of last resort events</w:t>
      </w:r>
      <w:r w:rsidR="00830A4A">
        <w:t>;</w:t>
      </w:r>
    </w:p>
    <w:p w:rsidR="00BC4A71" w:rsidRPr="00043123" w:rsidRDefault="00830A4A" w:rsidP="00BC4A71">
      <w:pPr>
        <w:pStyle w:val="Bullet"/>
      </w:pPr>
      <w:r>
        <w:t>environmental schemes</w:t>
      </w:r>
      <w:r w:rsidRPr="00DF401B">
        <w:t xml:space="preserve"> including the LRET and SRES schemes</w:t>
      </w:r>
      <w:r>
        <w:t xml:space="preserve"> and the Energy Efficiency Improvement Scheme;</w:t>
      </w:r>
      <w:r w:rsidR="001F7584">
        <w:t xml:space="preserve"> or</w:t>
      </w:r>
    </w:p>
    <w:p w:rsidR="00BC4A71" w:rsidRPr="00043123" w:rsidRDefault="00BC4A71" w:rsidP="00BC4A71">
      <w:pPr>
        <w:pStyle w:val="BulletLast"/>
      </w:pPr>
      <w:r w:rsidRPr="00043123">
        <w:t>changes in distribution or transmission charges</w:t>
      </w:r>
      <w:r w:rsidR="00830A4A">
        <w:t>.</w:t>
      </w:r>
    </w:p>
    <w:p w:rsidR="00BC4A71" w:rsidRPr="00BC4A71" w:rsidRDefault="00BC4A71" w:rsidP="00BC4A71">
      <w:pPr>
        <w:pStyle w:val="BulletIntro"/>
      </w:pPr>
      <w:r w:rsidRPr="00BC4A71">
        <w:t>A regulatory change event does not include obligations in respect of:</w:t>
      </w:r>
    </w:p>
    <w:p w:rsidR="00BC4A71" w:rsidRPr="00BC4A71" w:rsidRDefault="00BC4A71" w:rsidP="00BC4A71">
      <w:pPr>
        <w:pStyle w:val="Bullet"/>
      </w:pPr>
      <w:r w:rsidRPr="00BC4A71">
        <w:t>any decision, determination or ruling in relation to energy loss factors</w:t>
      </w:r>
      <w:r w:rsidR="00B6645C">
        <w:t>;</w:t>
      </w:r>
      <w:r w:rsidR="001F7584">
        <w:t xml:space="preserve"> or</w:t>
      </w:r>
    </w:p>
    <w:p w:rsidR="009F4CEA" w:rsidRDefault="00BC4A71">
      <w:pPr>
        <w:pStyle w:val="Bullet"/>
      </w:pPr>
      <w:r w:rsidRPr="00055BAD">
        <w:t>smart</w:t>
      </w:r>
      <w:r w:rsidR="001566C6">
        <w:t>-</w:t>
      </w:r>
      <w:r w:rsidRPr="00055BAD">
        <w:t>met</w:t>
      </w:r>
      <w:r>
        <w:t>ering trials</w:t>
      </w:r>
      <w:r w:rsidR="00B6645C">
        <w:t>.</w:t>
      </w:r>
    </w:p>
    <w:p w:rsidR="00B76EF2" w:rsidRDefault="00BC4A71">
      <w:pPr>
        <w:pStyle w:val="Heading2"/>
      </w:pPr>
      <w:bookmarkStart w:id="163" w:name="_Ref375208608"/>
      <w:bookmarkStart w:id="164" w:name="_Toc478131779"/>
      <w:r w:rsidRPr="00BC4A71">
        <w:t>Tax change event</w:t>
      </w:r>
      <w:bookmarkEnd w:id="163"/>
      <w:bookmarkEnd w:id="164"/>
    </w:p>
    <w:p w:rsidR="00BC4A71" w:rsidRPr="00BC4A71" w:rsidRDefault="00BC4A71" w:rsidP="00BC4A71">
      <w:pPr>
        <w:pStyle w:val="BulletIntro"/>
      </w:pPr>
      <w:r w:rsidRPr="00BC4A71">
        <w:t>A tax change event means the imposition of</w:t>
      </w:r>
      <w:r w:rsidR="003E2DCF">
        <w:t xml:space="preserve"> or a change in</w:t>
      </w:r>
      <w:r w:rsidRPr="00BC4A71">
        <w:t xml:space="preserve"> a relevant tax, the removal of a relevant tax, or a change in the way a relevant tax is interpreted or calculated where the outcome of the change affecting ActewAGL Retail occurs </w:t>
      </w:r>
      <w:r w:rsidR="00177BB3">
        <w:t xml:space="preserve">on or </w:t>
      </w:r>
      <w:r w:rsidR="0011160E">
        <w:t>after 31 May 2017</w:t>
      </w:r>
      <w:r w:rsidR="00177BB3">
        <w:t xml:space="preserve"> and before </w:t>
      </w:r>
      <w:r w:rsidRPr="00BC4A71">
        <w:t xml:space="preserve">30 June </w:t>
      </w:r>
      <w:r w:rsidR="0011160E">
        <w:t>2020</w:t>
      </w:r>
      <w:r w:rsidRPr="00BC4A71">
        <w:t xml:space="preserve">. </w:t>
      </w:r>
      <w:r w:rsidR="00EB74D5">
        <w:t xml:space="preserve"> </w:t>
      </w:r>
      <w:r w:rsidRPr="00BC4A71">
        <w:t>A relevant tax is any tax, levy, impost, deduction, charge, rate, duty or withholding tax that is levied on ActewAGL Retail by any Authority (as defined above) and is payable by ActewAGL Retail, other than:</w:t>
      </w:r>
    </w:p>
    <w:p w:rsidR="00BC4A71" w:rsidRPr="00C37EE4" w:rsidRDefault="00BC4A71" w:rsidP="00BC4A71">
      <w:pPr>
        <w:pStyle w:val="Bullet"/>
      </w:pPr>
      <w:r w:rsidRPr="00C37EE4">
        <w:t>income tax and capital gains tax</w:t>
      </w:r>
      <w:r w:rsidR="001F7584">
        <w:t>;</w:t>
      </w:r>
    </w:p>
    <w:p w:rsidR="00BC4A71" w:rsidRPr="00C37EE4" w:rsidRDefault="00BC4A71" w:rsidP="00BC4A71">
      <w:pPr>
        <w:pStyle w:val="Bullet"/>
      </w:pPr>
      <w:r w:rsidRPr="00C37EE4">
        <w:t>stamp duty</w:t>
      </w:r>
      <w:r w:rsidR="001F7584">
        <w:t>;</w:t>
      </w:r>
    </w:p>
    <w:p w:rsidR="00BC4A71" w:rsidRPr="00C37EE4" w:rsidRDefault="00BC4A71" w:rsidP="00BC4A71">
      <w:pPr>
        <w:pStyle w:val="Bullet"/>
      </w:pPr>
      <w:r w:rsidRPr="00C37EE4">
        <w:t>AEMO fees</w:t>
      </w:r>
      <w:r w:rsidR="001F7584">
        <w:t>;</w:t>
      </w:r>
    </w:p>
    <w:p w:rsidR="00BC4A71" w:rsidRPr="00C37EE4" w:rsidRDefault="00BC4A71" w:rsidP="00BC4A71">
      <w:pPr>
        <w:pStyle w:val="Bullet"/>
      </w:pPr>
      <w:r w:rsidRPr="00C37EE4">
        <w:t>fees payable by ActewAGL Retail in respect of its retail licence</w:t>
      </w:r>
      <w:r w:rsidR="001F7584">
        <w:t>;</w:t>
      </w:r>
    </w:p>
    <w:p w:rsidR="00BC4A71" w:rsidRPr="00C37EE4" w:rsidRDefault="00BC4A71" w:rsidP="00BC4A71">
      <w:pPr>
        <w:pStyle w:val="Bullet"/>
      </w:pPr>
      <w:r w:rsidRPr="00C37EE4">
        <w:t>penalties, charges, fees and interest on late payments, or deficiencies in payments, relating to any tax</w:t>
      </w:r>
      <w:r w:rsidR="001F7584">
        <w:t>; or</w:t>
      </w:r>
    </w:p>
    <w:p w:rsidR="00B76EF2" w:rsidRDefault="00BC4A71">
      <w:pPr>
        <w:pStyle w:val="BulletLast"/>
      </w:pPr>
      <w:r w:rsidRPr="00055BAD">
        <w:lastRenderedPageBreak/>
        <w:t>any tax that replaces or is equivalent or similar to any of the taxes referred to above (including any state</w:t>
      </w:r>
      <w:r w:rsidR="008E3F83">
        <w:t xml:space="preserve"> or territory</w:t>
      </w:r>
      <w:r w:rsidRPr="00055BAD">
        <w:t>-equivalent tax).</w:t>
      </w:r>
    </w:p>
    <w:p w:rsidR="00B76EF2" w:rsidRDefault="00EB731F">
      <w:pPr>
        <w:pStyle w:val="Heading2"/>
      </w:pPr>
      <w:bookmarkStart w:id="165" w:name="_Toc478131780"/>
      <w:r w:rsidRPr="00EB731F">
        <w:t xml:space="preserve">Calculation of a regulatory </w:t>
      </w:r>
      <w:r w:rsidR="00C35D79">
        <w:t xml:space="preserve">change </w:t>
      </w:r>
      <w:r w:rsidRPr="00EB731F">
        <w:t>or tax change event</w:t>
      </w:r>
      <w:bookmarkEnd w:id="165"/>
    </w:p>
    <w:p w:rsidR="00B76EF2" w:rsidRDefault="00EB731F">
      <w:pPr>
        <w:pStyle w:val="Heading3"/>
      </w:pPr>
      <w:r>
        <w:t xml:space="preserve">General </w:t>
      </w:r>
      <w:r w:rsidR="00DF1C1D">
        <w:t>matters</w:t>
      </w:r>
    </w:p>
    <w:p w:rsidR="0088301C" w:rsidRPr="00451C07" w:rsidRDefault="0088301C" w:rsidP="0088301C">
      <w:r w:rsidRPr="00451C07">
        <w:t xml:space="preserve">The Commission will calculate the pass-through amount when </w:t>
      </w:r>
      <w:r>
        <w:t>considering a pass-through event as part of an annual recalibration process</w:t>
      </w:r>
      <w:r w:rsidRPr="00451C07">
        <w:t xml:space="preserve"> having regard to the following </w:t>
      </w:r>
      <w:r>
        <w:t>matters</w:t>
      </w:r>
      <w:r w:rsidRPr="00451C07">
        <w:t>:</w:t>
      </w:r>
    </w:p>
    <w:p w:rsidR="0088301C" w:rsidRPr="00451C07" w:rsidRDefault="0088301C" w:rsidP="0088301C">
      <w:pPr>
        <w:pStyle w:val="Bullet"/>
      </w:pPr>
      <w:r w:rsidRPr="00451C07">
        <w:t>the implications for the efficient costs of ActewAGL Retail’s actions, including whether ActewAGL Retail has taken or omitted to take any action where such action or omission has increased the magnitude of the costs incurred</w:t>
      </w:r>
      <w:r>
        <w:t>;</w:t>
      </w:r>
    </w:p>
    <w:p w:rsidR="0088301C" w:rsidRPr="00451C07" w:rsidRDefault="0088301C" w:rsidP="0088301C">
      <w:pPr>
        <w:pStyle w:val="Bullet"/>
      </w:pPr>
      <w:r w:rsidRPr="00451C07">
        <w:t>the need to ensure that ActewAGL Retail does not recover costs to the extent that provisions have already been made or otherwise taken into account</w:t>
      </w:r>
      <w:r>
        <w:t>;</w:t>
      </w:r>
    </w:p>
    <w:p w:rsidR="0088301C" w:rsidRPr="00451C07" w:rsidRDefault="0088301C" w:rsidP="0088301C">
      <w:pPr>
        <w:pStyle w:val="Bullet"/>
      </w:pPr>
      <w:r w:rsidRPr="00451C07">
        <w:t>the need to ensure that ActewAGL Retail only recovers any actual or likely increment in efficient costs to the extent that such an increment is solely as a consequence of a pass-through event</w:t>
      </w:r>
      <w:r w:rsidR="00C724A7">
        <w:t xml:space="preserve"> from the date the event occurred</w:t>
      </w:r>
      <w:r>
        <w:t>;</w:t>
      </w:r>
    </w:p>
    <w:p w:rsidR="0088301C" w:rsidRPr="00451C07" w:rsidRDefault="0088301C" w:rsidP="0088301C">
      <w:pPr>
        <w:pStyle w:val="Bullet"/>
      </w:pPr>
      <w:r w:rsidRPr="00451C07">
        <w:t>in the case of a regulatory change event, any costs that ActewAGL Retail has incurred prior to, but in preparation for, the occurrence of that regulatory change event</w:t>
      </w:r>
      <w:r>
        <w:t>; and</w:t>
      </w:r>
    </w:p>
    <w:p w:rsidR="0088301C" w:rsidRDefault="0088301C" w:rsidP="0088301C">
      <w:pPr>
        <w:pStyle w:val="BulletLast"/>
      </w:pPr>
      <w:r w:rsidRPr="00451C07">
        <w:t>in the case of a tax change event, any change in the way another tax is calculated, or the removal or imposition of another tax which in the Commission’s opinion is complementary to the tax change event concerned</w:t>
      </w:r>
      <w:r>
        <w:t>.</w:t>
      </w:r>
    </w:p>
    <w:p w:rsidR="00B76EF2" w:rsidRDefault="0088301C">
      <w:r w:rsidRPr="00451C07">
        <w:t>In addition</w:t>
      </w:r>
      <w:r w:rsidR="00910CC2">
        <w:t>, i</w:t>
      </w:r>
      <w:r w:rsidRPr="00451C07">
        <w:t>n considering any pass-through event, the Commission may consult with affected stakeholders to the extent the Commission</w:t>
      </w:r>
      <w:r w:rsidR="00910CC2">
        <w:t xml:space="preserve"> </w:t>
      </w:r>
      <w:r w:rsidRPr="00451C07">
        <w:t>considers appropriate.</w:t>
      </w:r>
    </w:p>
    <w:p w:rsidR="00B76EF2" w:rsidRDefault="00EB731F">
      <w:pPr>
        <w:pStyle w:val="Heading3"/>
      </w:pPr>
      <w:r>
        <w:t xml:space="preserve">Regulatory change and tax change event pass-through </w:t>
      </w:r>
      <w:r w:rsidR="00373B54">
        <w:t>mechanism</w:t>
      </w:r>
    </w:p>
    <w:p w:rsidR="00B76EF2" w:rsidRDefault="00387FE3">
      <w:r>
        <w:t>F</w:t>
      </w:r>
      <w:r w:rsidR="00BA14B9" w:rsidRPr="00451C07">
        <w:t xml:space="preserve">or a </w:t>
      </w:r>
      <w:r w:rsidR="00BA14B9">
        <w:t xml:space="preserve">regulatory change or tax change </w:t>
      </w:r>
      <w:r w:rsidR="00BA14B9" w:rsidRPr="00451C07">
        <w:t>pass-through event that occurs during 201</w:t>
      </w:r>
      <w:r>
        <w:t>7</w:t>
      </w:r>
      <w:r w:rsidR="00BA14B9" w:rsidRPr="00451C07">
        <w:t>–1</w:t>
      </w:r>
      <w:r>
        <w:t>8 or 2018–19</w:t>
      </w:r>
      <w:r w:rsidR="00BA14B9" w:rsidRPr="00451C07">
        <w:t xml:space="preserve">, the Commission will </w:t>
      </w:r>
      <w:r w:rsidR="00BA14B9">
        <w:t xml:space="preserve">include the </w:t>
      </w:r>
      <w:r w:rsidR="00BA14B9" w:rsidRPr="00451C07">
        <w:t>value of the pass-through event</w:t>
      </w:r>
      <w:r w:rsidR="00BA14B9">
        <w:t xml:space="preserve">, which can be </w:t>
      </w:r>
      <w:r w:rsidR="00BA14B9" w:rsidRPr="00451C07">
        <w:t>either negative or positive</w:t>
      </w:r>
      <w:r w:rsidR="00BA14B9" w:rsidRPr="00775AD9">
        <w:t xml:space="preserve"> </w:t>
      </w:r>
      <w:r w:rsidR="00BA14B9">
        <w:t>when determining the maximum average price change,</w:t>
      </w:r>
      <w:r w:rsidR="00BA14B9" w:rsidRPr="00451C07">
        <w:t xml:space="preserve"> </w:t>
      </w:r>
      <w:r w:rsidR="00BA14B9">
        <w:t>in the cost-index model.</w:t>
      </w:r>
      <w:bookmarkStart w:id="166" w:name="_Toc375211486"/>
      <w:bookmarkStart w:id="167" w:name="_Toc375214263"/>
      <w:bookmarkStart w:id="168" w:name="_Toc375215195"/>
      <w:bookmarkStart w:id="169" w:name="_Toc375211487"/>
      <w:bookmarkStart w:id="170" w:name="_Toc375214264"/>
      <w:bookmarkStart w:id="171" w:name="_Toc375215196"/>
      <w:bookmarkStart w:id="172" w:name="_Toc264018538"/>
      <w:bookmarkEnd w:id="166"/>
      <w:bookmarkEnd w:id="167"/>
      <w:bookmarkEnd w:id="168"/>
      <w:bookmarkEnd w:id="169"/>
      <w:bookmarkEnd w:id="170"/>
      <w:bookmarkEnd w:id="171"/>
    </w:p>
    <w:p w:rsidR="00326273" w:rsidRPr="004C4EC1" w:rsidRDefault="00326273" w:rsidP="004C4EC1">
      <w:pPr>
        <w:sectPr w:rsidR="00326273" w:rsidRPr="004C4EC1" w:rsidSect="00BA1BFD">
          <w:headerReference w:type="even" r:id="rId20"/>
          <w:headerReference w:type="default" r:id="rId21"/>
          <w:endnotePr>
            <w:numFmt w:val="decimal"/>
          </w:endnotePr>
          <w:type w:val="oddPage"/>
          <w:pgSz w:w="11907" w:h="16840" w:code="9"/>
          <w:pgMar w:top="2268" w:right="2098" w:bottom="1701" w:left="2098" w:header="578" w:footer="578" w:gutter="0"/>
          <w:cols w:space="720"/>
          <w:titlePg/>
          <w:docGrid w:linePitch="360"/>
        </w:sectPr>
      </w:pPr>
    </w:p>
    <w:p w:rsidR="007A1FA7" w:rsidRDefault="00B325BA" w:rsidP="003D2FE5">
      <w:pPr>
        <w:pStyle w:val="HeadingPart"/>
      </w:pPr>
      <w:bookmarkStart w:id="173" w:name="_Toc379546722"/>
      <w:bookmarkStart w:id="174" w:name="_Toc379548199"/>
      <w:bookmarkStart w:id="175" w:name="_Toc379546723"/>
      <w:bookmarkStart w:id="176" w:name="_Toc379548200"/>
      <w:bookmarkStart w:id="177" w:name="_Ref359595388"/>
      <w:bookmarkStart w:id="178" w:name="_Toc478131781"/>
      <w:bookmarkStart w:id="179" w:name="_Ref348972408"/>
      <w:bookmarkEnd w:id="135"/>
      <w:bookmarkEnd w:id="136"/>
      <w:bookmarkEnd w:id="137"/>
      <w:bookmarkEnd w:id="138"/>
      <w:bookmarkEnd w:id="139"/>
      <w:bookmarkEnd w:id="140"/>
      <w:bookmarkEnd w:id="141"/>
      <w:bookmarkEnd w:id="142"/>
      <w:bookmarkEnd w:id="172"/>
      <w:bookmarkEnd w:id="173"/>
      <w:bookmarkEnd w:id="174"/>
      <w:bookmarkEnd w:id="175"/>
      <w:bookmarkEnd w:id="176"/>
      <w:r>
        <w:lastRenderedPageBreak/>
        <w:t>Legislative provisions</w:t>
      </w:r>
      <w:bookmarkEnd w:id="177"/>
      <w:bookmarkEnd w:id="178"/>
    </w:p>
    <w:bookmarkEnd w:id="179"/>
    <w:p w:rsidR="00101753" w:rsidRPr="00C91CE8" w:rsidRDefault="00101753" w:rsidP="00101753">
      <w:r>
        <w:t xml:space="preserve">Nothing in </w:t>
      </w:r>
      <w:r w:rsidR="00C11B29">
        <w:t xml:space="preserve">this </w:t>
      </w:r>
      <w:r w:rsidR="00C32A01">
        <w:fldChar w:fldCharType="begin"/>
      </w:r>
      <w:r w:rsidR="0043595D">
        <w:instrText xml:space="preserve"> REF _Ref359595388 \r \h </w:instrText>
      </w:r>
      <w:r w:rsidR="00C32A01">
        <w:fldChar w:fldCharType="separate"/>
      </w:r>
      <w:r w:rsidR="00FA2DC9">
        <w:t>Part C</w:t>
      </w:r>
      <w:r w:rsidR="00C32A01">
        <w:fldChar w:fldCharType="end"/>
      </w:r>
      <w:r>
        <w:t xml:space="preserve"> limits the provisions of the ICRC Act. </w:t>
      </w:r>
    </w:p>
    <w:p w:rsidR="00307062" w:rsidRDefault="00B32A85" w:rsidP="00EF037C">
      <w:pPr>
        <w:pStyle w:val="Heading1"/>
      </w:pPr>
      <w:bookmarkStart w:id="180" w:name="_Toc478131782"/>
      <w:r>
        <w:t>Price D</w:t>
      </w:r>
      <w:r w:rsidR="00DF35B8">
        <w:t>irection</w:t>
      </w:r>
      <w:r w:rsidR="00101753" w:rsidRPr="00FA5BD4">
        <w:t xml:space="preserve"> variation trigger events</w:t>
      </w:r>
      <w:bookmarkEnd w:id="180"/>
    </w:p>
    <w:p w:rsidR="00101753" w:rsidRPr="001C4A09" w:rsidRDefault="00101753" w:rsidP="0043779A">
      <w:pPr>
        <w:pStyle w:val="BulletIntro"/>
      </w:pPr>
      <w:r w:rsidRPr="001C4A09">
        <w:t xml:space="preserve">Pursuant to </w:t>
      </w:r>
      <w:r>
        <w:t>section</w:t>
      </w:r>
      <w:r w:rsidR="00EF037C">
        <w:t>s</w:t>
      </w:r>
      <w:r w:rsidRPr="001C4A09">
        <w:t xml:space="preserve"> 20A(3)(c) and 24F(2) of the ICRC Act, the following events a</w:t>
      </w:r>
      <w:r>
        <w:t>re price variation trigger events</w:t>
      </w:r>
      <w:r w:rsidR="006D6910">
        <w:t xml:space="preserve">, the </w:t>
      </w:r>
      <w:r w:rsidR="00C94DEC">
        <w:t>occurrence</w:t>
      </w:r>
      <w:r w:rsidR="006D6910">
        <w:t xml:space="preserve"> of which allows</w:t>
      </w:r>
      <w:r w:rsidRPr="001C4A09">
        <w:t xml:space="preserve"> the Commission to initiate</w:t>
      </w:r>
      <w:r w:rsidR="00EA2E8C">
        <w:t>, at its discretion,</w:t>
      </w:r>
      <w:r w:rsidRPr="001C4A09">
        <w:t xml:space="preserve"> a referenc</w:t>
      </w:r>
      <w:r>
        <w:t>e for the variation of the</w:t>
      </w:r>
      <w:r w:rsidRPr="001C4A09">
        <w:t xml:space="preserve"> </w:t>
      </w:r>
      <w:r w:rsidR="00B32A85">
        <w:t>Price Direction</w:t>
      </w:r>
      <w:r w:rsidR="00B26D7C">
        <w:t>:</w:t>
      </w:r>
    </w:p>
    <w:p w:rsidR="00101753" w:rsidRPr="001C4A09" w:rsidRDefault="00EF037C" w:rsidP="005B5352">
      <w:pPr>
        <w:pStyle w:val="LetteredList"/>
        <w:numPr>
          <w:ilvl w:val="0"/>
          <w:numId w:val="11"/>
        </w:numPr>
      </w:pPr>
      <w:r>
        <w:t xml:space="preserve">an </w:t>
      </w:r>
      <w:r w:rsidR="00B26D7C">
        <w:t>a</w:t>
      </w:r>
      <w:r w:rsidR="00101753" w:rsidRPr="001C4A09">
        <w:t>ct of terrorism</w:t>
      </w:r>
      <w:r w:rsidR="00B26D7C">
        <w:t>;</w:t>
      </w:r>
    </w:p>
    <w:p w:rsidR="00101753" w:rsidRPr="001C4A09" w:rsidRDefault="00EF037C" w:rsidP="00E237CB">
      <w:pPr>
        <w:pStyle w:val="LetteredList"/>
      </w:pPr>
      <w:r>
        <w:t xml:space="preserve">a </w:t>
      </w:r>
      <w:r w:rsidR="00B26D7C">
        <w:t>m</w:t>
      </w:r>
      <w:r w:rsidR="00101753" w:rsidRPr="001C4A09">
        <w:t>ajor natural disaster</w:t>
      </w:r>
      <w:r w:rsidR="00B26D7C">
        <w:t>;</w:t>
      </w:r>
    </w:p>
    <w:p w:rsidR="00BC0FC5" w:rsidRDefault="00BC0FC5" w:rsidP="00E237CB">
      <w:pPr>
        <w:pStyle w:val="LetteredList"/>
      </w:pPr>
      <w:r>
        <w:t>a significant change to A</w:t>
      </w:r>
      <w:r w:rsidR="00025E6A">
        <w:t>ctewAGL Retail</w:t>
      </w:r>
      <w:r>
        <w:t>’s financial or corporate structure;</w:t>
      </w:r>
    </w:p>
    <w:p w:rsidR="00E92616" w:rsidRDefault="00B26D7C" w:rsidP="00387FE3">
      <w:pPr>
        <w:pStyle w:val="LetteredList"/>
      </w:pPr>
      <w:r>
        <w:t>a</w:t>
      </w:r>
      <w:r w:rsidR="00101753" w:rsidRPr="001C4A09">
        <w:t>n u</w:t>
      </w:r>
      <w:r w:rsidR="00101753">
        <w:t xml:space="preserve">nforeseen or </w:t>
      </w:r>
      <w:r w:rsidR="00101753" w:rsidRPr="002E27CF">
        <w:rPr>
          <w:i/>
        </w:rPr>
        <w:t>force majeure</w:t>
      </w:r>
      <w:r w:rsidR="00101753">
        <w:t xml:space="preserve"> event</w:t>
      </w:r>
      <w:r w:rsidR="00101753" w:rsidRPr="001C4A09">
        <w:t xml:space="preserve"> that severely restrict</w:t>
      </w:r>
      <w:r w:rsidR="007E3E56">
        <w:t>s</w:t>
      </w:r>
      <w:r w:rsidR="00101753" w:rsidRPr="001C4A09">
        <w:t xml:space="preserve"> A</w:t>
      </w:r>
      <w:r w:rsidR="00025E6A">
        <w:t>ctewAGL Retail’s</w:t>
      </w:r>
      <w:r w:rsidR="00101753" w:rsidRPr="001C4A09">
        <w:t xml:space="preserve"> ability to provide services</w:t>
      </w:r>
      <w:r>
        <w:t>;</w:t>
      </w:r>
      <w:bookmarkStart w:id="181" w:name="_Ref348976668"/>
      <w:r w:rsidR="00E92616">
        <w:t xml:space="preserve"> or</w:t>
      </w:r>
    </w:p>
    <w:p w:rsidR="007D3261" w:rsidRPr="00521B0E" w:rsidRDefault="005E29B5" w:rsidP="00E92616">
      <w:pPr>
        <w:pStyle w:val="LetteredListLast"/>
      </w:pPr>
      <w:r>
        <w:t>the cost-index model, its components or the determination of Y</w:t>
      </w:r>
      <w:r w:rsidRPr="002E2A84">
        <w:rPr>
          <w:vertAlign w:val="superscript"/>
        </w:rPr>
        <w:t>t</w:t>
      </w:r>
      <w:r>
        <w:t xml:space="preserve"> under clause </w:t>
      </w:r>
      <w:r w:rsidR="00C32A01">
        <w:fldChar w:fldCharType="begin"/>
      </w:r>
      <w:r>
        <w:instrText xml:space="preserve"> REF _Ref375211984 \r \h </w:instrText>
      </w:r>
      <w:r w:rsidR="00C32A01">
        <w:fldChar w:fldCharType="separate"/>
      </w:r>
      <w:r w:rsidR="00FA2DC9">
        <w:t>8</w:t>
      </w:r>
      <w:r w:rsidR="00C32A01">
        <w:fldChar w:fldCharType="end"/>
      </w:r>
      <w:r>
        <w:t xml:space="preserve"> becoming unworkable due to </w:t>
      </w:r>
      <w:r w:rsidR="002C7595">
        <w:t>a</w:t>
      </w:r>
      <w:r w:rsidR="00521B0E">
        <w:t xml:space="preserve"> </w:t>
      </w:r>
      <w:r w:rsidR="002C7595">
        <w:t>legislative provision</w:t>
      </w:r>
      <w:r w:rsidR="00C157AB">
        <w:t xml:space="preserve">, </w:t>
      </w:r>
      <w:r w:rsidR="002C7595">
        <w:t xml:space="preserve">government policy </w:t>
      </w:r>
      <w:r w:rsidR="00C157AB">
        <w:t xml:space="preserve">or other </w:t>
      </w:r>
      <w:r>
        <w:t>cause</w:t>
      </w:r>
      <w:r w:rsidR="00F9305F">
        <w:t xml:space="preserve"> (or any number</w:t>
      </w:r>
      <w:r w:rsidR="003E3F78">
        <w:t xml:space="preserve"> or combination</w:t>
      </w:r>
      <w:r w:rsidR="00F9305F">
        <w:t xml:space="preserve"> of the aforementioned)</w:t>
      </w:r>
      <w:r>
        <w:t>.</w:t>
      </w:r>
    </w:p>
    <w:p w:rsidR="00EC1BE2" w:rsidRDefault="00101753">
      <w:pPr>
        <w:pStyle w:val="Heading1"/>
      </w:pPr>
      <w:bookmarkStart w:id="182" w:name="_Toc478131783"/>
      <w:r>
        <w:t>Reset principle</w:t>
      </w:r>
      <w:bookmarkEnd w:id="181"/>
      <w:bookmarkEnd w:id="182"/>
    </w:p>
    <w:p w:rsidR="00101753" w:rsidRPr="00320B42" w:rsidRDefault="00101753" w:rsidP="0043779A">
      <w:pPr>
        <w:pStyle w:val="BulletIntro"/>
      </w:pPr>
      <w:r>
        <w:t>Pursuant to section 20B of the ICRC Act, the future reset principl</w:t>
      </w:r>
      <w:r w:rsidR="00A26D08">
        <w:t>e is</w:t>
      </w:r>
      <w:r w:rsidR="00616241">
        <w:t>:</w:t>
      </w:r>
    </w:p>
    <w:p w:rsidR="007D3CA0" w:rsidRDefault="00DC674A" w:rsidP="00DC674A">
      <w:pPr>
        <w:pStyle w:val="LetteredList"/>
        <w:numPr>
          <w:ilvl w:val="0"/>
          <w:numId w:val="12"/>
        </w:numPr>
      </w:pPr>
      <w:r w:rsidRPr="000C1081">
        <w:t xml:space="preserve">The Commission will seek a reference from the relevant </w:t>
      </w:r>
      <w:r>
        <w:t>m</w:t>
      </w:r>
      <w:r w:rsidRPr="000C1081">
        <w:t xml:space="preserve">inister regarding services covered by this </w:t>
      </w:r>
      <w:r w:rsidR="00B32A85">
        <w:t>Price D</w:t>
      </w:r>
      <w:r>
        <w:t>irection</w:t>
      </w:r>
      <w:r w:rsidRPr="000C1081">
        <w:t xml:space="preserve"> 18 months prior to the expiry of the regu</w:t>
      </w:r>
      <w:r>
        <w:t xml:space="preserve">latory period set out </w:t>
      </w:r>
      <w:r w:rsidRPr="00851440">
        <w:t xml:space="preserve">in </w:t>
      </w:r>
      <w:r>
        <w:t xml:space="preserve">clause </w:t>
      </w:r>
      <w:r w:rsidR="00C32A01">
        <w:fldChar w:fldCharType="begin"/>
      </w:r>
      <w:r>
        <w:instrText xml:space="preserve"> REF _Ref358209017 \r \h </w:instrText>
      </w:r>
      <w:r w:rsidR="00C32A01">
        <w:fldChar w:fldCharType="separate"/>
      </w:r>
      <w:r w:rsidR="00FA2DC9">
        <w:t>2</w:t>
      </w:r>
      <w:r w:rsidR="00C32A01">
        <w:fldChar w:fldCharType="end"/>
      </w:r>
      <w:r w:rsidRPr="00851440">
        <w:t xml:space="preserve"> of this</w:t>
      </w:r>
      <w:r w:rsidR="00B32A85">
        <w:t xml:space="preserve"> Price D</w:t>
      </w:r>
      <w:r>
        <w:t>irection</w:t>
      </w:r>
      <w:r w:rsidRPr="000C1081">
        <w:t>.</w:t>
      </w:r>
    </w:p>
    <w:p w:rsidR="00B76EF2" w:rsidRDefault="00B76EF2">
      <w:pPr>
        <w:pStyle w:val="LetteredList"/>
        <w:numPr>
          <w:ilvl w:val="0"/>
          <w:numId w:val="0"/>
        </w:numPr>
        <w:ind w:left="680" w:hanging="396"/>
      </w:pPr>
    </w:p>
    <w:p w:rsidR="00022732" w:rsidRDefault="00022732" w:rsidP="00022732"/>
    <w:p w:rsidR="008D1420" w:rsidRPr="004B64FA" w:rsidRDefault="008D1420" w:rsidP="004B64FA">
      <w:pPr>
        <w:sectPr w:rsidR="008D1420" w:rsidRPr="004B64FA" w:rsidSect="00501BCE">
          <w:headerReference w:type="even" r:id="rId22"/>
          <w:headerReference w:type="default" r:id="rId23"/>
          <w:endnotePr>
            <w:numFmt w:val="decimal"/>
          </w:endnotePr>
          <w:type w:val="oddPage"/>
          <w:pgSz w:w="11907" w:h="16840" w:code="9"/>
          <w:pgMar w:top="2268" w:right="2098" w:bottom="1701" w:left="2098" w:header="578" w:footer="578" w:gutter="0"/>
          <w:cols w:space="720"/>
          <w:titlePg/>
          <w:docGrid w:linePitch="360"/>
        </w:sectPr>
      </w:pPr>
    </w:p>
    <w:p w:rsidR="003968B0" w:rsidRPr="00611444" w:rsidRDefault="00E47D9A" w:rsidP="007755A8">
      <w:pPr>
        <w:pStyle w:val="HeadingAppendix1"/>
      </w:pPr>
      <w:bookmarkStart w:id="183" w:name="_Toc358809911"/>
      <w:bookmarkStart w:id="184" w:name="_Toc359304938"/>
      <w:bookmarkStart w:id="185" w:name="_Toc359305687"/>
      <w:bookmarkStart w:id="186" w:name="_Toc359309777"/>
      <w:bookmarkStart w:id="187" w:name="_Toc359411917"/>
      <w:bookmarkStart w:id="188" w:name="_Ref370714275"/>
      <w:bookmarkStart w:id="189" w:name="_Ref370714292"/>
      <w:bookmarkStart w:id="190" w:name="_Toc478131784"/>
      <w:bookmarkEnd w:id="92"/>
      <w:bookmarkEnd w:id="183"/>
      <w:bookmarkEnd w:id="184"/>
      <w:bookmarkEnd w:id="185"/>
      <w:bookmarkEnd w:id="186"/>
      <w:bookmarkEnd w:id="187"/>
      <w:r w:rsidRPr="00611444">
        <w:lastRenderedPageBreak/>
        <w:t>Compliance</w:t>
      </w:r>
      <w:bookmarkEnd w:id="188"/>
      <w:bookmarkEnd w:id="189"/>
      <w:bookmarkEnd w:id="190"/>
      <w:r w:rsidR="007755A8" w:rsidRPr="00611444">
        <w:t xml:space="preserve"> </w:t>
      </w:r>
    </w:p>
    <w:p w:rsidR="00A819E4" w:rsidRPr="00386D19" w:rsidRDefault="00A819E4" w:rsidP="00A11006">
      <w:pPr>
        <w:pStyle w:val="HeadingAppendix2"/>
        <w:outlineLvl w:val="2"/>
      </w:pPr>
      <w:bookmarkStart w:id="191" w:name="_Toc378334173"/>
      <w:bookmarkStart w:id="192" w:name="_Toc380051047"/>
      <w:bookmarkStart w:id="193" w:name="_Toc478120690"/>
      <w:bookmarkStart w:id="194" w:name="_Toc478131785"/>
      <w:bookmarkStart w:id="195" w:name="Abbreviations_and_acronyms"/>
      <w:r w:rsidRPr="00386D19">
        <w:t>Compliance</w:t>
      </w:r>
      <w:bookmarkEnd w:id="191"/>
      <w:r w:rsidRPr="00386D19">
        <w:t xml:space="preserve"> with the terms of reference</w:t>
      </w:r>
      <w:bookmarkEnd w:id="192"/>
      <w:bookmarkEnd w:id="193"/>
      <w:bookmarkEnd w:id="194"/>
    </w:p>
    <w:p w:rsidR="00A819E4" w:rsidRPr="00386D19" w:rsidRDefault="00A819E4" w:rsidP="00FA1CFB">
      <w:pPr>
        <w:pStyle w:val="HeadingAppendix3"/>
      </w:pPr>
      <w:bookmarkStart w:id="196" w:name="_Toc478130502"/>
      <w:bookmarkStart w:id="197" w:name="_Toc478130568"/>
      <w:bookmarkStart w:id="198" w:name="_Toc478131786"/>
      <w:r w:rsidRPr="00386D19">
        <w:t>Compliance with the terms of reference</w:t>
      </w:r>
      <w:bookmarkEnd w:id="196"/>
      <w:bookmarkEnd w:id="197"/>
      <w:bookmarkEnd w:id="198"/>
    </w:p>
    <w:tbl>
      <w:tblPr>
        <w:tblW w:w="7449" w:type="dxa"/>
        <w:tblBorders>
          <w:top w:val="single" w:sz="12" w:space="0" w:color="333399"/>
          <w:bottom w:val="single" w:sz="4" w:space="0" w:color="333399"/>
          <w:insideH w:val="single" w:sz="4" w:space="0" w:color="333399"/>
        </w:tblBorders>
        <w:tblLook w:val="04A0" w:firstRow="1" w:lastRow="0" w:firstColumn="1" w:lastColumn="0" w:noHBand="0" w:noVBand="1"/>
      </w:tblPr>
      <w:tblGrid>
        <w:gridCol w:w="758"/>
        <w:gridCol w:w="3164"/>
        <w:gridCol w:w="849"/>
        <w:gridCol w:w="2678"/>
      </w:tblGrid>
      <w:tr w:rsidR="00A819E4" w:rsidRPr="00386D19" w:rsidTr="00A11006">
        <w:trPr>
          <w:trHeight w:val="314"/>
          <w:tblHeader/>
        </w:trPr>
        <w:tc>
          <w:tcPr>
            <w:tcW w:w="758" w:type="dxa"/>
            <w:tcBorders>
              <w:top w:val="single" w:sz="12" w:space="0" w:color="1F497D" w:themeColor="text2"/>
              <w:left w:val="nil"/>
              <w:bottom w:val="single" w:sz="4"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bookmarkStart w:id="199" w:name="_Ref356399449"/>
            <w:r w:rsidRPr="00386D19">
              <w:rPr>
                <w:rFonts w:ascii="Arial Narrow" w:hAnsi="Arial Narrow"/>
                <w:b/>
                <w:sz w:val="18"/>
              </w:rPr>
              <w:t>Clause</w:t>
            </w:r>
          </w:p>
        </w:tc>
        <w:tc>
          <w:tcPr>
            <w:tcW w:w="3164" w:type="dxa"/>
            <w:tcBorders>
              <w:top w:val="single" w:sz="12" w:space="0" w:color="1F497D" w:themeColor="text2"/>
              <w:left w:val="nil"/>
              <w:bottom w:val="single" w:sz="4"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Requirement</w:t>
            </w:r>
          </w:p>
        </w:tc>
        <w:tc>
          <w:tcPr>
            <w:tcW w:w="849" w:type="dxa"/>
            <w:tcBorders>
              <w:top w:val="single" w:sz="12" w:space="0" w:color="1F497D" w:themeColor="text2"/>
              <w:left w:val="nil"/>
              <w:bottom w:val="single" w:sz="4"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Chapter</w:t>
            </w:r>
          </w:p>
        </w:tc>
        <w:tc>
          <w:tcPr>
            <w:tcW w:w="2678" w:type="dxa"/>
            <w:tcBorders>
              <w:top w:val="single" w:sz="12" w:space="0" w:color="1F497D" w:themeColor="text2"/>
              <w:left w:val="nil"/>
              <w:bottom w:val="single" w:sz="4"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Comments</w:t>
            </w:r>
          </w:p>
        </w:tc>
      </w:tr>
      <w:tr w:rsidR="00A819E4" w:rsidRPr="00386D19" w:rsidTr="00A11006">
        <w:tc>
          <w:tcPr>
            <w:tcW w:w="758" w:type="dxa"/>
            <w:tcBorders>
              <w:top w:val="single" w:sz="4" w:space="0" w:color="1F497D" w:themeColor="text2"/>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2</w:t>
            </w:r>
          </w:p>
        </w:tc>
        <w:tc>
          <w:tcPr>
            <w:tcW w:w="3164" w:type="dxa"/>
            <w:tcBorders>
              <w:top w:val="single" w:sz="4" w:space="0" w:color="1F497D" w:themeColor="text2"/>
              <w:left w:val="nil"/>
              <w:bottom w:val="dotted" w:sz="4" w:space="0" w:color="auto"/>
              <w:right w:val="nil"/>
            </w:tcBorders>
            <w:hideMark/>
          </w:tcPr>
          <w:p w:rsidR="00A819E4" w:rsidRDefault="00A819E4" w:rsidP="00A11006">
            <w:pPr>
              <w:spacing w:before="40" w:after="40" w:line="240" w:lineRule="auto"/>
              <w:rPr>
                <w:rFonts w:ascii="Arial Narrow" w:hAnsi="Arial Narrow"/>
                <w:sz w:val="18"/>
              </w:rPr>
            </w:pPr>
            <w:r w:rsidRPr="00386D19">
              <w:rPr>
                <w:rFonts w:ascii="Arial Narrow" w:hAnsi="Arial Narrow"/>
                <w:sz w:val="18"/>
              </w:rPr>
              <w:t xml:space="preserve">The price direction will be for </w:t>
            </w:r>
            <w:r>
              <w:rPr>
                <w:rFonts w:ascii="Arial Narrow" w:hAnsi="Arial Narrow"/>
                <w:sz w:val="18"/>
              </w:rPr>
              <w:t>the period of 1 July </w:t>
            </w:r>
            <w:r w:rsidRPr="00386D19">
              <w:rPr>
                <w:rFonts w:ascii="Arial Narrow" w:hAnsi="Arial Narrow"/>
                <w:sz w:val="18"/>
              </w:rPr>
              <w:t>201</w:t>
            </w:r>
            <w:r>
              <w:rPr>
                <w:rFonts w:ascii="Arial Narrow" w:hAnsi="Arial Narrow"/>
                <w:sz w:val="18"/>
              </w:rPr>
              <w:t>7 to 30 June </w:t>
            </w:r>
            <w:r w:rsidRPr="00386D19">
              <w:rPr>
                <w:rFonts w:ascii="Arial Narrow" w:hAnsi="Arial Narrow"/>
                <w:sz w:val="18"/>
              </w:rPr>
              <w:t>20</w:t>
            </w:r>
            <w:r>
              <w:rPr>
                <w:rFonts w:ascii="Arial Narrow" w:hAnsi="Arial Narrow"/>
                <w:sz w:val="18"/>
              </w:rPr>
              <w:t>20.</w:t>
            </w:r>
          </w:p>
          <w:p w:rsidR="00A819E4" w:rsidRPr="00386D19" w:rsidRDefault="00A819E4" w:rsidP="00A11006">
            <w:pPr>
              <w:spacing w:before="40" w:after="40" w:line="240" w:lineRule="auto"/>
              <w:rPr>
                <w:rFonts w:ascii="Arial Narrow" w:hAnsi="Arial Narrow"/>
                <w:sz w:val="18"/>
              </w:rPr>
            </w:pPr>
            <w:r>
              <w:rPr>
                <w:rFonts w:ascii="Arial Narrow" w:hAnsi="Arial Narrow"/>
                <w:sz w:val="18"/>
              </w:rPr>
              <w:t>The Price direction must make provision for annual recalibrations to be undertaken by 30 June 2018 and 30 June 2019.</w:t>
            </w:r>
          </w:p>
        </w:tc>
        <w:tc>
          <w:tcPr>
            <w:tcW w:w="849" w:type="dxa"/>
            <w:tcBorders>
              <w:top w:val="single" w:sz="4" w:space="0" w:color="1F497D" w:themeColor="text2"/>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sidRPr="00386D19">
              <w:rPr>
                <w:rFonts w:ascii="Arial Narrow" w:hAnsi="Arial Narrow"/>
                <w:sz w:val="18"/>
              </w:rPr>
              <w:t xml:space="preserve">2, </w:t>
            </w:r>
            <w:r>
              <w:rPr>
                <w:rFonts w:ascii="Arial Narrow" w:hAnsi="Arial Narrow"/>
                <w:sz w:val="18"/>
              </w:rPr>
              <w:t>4</w:t>
            </w:r>
          </w:p>
        </w:tc>
        <w:tc>
          <w:tcPr>
            <w:tcW w:w="2678" w:type="dxa"/>
            <w:tcBorders>
              <w:top w:val="single" w:sz="4" w:space="0" w:color="1F497D" w:themeColor="text2"/>
              <w:left w:val="nil"/>
              <w:bottom w:val="dotted" w:sz="4" w:space="0" w:color="auto"/>
              <w:right w:val="nil"/>
            </w:tcBorders>
            <w:hideMark/>
          </w:tcPr>
          <w:p w:rsidR="00A819E4" w:rsidRDefault="00A819E4" w:rsidP="00A11006">
            <w:pPr>
              <w:spacing w:before="40" w:after="40" w:line="240" w:lineRule="auto"/>
              <w:rPr>
                <w:rFonts w:ascii="Arial Narrow" w:hAnsi="Arial Narrow"/>
                <w:b/>
                <w:color w:val="000033"/>
                <w:kern w:val="28"/>
                <w:sz w:val="18"/>
              </w:rPr>
            </w:pPr>
            <w:r w:rsidRPr="00386D19">
              <w:rPr>
                <w:rFonts w:ascii="Arial Narrow" w:hAnsi="Arial Narrow"/>
                <w:sz w:val="18"/>
              </w:rPr>
              <w:t>The proposed price direction applies for a 3 year period and provides for annual price recalibrations.</w:t>
            </w:r>
          </w:p>
        </w:tc>
      </w:tr>
      <w:tr w:rsidR="00A819E4" w:rsidRPr="00386D19" w:rsidTr="00A11006">
        <w:tc>
          <w:tcPr>
            <w:tcW w:w="75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3.1a</w:t>
            </w:r>
          </w:p>
        </w:tc>
        <w:tc>
          <w:tcPr>
            <w:tcW w:w="3164"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 must consider the </w:t>
            </w:r>
            <w:r>
              <w:rPr>
                <w:rFonts w:ascii="Arial Narrow" w:hAnsi="Arial Narrow"/>
                <w:sz w:val="18"/>
              </w:rPr>
              <w:t xml:space="preserve">direct impact </w:t>
            </w:r>
            <w:r w:rsidRPr="00386D19">
              <w:rPr>
                <w:rFonts w:ascii="Arial Narrow" w:hAnsi="Arial Narrow"/>
                <w:sz w:val="18"/>
              </w:rPr>
              <w:t xml:space="preserve">on electricity costs of </w:t>
            </w:r>
            <w:r>
              <w:rPr>
                <w:rFonts w:ascii="Arial Narrow" w:hAnsi="Arial Narrow"/>
                <w:sz w:val="18"/>
              </w:rPr>
              <w:t>government policies</w:t>
            </w:r>
            <w:r w:rsidRPr="00386D19">
              <w:rPr>
                <w:rFonts w:ascii="Arial Narrow" w:hAnsi="Arial Narrow"/>
                <w:sz w:val="18"/>
              </w:rPr>
              <w:t xml:space="preserve"> and pass through of </w:t>
            </w:r>
            <w:r>
              <w:rPr>
                <w:rFonts w:ascii="Arial Narrow" w:hAnsi="Arial Narrow"/>
                <w:sz w:val="18"/>
              </w:rPr>
              <w:t>c</w:t>
            </w:r>
            <w:r w:rsidRPr="00386D19">
              <w:rPr>
                <w:rFonts w:ascii="Arial Narrow" w:hAnsi="Arial Narrow"/>
                <w:sz w:val="18"/>
              </w:rPr>
              <w:t>osts</w:t>
            </w:r>
            <w:r>
              <w:rPr>
                <w:rFonts w:ascii="Arial Narrow" w:hAnsi="Arial Narrow"/>
                <w:sz w:val="18"/>
              </w:rPr>
              <w:t xml:space="preserve"> and savings to regulated prices including but not limited to: </w:t>
            </w:r>
          </w:p>
        </w:tc>
        <w:tc>
          <w:tcPr>
            <w:tcW w:w="849"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p>
        </w:tc>
        <w:tc>
          <w:tcPr>
            <w:tcW w:w="267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p>
        </w:tc>
      </w:tr>
      <w:tr w:rsidR="00A819E4" w:rsidRPr="00386D19" w:rsidTr="00A11006">
        <w:tc>
          <w:tcPr>
            <w:tcW w:w="75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sidRPr="00386D19">
              <w:rPr>
                <w:rFonts w:ascii="Arial Narrow" w:hAnsi="Arial Narrow"/>
                <w:sz w:val="18"/>
              </w:rPr>
              <w:t>i</w:t>
            </w:r>
          </w:p>
        </w:tc>
        <w:tc>
          <w:tcPr>
            <w:tcW w:w="3164" w:type="dxa"/>
            <w:tcBorders>
              <w:top w:val="dotted" w:sz="4" w:space="0" w:color="auto"/>
              <w:left w:val="nil"/>
              <w:bottom w:val="dotted" w:sz="4" w:space="0" w:color="auto"/>
              <w:right w:val="nil"/>
            </w:tcBorders>
            <w:hideMark/>
          </w:tcPr>
          <w:p w:rsidR="00A819E4" w:rsidRDefault="00A819E4" w:rsidP="00A11006">
            <w:pPr>
              <w:spacing w:before="40" w:after="40" w:line="240" w:lineRule="auto"/>
              <w:rPr>
                <w:rFonts w:ascii="Arial Narrow" w:hAnsi="Arial Narrow"/>
                <w:sz w:val="18"/>
              </w:rPr>
            </w:pPr>
            <w:r>
              <w:rPr>
                <w:rFonts w:ascii="Arial Narrow" w:hAnsi="Arial Narrow"/>
                <w:sz w:val="18"/>
              </w:rPr>
              <w:t>The ACT retailer obligations under the Energy Efficiency Improvement Scheme.</w:t>
            </w:r>
          </w:p>
          <w:p w:rsidR="00A819E4" w:rsidRPr="00386D19" w:rsidRDefault="00A819E4" w:rsidP="00A11006">
            <w:pPr>
              <w:spacing w:before="40" w:after="40" w:line="240" w:lineRule="auto"/>
              <w:rPr>
                <w:rFonts w:ascii="Arial Narrow" w:hAnsi="Arial Narrow"/>
                <w:sz w:val="18"/>
              </w:rPr>
            </w:pPr>
          </w:p>
        </w:tc>
        <w:tc>
          <w:tcPr>
            <w:tcW w:w="849"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prudent and efficient costs of the Act Government’s EEIS are included in the cost build-up. </w:t>
            </w:r>
          </w:p>
        </w:tc>
      </w:tr>
      <w:tr w:rsidR="00A819E4" w:rsidRPr="00386D19" w:rsidTr="00A11006">
        <w:tc>
          <w:tcPr>
            <w:tcW w:w="75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sidRPr="00386D19">
              <w:rPr>
                <w:rFonts w:ascii="Arial Narrow" w:hAnsi="Arial Narrow"/>
                <w:sz w:val="18"/>
              </w:rPr>
              <w:t>ii</w:t>
            </w:r>
          </w:p>
        </w:tc>
        <w:tc>
          <w:tcPr>
            <w:tcW w:w="3164"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Commonwealth Government’s</w:t>
            </w:r>
            <w:r w:rsidRPr="00386D19">
              <w:rPr>
                <w:rFonts w:ascii="Arial Narrow" w:hAnsi="Arial Narrow"/>
                <w:sz w:val="24"/>
                <w:szCs w:val="24"/>
                <w:lang w:val="en-AU"/>
              </w:rPr>
              <w:t xml:space="preserve"> </w:t>
            </w:r>
            <w:r w:rsidRPr="00386D19">
              <w:rPr>
                <w:rFonts w:ascii="Arial Narrow" w:hAnsi="Arial Narrow"/>
                <w:sz w:val="18"/>
              </w:rPr>
              <w:t>Large-scale Renewable Energy Target and Small-scale Renewable Energy Scheme</w:t>
            </w:r>
          </w:p>
        </w:tc>
        <w:tc>
          <w:tcPr>
            <w:tcW w:w="849"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LRET and SRES costs are included in the cost build-up.</w:t>
            </w:r>
          </w:p>
        </w:tc>
      </w:tr>
      <w:tr w:rsidR="00A819E4" w:rsidRPr="00386D19" w:rsidTr="00A11006">
        <w:tc>
          <w:tcPr>
            <w:tcW w:w="758"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r w:rsidRPr="00386D19">
              <w:rPr>
                <w:rFonts w:ascii="Arial Narrow" w:hAnsi="Arial Narrow"/>
                <w:sz w:val="18"/>
              </w:rPr>
              <w:t>i</w:t>
            </w:r>
            <w:r>
              <w:rPr>
                <w:rFonts w:ascii="Arial Narrow" w:hAnsi="Arial Narrow"/>
                <w:sz w:val="18"/>
              </w:rPr>
              <w:t>ii</w:t>
            </w:r>
          </w:p>
        </w:tc>
        <w:tc>
          <w:tcPr>
            <w:tcW w:w="3164"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any other schemes implemented to address climate change relevant to electricity pricing</w:t>
            </w:r>
          </w:p>
        </w:tc>
        <w:tc>
          <w:tcPr>
            <w:tcW w:w="849"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p>
        </w:tc>
        <w:tc>
          <w:tcPr>
            <w:tcW w:w="2678"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N/A</w:t>
            </w:r>
          </w:p>
        </w:tc>
      </w:tr>
      <w:tr w:rsidR="00A819E4" w:rsidRPr="00386D19" w:rsidTr="00A11006">
        <w:tc>
          <w:tcPr>
            <w:tcW w:w="758"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3.1b</w:t>
            </w:r>
          </w:p>
        </w:tc>
        <w:tc>
          <w:tcPr>
            <w:tcW w:w="3164"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 must consider the efficient and prudent cost of managing risk in the cost of purchasing electricity</w:t>
            </w:r>
            <w:r>
              <w:rPr>
                <w:rFonts w:ascii="Arial Narrow" w:hAnsi="Arial Narrow"/>
                <w:sz w:val="18"/>
              </w:rPr>
              <w:t xml:space="preserve"> for the period of the price direction.</w:t>
            </w:r>
          </w:p>
        </w:tc>
        <w:tc>
          <w:tcPr>
            <w:tcW w:w="849"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energy purchase cost model incorporates a hedging strategy.</w:t>
            </w:r>
          </w:p>
        </w:tc>
      </w:tr>
      <w:tr w:rsidR="00A819E4" w:rsidRPr="00386D19" w:rsidTr="00A11006">
        <w:tc>
          <w:tcPr>
            <w:tcW w:w="758"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3.2</w:t>
            </w:r>
          </w:p>
        </w:tc>
        <w:tc>
          <w:tcPr>
            <w:tcW w:w="3164" w:type="dxa"/>
            <w:tcBorders>
              <w:top w:val="single" w:sz="4" w:space="0" w:color="1F497D" w:themeColor="text2"/>
              <w:left w:val="nil"/>
              <w:bottom w:val="single" w:sz="4" w:space="0" w:color="1F497D" w:themeColor="text2"/>
              <w:right w:val="nil"/>
            </w:tcBorders>
            <w:hideMark/>
          </w:tcPr>
          <w:p w:rsidR="00A819E4" w:rsidRDefault="00A819E4" w:rsidP="00A11006">
            <w:pPr>
              <w:spacing w:before="40" w:after="40" w:line="240" w:lineRule="auto"/>
              <w:rPr>
                <w:rFonts w:ascii="Arial Narrow" w:hAnsi="Arial Narrow"/>
                <w:sz w:val="18"/>
              </w:rPr>
            </w:pPr>
            <w:r w:rsidRPr="00386D19">
              <w:rPr>
                <w:rFonts w:ascii="Arial Narrow" w:hAnsi="Arial Narrow"/>
                <w:sz w:val="18"/>
              </w:rPr>
              <w:t>The Commission must identify and report on the efficient costs of complying with the Energy Efficiency (Cost of Living) Improvement Act 2012</w:t>
            </w:r>
            <w:r>
              <w:rPr>
                <w:rFonts w:ascii="Arial Narrow" w:hAnsi="Arial Narrow"/>
                <w:sz w:val="18"/>
              </w:rPr>
              <w:t xml:space="preserve"> for the period that the determination is being made.</w:t>
            </w:r>
          </w:p>
          <w:p w:rsidR="00A819E4" w:rsidRPr="00386D19" w:rsidRDefault="00A819E4" w:rsidP="00A11006">
            <w:pPr>
              <w:spacing w:before="40" w:after="40" w:line="240" w:lineRule="auto"/>
              <w:rPr>
                <w:rFonts w:ascii="Arial Narrow" w:hAnsi="Arial Narrow"/>
                <w:sz w:val="18"/>
              </w:rPr>
            </w:pPr>
          </w:p>
        </w:tc>
        <w:tc>
          <w:tcPr>
            <w:tcW w:w="849"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single" w:sz="4" w:space="0" w:color="1F497D" w:themeColor="text2"/>
              <w:left w:val="nil"/>
              <w:bottom w:val="single" w:sz="4" w:space="0" w:color="1F497D" w:themeColor="text2"/>
              <w:right w:val="nil"/>
            </w:tcBorders>
            <w:hideMark/>
          </w:tcPr>
          <w:p w:rsidR="00A819E4" w:rsidRDefault="00A819E4" w:rsidP="00A11006">
            <w:pPr>
              <w:spacing w:before="40" w:after="40" w:line="240" w:lineRule="auto"/>
              <w:rPr>
                <w:rFonts w:ascii="Arial Narrow" w:hAnsi="Arial Narrow"/>
                <w:sz w:val="18"/>
              </w:rPr>
            </w:pPr>
            <w:r w:rsidRPr="00386D19">
              <w:rPr>
                <w:rFonts w:ascii="Arial Narrow" w:hAnsi="Arial Narrow"/>
                <w:sz w:val="18"/>
              </w:rPr>
              <w:t>The costs of the ACT Government’s EEIS</w:t>
            </w:r>
            <w:r>
              <w:rPr>
                <w:rFonts w:ascii="Arial Narrow" w:hAnsi="Arial Narrow"/>
                <w:sz w:val="18"/>
              </w:rPr>
              <w:t xml:space="preserve"> scheme</w:t>
            </w:r>
            <w:r w:rsidRPr="00386D19">
              <w:rPr>
                <w:rFonts w:ascii="Arial Narrow" w:hAnsi="Arial Narrow"/>
                <w:sz w:val="18"/>
              </w:rPr>
              <w:t xml:space="preserve"> are identified, assessed for prudence and efficiency and reported.</w:t>
            </w:r>
          </w:p>
          <w:p w:rsidR="00A819E4" w:rsidRPr="00386D19" w:rsidRDefault="00A819E4" w:rsidP="00A11006">
            <w:pPr>
              <w:spacing w:before="40" w:after="40" w:line="240" w:lineRule="auto"/>
              <w:rPr>
                <w:rFonts w:ascii="Arial Narrow" w:hAnsi="Arial Narrow"/>
                <w:sz w:val="18"/>
              </w:rPr>
            </w:pPr>
          </w:p>
        </w:tc>
      </w:tr>
      <w:tr w:rsidR="00A819E4" w:rsidRPr="00386D19" w:rsidTr="00A11006">
        <w:tc>
          <w:tcPr>
            <w:tcW w:w="758"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3.3</w:t>
            </w:r>
          </w:p>
        </w:tc>
        <w:tc>
          <w:tcPr>
            <w:tcW w:w="3164"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 must identify and report on the cost allowance of the ACT feed-in tariffs (small and large scale) for the </w:t>
            </w:r>
            <w:r>
              <w:rPr>
                <w:rFonts w:ascii="Arial Narrow" w:hAnsi="Arial Narrow"/>
                <w:sz w:val="18"/>
              </w:rPr>
              <w:t>period that the determination is being made.</w:t>
            </w:r>
          </w:p>
        </w:tc>
        <w:tc>
          <w:tcPr>
            <w:tcW w:w="849"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costs of the ACT feed-in tariffs will be identified and reported in the final report.</w:t>
            </w:r>
          </w:p>
        </w:tc>
      </w:tr>
      <w:tr w:rsidR="00A819E4" w:rsidRPr="00386D19" w:rsidTr="00A11006">
        <w:tc>
          <w:tcPr>
            <w:tcW w:w="758"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3.4</w:t>
            </w:r>
          </w:p>
        </w:tc>
        <w:tc>
          <w:tcPr>
            <w:tcW w:w="3164"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 must produce its final report</w:t>
            </w:r>
            <w:r>
              <w:rPr>
                <w:rFonts w:ascii="Arial Narrow" w:hAnsi="Arial Narrow"/>
                <w:sz w:val="18"/>
              </w:rPr>
              <w:t xml:space="preserve"> within the period of 1 January 2017 to 7 June 2017, to provide sufficient time to allow </w:t>
            </w:r>
            <w:r w:rsidRPr="00386D19">
              <w:rPr>
                <w:rFonts w:ascii="Arial Narrow" w:hAnsi="Arial Narrow"/>
                <w:sz w:val="18"/>
              </w:rPr>
              <w:t>ActewAGL Retail to make any necessary changes to its billing system and to provide information on the new tariff to customers for implementation effective 1</w:t>
            </w:r>
            <w:r>
              <w:rPr>
                <w:rFonts w:ascii="Arial Narrow" w:hAnsi="Arial Narrow"/>
                <w:sz w:val="18"/>
              </w:rPr>
              <w:t> </w:t>
            </w:r>
            <w:r w:rsidRPr="00386D19">
              <w:rPr>
                <w:rFonts w:ascii="Arial Narrow" w:hAnsi="Arial Narrow"/>
                <w:sz w:val="18"/>
              </w:rPr>
              <w:t>July</w:t>
            </w:r>
            <w:r>
              <w:rPr>
                <w:rFonts w:ascii="Arial Narrow" w:hAnsi="Arial Narrow"/>
                <w:sz w:val="18"/>
              </w:rPr>
              <w:t> </w:t>
            </w:r>
            <w:r w:rsidRPr="00386D19">
              <w:rPr>
                <w:rFonts w:ascii="Arial Narrow" w:hAnsi="Arial Narrow"/>
                <w:sz w:val="18"/>
              </w:rPr>
              <w:t>201</w:t>
            </w:r>
            <w:r>
              <w:rPr>
                <w:rFonts w:ascii="Arial Narrow" w:hAnsi="Arial Narrow"/>
                <w:sz w:val="18"/>
              </w:rPr>
              <w:t>7.</w:t>
            </w:r>
          </w:p>
        </w:tc>
        <w:tc>
          <w:tcPr>
            <w:tcW w:w="849"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p>
        </w:tc>
        <w:tc>
          <w:tcPr>
            <w:tcW w:w="2678"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This clause relates to the final report.</w:t>
            </w:r>
          </w:p>
        </w:tc>
      </w:tr>
    </w:tbl>
    <w:p w:rsidR="00A819E4" w:rsidRPr="00386D19" w:rsidRDefault="00A819E4" w:rsidP="00FA1CFB">
      <w:pPr>
        <w:pStyle w:val="HeadingAppendix2"/>
      </w:pPr>
      <w:bookmarkStart w:id="200" w:name="_Toc378334174"/>
      <w:bookmarkStart w:id="201" w:name="_Toc380051048"/>
      <w:bookmarkStart w:id="202" w:name="_Toc478120691"/>
      <w:bookmarkStart w:id="203" w:name="_Toc478131787"/>
      <w:bookmarkEnd w:id="199"/>
      <w:r w:rsidRPr="00386D19">
        <w:lastRenderedPageBreak/>
        <w:t>Compliance</w:t>
      </w:r>
      <w:bookmarkEnd w:id="200"/>
      <w:r w:rsidRPr="00386D19">
        <w:t xml:space="preserve"> with the ICRC Act</w:t>
      </w:r>
      <w:bookmarkEnd w:id="201"/>
      <w:bookmarkEnd w:id="202"/>
      <w:bookmarkEnd w:id="203"/>
    </w:p>
    <w:p w:rsidR="00A819E4" w:rsidRPr="00386D19" w:rsidRDefault="00A819E4" w:rsidP="00FA1CFB">
      <w:pPr>
        <w:pStyle w:val="HeadingAppendix3"/>
      </w:pPr>
      <w:bookmarkStart w:id="204" w:name="_Toc378334175"/>
      <w:bookmarkStart w:id="205" w:name="_Toc478130504"/>
      <w:bookmarkStart w:id="206" w:name="_Toc478130570"/>
      <w:bookmarkStart w:id="207" w:name="_Toc478131788"/>
      <w:r w:rsidRPr="00386D19">
        <w:t>Objectives</w:t>
      </w:r>
      <w:bookmarkEnd w:id="204"/>
      <w:bookmarkEnd w:id="205"/>
      <w:bookmarkEnd w:id="206"/>
      <w:bookmarkEnd w:id="207"/>
    </w:p>
    <w:p w:rsidR="00A819E4" w:rsidRPr="00386D19" w:rsidRDefault="00A819E4" w:rsidP="00A819E4">
      <w:pPr>
        <w:pStyle w:val="FigureName"/>
      </w:pPr>
      <w:bookmarkStart w:id="208" w:name="_Toc378334220"/>
      <w:bookmarkStart w:id="209" w:name="_Toc380051345"/>
      <w:bookmarkStart w:id="210" w:name="_Toc478124963"/>
      <w:r w:rsidRPr="00386D19">
        <w:t>Compliance with section 7 of the ICRC Act</w:t>
      </w:r>
      <w:bookmarkEnd w:id="208"/>
      <w:bookmarkEnd w:id="209"/>
      <w:bookmarkEnd w:id="210"/>
    </w:p>
    <w:tbl>
      <w:tblPr>
        <w:tblW w:w="8613" w:type="dxa"/>
        <w:tblBorders>
          <w:top w:val="single" w:sz="12" w:space="0" w:color="333399"/>
          <w:bottom w:val="single" w:sz="4" w:space="0" w:color="333399"/>
          <w:insideH w:val="single" w:sz="4" w:space="0" w:color="333399"/>
        </w:tblBorders>
        <w:tblLook w:val="04A0" w:firstRow="1" w:lastRow="0" w:firstColumn="1" w:lastColumn="0" w:noHBand="0" w:noVBand="1"/>
      </w:tblPr>
      <w:tblGrid>
        <w:gridCol w:w="955"/>
        <w:gridCol w:w="2414"/>
        <w:gridCol w:w="856"/>
        <w:gridCol w:w="4388"/>
      </w:tblGrid>
      <w:tr w:rsidR="00A819E4" w:rsidRPr="00386D19" w:rsidTr="00A11006">
        <w:trPr>
          <w:trHeight w:val="314"/>
          <w:tblHeader/>
        </w:trPr>
        <w:tc>
          <w:tcPr>
            <w:tcW w:w="955"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Section 7</w:t>
            </w:r>
          </w:p>
        </w:tc>
        <w:tc>
          <w:tcPr>
            <w:tcW w:w="2414"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Requirement</w:t>
            </w:r>
          </w:p>
        </w:tc>
        <w:tc>
          <w:tcPr>
            <w:tcW w:w="856"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Chapter</w:t>
            </w:r>
          </w:p>
        </w:tc>
        <w:tc>
          <w:tcPr>
            <w:tcW w:w="4388" w:type="dxa"/>
            <w:tcBorders>
              <w:top w:val="single" w:sz="12" w:space="0" w:color="1F497D" w:themeColor="text2"/>
              <w:left w:val="nil"/>
              <w:bottom w:val="single" w:sz="8" w:space="0" w:color="1F497D" w:themeColor="text2"/>
              <w:right w:val="nil"/>
            </w:tcBorders>
            <w:shd w:val="clear" w:color="auto" w:fill="DBE5F1" w:themeFill="accent1" w:themeFillTint="33"/>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Comments</w:t>
            </w:r>
          </w:p>
        </w:tc>
      </w:tr>
      <w:tr w:rsidR="00A819E4" w:rsidRPr="00386D19" w:rsidTr="00A11006">
        <w:tc>
          <w:tcPr>
            <w:tcW w:w="955"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w:t>
            </w:r>
          </w:p>
        </w:tc>
        <w:tc>
          <w:tcPr>
            <w:tcW w:w="2414"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to promote effective competition in the interests of consumers</w:t>
            </w:r>
          </w:p>
        </w:tc>
        <w:tc>
          <w:tcPr>
            <w:tcW w:w="856"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3</w:t>
            </w:r>
          </w:p>
        </w:tc>
        <w:tc>
          <w:tcPr>
            <w:tcW w:w="4388" w:type="dxa"/>
            <w:tcBorders>
              <w:top w:val="single" w:sz="8" w:space="0" w:color="1F497D" w:themeColor="text2"/>
              <w:left w:val="nil"/>
              <w:bottom w:val="single" w:sz="4" w:space="0" w:color="1F497D" w:themeColor="text2"/>
              <w:right w:val="nil"/>
            </w:tcBorders>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 considered whether a competition</w:t>
            </w:r>
            <w:r>
              <w:rPr>
                <w:rFonts w:ascii="Arial Narrow" w:hAnsi="Arial Narrow"/>
                <w:sz w:val="18"/>
              </w:rPr>
              <w:t>/CARC</w:t>
            </w:r>
            <w:r w:rsidRPr="00386D19">
              <w:rPr>
                <w:rFonts w:ascii="Arial Narrow" w:hAnsi="Arial Narrow"/>
                <w:sz w:val="18"/>
              </w:rPr>
              <w:t xml:space="preserve"> allowance should be included in the regulated retail electricity price in the ACT in order to promote competition</w:t>
            </w:r>
            <w:r>
              <w:rPr>
                <w:rFonts w:ascii="Arial Narrow" w:hAnsi="Arial Narrow"/>
                <w:sz w:val="18"/>
              </w:rPr>
              <w:t>.</w:t>
            </w:r>
            <w:r w:rsidRPr="00386D19">
              <w:rPr>
                <w:rFonts w:ascii="Arial Narrow" w:hAnsi="Arial Narrow"/>
                <w:sz w:val="18"/>
              </w:rPr>
              <w:t xml:space="preserve"> </w:t>
            </w:r>
            <w:r>
              <w:rPr>
                <w:rFonts w:ascii="Arial Narrow" w:hAnsi="Arial Narrow"/>
                <w:sz w:val="18"/>
              </w:rPr>
              <w:t xml:space="preserve"> </w:t>
            </w:r>
            <w:r w:rsidRPr="00FA4D48">
              <w:rPr>
                <w:rFonts w:ascii="Arial Narrow" w:hAnsi="Arial Narrow"/>
                <w:sz w:val="18"/>
              </w:rPr>
              <w:t xml:space="preserve">The Commission acknowledges that retailers incur costs relating to </w:t>
            </w:r>
            <w:r>
              <w:rPr>
                <w:rFonts w:ascii="Arial Narrow" w:hAnsi="Arial Narrow"/>
                <w:sz w:val="18"/>
              </w:rPr>
              <w:t xml:space="preserve">customer acquisition and management </w:t>
            </w:r>
            <w:r w:rsidRPr="00FA4D48">
              <w:rPr>
                <w:rFonts w:ascii="Arial Narrow" w:hAnsi="Arial Narrow"/>
                <w:sz w:val="18"/>
              </w:rPr>
              <w:t>but maintains that it remains appropriate not to include a</w:t>
            </w:r>
            <w:r>
              <w:rPr>
                <w:rFonts w:ascii="Arial Narrow" w:hAnsi="Arial Narrow"/>
                <w:sz w:val="18"/>
              </w:rPr>
              <w:t>n additional</w:t>
            </w:r>
            <w:r w:rsidRPr="00FA4D48">
              <w:rPr>
                <w:rFonts w:ascii="Arial Narrow" w:hAnsi="Arial Narrow"/>
                <w:sz w:val="18"/>
              </w:rPr>
              <w:t xml:space="preserve"> separate </w:t>
            </w:r>
            <w:r>
              <w:rPr>
                <w:rFonts w:ascii="Arial Narrow" w:hAnsi="Arial Narrow"/>
                <w:sz w:val="18"/>
              </w:rPr>
              <w:t xml:space="preserve">competition </w:t>
            </w:r>
            <w:r w:rsidRPr="00FA4D48">
              <w:rPr>
                <w:rFonts w:ascii="Arial Narrow" w:hAnsi="Arial Narrow"/>
                <w:sz w:val="18"/>
              </w:rPr>
              <w:t>allowance</w:t>
            </w:r>
            <w:r>
              <w:rPr>
                <w:rFonts w:ascii="Arial Narrow" w:hAnsi="Arial Narrow"/>
                <w:sz w:val="18"/>
              </w:rPr>
              <w:t xml:space="preserve"> because (1) the </w:t>
            </w:r>
            <w:r w:rsidR="00B81EEA">
              <w:rPr>
                <w:rFonts w:ascii="Arial Narrow" w:hAnsi="Arial Narrow"/>
                <w:sz w:val="18"/>
              </w:rPr>
              <w:t>Commission, via</w:t>
            </w:r>
            <w:r>
              <w:rPr>
                <w:rFonts w:ascii="Arial Narrow" w:hAnsi="Arial Narrow"/>
                <w:sz w:val="18"/>
              </w:rPr>
              <w:t xml:space="preserve"> its allowed retail operating cost structure, is currently allowing retailers to recover relevant costs relating to customer acquisition and retention; and (2) it is not economically beneficial to introduce an additional allowance if it will set higher prices for consumers compared with a regulated monopoly situation. </w:t>
            </w:r>
          </w:p>
        </w:tc>
      </w:tr>
      <w:tr w:rsidR="00A819E4" w:rsidRPr="00386D19" w:rsidTr="00A11006">
        <w:tc>
          <w:tcPr>
            <w:tcW w:w="955"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(b)</w:t>
            </w:r>
          </w:p>
        </w:tc>
        <w:tc>
          <w:tcPr>
            <w:tcW w:w="2414"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to facilitate an appropriate balance between efficiency and environmental and social considerations</w:t>
            </w:r>
          </w:p>
        </w:tc>
        <w:tc>
          <w:tcPr>
            <w:tcW w:w="856"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2, 3, 4, </w:t>
            </w:r>
          </w:p>
        </w:tc>
        <w:tc>
          <w:tcPr>
            <w:tcW w:w="4388" w:type="dxa"/>
            <w:tcBorders>
              <w:top w:val="single" w:sz="4" w:space="0" w:color="1F497D" w:themeColor="text2"/>
              <w:left w:val="nil"/>
              <w:bottom w:val="single" w:sz="4" w:space="0" w:color="1F497D" w:themeColor="text2"/>
              <w:right w:val="nil"/>
            </w:tcBorders>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Commission’s retail electricity cost-index model is designed to recover the efficient costs of providing retail electricity services in the ACT.</w:t>
            </w:r>
            <w:r>
              <w:rPr>
                <w:rFonts w:ascii="Arial Narrow" w:hAnsi="Arial Narrow"/>
                <w:sz w:val="18"/>
              </w:rPr>
              <w:t xml:space="preserve"> </w:t>
            </w:r>
            <w:r w:rsidRPr="00386D19">
              <w:rPr>
                <w:rFonts w:ascii="Arial Narrow" w:hAnsi="Arial Narrow"/>
                <w:sz w:val="18"/>
              </w:rPr>
              <w:t xml:space="preserve"> This includes the efficient costs of various environmental measures </w:t>
            </w:r>
            <w:r>
              <w:rPr>
                <w:rFonts w:ascii="Arial Narrow" w:hAnsi="Arial Narrow"/>
                <w:sz w:val="18"/>
              </w:rPr>
              <w:t xml:space="preserve">such as </w:t>
            </w:r>
            <w:r w:rsidRPr="00386D19">
              <w:rPr>
                <w:rFonts w:ascii="Arial Narrow" w:hAnsi="Arial Narrow"/>
                <w:sz w:val="18"/>
              </w:rPr>
              <w:t>the national LRET and SRES schemes and the ACT energy efficiency schemes.</w:t>
            </w:r>
            <w:r>
              <w:rPr>
                <w:rFonts w:ascii="Arial Narrow" w:hAnsi="Arial Narrow"/>
                <w:sz w:val="18"/>
              </w:rPr>
              <w:t xml:space="preserve"> </w:t>
            </w:r>
            <w:r w:rsidRPr="00386D19">
              <w:rPr>
                <w:rFonts w:ascii="Arial Narrow" w:hAnsi="Arial Narrow"/>
                <w:sz w:val="18"/>
              </w:rPr>
              <w:t xml:space="preserve"> Social considerations are taken into account first by ensuring that the regulated price is based on efficient costs. </w:t>
            </w:r>
            <w:r>
              <w:rPr>
                <w:rFonts w:ascii="Arial Narrow" w:hAnsi="Arial Narrow"/>
                <w:sz w:val="18"/>
              </w:rPr>
              <w:t xml:space="preserve"> </w:t>
            </w:r>
            <w:r w:rsidRPr="00386D19">
              <w:rPr>
                <w:rFonts w:ascii="Arial Narrow" w:hAnsi="Arial Narrow"/>
                <w:sz w:val="18"/>
              </w:rPr>
              <w:t xml:space="preserve">The Commission also considers the impacts of proposed price changes on customer electricity bills. </w:t>
            </w:r>
          </w:p>
        </w:tc>
      </w:tr>
      <w:tr w:rsidR="00A819E4" w:rsidRPr="00386D19" w:rsidTr="00A11006">
        <w:tc>
          <w:tcPr>
            <w:tcW w:w="955"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(c)</w:t>
            </w:r>
          </w:p>
        </w:tc>
        <w:tc>
          <w:tcPr>
            <w:tcW w:w="2414"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to ensure non-discriminatory access to monopoly and near monopoly</w:t>
            </w:r>
          </w:p>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infrastructure</w:t>
            </w:r>
          </w:p>
        </w:tc>
        <w:tc>
          <w:tcPr>
            <w:tcW w:w="856"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p>
        </w:tc>
        <w:tc>
          <w:tcPr>
            <w:tcW w:w="4388" w:type="dxa"/>
            <w:tcBorders>
              <w:top w:val="single" w:sz="4" w:space="0" w:color="1F497D" w:themeColor="text2"/>
              <w:left w:val="nil"/>
              <w:bottom w:val="single" w:sz="12" w:space="0" w:color="1F497D" w:themeColor="text2"/>
              <w:right w:val="nil"/>
            </w:tcBorders>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N/A</w:t>
            </w:r>
          </w:p>
        </w:tc>
      </w:tr>
    </w:tbl>
    <w:p w:rsidR="00A819E4" w:rsidRPr="00386D19" w:rsidRDefault="00A819E4" w:rsidP="00FA1CFB">
      <w:pPr>
        <w:pStyle w:val="HeadingAppendix3"/>
      </w:pPr>
      <w:bookmarkStart w:id="211" w:name="_Toc478130505"/>
      <w:bookmarkStart w:id="212" w:name="_Toc478130571"/>
      <w:bookmarkStart w:id="213" w:name="_Toc478131789"/>
      <w:bookmarkStart w:id="214" w:name="_Toc378334176"/>
      <w:r>
        <w:t>Section 19(L)</w:t>
      </w:r>
      <w:bookmarkEnd w:id="211"/>
      <w:bookmarkEnd w:id="212"/>
      <w:bookmarkEnd w:id="213"/>
    </w:p>
    <w:p w:rsidR="00A819E4" w:rsidRPr="00386D19" w:rsidRDefault="00A819E4" w:rsidP="00A819E4">
      <w:pPr>
        <w:pStyle w:val="FigureName"/>
      </w:pPr>
      <w:bookmarkStart w:id="215" w:name="_Toc478124964"/>
      <w:r w:rsidRPr="00386D19">
        <w:t xml:space="preserve">Compliance with section </w:t>
      </w:r>
      <w:r>
        <w:t>19(L)</w:t>
      </w:r>
      <w:r w:rsidRPr="00386D19">
        <w:t xml:space="preserve"> of the ICRC Act</w:t>
      </w:r>
      <w:bookmarkEnd w:id="215"/>
    </w:p>
    <w:tbl>
      <w:tblPr>
        <w:tblW w:w="8613" w:type="dxa"/>
        <w:tblBorders>
          <w:top w:val="single" w:sz="12" w:space="0" w:color="333399"/>
          <w:bottom w:val="single" w:sz="4" w:space="0" w:color="333399"/>
          <w:insideH w:val="single" w:sz="4" w:space="0" w:color="333399"/>
        </w:tblBorders>
        <w:tblLook w:val="04A0" w:firstRow="1" w:lastRow="0" w:firstColumn="1" w:lastColumn="0" w:noHBand="0" w:noVBand="1"/>
      </w:tblPr>
      <w:tblGrid>
        <w:gridCol w:w="955"/>
        <w:gridCol w:w="2414"/>
        <w:gridCol w:w="856"/>
        <w:gridCol w:w="4388"/>
      </w:tblGrid>
      <w:tr w:rsidR="00A819E4" w:rsidRPr="00386D19" w:rsidTr="00A11006">
        <w:trPr>
          <w:trHeight w:val="314"/>
          <w:tblHeader/>
        </w:trPr>
        <w:tc>
          <w:tcPr>
            <w:tcW w:w="955"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 xml:space="preserve">Section </w:t>
            </w:r>
            <w:r>
              <w:rPr>
                <w:rFonts w:ascii="Arial Narrow" w:hAnsi="Arial Narrow"/>
                <w:b/>
                <w:sz w:val="18"/>
              </w:rPr>
              <w:t>19L</w:t>
            </w:r>
          </w:p>
        </w:tc>
        <w:tc>
          <w:tcPr>
            <w:tcW w:w="2414"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Requirement</w:t>
            </w:r>
          </w:p>
        </w:tc>
        <w:tc>
          <w:tcPr>
            <w:tcW w:w="856"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Chapter</w:t>
            </w:r>
          </w:p>
        </w:tc>
        <w:tc>
          <w:tcPr>
            <w:tcW w:w="4388" w:type="dxa"/>
            <w:tcBorders>
              <w:top w:val="single" w:sz="12" w:space="0" w:color="1F497D" w:themeColor="text2"/>
              <w:left w:val="nil"/>
              <w:bottom w:val="single" w:sz="8" w:space="0" w:color="1F497D" w:themeColor="text2"/>
              <w:right w:val="nil"/>
            </w:tcBorders>
            <w:shd w:val="clear" w:color="auto" w:fill="DBE5F1" w:themeFill="accent1" w:themeFillTint="33"/>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Comments</w:t>
            </w:r>
          </w:p>
        </w:tc>
      </w:tr>
      <w:tr w:rsidR="00A819E4" w:rsidRPr="00386D19" w:rsidTr="00A11006">
        <w:tc>
          <w:tcPr>
            <w:tcW w:w="955"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p>
        </w:tc>
        <w:tc>
          <w:tcPr>
            <w:tcW w:w="2414"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The Objective of the Commission, when making a price direction in a regulated industry, is to promote the efficient investment in, and efficient operation and use of regulated services for the long term interests of consumers in relation to the price, quality, safety, reliability and security of the service.</w:t>
            </w:r>
          </w:p>
        </w:tc>
        <w:tc>
          <w:tcPr>
            <w:tcW w:w="856"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2,3,4</w:t>
            </w:r>
          </w:p>
        </w:tc>
        <w:tc>
          <w:tcPr>
            <w:tcW w:w="4388" w:type="dxa"/>
            <w:tcBorders>
              <w:top w:val="single" w:sz="8" w:space="0" w:color="1F497D" w:themeColor="text2"/>
              <w:left w:val="nil"/>
              <w:bottom w:val="single" w:sz="4" w:space="0" w:color="1F497D" w:themeColor="text2"/>
              <w:right w:val="nil"/>
            </w:tcBorders>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Commission’s retail electricity cost-index model is designed to recover the efficient costs of providing retail electricity services in the ACT</w:t>
            </w:r>
            <w:r>
              <w:rPr>
                <w:rFonts w:ascii="Arial Narrow" w:hAnsi="Arial Narrow"/>
                <w:sz w:val="18"/>
              </w:rPr>
              <w:t>.</w:t>
            </w:r>
            <w:r w:rsidRPr="00386D19">
              <w:rPr>
                <w:rFonts w:ascii="Arial Narrow" w:hAnsi="Arial Narrow"/>
                <w:sz w:val="18"/>
              </w:rPr>
              <w:t xml:space="preserve"> This includes the costs of meeting quality, reliability and safety standards.</w:t>
            </w:r>
            <w:r>
              <w:rPr>
                <w:rFonts w:ascii="Arial Narrow" w:hAnsi="Arial Narrow"/>
                <w:sz w:val="18"/>
              </w:rPr>
              <w:t xml:space="preserve"> </w:t>
            </w:r>
            <w:r w:rsidRPr="00386D19">
              <w:rPr>
                <w:rFonts w:ascii="Arial Narrow" w:hAnsi="Arial Narrow"/>
                <w:sz w:val="18"/>
              </w:rPr>
              <w:t xml:space="preserve"> </w:t>
            </w:r>
            <w:r>
              <w:rPr>
                <w:rFonts w:ascii="Arial Narrow" w:hAnsi="Arial Narrow"/>
                <w:sz w:val="18"/>
              </w:rPr>
              <w:t xml:space="preserve">The long-term interests of consumers </w:t>
            </w:r>
            <w:r w:rsidRPr="00386D19">
              <w:rPr>
                <w:rFonts w:ascii="Arial Narrow" w:hAnsi="Arial Narrow"/>
                <w:sz w:val="18"/>
              </w:rPr>
              <w:t>are taken into account by ensuring that the regulated price is based on efficient costs</w:t>
            </w:r>
            <w:r>
              <w:rPr>
                <w:rFonts w:ascii="Arial Narrow" w:hAnsi="Arial Narrow"/>
                <w:sz w:val="18"/>
              </w:rPr>
              <w:t xml:space="preserve"> to meet the required standards</w:t>
            </w:r>
            <w:r w:rsidRPr="00386D19">
              <w:rPr>
                <w:rFonts w:ascii="Arial Narrow" w:hAnsi="Arial Narrow"/>
                <w:sz w:val="18"/>
              </w:rPr>
              <w:t xml:space="preserve">. </w:t>
            </w:r>
            <w:r>
              <w:rPr>
                <w:rFonts w:ascii="Arial Narrow" w:hAnsi="Arial Narrow"/>
                <w:sz w:val="18"/>
              </w:rPr>
              <w:t xml:space="preserve"> </w:t>
            </w:r>
            <w:r w:rsidRPr="00386D19">
              <w:rPr>
                <w:rFonts w:ascii="Arial Narrow" w:hAnsi="Arial Narrow"/>
                <w:sz w:val="18"/>
              </w:rPr>
              <w:t>The Commission also considers the impacts of proposed price changes on customer electricity bills.</w:t>
            </w:r>
            <w:r>
              <w:rPr>
                <w:rFonts w:ascii="Arial Narrow" w:hAnsi="Arial Narrow"/>
                <w:sz w:val="18"/>
              </w:rPr>
              <w:t xml:space="preserve"> The Commission’s model also </w:t>
            </w:r>
            <w:r w:rsidRPr="00386D19">
              <w:rPr>
                <w:rFonts w:ascii="Arial Narrow" w:hAnsi="Arial Narrow"/>
                <w:sz w:val="18"/>
              </w:rPr>
              <w:t>includes the efficient costs of various environmental measures.</w:t>
            </w:r>
          </w:p>
        </w:tc>
      </w:tr>
    </w:tbl>
    <w:p w:rsidR="00A819E4" w:rsidRPr="00BC6741" w:rsidRDefault="00A819E4" w:rsidP="00A819E4"/>
    <w:p w:rsidR="00A819E4" w:rsidRPr="00386D19" w:rsidRDefault="00A819E4" w:rsidP="00FA1CFB">
      <w:pPr>
        <w:pStyle w:val="HeadingAppendix3"/>
      </w:pPr>
      <w:bookmarkStart w:id="216" w:name="_Toc478130506"/>
      <w:bookmarkStart w:id="217" w:name="_Toc478130572"/>
      <w:bookmarkStart w:id="218" w:name="_Toc478131790"/>
      <w:r w:rsidRPr="00386D19">
        <w:lastRenderedPageBreak/>
        <w:t>Section 20(2)</w:t>
      </w:r>
      <w:bookmarkEnd w:id="214"/>
      <w:bookmarkEnd w:id="216"/>
      <w:bookmarkEnd w:id="217"/>
      <w:bookmarkEnd w:id="218"/>
    </w:p>
    <w:p w:rsidR="00A819E4" w:rsidRPr="00386D19" w:rsidRDefault="00A819E4" w:rsidP="00A819E4">
      <w:pPr>
        <w:pStyle w:val="FigureName"/>
      </w:pPr>
      <w:bookmarkStart w:id="219" w:name="_Toc358386665"/>
      <w:bookmarkStart w:id="220" w:name="_Toc360001085"/>
      <w:bookmarkStart w:id="221" w:name="_Toc378334221"/>
      <w:bookmarkStart w:id="222" w:name="_Toc380051346"/>
      <w:bookmarkStart w:id="223" w:name="_Toc478124965"/>
      <w:r w:rsidRPr="00386D19">
        <w:t>Compliance with section 20(2) of the ICRC Act</w:t>
      </w:r>
      <w:bookmarkEnd w:id="219"/>
      <w:bookmarkEnd w:id="220"/>
      <w:bookmarkEnd w:id="221"/>
      <w:bookmarkEnd w:id="222"/>
      <w:bookmarkEnd w:id="223"/>
    </w:p>
    <w:tbl>
      <w:tblPr>
        <w:tblW w:w="8613" w:type="dxa"/>
        <w:tblBorders>
          <w:top w:val="single" w:sz="12" w:space="0" w:color="333399"/>
          <w:bottom w:val="single" w:sz="4" w:space="0" w:color="333399"/>
          <w:insideH w:val="single" w:sz="4" w:space="0" w:color="333399"/>
        </w:tblBorders>
        <w:tblLook w:val="04A0" w:firstRow="1" w:lastRow="0" w:firstColumn="1" w:lastColumn="0" w:noHBand="0" w:noVBand="1"/>
      </w:tblPr>
      <w:tblGrid>
        <w:gridCol w:w="1217"/>
        <w:gridCol w:w="2152"/>
        <w:gridCol w:w="1281"/>
        <w:gridCol w:w="3963"/>
      </w:tblGrid>
      <w:tr w:rsidR="00A819E4" w:rsidRPr="00386D19" w:rsidTr="00A11006">
        <w:trPr>
          <w:trHeight w:val="314"/>
          <w:tblHeader/>
        </w:trPr>
        <w:tc>
          <w:tcPr>
            <w:tcW w:w="1217"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Section 20(2)</w:t>
            </w:r>
          </w:p>
        </w:tc>
        <w:tc>
          <w:tcPr>
            <w:tcW w:w="2152"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Requirement</w:t>
            </w:r>
          </w:p>
        </w:tc>
        <w:tc>
          <w:tcPr>
            <w:tcW w:w="1281"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Chapter</w:t>
            </w:r>
          </w:p>
        </w:tc>
        <w:tc>
          <w:tcPr>
            <w:tcW w:w="3963"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Comments</w:t>
            </w:r>
          </w:p>
        </w:tc>
      </w:tr>
      <w:tr w:rsidR="00A819E4" w:rsidRPr="00386D19" w:rsidTr="00A11006">
        <w:tc>
          <w:tcPr>
            <w:tcW w:w="1217"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w:t>
            </w:r>
          </w:p>
        </w:tc>
        <w:tc>
          <w:tcPr>
            <w:tcW w:w="2152"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protection of consumers from abuses of monopoly power in terms of prices, pricing policies (including policies relating to the level or structure of prices for services) and standard of regulated services</w:t>
            </w:r>
          </w:p>
        </w:tc>
        <w:tc>
          <w:tcPr>
            <w:tcW w:w="1281"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2, 3</w:t>
            </w:r>
          </w:p>
        </w:tc>
        <w:tc>
          <w:tcPr>
            <w:tcW w:w="3963"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 applies a weighted average price cap form of control to ActewAGL Retail’s suite of regulated retail electricity tariffs. </w:t>
            </w:r>
            <w:r>
              <w:rPr>
                <w:rFonts w:ascii="Arial Narrow" w:hAnsi="Arial Narrow"/>
                <w:sz w:val="18"/>
              </w:rPr>
              <w:t xml:space="preserve"> </w:t>
            </w:r>
            <w:r w:rsidRPr="00386D19">
              <w:rPr>
                <w:rFonts w:ascii="Arial Narrow" w:hAnsi="Arial Narrow"/>
                <w:sz w:val="18"/>
              </w:rPr>
              <w:t xml:space="preserve">The price cap is based on the recovery of efficient costs. </w:t>
            </w:r>
            <w:r>
              <w:rPr>
                <w:rFonts w:ascii="Arial Narrow" w:hAnsi="Arial Narrow"/>
                <w:sz w:val="18"/>
              </w:rPr>
              <w:t xml:space="preserve"> </w:t>
            </w:r>
            <w:r w:rsidRPr="00386D19">
              <w:rPr>
                <w:rFonts w:ascii="Arial Narrow" w:hAnsi="Arial Narrow"/>
                <w:sz w:val="18"/>
              </w:rPr>
              <w:t xml:space="preserve">Together these actions protect consumers from the abuses of monopoly power in terms of prices. </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(b)</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Standards of quality, reliability and safety of the regulated services</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Commission’s retail electricity cost-index model, and in particular the retail operating cost component, is designed to cover the efficient costs of providing retail electricity services. </w:t>
            </w:r>
            <w:r>
              <w:rPr>
                <w:rFonts w:ascii="Arial Narrow" w:hAnsi="Arial Narrow"/>
                <w:sz w:val="18"/>
              </w:rPr>
              <w:t xml:space="preserve"> </w:t>
            </w:r>
            <w:r w:rsidRPr="00386D19">
              <w:rPr>
                <w:rFonts w:ascii="Arial Narrow" w:hAnsi="Arial Narrow"/>
                <w:sz w:val="18"/>
              </w:rPr>
              <w:t xml:space="preserve">This includes the costs of meeting quality, reliability and safety standards. </w:t>
            </w:r>
            <w:r>
              <w:rPr>
                <w:rFonts w:ascii="Arial Narrow" w:hAnsi="Arial Narrow"/>
                <w:sz w:val="18"/>
              </w:rPr>
              <w:t xml:space="preserve"> </w:t>
            </w:r>
            <w:r w:rsidRPr="00386D19">
              <w:rPr>
                <w:rFonts w:ascii="Arial Narrow" w:hAnsi="Arial Narrow"/>
                <w:sz w:val="18"/>
              </w:rPr>
              <w:t xml:space="preserve">As a specific example, the payment of ancillary services fees, which is captured in the cost-index model, assists </w:t>
            </w:r>
            <w:r>
              <w:rPr>
                <w:rFonts w:ascii="Arial Narrow" w:hAnsi="Arial Narrow"/>
                <w:sz w:val="18"/>
              </w:rPr>
              <w:t xml:space="preserve">the </w:t>
            </w:r>
            <w:r w:rsidRPr="00386D19">
              <w:rPr>
                <w:rFonts w:ascii="Arial Narrow" w:hAnsi="Arial Narrow"/>
                <w:sz w:val="18"/>
              </w:rPr>
              <w:t>AEMO in providing for safe and reliable delivery of electricity to all consumers.</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(c)</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need for greater efficiency in the provision of regulated services to reduce costs to consumers and taxpayers</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Commission’s retail electricity cost-index model is based on the efficient costs of providing retail electricity services in the ACT. </w:t>
            </w:r>
            <w:r>
              <w:rPr>
                <w:rFonts w:ascii="Arial Narrow" w:hAnsi="Arial Narrow"/>
                <w:sz w:val="18"/>
              </w:rPr>
              <w:t xml:space="preserve"> </w:t>
            </w:r>
            <w:r w:rsidRPr="00386D19">
              <w:rPr>
                <w:rFonts w:ascii="Arial Narrow" w:hAnsi="Arial Narrow"/>
                <w:sz w:val="18"/>
              </w:rPr>
              <w:t>As an example, to determine the energy purchase cost allowance, the Commission has adopted an approach based on independent and verifiable market data and a range of assumptions based on industry standards to provide a reasonable estimate of the cost of purchasing wholesale energy from a competitive market pool.</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(d)</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An appropriate rate of return on any investment in the regulated industry</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2, 3, </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 is proposing a retail margin of </w:t>
            </w:r>
            <w:r>
              <w:rPr>
                <w:rFonts w:ascii="Arial Narrow" w:hAnsi="Arial Narrow"/>
                <w:sz w:val="18"/>
              </w:rPr>
              <w:t>5</w:t>
            </w:r>
            <w:r w:rsidRPr="00386D19">
              <w:rPr>
                <w:rFonts w:ascii="Arial Narrow" w:hAnsi="Arial Narrow"/>
                <w:sz w:val="18"/>
              </w:rPr>
              <w:t>.</w:t>
            </w:r>
            <w:r>
              <w:rPr>
                <w:rFonts w:ascii="Arial Narrow" w:hAnsi="Arial Narrow"/>
                <w:sz w:val="18"/>
              </w:rPr>
              <w:t>49</w:t>
            </w:r>
            <w:r w:rsidRPr="00386D19">
              <w:rPr>
                <w:rFonts w:ascii="Arial Narrow" w:hAnsi="Arial Narrow"/>
                <w:sz w:val="18"/>
              </w:rPr>
              <w:t xml:space="preserve"> per cent of the total efficient cost of providing retail electricity services. </w:t>
            </w:r>
            <w:r>
              <w:rPr>
                <w:rFonts w:ascii="Arial Narrow" w:hAnsi="Arial Narrow"/>
                <w:sz w:val="18"/>
              </w:rPr>
              <w:t xml:space="preserve"> </w:t>
            </w:r>
            <w:r w:rsidRPr="00386D19">
              <w:rPr>
                <w:rFonts w:ascii="Arial Narrow" w:hAnsi="Arial Narrow"/>
                <w:sz w:val="18"/>
              </w:rPr>
              <w:t xml:space="preserve">The Commission is confident that this provides </w:t>
            </w:r>
            <w:r>
              <w:rPr>
                <w:rFonts w:ascii="Arial Narrow" w:hAnsi="Arial Narrow"/>
                <w:sz w:val="18"/>
              </w:rPr>
              <w:t xml:space="preserve">in the current circumstances </w:t>
            </w:r>
            <w:r w:rsidRPr="00386D19">
              <w:rPr>
                <w:rFonts w:ascii="Arial Narrow" w:hAnsi="Arial Narrow"/>
                <w:sz w:val="18"/>
              </w:rPr>
              <w:t xml:space="preserve">an appropriate rate of return on investment in the retail electricity industry. </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(e)</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cost of providing the regulated services</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Commission’s retail electricity cost-index model is designed to recover the efficient costs of providing retail electricity services in the ACT.</w:t>
            </w:r>
          </w:p>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 considers that the allowance granted for retail operating costs</w:t>
            </w:r>
            <w:r>
              <w:rPr>
                <w:rFonts w:ascii="Arial Narrow" w:hAnsi="Arial Narrow"/>
                <w:sz w:val="18"/>
              </w:rPr>
              <w:t xml:space="preserve"> represents</w:t>
            </w:r>
            <w:r w:rsidRPr="00386D19">
              <w:rPr>
                <w:rFonts w:ascii="Arial Narrow" w:hAnsi="Arial Narrow"/>
                <w:sz w:val="18"/>
              </w:rPr>
              <w:t xml:space="preserve"> a reasonable balance between the need to allow cost recovery and the need to require the incumbent to operate efficiently.</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(f)</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principles of ecologically sustainable development</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Commission’s retail electricity cost-index model includes the efficient costs of various environmental measures such as the national LRET and SRES schemes and the ACT energy efficiency schemes. </w:t>
            </w:r>
            <w:r>
              <w:rPr>
                <w:rFonts w:ascii="Arial Narrow" w:hAnsi="Arial Narrow"/>
                <w:sz w:val="18"/>
              </w:rPr>
              <w:t xml:space="preserve"> </w:t>
            </w:r>
            <w:r w:rsidRPr="00386D19">
              <w:rPr>
                <w:rFonts w:ascii="Arial Narrow" w:hAnsi="Arial Narrow"/>
                <w:sz w:val="18"/>
              </w:rPr>
              <w:t xml:space="preserve">These costs reflect to some extent the environmental costs incurred in the consumption of electricity that the Australian Government and </w:t>
            </w:r>
            <w:r>
              <w:rPr>
                <w:rFonts w:ascii="Arial Narrow" w:hAnsi="Arial Narrow"/>
                <w:sz w:val="18"/>
              </w:rPr>
              <w:t xml:space="preserve">the </w:t>
            </w:r>
            <w:r w:rsidRPr="00386D19">
              <w:rPr>
                <w:rFonts w:ascii="Arial Narrow" w:hAnsi="Arial Narrow"/>
                <w:sz w:val="18"/>
              </w:rPr>
              <w:t>ACT Government consider should be passed through to consumers.</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(g)</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social impacts of the decision</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Social considerations are taken into account first by ensuring that the regulated price is based on efficient costs</w:t>
            </w:r>
            <w:r>
              <w:rPr>
                <w:rFonts w:ascii="Arial Narrow" w:hAnsi="Arial Narrow"/>
                <w:sz w:val="18"/>
              </w:rPr>
              <w:t xml:space="preserve">. </w:t>
            </w:r>
            <w:r w:rsidRPr="00386D19">
              <w:rPr>
                <w:rFonts w:ascii="Arial Narrow" w:hAnsi="Arial Narrow"/>
                <w:sz w:val="18"/>
              </w:rPr>
              <w:t xml:space="preserve"> The Commission also considers the impacts of proposed price changes on customer electricity bills.</w:t>
            </w:r>
            <w:r>
              <w:rPr>
                <w:rFonts w:ascii="Arial Narrow" w:hAnsi="Arial Narrow"/>
                <w:sz w:val="18"/>
              </w:rPr>
              <w:t xml:space="preserve">  </w:t>
            </w:r>
          </w:p>
          <w:p w:rsidR="00A819E4" w:rsidRPr="00386D19" w:rsidRDefault="00A819E4" w:rsidP="00A11006">
            <w:pPr>
              <w:spacing w:before="40" w:after="40" w:line="240" w:lineRule="auto"/>
              <w:rPr>
                <w:rFonts w:ascii="Arial Narrow" w:hAnsi="Arial Narrow"/>
                <w:szCs w:val="24"/>
                <w:shd w:val="clear" w:color="auto" w:fill="FFFF00"/>
              </w:rPr>
            </w:pPr>
            <w:r w:rsidRPr="00386D19">
              <w:rPr>
                <w:rFonts w:ascii="Arial Narrow" w:hAnsi="Arial Narrow"/>
                <w:sz w:val="18"/>
              </w:rPr>
              <w:t>In addition, the Commission has had regard to the social impacts of its decisions by not including a competition</w:t>
            </w:r>
            <w:r>
              <w:rPr>
                <w:rFonts w:ascii="Arial Narrow" w:hAnsi="Arial Narrow"/>
                <w:sz w:val="18"/>
              </w:rPr>
              <w:t>/CARC</w:t>
            </w:r>
            <w:r w:rsidRPr="00386D19">
              <w:rPr>
                <w:rFonts w:ascii="Arial Narrow" w:hAnsi="Arial Narrow"/>
                <w:sz w:val="18"/>
              </w:rPr>
              <w:t xml:space="preserve"> allowance.</w:t>
            </w:r>
            <w:r>
              <w:rPr>
                <w:rFonts w:ascii="Arial Narrow" w:hAnsi="Arial Narrow"/>
                <w:sz w:val="18"/>
              </w:rPr>
              <w:t xml:space="preserve">  </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lastRenderedPageBreak/>
              <w:t>(h)</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Considerations of demand management and </w:t>
            </w:r>
            <w:r w:rsidRPr="00386D19">
              <w:rPr>
                <w:rFonts w:ascii="Arial Narrow" w:hAnsi="Arial Narrow"/>
                <w:sz w:val="18"/>
              </w:rPr>
              <w:br/>
              <w:t>least-cost planning</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ACT Government’s energy efficiency scheme has a demand-management element. </w:t>
            </w:r>
            <w:r>
              <w:rPr>
                <w:rFonts w:ascii="Arial Narrow" w:hAnsi="Arial Narrow"/>
                <w:sz w:val="18"/>
              </w:rPr>
              <w:t xml:space="preserve"> </w:t>
            </w:r>
            <w:r w:rsidRPr="00386D19">
              <w:rPr>
                <w:rFonts w:ascii="Arial Narrow" w:hAnsi="Arial Narrow"/>
                <w:sz w:val="18"/>
              </w:rPr>
              <w:t xml:space="preserve">The costs of this scheme are accounted for in the cost-index model. </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(i)</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borrowing, capital and cash flow requirements of people providing regulated services and the need to renew or increase relevant assets in the regulated industry</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Commission’s retail electricity pricing provides for the efficient costs of providing retail electricity services in the ACT. </w:t>
            </w:r>
            <w:r>
              <w:rPr>
                <w:rFonts w:ascii="Arial Narrow" w:hAnsi="Arial Narrow"/>
                <w:sz w:val="18"/>
              </w:rPr>
              <w:t xml:space="preserve"> </w:t>
            </w:r>
            <w:r w:rsidRPr="00386D19">
              <w:rPr>
                <w:rFonts w:ascii="Arial Narrow" w:hAnsi="Arial Narrow"/>
                <w:sz w:val="18"/>
              </w:rPr>
              <w:t xml:space="preserve">This includes a retail margin of </w:t>
            </w:r>
            <w:r>
              <w:rPr>
                <w:rFonts w:ascii="Arial Narrow" w:hAnsi="Arial Narrow"/>
                <w:sz w:val="18"/>
              </w:rPr>
              <w:t>5</w:t>
            </w:r>
            <w:r w:rsidRPr="00386D19">
              <w:rPr>
                <w:rFonts w:ascii="Arial Narrow" w:hAnsi="Arial Narrow"/>
                <w:sz w:val="18"/>
              </w:rPr>
              <w:t>.</w:t>
            </w:r>
            <w:r>
              <w:rPr>
                <w:rFonts w:ascii="Arial Narrow" w:hAnsi="Arial Narrow"/>
                <w:sz w:val="18"/>
              </w:rPr>
              <w:t>49</w:t>
            </w:r>
            <w:r w:rsidRPr="00386D19">
              <w:rPr>
                <w:rFonts w:ascii="Arial Narrow" w:hAnsi="Arial Narrow"/>
                <w:sz w:val="18"/>
              </w:rPr>
              <w:t xml:space="preserve"> per cent of the total efficient cost.</w:t>
            </w:r>
            <w:r>
              <w:rPr>
                <w:rFonts w:ascii="Arial Narrow" w:hAnsi="Arial Narrow"/>
                <w:sz w:val="18"/>
              </w:rPr>
              <w:t xml:space="preserve"> </w:t>
            </w:r>
            <w:r w:rsidRPr="00386D19">
              <w:rPr>
                <w:rFonts w:ascii="Arial Narrow" w:hAnsi="Arial Narrow"/>
                <w:sz w:val="18"/>
              </w:rPr>
              <w:t xml:space="preserve"> The Commission is confident that this provides sufficient room to meet the borrowing, capital and cash flow requirements and meet the retail industry investment requirements.</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(j)</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effect on general price inflation over the medium term</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 ensures that only efficient costs are applied in the cost-index model</w:t>
            </w:r>
            <w:r>
              <w:rPr>
                <w:rFonts w:ascii="Arial Narrow" w:hAnsi="Arial Narrow"/>
                <w:sz w:val="18"/>
              </w:rPr>
              <w:t xml:space="preserve">.  </w:t>
            </w:r>
            <w:r w:rsidRPr="00386D19">
              <w:rPr>
                <w:rFonts w:ascii="Arial Narrow" w:hAnsi="Arial Narrow"/>
                <w:sz w:val="18"/>
              </w:rPr>
              <w:t xml:space="preserve">A number of components of the model are adjusted each year by the change in the consumer price index. </w:t>
            </w:r>
          </w:p>
        </w:tc>
      </w:tr>
      <w:tr w:rsidR="00A819E4" w:rsidRPr="00386D19" w:rsidTr="00A11006">
        <w:tc>
          <w:tcPr>
            <w:tcW w:w="1217"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(k)</w:t>
            </w:r>
          </w:p>
        </w:tc>
        <w:tc>
          <w:tcPr>
            <w:tcW w:w="2152"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Any arrangements that a person providing regulated services has entered into for the exercise of its functions by some other person</w:t>
            </w:r>
          </w:p>
        </w:tc>
        <w:tc>
          <w:tcPr>
            <w:tcW w:w="1281"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recovery of energy losses in the cost-index model is mandated in the NEM framework and therefore meets the 20(2)(k) requirement.</w:t>
            </w:r>
          </w:p>
        </w:tc>
      </w:tr>
    </w:tbl>
    <w:p w:rsidR="00565F9F" w:rsidRDefault="00565F9F" w:rsidP="00A819E4">
      <w:pPr>
        <w:pStyle w:val="FigureName"/>
        <w:sectPr w:rsidR="00565F9F" w:rsidSect="004B64FA">
          <w:headerReference w:type="even" r:id="rId24"/>
          <w:headerReference w:type="default" r:id="rId25"/>
          <w:endnotePr>
            <w:numFmt w:val="decimal"/>
          </w:endnotePr>
          <w:type w:val="oddPage"/>
          <w:pgSz w:w="11907" w:h="16840" w:code="9"/>
          <w:pgMar w:top="2268" w:right="2098" w:bottom="1701" w:left="2098" w:header="578" w:footer="578" w:gutter="0"/>
          <w:cols w:space="720"/>
          <w:titlePg/>
          <w:docGrid w:linePitch="360"/>
        </w:sectPr>
      </w:pPr>
    </w:p>
    <w:p w:rsidR="003968B0" w:rsidRPr="002E2FD3" w:rsidRDefault="003968B0" w:rsidP="003968B0">
      <w:pPr>
        <w:pStyle w:val="HeadingAppendix1"/>
        <w:numPr>
          <w:ilvl w:val="0"/>
          <w:numId w:val="0"/>
        </w:numPr>
      </w:pPr>
      <w:bookmarkStart w:id="224" w:name="_Toc478131791"/>
      <w:r w:rsidRPr="002E2FD3">
        <w:lastRenderedPageBreak/>
        <w:t>Abbreviations and acronyms</w:t>
      </w:r>
      <w:bookmarkEnd w:id="195"/>
      <w:bookmarkEnd w:id="224"/>
      <w:r w:rsidR="00AB628B">
        <w:t xml:space="preserve"> </w:t>
      </w:r>
    </w:p>
    <w:tbl>
      <w:tblPr>
        <w:tblW w:w="7796" w:type="dxa"/>
        <w:tblInd w:w="250" w:type="dxa"/>
        <w:tblLayout w:type="fixed"/>
        <w:tblLook w:val="01E0" w:firstRow="1" w:lastRow="1" w:firstColumn="1" w:lastColumn="1" w:noHBand="0" w:noVBand="0"/>
      </w:tblPr>
      <w:tblGrid>
        <w:gridCol w:w="1843"/>
        <w:gridCol w:w="5953"/>
      </w:tblGrid>
      <w:tr w:rsidR="00C15387" w:rsidRPr="00D11A5A" w:rsidTr="00E47ADD">
        <w:trPr>
          <w:trHeight w:val="284"/>
        </w:trPr>
        <w:tc>
          <w:tcPr>
            <w:tcW w:w="1843" w:type="dxa"/>
          </w:tcPr>
          <w:p w:rsidR="00C15387" w:rsidRDefault="00C15387" w:rsidP="009948F3">
            <w:pPr>
              <w:rPr>
                <w:lang w:val="en-AU"/>
              </w:rPr>
            </w:pPr>
            <w:r>
              <w:rPr>
                <w:lang w:val="en-AU"/>
              </w:rPr>
              <w:t>ABN</w:t>
            </w:r>
          </w:p>
        </w:tc>
        <w:tc>
          <w:tcPr>
            <w:tcW w:w="5953" w:type="dxa"/>
          </w:tcPr>
          <w:p w:rsidR="00C15387" w:rsidRDefault="00C15387" w:rsidP="009948F3">
            <w:pPr>
              <w:rPr>
                <w:lang w:val="en-AU"/>
              </w:rPr>
            </w:pPr>
            <w:r>
              <w:rPr>
                <w:lang w:val="en-AU"/>
              </w:rPr>
              <w:t>Australian Business Number</w:t>
            </w:r>
          </w:p>
        </w:tc>
      </w:tr>
      <w:tr w:rsidR="003968B0" w:rsidRPr="00D11A5A" w:rsidTr="00E47ADD">
        <w:trPr>
          <w:trHeight w:val="284"/>
        </w:trPr>
        <w:tc>
          <w:tcPr>
            <w:tcW w:w="1843" w:type="dxa"/>
          </w:tcPr>
          <w:p w:rsidR="003968B0" w:rsidRDefault="003968B0" w:rsidP="009948F3">
            <w:pPr>
              <w:rPr>
                <w:lang w:val="en-AU"/>
              </w:rPr>
            </w:pPr>
            <w:r>
              <w:rPr>
                <w:lang w:val="en-AU"/>
              </w:rPr>
              <w:t>ACT</w:t>
            </w:r>
          </w:p>
        </w:tc>
        <w:tc>
          <w:tcPr>
            <w:tcW w:w="5953" w:type="dxa"/>
          </w:tcPr>
          <w:p w:rsidR="003968B0" w:rsidRDefault="003968B0" w:rsidP="009948F3">
            <w:pPr>
              <w:rPr>
                <w:lang w:val="en-AU"/>
              </w:rPr>
            </w:pPr>
            <w:r>
              <w:rPr>
                <w:lang w:val="en-AU"/>
              </w:rPr>
              <w:t>Australian Capital Territory</w:t>
            </w:r>
          </w:p>
        </w:tc>
      </w:tr>
      <w:tr w:rsidR="0037361A" w:rsidRPr="00D11A5A" w:rsidTr="00E47ADD">
        <w:trPr>
          <w:trHeight w:val="544"/>
        </w:trPr>
        <w:tc>
          <w:tcPr>
            <w:tcW w:w="1843" w:type="dxa"/>
          </w:tcPr>
          <w:p w:rsidR="0037361A" w:rsidRPr="00D11A5A" w:rsidRDefault="00DF1C1D" w:rsidP="009948F3">
            <w:pPr>
              <w:rPr>
                <w:lang w:val="en-AU"/>
              </w:rPr>
            </w:pPr>
            <w:r>
              <w:t>AEM</w:t>
            </w:r>
            <w:r w:rsidR="00E47ADD">
              <w:t>C</w:t>
            </w:r>
          </w:p>
        </w:tc>
        <w:tc>
          <w:tcPr>
            <w:tcW w:w="5953" w:type="dxa"/>
          </w:tcPr>
          <w:p w:rsidR="009F4CEA" w:rsidRDefault="00E365FB">
            <w:pPr>
              <w:rPr>
                <w:rStyle w:val="Italic"/>
              </w:rPr>
            </w:pPr>
            <w:r>
              <w:rPr>
                <w:rStyle w:val="Italic"/>
                <w:i w:val="0"/>
              </w:rPr>
              <w:t>Australian Energy Market Commissio</w:t>
            </w:r>
            <w:r w:rsidR="00E47ADD">
              <w:rPr>
                <w:rStyle w:val="Italic"/>
                <w:i w:val="0"/>
              </w:rPr>
              <w:t>n</w:t>
            </w:r>
          </w:p>
        </w:tc>
      </w:tr>
      <w:tr w:rsidR="00FF6464" w:rsidRPr="00D11A5A" w:rsidTr="00E47ADD">
        <w:trPr>
          <w:trHeight w:val="271"/>
        </w:trPr>
        <w:tc>
          <w:tcPr>
            <w:tcW w:w="1843" w:type="dxa"/>
          </w:tcPr>
          <w:p w:rsidR="00FF6464" w:rsidRPr="00D11A5A" w:rsidRDefault="00FF6464" w:rsidP="009948F3">
            <w:pPr>
              <w:rPr>
                <w:lang w:val="en-AU"/>
              </w:rPr>
            </w:pPr>
            <w:r>
              <w:t>AEMO</w:t>
            </w:r>
          </w:p>
        </w:tc>
        <w:tc>
          <w:tcPr>
            <w:tcW w:w="5953" w:type="dxa"/>
          </w:tcPr>
          <w:p w:rsidR="00FF6464" w:rsidRPr="00D11A5A" w:rsidRDefault="00FF6464" w:rsidP="009948F3">
            <w:pPr>
              <w:rPr>
                <w:lang w:val="en-AU"/>
              </w:rPr>
            </w:pPr>
            <w:r>
              <w:rPr>
                <w:rStyle w:val="Italic"/>
                <w:i w:val="0"/>
              </w:rPr>
              <w:t>Australian Energy Market Operator</w:t>
            </w:r>
          </w:p>
        </w:tc>
      </w:tr>
      <w:tr w:rsidR="007F00AE" w:rsidRPr="00D11A5A" w:rsidTr="00E47ADD">
        <w:trPr>
          <w:trHeight w:val="271"/>
        </w:trPr>
        <w:tc>
          <w:tcPr>
            <w:tcW w:w="1843" w:type="dxa"/>
          </w:tcPr>
          <w:p w:rsidR="007F00AE" w:rsidRDefault="007F00AE" w:rsidP="00FF6464">
            <w:r>
              <w:t>ASX</w:t>
            </w:r>
          </w:p>
        </w:tc>
        <w:tc>
          <w:tcPr>
            <w:tcW w:w="5953" w:type="dxa"/>
          </w:tcPr>
          <w:p w:rsidR="007F00AE" w:rsidRDefault="000F4CA0" w:rsidP="009948F3">
            <w:pPr>
              <w:rPr>
                <w:rStyle w:val="Italic"/>
                <w:i w:val="0"/>
              </w:rPr>
            </w:pPr>
            <w:r>
              <w:rPr>
                <w:rStyle w:val="Italic"/>
                <w:i w:val="0"/>
              </w:rPr>
              <w:t>Australian Stock Exchange</w:t>
            </w:r>
          </w:p>
        </w:tc>
      </w:tr>
      <w:tr w:rsidR="00FF6464" w:rsidRPr="00D11A5A" w:rsidTr="00E47ADD">
        <w:trPr>
          <w:trHeight w:val="271"/>
        </w:trPr>
        <w:tc>
          <w:tcPr>
            <w:tcW w:w="1843" w:type="dxa"/>
          </w:tcPr>
          <w:p w:rsidR="00FF6464" w:rsidRPr="00D11A5A" w:rsidRDefault="00FF6464" w:rsidP="00FF6464">
            <w:pPr>
              <w:rPr>
                <w:lang w:val="en-AU"/>
              </w:rPr>
            </w:pPr>
            <w:r>
              <w:t>AER</w:t>
            </w:r>
          </w:p>
        </w:tc>
        <w:tc>
          <w:tcPr>
            <w:tcW w:w="5953" w:type="dxa"/>
          </w:tcPr>
          <w:p w:rsidR="00FF6464" w:rsidRPr="00D11A5A" w:rsidRDefault="00FF6464" w:rsidP="009948F3">
            <w:pPr>
              <w:rPr>
                <w:lang w:val="en-AU"/>
              </w:rPr>
            </w:pPr>
            <w:r>
              <w:rPr>
                <w:rStyle w:val="Italic"/>
                <w:i w:val="0"/>
              </w:rPr>
              <w:t>Australian Energy Regulator</w:t>
            </w:r>
          </w:p>
        </w:tc>
      </w:tr>
      <w:tr w:rsidR="00C15387" w:rsidRPr="00D11A5A" w:rsidTr="00E47ADD">
        <w:trPr>
          <w:trHeight w:val="271"/>
        </w:trPr>
        <w:tc>
          <w:tcPr>
            <w:tcW w:w="1843" w:type="dxa"/>
          </w:tcPr>
          <w:p w:rsidR="00C15387" w:rsidRDefault="00C15387" w:rsidP="009948F3">
            <w:r>
              <w:t>CARC</w:t>
            </w:r>
          </w:p>
        </w:tc>
        <w:tc>
          <w:tcPr>
            <w:tcW w:w="5953" w:type="dxa"/>
          </w:tcPr>
          <w:p w:rsidR="00C15387" w:rsidRPr="00C15387" w:rsidRDefault="00C15387" w:rsidP="009948F3">
            <w:pPr>
              <w:rPr>
                <w:rStyle w:val="Italic"/>
                <w:i w:val="0"/>
              </w:rPr>
            </w:pPr>
            <w:r>
              <w:rPr>
                <w:rStyle w:val="Italic"/>
                <w:i w:val="0"/>
              </w:rPr>
              <w:t>Customer acquisition and retention cost</w:t>
            </w:r>
          </w:p>
        </w:tc>
      </w:tr>
      <w:tr w:rsidR="003968B0" w:rsidRPr="00D11A5A" w:rsidTr="00E47ADD">
        <w:trPr>
          <w:trHeight w:val="271"/>
        </w:trPr>
        <w:tc>
          <w:tcPr>
            <w:tcW w:w="1843" w:type="dxa"/>
          </w:tcPr>
          <w:p w:rsidR="003968B0" w:rsidRPr="00D11A5A" w:rsidRDefault="003968B0" w:rsidP="009948F3">
            <w:pPr>
              <w:rPr>
                <w:lang w:val="en-AU"/>
              </w:rPr>
            </w:pPr>
            <w:r w:rsidRPr="00D11A5A">
              <w:rPr>
                <w:lang w:val="en-AU"/>
              </w:rPr>
              <w:t>Commission</w:t>
            </w:r>
          </w:p>
        </w:tc>
        <w:tc>
          <w:tcPr>
            <w:tcW w:w="5953" w:type="dxa"/>
          </w:tcPr>
          <w:p w:rsidR="003968B0" w:rsidRPr="00D11A5A" w:rsidRDefault="003968B0" w:rsidP="009948F3">
            <w:pPr>
              <w:rPr>
                <w:lang w:val="en-AU"/>
              </w:rPr>
            </w:pPr>
            <w:r w:rsidRPr="00D11A5A">
              <w:rPr>
                <w:lang w:val="en-AU"/>
              </w:rPr>
              <w:t>Independent Competition and Regulatory Commission</w:t>
            </w:r>
          </w:p>
        </w:tc>
      </w:tr>
      <w:tr w:rsidR="003968B0" w:rsidRPr="00D11A5A" w:rsidTr="00E47ADD">
        <w:trPr>
          <w:trHeight w:val="284"/>
        </w:trPr>
        <w:tc>
          <w:tcPr>
            <w:tcW w:w="1843" w:type="dxa"/>
          </w:tcPr>
          <w:p w:rsidR="003968B0" w:rsidRPr="00D11A5A" w:rsidRDefault="003968B0" w:rsidP="009948F3">
            <w:pPr>
              <w:rPr>
                <w:lang w:val="en-AU"/>
              </w:rPr>
            </w:pPr>
            <w:r>
              <w:rPr>
                <w:lang w:val="en-AU"/>
              </w:rPr>
              <w:t>CPI</w:t>
            </w:r>
          </w:p>
        </w:tc>
        <w:tc>
          <w:tcPr>
            <w:tcW w:w="5953" w:type="dxa"/>
          </w:tcPr>
          <w:p w:rsidR="003968B0" w:rsidRPr="00D11A5A" w:rsidRDefault="00C15387" w:rsidP="009948F3">
            <w:pPr>
              <w:rPr>
                <w:lang w:val="en-AU"/>
              </w:rPr>
            </w:pPr>
            <w:r>
              <w:rPr>
                <w:lang w:val="en-AU"/>
              </w:rPr>
              <w:t>Consumer Price I</w:t>
            </w:r>
            <w:r w:rsidR="003968B0">
              <w:rPr>
                <w:lang w:val="en-AU"/>
              </w:rPr>
              <w:t>ndex</w:t>
            </w:r>
          </w:p>
        </w:tc>
      </w:tr>
      <w:tr w:rsidR="00C15387" w:rsidRPr="00D11A5A" w:rsidTr="00E47ADD">
        <w:trPr>
          <w:trHeight w:val="284"/>
        </w:trPr>
        <w:tc>
          <w:tcPr>
            <w:tcW w:w="1843" w:type="dxa"/>
          </w:tcPr>
          <w:p w:rsidR="00C15387" w:rsidRDefault="00C15387" w:rsidP="009948F3">
            <w:pPr>
              <w:rPr>
                <w:lang w:val="en-AU"/>
              </w:rPr>
            </w:pPr>
            <w:r>
              <w:rPr>
                <w:lang w:val="en-AU"/>
              </w:rPr>
              <w:t>EEIS</w:t>
            </w:r>
          </w:p>
        </w:tc>
        <w:tc>
          <w:tcPr>
            <w:tcW w:w="5953" w:type="dxa"/>
          </w:tcPr>
          <w:p w:rsidR="00C15387" w:rsidRDefault="00C15387" w:rsidP="009948F3">
            <w:pPr>
              <w:rPr>
                <w:lang w:val="en-AU"/>
              </w:rPr>
            </w:pPr>
            <w:r>
              <w:rPr>
                <w:lang w:val="en-AU"/>
              </w:rPr>
              <w:t>Energy Efficiency Improvement Scheme</w:t>
            </w:r>
          </w:p>
        </w:tc>
      </w:tr>
      <w:tr w:rsidR="003968B0" w:rsidRPr="00D11A5A" w:rsidTr="00E47ADD">
        <w:trPr>
          <w:trHeight w:val="284"/>
        </w:trPr>
        <w:tc>
          <w:tcPr>
            <w:tcW w:w="1843" w:type="dxa"/>
          </w:tcPr>
          <w:p w:rsidR="003968B0" w:rsidRPr="00D11A5A" w:rsidRDefault="003968B0" w:rsidP="009948F3">
            <w:pPr>
              <w:rPr>
                <w:lang w:val="en-AU"/>
              </w:rPr>
            </w:pPr>
            <w:r>
              <w:rPr>
                <w:lang w:val="en-AU"/>
              </w:rPr>
              <w:t>ICRC</w:t>
            </w:r>
          </w:p>
        </w:tc>
        <w:tc>
          <w:tcPr>
            <w:tcW w:w="5953" w:type="dxa"/>
          </w:tcPr>
          <w:p w:rsidR="003968B0" w:rsidRPr="00D11A5A" w:rsidRDefault="003968B0" w:rsidP="009948F3">
            <w:pPr>
              <w:rPr>
                <w:lang w:val="en-AU"/>
              </w:rPr>
            </w:pPr>
            <w:r>
              <w:rPr>
                <w:lang w:val="en-AU"/>
              </w:rPr>
              <w:t>Independent Competition and Regulatory Commission</w:t>
            </w:r>
          </w:p>
        </w:tc>
      </w:tr>
      <w:tr w:rsidR="003968B0" w:rsidRPr="00D11A5A" w:rsidTr="00E47ADD">
        <w:trPr>
          <w:trHeight w:val="284"/>
        </w:trPr>
        <w:tc>
          <w:tcPr>
            <w:tcW w:w="1843" w:type="dxa"/>
          </w:tcPr>
          <w:p w:rsidR="003968B0" w:rsidRPr="00D11A5A" w:rsidRDefault="003968B0" w:rsidP="009948F3">
            <w:pPr>
              <w:rPr>
                <w:lang w:val="en-AU"/>
              </w:rPr>
            </w:pPr>
            <w:r w:rsidRPr="00D11A5A">
              <w:rPr>
                <w:lang w:val="en-AU"/>
              </w:rPr>
              <w:t>ICRC Act</w:t>
            </w:r>
          </w:p>
        </w:tc>
        <w:tc>
          <w:tcPr>
            <w:tcW w:w="5953" w:type="dxa"/>
          </w:tcPr>
          <w:p w:rsidR="003968B0" w:rsidRPr="00E71151" w:rsidRDefault="003968B0" w:rsidP="009948F3">
            <w:pPr>
              <w:rPr>
                <w:lang w:val="en-AU"/>
              </w:rPr>
            </w:pPr>
            <w:r w:rsidRPr="00D11A5A">
              <w:rPr>
                <w:i/>
                <w:lang w:val="en-AU"/>
              </w:rPr>
              <w:t xml:space="preserve">Independent Competition and Regulatory Commission Act 1997 </w:t>
            </w:r>
            <w:r w:rsidRPr="00D11A5A">
              <w:rPr>
                <w:lang w:val="en-AU"/>
              </w:rPr>
              <w:t>(ACT)</w:t>
            </w:r>
          </w:p>
        </w:tc>
      </w:tr>
      <w:tr w:rsidR="00FF6464" w:rsidRPr="00D11A5A" w:rsidTr="00E47ADD">
        <w:trPr>
          <w:trHeight w:val="284"/>
        </w:trPr>
        <w:tc>
          <w:tcPr>
            <w:tcW w:w="1843" w:type="dxa"/>
          </w:tcPr>
          <w:p w:rsidR="00FF6464" w:rsidRPr="00D11A5A" w:rsidRDefault="00FF6464" w:rsidP="009948F3">
            <w:pPr>
              <w:rPr>
                <w:lang w:val="en-AU"/>
              </w:rPr>
            </w:pPr>
            <w:r>
              <w:rPr>
                <w:lang w:val="en-AU"/>
              </w:rPr>
              <w:t>LRET</w:t>
            </w:r>
          </w:p>
        </w:tc>
        <w:tc>
          <w:tcPr>
            <w:tcW w:w="5953" w:type="dxa"/>
          </w:tcPr>
          <w:p w:rsidR="00FF6464" w:rsidRPr="00D11A5A" w:rsidRDefault="00FF6464" w:rsidP="009948F3">
            <w:pPr>
              <w:rPr>
                <w:i/>
                <w:lang w:val="en-AU"/>
              </w:rPr>
            </w:pPr>
            <w:r>
              <w:rPr>
                <w:lang w:val="en-AU"/>
              </w:rPr>
              <w:t>Large-scale Renewable Energy Target</w:t>
            </w:r>
          </w:p>
        </w:tc>
      </w:tr>
      <w:tr w:rsidR="00FF6464" w:rsidRPr="00D11A5A" w:rsidTr="00E47ADD">
        <w:trPr>
          <w:trHeight w:val="284"/>
        </w:trPr>
        <w:tc>
          <w:tcPr>
            <w:tcW w:w="1843" w:type="dxa"/>
          </w:tcPr>
          <w:p w:rsidR="00FF6464" w:rsidRPr="00D11A5A" w:rsidRDefault="00FF6464" w:rsidP="009948F3">
            <w:pPr>
              <w:rPr>
                <w:lang w:val="en-AU"/>
              </w:rPr>
            </w:pPr>
            <w:r>
              <w:rPr>
                <w:lang w:val="en-AU"/>
              </w:rPr>
              <w:t>MWh</w:t>
            </w:r>
          </w:p>
        </w:tc>
        <w:tc>
          <w:tcPr>
            <w:tcW w:w="5953" w:type="dxa"/>
          </w:tcPr>
          <w:p w:rsidR="00FF6464" w:rsidRPr="00FF6464" w:rsidRDefault="00FF6464" w:rsidP="009948F3">
            <w:pPr>
              <w:rPr>
                <w:lang w:val="en-AU"/>
              </w:rPr>
            </w:pPr>
            <w:r>
              <w:rPr>
                <w:lang w:val="en-AU"/>
              </w:rPr>
              <w:t>megawatt hours</w:t>
            </w:r>
          </w:p>
        </w:tc>
      </w:tr>
      <w:tr w:rsidR="00FF6464" w:rsidRPr="00D11A5A" w:rsidTr="00E47ADD">
        <w:trPr>
          <w:trHeight w:val="284"/>
        </w:trPr>
        <w:tc>
          <w:tcPr>
            <w:tcW w:w="1843" w:type="dxa"/>
          </w:tcPr>
          <w:p w:rsidR="00FF6464" w:rsidRPr="00D11A5A" w:rsidRDefault="00FF6464" w:rsidP="009948F3">
            <w:pPr>
              <w:rPr>
                <w:lang w:val="en-AU"/>
              </w:rPr>
            </w:pPr>
            <w:r>
              <w:rPr>
                <w:lang w:val="en-AU"/>
              </w:rPr>
              <w:t>NEM</w:t>
            </w:r>
          </w:p>
        </w:tc>
        <w:tc>
          <w:tcPr>
            <w:tcW w:w="5953" w:type="dxa"/>
          </w:tcPr>
          <w:p w:rsidR="00FF6464" w:rsidRPr="00FF6464" w:rsidRDefault="00FF6464" w:rsidP="009948F3">
            <w:pPr>
              <w:rPr>
                <w:lang w:val="en-AU"/>
              </w:rPr>
            </w:pPr>
            <w:r>
              <w:rPr>
                <w:lang w:val="en-AU"/>
              </w:rPr>
              <w:t>National Energy Market</w:t>
            </w:r>
          </w:p>
        </w:tc>
      </w:tr>
      <w:tr w:rsidR="003968B0" w:rsidRPr="00D11A5A" w:rsidTr="00E47ADD">
        <w:trPr>
          <w:trHeight w:val="284"/>
        </w:trPr>
        <w:tc>
          <w:tcPr>
            <w:tcW w:w="1843" w:type="dxa"/>
          </w:tcPr>
          <w:p w:rsidR="00DF1C1D" w:rsidRPr="00D11A5A" w:rsidRDefault="00DF1C1D" w:rsidP="00FF6464">
            <w:pPr>
              <w:rPr>
                <w:lang w:val="en-AU"/>
              </w:rPr>
            </w:pPr>
            <w:r>
              <w:rPr>
                <w:lang w:val="en-AU"/>
              </w:rPr>
              <w:t>SRES</w:t>
            </w:r>
          </w:p>
        </w:tc>
        <w:tc>
          <w:tcPr>
            <w:tcW w:w="5953" w:type="dxa"/>
          </w:tcPr>
          <w:p w:rsidR="00E365FB" w:rsidRPr="00E365FB" w:rsidRDefault="00E365FB" w:rsidP="009948F3">
            <w:pPr>
              <w:rPr>
                <w:lang w:val="en-AU"/>
              </w:rPr>
            </w:pPr>
            <w:r>
              <w:rPr>
                <w:lang w:val="en-AU"/>
              </w:rPr>
              <w:t>Small-scale Renewable Energy Scheme</w:t>
            </w:r>
          </w:p>
        </w:tc>
      </w:tr>
    </w:tbl>
    <w:p w:rsidR="00C06A03" w:rsidRDefault="00C06A03"/>
    <w:sectPr w:rsidR="00C06A03" w:rsidSect="004B64FA">
      <w:endnotePr>
        <w:numFmt w:val="decimal"/>
      </w:endnotePr>
      <w:type w:val="oddPage"/>
      <w:pgSz w:w="11907" w:h="16840" w:code="9"/>
      <w:pgMar w:top="2268" w:right="2098" w:bottom="1701" w:left="2098" w:header="578"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D9" w:rsidRDefault="008175D9" w:rsidP="00474ECC">
      <w:pPr>
        <w:spacing w:after="0" w:line="240" w:lineRule="auto"/>
      </w:pPr>
      <w:r>
        <w:separator/>
      </w:r>
    </w:p>
  </w:endnote>
  <w:endnote w:type="continuationSeparator" w:id="0">
    <w:p w:rsidR="008175D9" w:rsidRDefault="008175D9" w:rsidP="0047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42"/>
    </w:tblGrid>
    <w:tr w:rsidR="008175D9" w:rsidRPr="00280AFD" w:rsidTr="00102C39">
      <w:trPr>
        <w:trHeight w:hRule="exact" w:val="641"/>
      </w:trPr>
      <w:tc>
        <w:tcPr>
          <w:tcW w:w="3963" w:type="dxa"/>
          <w:vAlign w:val="center"/>
        </w:tcPr>
        <w:p w:rsidR="008175D9" w:rsidRPr="00280AFD" w:rsidRDefault="009518B8" w:rsidP="00102C39">
          <w:pPr>
            <w:pStyle w:val="Footer"/>
            <w:tabs>
              <w:tab w:val="clear" w:pos="8732"/>
            </w:tabs>
          </w:pPr>
          <w:r>
            <w:rPr>
              <w:noProof/>
              <w:color w:val="auto"/>
              <w:lang w:val="en-AU" w:eastAsia="en-AU"/>
            </w:rPr>
            <w:pict>
              <v:rect id="Rectangle 152" o:spid="_x0000_s2205" style="position:absolute;margin-left:-5.95pt;margin-top:-8.55pt;width:396.85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" fillcolor="#ffa12d" stroked="f">
                <v:fill color2="#fff5e9" rotate="t" angle="90" focus="100%" type="gradient"/>
              </v:rect>
            </w:pict>
          </w:r>
          <w:r w:rsidR="008175D9">
            <w:rPr>
              <w:noProof/>
              <w:color w:val="auto"/>
              <w:lang w:val="en-AU" w:eastAsia="en-AU"/>
            </w:rPr>
            <w:drawing>
              <wp:anchor distT="0" distB="0" distL="114300" distR="114300" simplePos="0" relativeHeight="251655680" behindDoc="0" locked="1" layoutInCell="1" allowOverlap="1">
                <wp:simplePos x="0" y="0"/>
                <wp:positionH relativeFrom="column">
                  <wp:posOffset>462915</wp:posOffset>
                </wp:positionH>
                <wp:positionV relativeFrom="paragraph">
                  <wp:posOffset>-6985</wp:posOffset>
                </wp:positionV>
                <wp:extent cx="1125855" cy="269875"/>
                <wp:effectExtent l="19050" t="0" r="0" b="0"/>
                <wp:wrapNone/>
                <wp:docPr id="5" name="Picture 1" descr="ICRC logo New Blue (modified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C logo New Blue (modified JG).jpg"/>
                        <pic:cNvPicPr/>
                      </pic:nvPicPr>
                      <pic:blipFill>
                        <a:blip r:embed="rId1"/>
                        <a:stretch>
                          <a:fillRect/>
                        </a:stretch>
                      </pic:blipFill>
                      <pic:spPr>
                        <a:xfrm>
                          <a:off x="0" y="0"/>
                          <a:ext cx="1125855" cy="269875"/>
                        </a:xfrm>
                        <a:prstGeom prst="rect">
                          <a:avLst/>
                        </a:prstGeom>
                      </pic:spPr>
                    </pic:pic>
                  </a:graphicData>
                </a:graphic>
              </wp:anchor>
            </w:drawing>
          </w:r>
          <w:r w:rsidR="008175D9" w:rsidRPr="00280AFD">
            <w:rPr>
              <w:color w:val="000033"/>
            </w:rPr>
            <w:fldChar w:fldCharType="begin"/>
          </w:r>
          <w:r w:rsidR="008175D9" w:rsidRPr="00280AFD">
            <w:rPr>
              <w:color w:val="000033"/>
            </w:rPr>
            <w:instrText xml:space="preserve"> PAGE   \* MERGEFORMAT </w:instrText>
          </w:r>
          <w:r w:rsidR="008175D9" w:rsidRPr="00280AFD">
            <w:rPr>
              <w:color w:val="000033"/>
            </w:rPr>
            <w:fldChar w:fldCharType="separate"/>
          </w:r>
          <w:r w:rsidRPr="009518B8">
            <w:rPr>
              <w:b/>
              <w:noProof/>
              <w:color w:val="000033"/>
              <w:sz w:val="32"/>
              <w:szCs w:val="32"/>
            </w:rPr>
            <w:t>ii</w:t>
          </w:r>
          <w:r w:rsidR="008175D9" w:rsidRPr="00280AFD">
            <w:rPr>
              <w:b/>
              <w:noProof/>
              <w:color w:val="000033"/>
              <w:sz w:val="32"/>
              <w:szCs w:val="32"/>
            </w:rPr>
            <w:fldChar w:fldCharType="end"/>
          </w:r>
        </w:p>
      </w:tc>
      <w:tc>
        <w:tcPr>
          <w:tcW w:w="3942" w:type="dxa"/>
          <w:vAlign w:val="center"/>
        </w:tcPr>
        <w:p w:rsidR="008175D9" w:rsidRDefault="008175D9" w:rsidP="00102C39">
          <w:pPr>
            <w:pStyle w:val="Footer"/>
            <w:tabs>
              <w:tab w:val="clear" w:pos="8732"/>
            </w:tabs>
            <w:jc w:val="right"/>
          </w:pPr>
          <w:r>
            <w:t xml:space="preserve"> Proposed Price Direction 2017-20</w:t>
          </w:r>
        </w:p>
        <w:p w:rsidR="008175D9" w:rsidRPr="00280AFD" w:rsidRDefault="008175D9" w:rsidP="00C06A03">
          <w:pPr>
            <w:pStyle w:val="Footer"/>
            <w:tabs>
              <w:tab w:val="clear" w:pos="8732"/>
            </w:tabs>
            <w:jc w:val="right"/>
            <w:rPr>
              <w:color w:val="000033"/>
            </w:rPr>
          </w:pPr>
          <w:r>
            <w:t>Supply of electricity to small customers</w:t>
          </w:r>
        </w:p>
      </w:tc>
    </w:tr>
  </w:tbl>
  <w:p w:rsidR="008175D9" w:rsidRDefault="00817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42"/>
    </w:tblGrid>
    <w:tr w:rsidR="008175D9" w:rsidRPr="00280AFD" w:rsidTr="00121F53">
      <w:trPr>
        <w:trHeight w:hRule="exact" w:val="641"/>
      </w:trPr>
      <w:tc>
        <w:tcPr>
          <w:tcW w:w="3963" w:type="dxa"/>
          <w:vAlign w:val="center"/>
        </w:tcPr>
        <w:p w:rsidR="008175D9" w:rsidRDefault="009518B8" w:rsidP="00121F53">
          <w:pPr>
            <w:pStyle w:val="Footer"/>
            <w:tabs>
              <w:tab w:val="clear" w:pos="8732"/>
            </w:tabs>
          </w:pPr>
          <w:r>
            <w:rPr>
              <w:noProof/>
              <w:color w:val="auto"/>
              <w:lang w:val="en-AU" w:eastAsia="en-AU"/>
            </w:rPr>
            <w:pict>
              <v:rect id="_x0000_s2204" style="position:absolute;margin-left:-6.3pt;margin-top:-6.45pt;width:396.8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" fillcolor="#fff5e9" stroked="f">
                <v:fill color2="#ffa12d" rotate="t" angle="90" focus="100%" type="gradient"/>
              </v:rect>
            </w:pict>
          </w:r>
          <w:r w:rsidR="008175D9">
            <w:t>Proposed Price Direction 2017-20</w:t>
          </w:r>
        </w:p>
        <w:p w:rsidR="008175D9" w:rsidRPr="00280AFD" w:rsidRDefault="008175D9" w:rsidP="00121F53">
          <w:pPr>
            <w:pStyle w:val="Footer"/>
            <w:tabs>
              <w:tab w:val="clear" w:pos="8732"/>
            </w:tabs>
          </w:pPr>
          <w:r>
            <w:t>Supply of electricity to small customers</w:t>
          </w:r>
        </w:p>
      </w:tc>
      <w:tc>
        <w:tcPr>
          <w:tcW w:w="3942" w:type="dxa"/>
          <w:vAlign w:val="center"/>
        </w:tcPr>
        <w:p w:rsidR="008175D9" w:rsidRPr="001E3780" w:rsidRDefault="008175D9" w:rsidP="00121F53">
          <w:pPr>
            <w:pStyle w:val="Footer"/>
            <w:tabs>
              <w:tab w:val="clear" w:pos="8732"/>
            </w:tabs>
            <w:jc w:val="right"/>
            <w:rPr>
              <w:color w:val="000033"/>
              <w:sz w:val="32"/>
              <w:szCs w:val="32"/>
            </w:rPr>
          </w:pPr>
          <w:r w:rsidRPr="001E3780">
            <w:rPr>
              <w:noProof/>
              <w:color w:val="000033"/>
              <w:sz w:val="32"/>
              <w:szCs w:val="32"/>
              <w:lang w:val="en-AU" w:eastAsia="en-AU"/>
            </w:rPr>
            <w:drawing>
              <wp:anchor distT="0" distB="0" distL="114300" distR="114300" simplePos="0" relativeHeight="251656704" behindDoc="0" locked="1" layoutInCell="1" allowOverlap="1">
                <wp:simplePos x="0" y="0"/>
                <wp:positionH relativeFrom="column">
                  <wp:posOffset>780415</wp:posOffset>
                </wp:positionH>
                <wp:positionV relativeFrom="paragraph">
                  <wp:posOffset>-6985</wp:posOffset>
                </wp:positionV>
                <wp:extent cx="1125855" cy="269875"/>
                <wp:effectExtent l="19050" t="0" r="0" b="0"/>
                <wp:wrapNone/>
                <wp:docPr id="1" name="Picture 3" descr="ICRC logo New Blue (modified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C logo New Blue (modified JG).jpg"/>
                        <pic:cNvPicPr/>
                      </pic:nvPicPr>
                      <pic:blipFill>
                        <a:blip r:embed="rId1"/>
                        <a:stretch>
                          <a:fillRect/>
                        </a:stretch>
                      </pic:blipFill>
                      <pic:spPr>
                        <a:xfrm>
                          <a:off x="0" y="0"/>
                          <a:ext cx="1125855" cy="269875"/>
                        </a:xfrm>
                        <a:prstGeom prst="rect">
                          <a:avLst/>
                        </a:prstGeom>
                      </pic:spPr>
                    </pic:pic>
                  </a:graphicData>
                </a:graphic>
              </wp:anchor>
            </w:drawing>
          </w:r>
          <w:r w:rsidRPr="001E3780">
            <w:rPr>
              <w:color w:val="000033"/>
              <w:sz w:val="32"/>
              <w:szCs w:val="32"/>
            </w:rPr>
            <w:fldChar w:fldCharType="begin"/>
          </w:r>
          <w:r w:rsidRPr="001E3780">
            <w:rPr>
              <w:color w:val="000033"/>
              <w:sz w:val="32"/>
              <w:szCs w:val="32"/>
            </w:rPr>
            <w:instrText xml:space="preserve"> PAGE   \* MERGEFORMAT </w:instrText>
          </w:r>
          <w:r w:rsidRPr="001E3780">
            <w:rPr>
              <w:color w:val="000033"/>
              <w:sz w:val="32"/>
              <w:szCs w:val="32"/>
            </w:rPr>
            <w:fldChar w:fldCharType="separate"/>
          </w:r>
          <w:r w:rsidR="009518B8" w:rsidRPr="009518B8">
            <w:rPr>
              <w:rFonts w:eastAsia="Cambria"/>
              <w:b/>
              <w:bCs/>
              <w:noProof/>
              <w:color w:val="000033"/>
              <w:sz w:val="32"/>
              <w:szCs w:val="32"/>
              <w:lang w:val="en-US"/>
            </w:rPr>
            <w:t>15</w:t>
          </w:r>
          <w:r w:rsidRPr="001E3780">
            <w:rPr>
              <w:b/>
              <w:noProof/>
              <w:color w:val="000033"/>
              <w:sz w:val="32"/>
              <w:szCs w:val="32"/>
            </w:rPr>
            <w:fldChar w:fldCharType="end"/>
          </w:r>
        </w:p>
      </w:tc>
    </w:tr>
  </w:tbl>
  <w:p w:rsidR="008175D9" w:rsidRDefault="00817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42"/>
    </w:tblGrid>
    <w:tr w:rsidR="008175D9" w:rsidRPr="00280AFD" w:rsidTr="00102C39">
      <w:trPr>
        <w:trHeight w:hRule="exact" w:val="641"/>
      </w:trPr>
      <w:tc>
        <w:tcPr>
          <w:tcW w:w="3963" w:type="dxa"/>
          <w:vAlign w:val="center"/>
        </w:tcPr>
        <w:p w:rsidR="008175D9" w:rsidRDefault="009518B8" w:rsidP="00102C39">
          <w:pPr>
            <w:pStyle w:val="Footer"/>
            <w:tabs>
              <w:tab w:val="clear" w:pos="8732"/>
            </w:tabs>
          </w:pPr>
          <w:r>
            <w:rPr>
              <w:noProof/>
              <w:color w:val="auto"/>
              <w:lang w:val="en-AU" w:eastAsia="en-AU"/>
            </w:rPr>
            <w:pict>
              <v:rect id="Rectangle 151" o:spid="_x0000_s2203" style="position:absolute;margin-left:-6.3pt;margin-top:-6.45pt;width:396.8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" fillcolor="#fff5e9" stroked="f">
                <v:fill color2="#ffa12d" rotate="t" angle="90" focus="100%" type="gradient"/>
              </v:rect>
            </w:pict>
          </w:r>
          <w:r w:rsidR="008175D9">
            <w:t>Proposed Price Direction 2017-20</w:t>
          </w:r>
        </w:p>
        <w:p w:rsidR="008175D9" w:rsidRPr="00280AFD" w:rsidRDefault="008175D9" w:rsidP="00A34273">
          <w:pPr>
            <w:pStyle w:val="Footer"/>
            <w:tabs>
              <w:tab w:val="clear" w:pos="8732"/>
            </w:tabs>
          </w:pPr>
          <w:r>
            <w:t>Supply of electricity to small customers</w:t>
          </w:r>
        </w:p>
      </w:tc>
      <w:tc>
        <w:tcPr>
          <w:tcW w:w="3942" w:type="dxa"/>
          <w:vAlign w:val="center"/>
        </w:tcPr>
        <w:p w:rsidR="008175D9" w:rsidRPr="001E3780" w:rsidRDefault="008175D9" w:rsidP="00102C39">
          <w:pPr>
            <w:pStyle w:val="Footer"/>
            <w:tabs>
              <w:tab w:val="clear" w:pos="8732"/>
            </w:tabs>
            <w:jc w:val="right"/>
            <w:rPr>
              <w:color w:val="000033"/>
              <w:sz w:val="32"/>
              <w:szCs w:val="32"/>
            </w:rPr>
          </w:pPr>
          <w:r w:rsidRPr="001E3780">
            <w:rPr>
              <w:noProof/>
              <w:color w:val="000033"/>
              <w:sz w:val="32"/>
              <w:szCs w:val="32"/>
              <w:lang w:val="en-AU" w:eastAsia="en-AU"/>
            </w:rPr>
            <w:drawing>
              <wp:anchor distT="0" distB="0" distL="114300" distR="114300" simplePos="0" relativeHeight="251654656" behindDoc="0" locked="1" layoutInCell="1" allowOverlap="1">
                <wp:simplePos x="0" y="0"/>
                <wp:positionH relativeFrom="column">
                  <wp:posOffset>780415</wp:posOffset>
                </wp:positionH>
                <wp:positionV relativeFrom="paragraph">
                  <wp:posOffset>-6985</wp:posOffset>
                </wp:positionV>
                <wp:extent cx="1125855" cy="269875"/>
                <wp:effectExtent l="19050" t="0" r="0" b="0"/>
                <wp:wrapNone/>
                <wp:docPr id="3" name="Picture 3" descr="ICRC logo New Blue (modified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C logo New Blue (modified JG).jpg"/>
                        <pic:cNvPicPr/>
                      </pic:nvPicPr>
                      <pic:blipFill>
                        <a:blip r:embed="rId1"/>
                        <a:stretch>
                          <a:fillRect/>
                        </a:stretch>
                      </pic:blipFill>
                      <pic:spPr>
                        <a:xfrm>
                          <a:off x="0" y="0"/>
                          <a:ext cx="1125855" cy="269875"/>
                        </a:xfrm>
                        <a:prstGeom prst="rect">
                          <a:avLst/>
                        </a:prstGeom>
                      </pic:spPr>
                    </pic:pic>
                  </a:graphicData>
                </a:graphic>
              </wp:anchor>
            </w:drawing>
          </w:r>
          <w:r w:rsidRPr="001E3780">
            <w:rPr>
              <w:color w:val="000033"/>
              <w:sz w:val="32"/>
              <w:szCs w:val="32"/>
            </w:rPr>
            <w:fldChar w:fldCharType="begin"/>
          </w:r>
          <w:r w:rsidRPr="001E3780">
            <w:rPr>
              <w:color w:val="000033"/>
              <w:sz w:val="32"/>
              <w:szCs w:val="32"/>
            </w:rPr>
            <w:instrText xml:space="preserve"> PAGE   \* MERGEFORMAT </w:instrText>
          </w:r>
          <w:r w:rsidRPr="001E3780">
            <w:rPr>
              <w:color w:val="000033"/>
              <w:sz w:val="32"/>
              <w:szCs w:val="32"/>
            </w:rPr>
            <w:fldChar w:fldCharType="separate"/>
          </w:r>
          <w:r w:rsidR="009518B8" w:rsidRPr="009518B8">
            <w:rPr>
              <w:rFonts w:eastAsia="Cambria"/>
              <w:b/>
              <w:bCs/>
              <w:noProof/>
              <w:color w:val="000033"/>
              <w:sz w:val="32"/>
              <w:szCs w:val="32"/>
              <w:lang w:val="en-US"/>
            </w:rPr>
            <w:t>iii</w:t>
          </w:r>
          <w:r w:rsidRPr="001E3780">
            <w:rPr>
              <w:b/>
              <w:noProof/>
              <w:color w:val="000033"/>
              <w:sz w:val="32"/>
              <w:szCs w:val="32"/>
            </w:rPr>
            <w:fldChar w:fldCharType="end"/>
          </w:r>
        </w:p>
      </w:tc>
    </w:tr>
  </w:tbl>
  <w:p w:rsidR="008175D9" w:rsidRDefault="00817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D9" w:rsidRDefault="008175D9" w:rsidP="00474ECC">
      <w:pPr>
        <w:spacing w:after="0" w:line="240" w:lineRule="auto"/>
      </w:pPr>
      <w:r>
        <w:separator/>
      </w:r>
    </w:p>
  </w:footnote>
  <w:footnote w:type="continuationSeparator" w:id="0">
    <w:p w:rsidR="008175D9" w:rsidRDefault="008175D9" w:rsidP="00474ECC">
      <w:pPr>
        <w:spacing w:after="0" w:line="240" w:lineRule="auto"/>
      </w:pPr>
      <w:r>
        <w:continuationSeparator/>
      </w:r>
    </w:p>
  </w:footnote>
  <w:footnote w:id="1">
    <w:p w:rsidR="008175D9" w:rsidRDefault="008175D9" w:rsidP="00830AD3">
      <w:r>
        <w:rPr>
          <w:rStyle w:val="FootnoteReference"/>
        </w:rPr>
        <w:footnoteRef/>
      </w:r>
      <w:r>
        <w:t xml:space="preserve"> </w:t>
      </w:r>
      <w:r w:rsidRPr="009D46EF">
        <w:rPr>
          <w:sz w:val="18"/>
          <w:szCs w:val="18"/>
          <w:lang w:val="en-AU"/>
        </w:rPr>
        <w:t xml:space="preserve">This </w:t>
      </w:r>
      <w:r>
        <w:rPr>
          <w:sz w:val="18"/>
          <w:szCs w:val="18"/>
          <w:lang w:val="en-AU"/>
        </w:rPr>
        <w:t xml:space="preserve">document </w:t>
      </w:r>
      <w:r w:rsidRPr="00ED588D">
        <w:rPr>
          <w:sz w:val="18"/>
          <w:szCs w:val="18"/>
          <w:lang w:val="en-AU"/>
        </w:rPr>
        <w:t>(ICRC Report 2 of 2017)</w:t>
      </w:r>
      <w:r>
        <w:rPr>
          <w:sz w:val="18"/>
          <w:szCs w:val="18"/>
          <w:lang w:val="en-AU"/>
        </w:rPr>
        <w:t xml:space="preserve"> is a</w:t>
      </w:r>
      <w:r w:rsidRPr="009D46EF">
        <w:rPr>
          <w:sz w:val="18"/>
          <w:szCs w:val="18"/>
          <w:lang w:val="en-AU"/>
        </w:rPr>
        <w:t xml:space="preserve"> </w:t>
      </w:r>
      <w:r w:rsidRPr="00901EDF">
        <w:rPr>
          <w:b/>
          <w:sz w:val="18"/>
          <w:szCs w:val="18"/>
          <w:lang w:val="en-AU"/>
        </w:rPr>
        <w:t>proposed price direction</w:t>
      </w:r>
      <w:r w:rsidRPr="009D46EF">
        <w:rPr>
          <w:sz w:val="18"/>
          <w:szCs w:val="18"/>
          <w:lang w:val="en-AU"/>
        </w:rPr>
        <w:t xml:space="preserve"> set out pursuant to section 18(5)(a) of the </w:t>
      </w:r>
      <w:r w:rsidRPr="009D46EF">
        <w:rPr>
          <w:i/>
          <w:sz w:val="18"/>
          <w:szCs w:val="18"/>
          <w:lang w:val="en-AU"/>
        </w:rPr>
        <w:t>Independent Competition and Regulatory Commission Act 1997</w:t>
      </w:r>
      <w:r w:rsidRPr="009D46EF">
        <w:rPr>
          <w:sz w:val="18"/>
          <w:szCs w:val="18"/>
          <w:lang w:val="en-AU"/>
        </w:rPr>
        <w:t xml:space="preserve"> (the Act). </w:t>
      </w:r>
      <w:r>
        <w:rPr>
          <w:sz w:val="18"/>
          <w:szCs w:val="18"/>
          <w:lang w:val="en-AU"/>
        </w:rPr>
        <w:t xml:space="preserve"> </w:t>
      </w:r>
      <w:r w:rsidRPr="009D46EF">
        <w:rPr>
          <w:sz w:val="18"/>
          <w:szCs w:val="18"/>
          <w:lang w:val="en-AU"/>
        </w:rPr>
        <w:t xml:space="preserve">The use of </w:t>
      </w:r>
      <w:r>
        <w:rPr>
          <w:sz w:val="18"/>
          <w:szCs w:val="18"/>
          <w:lang w:val="en-AU"/>
        </w:rPr>
        <w:t>finalised</w:t>
      </w:r>
      <w:r w:rsidRPr="009D46EF">
        <w:rPr>
          <w:sz w:val="18"/>
          <w:szCs w:val="18"/>
          <w:lang w:val="en-AU"/>
        </w:rPr>
        <w:t xml:space="preserve"> terms </w:t>
      </w:r>
      <w:r>
        <w:rPr>
          <w:sz w:val="18"/>
          <w:szCs w:val="18"/>
          <w:lang w:val="en-AU"/>
        </w:rPr>
        <w:t xml:space="preserve">within this document </w:t>
      </w:r>
      <w:r w:rsidRPr="009D46EF">
        <w:rPr>
          <w:sz w:val="18"/>
          <w:szCs w:val="18"/>
          <w:lang w:val="en-AU"/>
        </w:rPr>
        <w:t xml:space="preserve">such as ‘Price Direction’ and ‘final Price Direction’ </w:t>
      </w:r>
      <w:r>
        <w:rPr>
          <w:sz w:val="18"/>
          <w:szCs w:val="18"/>
          <w:lang w:val="en-AU"/>
        </w:rPr>
        <w:t xml:space="preserve">are used for drafting simplicity and proposal purposes and </w:t>
      </w:r>
      <w:r w:rsidRPr="009D46EF">
        <w:rPr>
          <w:sz w:val="18"/>
          <w:szCs w:val="18"/>
          <w:lang w:val="en-AU"/>
        </w:rPr>
        <w:t>do not make this proposed price direction a final price direction as determined under Part 4 of the Act.</w:t>
      </w:r>
    </w:p>
  </w:footnote>
  <w:footnote w:id="2">
    <w:p w:rsidR="008175D9" w:rsidRDefault="008175D9" w:rsidP="000B5CA5">
      <w:pPr>
        <w:pStyle w:val="FootnoteText"/>
      </w:pPr>
      <w:r w:rsidRPr="005A23CA">
        <w:rPr>
          <w:rStyle w:val="FootnoteReference"/>
          <w:sz w:val="22"/>
          <w:szCs w:val="20"/>
          <w:lang w:val="en-GB"/>
        </w:rPr>
        <w:footnoteRef/>
      </w:r>
      <w:r>
        <w:t xml:space="preserve"> </w:t>
      </w:r>
      <w:r w:rsidRPr="00BA575B">
        <w:t>Terms of referen</w:t>
      </w:r>
      <w:r>
        <w:t xml:space="preserve">ce: </w:t>
      </w:r>
      <w:hyperlink r:id="rId1" w:history="1">
        <w:r w:rsidRPr="005A23CA">
          <w:rPr>
            <w:rStyle w:val="Hyperlink"/>
            <w:sz w:val="18"/>
          </w:rPr>
          <w:t>DI2016-138</w:t>
        </w:r>
      </w:hyperlink>
      <w:r>
        <w:t xml:space="preserve"> (</w:t>
      </w:r>
      <w:r w:rsidRPr="005A23CA">
        <w:t>http://www.legislation.act.gov.au/di/2016-138/default.asp</w:t>
      </w:r>
      <w:r>
        <w:t>).</w:t>
      </w:r>
    </w:p>
  </w:footnote>
  <w:footnote w:id="3">
    <w:p w:rsidR="008175D9" w:rsidRDefault="008175D9">
      <w:pPr>
        <w:pStyle w:val="FootnoteText"/>
      </w:pPr>
      <w:r>
        <w:rPr>
          <w:rStyle w:val="FootnoteReference"/>
        </w:rPr>
        <w:footnoteRef/>
      </w:r>
      <w:r>
        <w:t xml:space="preserve"> Authority means </w:t>
      </w:r>
      <w:r w:rsidRPr="00BC4A71">
        <w:t xml:space="preserve">any government or any minister, agency or </w:t>
      </w:r>
      <w:r>
        <w:t>directorate</w:t>
      </w:r>
      <w:r w:rsidRPr="00BC4A71">
        <w:t>, instrumentality or other authority of government and the Commission, the AEMC, the AER or AEMO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rsidP="00D641A8">
    <w:pPr>
      <w:spacing w:after="0"/>
    </w:pPr>
  </w:p>
  <w:p w:rsidR="008175D9" w:rsidRDefault="008175D9" w:rsidP="00D641A8">
    <w:pPr>
      <w:spacing w:after="0"/>
    </w:pPr>
  </w:p>
  <w:p w:rsidR="008175D9" w:rsidRDefault="008175D9" w:rsidP="007A1FA7">
    <w:pPr>
      <w:pStyle w:val="Headereven"/>
    </w:pPr>
    <w:r>
      <w:fldChar w:fldCharType="begin"/>
    </w:r>
    <w:r>
      <w:instrText xml:space="preserve"> REF _Ref348972302 \r \h </w:instrText>
    </w:r>
    <w:r>
      <w:fldChar w:fldCharType="separate"/>
    </w:r>
    <w:r>
      <w:t>Part B</w:t>
    </w:r>
    <w:r>
      <w:fldChar w:fldCharType="end"/>
    </w:r>
  </w:p>
  <w:p w:rsidR="008175D9" w:rsidRDefault="008175D9" w:rsidP="00C43AF9">
    <w:pPr>
      <w:pStyle w:val="Heading1"/>
    </w:pPr>
    <w:r>
      <w:fldChar w:fldCharType="begin"/>
    </w:r>
    <w:r>
      <w:instrText xml:space="preserve"> REF _Ref348972290 \r \h </w:instrText>
    </w:r>
    <w:r>
      <w:fldChar w:fldCharType="separate"/>
    </w:r>
    <w:r>
      <w:t>9</w:t>
    </w:r>
    <w:r>
      <w:fldChar w:fldCharType="end"/>
    </w:r>
    <w:r>
      <w:t xml:space="preserve"> – </w:t>
    </w:r>
    <w:r>
      <w:fldChar w:fldCharType="begin"/>
    </w:r>
    <w:r>
      <w:instrText xml:space="preserve"> REF _Ref348972290 \h </w:instrText>
    </w:r>
    <w:r>
      <w:fldChar w:fldCharType="separate"/>
    </w:r>
    <w:r>
      <w:t>Pass-through events</w:t>
    </w:r>
  </w:p>
  <w:p w:rsidR="008175D9" w:rsidRDefault="008175D9">
    <w:pPr>
      <w:pStyle w:val="Heading2"/>
      <w:rPr>
        <w:lang w:val="en-AU"/>
      </w:rPr>
    </w:pPr>
    <w:r w:rsidRPr="00380FF4">
      <w:rPr>
        <w:lang w:val="en-AU"/>
      </w:rPr>
      <w:t>Application for a pass-through event</w:t>
    </w:r>
  </w:p>
  <w:p w:rsidR="008175D9" w:rsidRDefault="008175D9" w:rsidP="00CC711F">
    <w:pPr>
      <w:rPr>
        <w:lang w:val="en-AU"/>
      </w:rPr>
    </w:pPr>
    <w:r w:rsidRPr="00380FF4">
      <w:rPr>
        <w:lang w:val="en-AU"/>
      </w:rPr>
      <w:t>ActewAGL Retail may make an application</w:t>
    </w:r>
    <w:r w:rsidRPr="00055BAD">
      <w:rPr>
        <w:lang w:val="en-AU"/>
      </w:rPr>
      <w:t xml:space="preserve"> to the Commission for</w:t>
    </w:r>
    <w:r>
      <w:rPr>
        <w:lang w:val="en-AU"/>
      </w:rPr>
      <w:t xml:space="preserve"> consideration of </w:t>
    </w:r>
    <w:r w:rsidRPr="00055BAD">
      <w:rPr>
        <w:lang w:val="en-AU"/>
      </w:rPr>
      <w:t>a pass-through</w:t>
    </w:r>
    <w:r>
      <w:rPr>
        <w:lang w:val="en-AU"/>
      </w:rPr>
      <w:t xml:space="preserve"> event as part</w:t>
    </w:r>
    <w:r w:rsidRPr="0046612E">
      <w:rPr>
        <w:lang w:val="en-AU"/>
      </w:rPr>
      <w:t xml:space="preserve"> of the </w:t>
    </w:r>
    <w:r>
      <w:rPr>
        <w:lang w:val="en-AU"/>
      </w:rPr>
      <w:t xml:space="preserve">annual </w:t>
    </w:r>
    <w:r w:rsidRPr="0046612E">
      <w:rPr>
        <w:lang w:val="en-AU"/>
      </w:rPr>
      <w:t>recalibration process as per clause</w:t>
    </w:r>
    <w:r>
      <w:t xml:space="preserve"> 8</w:t>
    </w:r>
    <w:r>
      <w:rPr>
        <w:lang w:val="en-AU"/>
      </w:rPr>
      <w:t>. Applications may be made for the following events:</w:t>
    </w:r>
  </w:p>
  <w:p w:rsidR="008175D9" w:rsidRDefault="008175D9" w:rsidP="002E6ECE">
    <w:pPr>
      <w:pStyle w:val="LetteredList"/>
      <w:numPr>
        <w:ilvl w:val="0"/>
        <w:numId w:val="13"/>
      </w:numPr>
      <w:rPr>
        <w:lang w:val="en-AU"/>
      </w:rPr>
    </w:pPr>
    <w:r>
      <w:rPr>
        <w:lang w:val="en-AU"/>
      </w:rPr>
      <w:t>Regulatory change event (clause</w:t>
    </w:r>
    <w:r>
      <w:t xml:space="preserve"> </w:t>
    </w:r>
    <w:r>
      <w:rPr>
        <w:lang w:val="en-AU"/>
      </w:rPr>
      <w:t>9.5);</w:t>
    </w:r>
    <w:r>
      <w:t xml:space="preserve"> or</w:t>
    </w:r>
  </w:p>
  <w:p w:rsidR="008175D9" w:rsidRPr="00BF7EAD" w:rsidRDefault="008175D9" w:rsidP="002E6ECE">
    <w:pPr>
      <w:pStyle w:val="LetteredList"/>
      <w:numPr>
        <w:ilvl w:val="0"/>
        <w:numId w:val="13"/>
      </w:numPr>
      <w:rPr>
        <w:lang w:val="en-AU"/>
      </w:rPr>
    </w:pPr>
    <w:r>
      <w:rPr>
        <w:lang w:val="en-AU"/>
      </w:rPr>
      <w:t>Tax change event (clause</w:t>
    </w:r>
    <w:r>
      <w:t xml:space="preserve"> </w:t>
    </w:r>
    <w:r>
      <w:rPr>
        <w:lang w:val="en-AU"/>
      </w:rPr>
      <w:t>9.6)</w:t>
    </w:r>
    <w:r>
      <w:t>.</w:t>
    </w:r>
  </w:p>
  <w:p w:rsidR="008175D9" w:rsidRDefault="008175D9">
    <w:pPr>
      <w:pStyle w:val="Heading2"/>
    </w:pPr>
    <w:r w:rsidRPr="00380FF4">
      <w:rPr>
        <w:szCs w:val="22"/>
        <w:lang w:val="en-AU"/>
      </w:rPr>
      <w:t>Commission may accept, reject or amend the application</w:t>
    </w:r>
  </w:p>
  <w:p w:rsidR="008175D9" w:rsidRDefault="008175D9" w:rsidP="00BF7EAD">
    <w:r>
      <w:t>Consideration by the Commission under clause 9 and its sub-clauses of an application for a pass-through event may result in a pass-through event application being accepted, rejected or amended.  If the Commission amends a pass-through application, the amended costs are those that are passed through in the annual recalibration.  The Commission will provide a statement of reasons if it rejects or amends a pass-through event.</w:t>
    </w:r>
  </w:p>
  <w:p w:rsidR="008175D9" w:rsidRDefault="008175D9">
    <w:pPr>
      <w:pStyle w:val="Heading2"/>
    </w:pPr>
    <w:r>
      <w:t>Commission may initiate pass-through event</w:t>
    </w:r>
  </w:p>
  <w:p w:rsidR="008175D9" w:rsidRDefault="008175D9">
    <w:r>
      <w:t>The Commission may initiate one or more pass-through events set out under clauses 9.5 and 9.6 without an application from ActewAGL Retail.  The following steps will be taken in relation to a pass-through event initiated by the Commission:</w:t>
    </w:r>
  </w:p>
  <w:p w:rsidR="008175D9" w:rsidRDefault="008175D9">
    <w:pPr>
      <w:pStyle w:val="LetteredList"/>
      <w:numPr>
        <w:ilvl w:val="0"/>
        <w:numId w:val="16"/>
      </w:numPr>
    </w:pPr>
    <w:r>
      <w:t>The Commission will advise ActewAGL Retail that it is intending to initiate a pass-through review as part of an annual recalibration process.</w:t>
    </w:r>
  </w:p>
  <w:p w:rsidR="008175D9" w:rsidRDefault="008175D9">
    <w:pPr>
      <w:pStyle w:val="LetteredList"/>
    </w:pPr>
    <w:r>
      <w:t>The Commission will provide ActewAGL Retail with a document outlining the Commission’s proposed decision, including relevant material on which the decision is based.</w:t>
    </w:r>
  </w:p>
  <w:p w:rsidR="008175D9" w:rsidRDefault="008175D9">
    <w:pPr>
      <w:pStyle w:val="LetteredListLast"/>
    </w:pPr>
    <w:r>
      <w:t xml:space="preserve">ActewAGL Retail will be provided with the opportunity to respond to the Commission’s proposed pass-through decision before the Commission determines and provides the value of </w:t>
    </w:r>
    <w:r w:rsidRPr="00CD4E97">
      <w:rPr>
        <w:szCs w:val="22"/>
        <w:lang w:val="en-AU"/>
      </w:rPr>
      <w:t>Y</w:t>
    </w:r>
    <w:r w:rsidRPr="00380FF4">
      <w:rPr>
        <w:szCs w:val="22"/>
        <w:vertAlign w:val="superscript"/>
        <w:lang w:val="en-AU"/>
      </w:rPr>
      <w:t>t</w:t>
    </w:r>
    <w:r>
      <w:t xml:space="preserve"> to ActewAGL Retail under clause 8.1.</w:t>
    </w:r>
  </w:p>
  <w:p w:rsidR="008175D9" w:rsidRDefault="008175D9">
    <w:pPr>
      <w:pStyle w:val="Heading2"/>
    </w:pPr>
    <w:r>
      <w:t>Further information</w:t>
    </w:r>
  </w:p>
  <w:p w:rsidR="008175D9" w:rsidRDefault="008175D9" w:rsidP="00B23B02">
    <w:r>
      <w:t>The Commission may seek further information from ActewAGL Retail in relation to an application for a pass-through event or a Commission initiated pass-through event.</w:t>
    </w:r>
  </w:p>
  <w:p w:rsidR="008175D9" w:rsidRDefault="008175D9">
    <w:pPr>
      <w:pStyle w:val="Heading2"/>
    </w:pPr>
    <w:r w:rsidRPr="00BC4A71">
      <w:t>Regulatory change event</w:t>
    </w:r>
  </w:p>
  <w:p w:rsidR="008175D9" w:rsidRPr="00BC4A71" w:rsidRDefault="008175D9" w:rsidP="00BC4A71">
    <w:pPr>
      <w:pStyle w:val="BulletIntro"/>
    </w:pPr>
    <w:r w:rsidRPr="00BC4A71">
      <w:t xml:space="preserve">A regulatory change event is a decision made </w:t>
    </w:r>
    <w:r>
      <w:t>on or after 31 May 2017</w:t>
    </w:r>
    <w:r w:rsidRPr="00BC4A71">
      <w:t xml:space="preserve"> and </w:t>
    </w:r>
    <w:r>
      <w:t xml:space="preserve">before </w:t>
    </w:r>
    <w:r w:rsidRPr="00BC4A71">
      <w:t>30</w:t>
    </w:r>
    <w:r>
      <w:t> </w:t>
    </w:r>
    <w:r w:rsidRPr="00BC4A71">
      <w:t xml:space="preserve">June </w:t>
    </w:r>
    <w:r>
      <w:t>2020</w:t>
    </w:r>
    <w:r w:rsidRPr="00BC4A71">
      <w:t xml:space="preserve"> by any</w:t>
    </w:r>
    <w:r>
      <w:t xml:space="preserve"> ACT or Commonwealth</w:t>
    </w:r>
    <w:r w:rsidRPr="00BC4A71">
      <w:t xml:space="preserve"> ‘Authority’ that has the e</w:t>
    </w:r>
    <w:r>
      <w:t>ffect</w:t>
    </w:r>
    <w:r w:rsidRPr="00BC4A71">
      <w:t xml:space="preserve"> of varying the nature, scope, standard or risk of providing services to small customers, or the manner in which those services are provided. </w:t>
    </w:r>
    <w:r>
      <w:t xml:space="preserve"> </w:t>
    </w:r>
    <w:r w:rsidRPr="00BC4A71">
      <w:t>A regulatory change event includes obligations in respect of:</w:t>
    </w:r>
  </w:p>
  <w:p w:rsidR="008175D9" w:rsidRPr="00043123" w:rsidRDefault="008175D9" w:rsidP="00BC4A71">
    <w:pPr>
      <w:pStyle w:val="Bullet"/>
    </w:pPr>
    <w:r w:rsidRPr="00043123">
      <w:t>any customer hardship program</w:t>
    </w:r>
    <w:r>
      <w:t>;</w:t>
    </w:r>
  </w:p>
  <w:p w:rsidR="008175D9" w:rsidRPr="00043123" w:rsidRDefault="008175D9" w:rsidP="00BC4A71">
    <w:pPr>
      <w:pStyle w:val="Bullet"/>
    </w:pPr>
    <w:r w:rsidRPr="00043123">
      <w:t>retailer of last resort events</w:t>
    </w:r>
    <w:r>
      <w:t>;</w:t>
    </w:r>
  </w:p>
  <w:p w:rsidR="008175D9" w:rsidRPr="00043123" w:rsidRDefault="008175D9" w:rsidP="00BC4A71">
    <w:pPr>
      <w:pStyle w:val="Bullet"/>
    </w:pPr>
    <w:r>
      <w:t>environmental schemes</w:t>
    </w:r>
    <w:r w:rsidRPr="00DF401B">
      <w:t xml:space="preserve"> including the LRET and SRES schemes</w:t>
    </w:r>
    <w:r>
      <w:t xml:space="preserve"> and the Energy Efficiency Improvement Scheme; or</w:t>
    </w:r>
  </w:p>
  <w:p w:rsidR="008175D9" w:rsidRPr="00043123" w:rsidRDefault="008175D9" w:rsidP="00BC4A71">
    <w:pPr>
      <w:pStyle w:val="BulletLast"/>
    </w:pPr>
    <w:r w:rsidRPr="00043123">
      <w:t>changes in distribution or transmission charges</w:t>
    </w:r>
    <w:r>
      <w:t>.</w:t>
    </w:r>
  </w:p>
  <w:p w:rsidR="008175D9" w:rsidRPr="00BC4A71" w:rsidRDefault="008175D9" w:rsidP="00BC4A71">
    <w:pPr>
      <w:pStyle w:val="BulletIntro"/>
    </w:pPr>
    <w:r w:rsidRPr="00BC4A71">
      <w:t>A regulatory change event does not include obligations in respect of:</w:t>
    </w:r>
  </w:p>
  <w:p w:rsidR="008175D9" w:rsidRPr="00BC4A71" w:rsidRDefault="008175D9" w:rsidP="00BC4A71">
    <w:pPr>
      <w:pStyle w:val="Bullet"/>
    </w:pPr>
    <w:r w:rsidRPr="00BC4A71">
      <w:t>any decision, determination or ruling in relation to energy loss factors</w:t>
    </w:r>
    <w:r>
      <w:t>; or</w:t>
    </w:r>
  </w:p>
  <w:p w:rsidR="008175D9" w:rsidRDefault="008175D9">
    <w:pPr>
      <w:pStyle w:val="Bullet"/>
    </w:pPr>
    <w:r w:rsidRPr="00055BAD">
      <w:t>smart</w:t>
    </w:r>
    <w:r>
      <w:t>-</w:t>
    </w:r>
    <w:r w:rsidRPr="00055BAD">
      <w:t>met</w:t>
    </w:r>
    <w:r>
      <w:t>ering trials.</w:t>
    </w:r>
  </w:p>
  <w:p w:rsidR="008175D9" w:rsidRDefault="008175D9">
    <w:pPr>
      <w:pStyle w:val="Heading2"/>
    </w:pPr>
    <w:r w:rsidRPr="00BC4A71">
      <w:t>Tax change event</w:t>
    </w:r>
  </w:p>
  <w:p w:rsidR="008175D9" w:rsidRPr="00BC4A71" w:rsidRDefault="008175D9" w:rsidP="00BC4A71">
    <w:pPr>
      <w:pStyle w:val="BulletIntro"/>
    </w:pPr>
    <w:r w:rsidRPr="00BC4A71">
      <w:t>A tax change event means the imposition of</w:t>
    </w:r>
    <w:r>
      <w:t xml:space="preserve"> or a change in</w:t>
    </w:r>
    <w:r w:rsidRPr="00BC4A71">
      <w:t xml:space="preserve"> a relevant tax, the removal of a relevant tax, or a change in the way a relevant tax is interpreted or calculated where the outcome of the change affecting ActewAGL Retail occurs </w:t>
    </w:r>
    <w:r>
      <w:t xml:space="preserve">on or after 31 May 2017 and before </w:t>
    </w:r>
    <w:r w:rsidRPr="00BC4A71">
      <w:t xml:space="preserve">30 June </w:t>
    </w:r>
    <w:r>
      <w:t>2020</w:t>
    </w:r>
    <w:r w:rsidRPr="00BC4A71">
      <w:t xml:space="preserve">. </w:t>
    </w:r>
    <w:r>
      <w:t xml:space="preserve"> </w:t>
    </w:r>
    <w:r w:rsidRPr="00BC4A71">
      <w:t>A relevant tax is any tax, levy, impost, deduction, charge, rate, duty or withholding tax that is levied on ActewAGL Retail by any Authority (as defined above) and is payable by ActewAGL Retail, other than:</w:t>
    </w:r>
  </w:p>
  <w:p w:rsidR="008175D9" w:rsidRPr="00C37EE4" w:rsidRDefault="008175D9" w:rsidP="00BC4A71">
    <w:pPr>
      <w:pStyle w:val="Bullet"/>
    </w:pPr>
    <w:r w:rsidRPr="00C37EE4">
      <w:t>income tax and capital gains tax</w:t>
    </w:r>
    <w:r>
      <w:t>;</w:t>
    </w:r>
  </w:p>
  <w:p w:rsidR="008175D9" w:rsidRPr="00C37EE4" w:rsidRDefault="008175D9" w:rsidP="00BC4A71">
    <w:pPr>
      <w:pStyle w:val="Bullet"/>
    </w:pPr>
    <w:r w:rsidRPr="00C37EE4">
      <w:t>stamp duty</w:t>
    </w:r>
    <w:r>
      <w:t>;</w:t>
    </w:r>
  </w:p>
  <w:p w:rsidR="008175D9" w:rsidRPr="00C37EE4" w:rsidRDefault="008175D9" w:rsidP="00BC4A71">
    <w:pPr>
      <w:pStyle w:val="Bullet"/>
    </w:pPr>
    <w:r w:rsidRPr="00C37EE4">
      <w:t>AEMO fees</w:t>
    </w:r>
    <w:r>
      <w:t>;</w:t>
    </w:r>
  </w:p>
  <w:p w:rsidR="008175D9" w:rsidRPr="00C37EE4" w:rsidRDefault="008175D9" w:rsidP="00BC4A71">
    <w:pPr>
      <w:pStyle w:val="Bullet"/>
    </w:pPr>
    <w:r w:rsidRPr="00C37EE4">
      <w:t>fees payable by ActewAGL Retail in respect of its retail licence</w:t>
    </w:r>
    <w:r>
      <w:t>;</w:t>
    </w:r>
  </w:p>
  <w:p w:rsidR="008175D9" w:rsidRPr="00C37EE4" w:rsidRDefault="008175D9" w:rsidP="00BC4A71">
    <w:pPr>
      <w:pStyle w:val="Bullet"/>
    </w:pPr>
    <w:r w:rsidRPr="00C37EE4">
      <w:t>penalties, charges, fees and interest on late payments, or deficiencies in payments, relating to any tax</w:t>
    </w:r>
    <w:r>
      <w:t>; or</w:t>
    </w:r>
  </w:p>
  <w:p w:rsidR="008175D9" w:rsidRDefault="008175D9">
    <w:pPr>
      <w:pStyle w:val="BulletLast"/>
    </w:pPr>
    <w:r w:rsidRPr="00055BAD">
      <w:t>any tax that replaces or is equivalent or similar to any of the taxes referred to above (including any state</w:t>
    </w:r>
    <w:r>
      <w:t xml:space="preserve"> or territory</w:t>
    </w:r>
    <w:r w:rsidRPr="00055BAD">
      <w:t>-equivalent tax).</w:t>
    </w:r>
  </w:p>
  <w:p w:rsidR="008175D9" w:rsidRDefault="008175D9">
    <w:pPr>
      <w:pStyle w:val="Heading2"/>
    </w:pPr>
    <w:r w:rsidRPr="00EB731F">
      <w:t xml:space="preserve">Calculation of a regulatory </w:t>
    </w:r>
    <w:r>
      <w:t xml:space="preserve">change </w:t>
    </w:r>
    <w:r w:rsidRPr="00EB731F">
      <w:t>or tax change event</w:t>
    </w:r>
  </w:p>
  <w:p w:rsidR="008175D9" w:rsidRDefault="008175D9">
    <w:pPr>
      <w:pStyle w:val="Heading3"/>
    </w:pPr>
    <w:r>
      <w:t>General matters</w:t>
    </w:r>
  </w:p>
  <w:p w:rsidR="008175D9" w:rsidRPr="00451C07" w:rsidRDefault="008175D9" w:rsidP="0088301C">
    <w:r w:rsidRPr="00451C07">
      <w:t xml:space="preserve">The Commission will calculate the pass-through amount when </w:t>
    </w:r>
    <w:r>
      <w:t>considering a pass-through event as part of an annual recalibration process</w:t>
    </w:r>
    <w:r w:rsidRPr="00451C07">
      <w:t xml:space="preserve"> having regard to the following </w:t>
    </w:r>
    <w:r>
      <w:t>matters</w:t>
    </w:r>
    <w:r w:rsidRPr="00451C07">
      <w:t>:</w:t>
    </w:r>
  </w:p>
  <w:p w:rsidR="008175D9" w:rsidRPr="00451C07" w:rsidRDefault="008175D9" w:rsidP="0088301C">
    <w:pPr>
      <w:pStyle w:val="Bullet"/>
    </w:pPr>
    <w:r w:rsidRPr="00451C07">
      <w:t>the implications for the efficient costs of ActewAGL Retail’s actions, including whether ActewAGL Retail has taken or omitted to take any action where such action or omission has increased the magnitude of the costs incurred</w:t>
    </w:r>
    <w:r>
      <w:t>;</w:t>
    </w:r>
  </w:p>
  <w:p w:rsidR="008175D9" w:rsidRPr="00451C07" w:rsidRDefault="008175D9" w:rsidP="0088301C">
    <w:pPr>
      <w:pStyle w:val="Bullet"/>
    </w:pPr>
    <w:r w:rsidRPr="00451C07">
      <w:t>the need to ensure that ActewAGL Retail does not recover costs to the extent that provisions have already been made or otherwise taken into account</w:t>
    </w:r>
    <w:r>
      <w:t>;</w:t>
    </w:r>
  </w:p>
  <w:p w:rsidR="008175D9" w:rsidRPr="00451C07" w:rsidRDefault="008175D9" w:rsidP="0088301C">
    <w:pPr>
      <w:pStyle w:val="Bullet"/>
    </w:pPr>
    <w:r w:rsidRPr="00451C07">
      <w:t>the need to ensure that ActewAGL Retail only recovers any actual or likely increment in efficient costs to the extent that such an increment is solely as a consequence of a pass-through event</w:t>
    </w:r>
    <w:r>
      <w:t xml:space="preserve"> from the date the event occurred;</w:t>
    </w:r>
  </w:p>
  <w:p w:rsidR="008175D9" w:rsidRPr="00451C07" w:rsidRDefault="008175D9" w:rsidP="0088301C">
    <w:pPr>
      <w:pStyle w:val="Bullet"/>
    </w:pPr>
    <w:r w:rsidRPr="00451C07">
      <w:t>in the case of a regulatory change event, any costs that ActewAGL Retail has incurred prior to, but in preparation for, the occurrence of that regulatory change event</w:t>
    </w:r>
    <w:r>
      <w:t>; and</w:t>
    </w:r>
  </w:p>
  <w:p w:rsidR="008175D9" w:rsidRDefault="008175D9" w:rsidP="0088301C">
    <w:pPr>
      <w:pStyle w:val="BulletLast"/>
    </w:pPr>
    <w:r w:rsidRPr="00451C07">
      <w:t>in the case of a tax change event, any change in the way another tax is calculated, or the removal or imposition of another tax which in the Commission’s opinion is complementary to the tax change event concerned</w:t>
    </w:r>
    <w:r>
      <w:t>.</w:t>
    </w:r>
  </w:p>
  <w:p w:rsidR="008175D9" w:rsidRDefault="008175D9">
    <w:r w:rsidRPr="00451C07">
      <w:t>In addition</w:t>
    </w:r>
    <w:r>
      <w:t>, i</w:t>
    </w:r>
    <w:r w:rsidRPr="00451C07">
      <w:t>n considering any pass-through event, the Commission may consult with affected stakeholders to the extent the Commission</w:t>
    </w:r>
    <w:r>
      <w:t xml:space="preserve"> </w:t>
    </w:r>
    <w:r w:rsidRPr="00451C07">
      <w:t>considers appropriate.</w:t>
    </w:r>
  </w:p>
  <w:p w:rsidR="008175D9" w:rsidRDefault="008175D9">
    <w:pPr>
      <w:pStyle w:val="Heading3"/>
    </w:pPr>
    <w:r>
      <w:t>Regulatory change and tax change event pass-through mechanism</w:t>
    </w:r>
  </w:p>
  <w:p w:rsidR="008175D9" w:rsidRDefault="008175D9">
    <w:r>
      <w:t>F</w:t>
    </w:r>
    <w:r w:rsidRPr="00451C07">
      <w:t xml:space="preserve">or a </w:t>
    </w:r>
    <w:r>
      <w:t xml:space="preserve">regulatory change or tax change </w:t>
    </w:r>
    <w:r w:rsidRPr="00451C07">
      <w:t>pass-through event that occurs during 201</w:t>
    </w:r>
    <w:r>
      <w:t>7</w:t>
    </w:r>
    <w:r w:rsidRPr="00451C07">
      <w:t>–1</w:t>
    </w:r>
    <w:r>
      <w:t>8 or 2018–19</w:t>
    </w:r>
    <w:r w:rsidRPr="00451C07">
      <w:t xml:space="preserve">, the Commission will </w:t>
    </w:r>
    <w:r>
      <w:t xml:space="preserve">include the </w:t>
    </w:r>
    <w:r w:rsidRPr="00451C07">
      <w:t>value of the pass-through event</w:t>
    </w:r>
    <w:r>
      <w:t xml:space="preserve">, which can be </w:t>
    </w:r>
    <w:r w:rsidRPr="00451C07">
      <w:t>either negative or positive</w:t>
    </w:r>
    <w:r w:rsidRPr="00775AD9">
      <w:t xml:space="preserve"> </w:t>
    </w:r>
    <w:r>
      <w:t>when determining the maximum average price change,</w:t>
    </w:r>
    <w:r w:rsidRPr="00451C07">
      <w:t xml:space="preserve"> </w:t>
    </w:r>
    <w:r>
      <w:t>in the cost-index model.</w:t>
    </w:r>
  </w:p>
  <w:p w:rsidR="008175D9" w:rsidRPr="004C4EC1" w:rsidRDefault="008175D9" w:rsidP="004C4EC1">
    <w:r w:rsidRPr="004C4EC1">
      <w:br w:type="page"/>
    </w:r>
  </w:p>
  <w:p w:rsidR="008175D9" w:rsidRPr="004C4EC1" w:rsidRDefault="008175D9" w:rsidP="004C4EC1">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pPr>
      <w:pStyle w:val="Header"/>
    </w:pPr>
  </w:p>
  <w:p w:rsidR="008175D9" w:rsidRDefault="008175D9">
    <w:pPr>
      <w:pStyle w:val="Header"/>
    </w:pPr>
  </w:p>
  <w:p w:rsidR="008175D9" w:rsidRDefault="008175D9" w:rsidP="008D1420">
    <w:pPr>
      <w:pStyle w:val="Headereven"/>
    </w:pPr>
  </w:p>
  <w:p w:rsidR="008175D9" w:rsidRDefault="008175D9" w:rsidP="00022732">
    <w:pPr>
      <w:pStyle w:val="Headereven"/>
    </w:pPr>
    <w:r>
      <w:fldChar w:fldCharType="begin"/>
    </w:r>
    <w:r>
      <w:instrText xml:space="preserve"> REF _Ref359595388 \r \h  \* MERGEFORMAT </w:instrText>
    </w:r>
    <w:r>
      <w:fldChar w:fldCharType="separate"/>
    </w:r>
    <w:r>
      <w:t>Part C</w:t>
    </w:r>
    <w:r>
      <w:fldChar w:fldCharType="end"/>
    </w:r>
    <w:r>
      <w:t xml:space="preserve"> – </w:t>
    </w:r>
    <w:r>
      <w:fldChar w:fldCharType="begin"/>
    </w:r>
    <w:r>
      <w:instrText xml:space="preserve"> REF _Ref359595388 \h  \* MERGEFORMAT </w:instrText>
    </w:r>
    <w:r>
      <w:fldChar w:fldCharType="separate"/>
    </w:r>
    <w:r>
      <w:t>Legislative provisions</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rsidP="008D1420">
    <w:pPr>
      <w:spacing w:after="0"/>
      <w:jc w:val="right"/>
    </w:pPr>
  </w:p>
  <w:p w:rsidR="008175D9" w:rsidRDefault="008175D9" w:rsidP="008D1420">
    <w:pPr>
      <w:spacing w:after="0"/>
      <w:jc w:val="right"/>
    </w:pPr>
  </w:p>
  <w:p w:rsidR="008175D9" w:rsidRDefault="008175D9" w:rsidP="00022732">
    <w:pPr>
      <w:pStyle w:val="Headerodd"/>
    </w:pPr>
  </w:p>
  <w:p w:rsidR="008175D9" w:rsidRDefault="008175D9" w:rsidP="008D1420">
    <w:pPr>
      <w:pStyle w:val="Headerodd"/>
    </w:pPr>
    <w:r>
      <w:fldChar w:fldCharType="begin"/>
    </w:r>
    <w:r>
      <w:instrText xml:space="preserve"> REF _Ref359595388 \r \h  \* MERGEFORMAT </w:instrText>
    </w:r>
    <w:r>
      <w:fldChar w:fldCharType="separate"/>
    </w:r>
    <w:r>
      <w:t>Part C</w:t>
    </w:r>
    <w:r>
      <w:fldChar w:fldCharType="end"/>
    </w:r>
    <w:r>
      <w:t xml:space="preserve"> – </w:t>
    </w:r>
    <w:r>
      <w:fldChar w:fldCharType="begin"/>
    </w:r>
    <w:r>
      <w:instrText xml:space="preserve"> REF _Ref359595388 \h  \* MERGEFORMAT </w:instrText>
    </w:r>
    <w:r>
      <w:fldChar w:fldCharType="separate"/>
    </w:r>
    <w:r>
      <w:t>Legislative provisions</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rsidP="00D641A8">
    <w:pPr>
      <w:spacing w:after="0"/>
    </w:pPr>
  </w:p>
  <w:p w:rsidR="008175D9" w:rsidRDefault="008175D9" w:rsidP="00D641A8">
    <w:pPr>
      <w:spacing w:after="0"/>
    </w:pPr>
  </w:p>
  <w:p w:rsidR="008175D9" w:rsidRDefault="008175D9">
    <w:pPr>
      <w:pStyle w:val="Headereven"/>
    </w:pPr>
    <w:r>
      <w:fldChar w:fldCharType="begin"/>
    </w:r>
    <w:r>
      <w:instrText xml:space="preserve"> REF _Ref370714275 \r \h  \* MERGEFORMAT </w:instrText>
    </w:r>
    <w:r>
      <w:fldChar w:fldCharType="separate"/>
    </w:r>
    <w:r w:rsidRPr="00611444">
      <w:t>Attachment 1</w:t>
    </w:r>
    <w:r>
      <w:fldChar w:fldCharType="end"/>
    </w:r>
    <w:r w:rsidRPr="00611444">
      <w:t xml:space="preserve">– </w:t>
    </w:r>
    <w:r>
      <w:fldChar w:fldCharType="begin"/>
    </w:r>
    <w:r>
      <w:instrText xml:space="preserve"> REF _Ref370714275 \h  \* MERGEFORMAT </w:instrText>
    </w:r>
    <w:r>
      <w:fldChar w:fldCharType="separate"/>
    </w:r>
    <w:r w:rsidRPr="00611444">
      <w:t>Compliance</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rsidP="00611444">
    <w:pPr>
      <w:pStyle w:val="Headerodd"/>
    </w:pPr>
    <w:r>
      <w:fldChar w:fldCharType="begin"/>
    </w:r>
    <w:r>
      <w:instrText xml:space="preserve"> REF _Ref370714275 \r \h  \* MERGEFORMAT </w:instrText>
    </w:r>
    <w:r>
      <w:fldChar w:fldCharType="separate"/>
    </w:r>
    <w:r w:rsidRPr="00611444">
      <w:t>Attachment 1</w:t>
    </w:r>
    <w:r>
      <w:fldChar w:fldCharType="end"/>
    </w:r>
    <w:r w:rsidRPr="00611444">
      <w:t xml:space="preserve"> – </w:t>
    </w:r>
    <w:r>
      <w:fldChar w:fldCharType="begin"/>
    </w:r>
    <w:r>
      <w:instrText xml:space="preserve"> REF _Ref370714275 \h  \* MERGEFORMAT </w:instrText>
    </w:r>
    <w:r>
      <w:fldChar w:fldCharType="separate"/>
    </w:r>
    <w:r w:rsidRPr="00611444">
      <w:t>Compliance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Pr="00231F4F" w:rsidRDefault="009518B8" w:rsidP="00231F4F">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72426" o:spid="_x0000_s2202" type="#_x0000_t75" style="position:absolute;margin-left:0;margin-top:0;width:457.8pt;height:728.6pt;z-index:-251656704;mso-position-horizontal:center;mso-position-horizontal-relative:margin;mso-position-vertical:center;mso-position-vertical-relative:margin" o:allowincell="f">
          <v:imagedata r:id="rId1" o:title="ICRC_reports_cov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Pr="00231F4F" w:rsidRDefault="008175D9" w:rsidP="00231F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rsidP="00D641A8">
    <w:pPr>
      <w:spacing w:after="0"/>
    </w:pPr>
  </w:p>
  <w:p w:rsidR="008175D9" w:rsidRDefault="008175D9" w:rsidP="00D641A8">
    <w:pP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Pr="00231F4F" w:rsidRDefault="008175D9" w:rsidP="00231F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rsidP="00D641A8">
    <w:pPr>
      <w:spacing w:after="0"/>
    </w:pPr>
  </w:p>
  <w:p w:rsidR="008175D9" w:rsidRDefault="008175D9" w:rsidP="00D641A8">
    <w:pPr>
      <w:spacing w:after="0"/>
    </w:pPr>
  </w:p>
  <w:p w:rsidR="008175D9" w:rsidRDefault="008175D9" w:rsidP="007A1FA7">
    <w:pPr>
      <w:pStyle w:val="Headereven"/>
    </w:pPr>
    <w:r>
      <w:fldChar w:fldCharType="begin"/>
    </w:r>
    <w:r>
      <w:instrText xml:space="preserve"> REF _Ref349636916 \r \h </w:instrText>
    </w:r>
    <w:r>
      <w:fldChar w:fldCharType="separate"/>
    </w:r>
    <w:r>
      <w:t>Part A</w:t>
    </w:r>
    <w:r>
      <w:fldChar w:fldCharType="end"/>
    </w:r>
    <w:r>
      <w:t xml:space="preserve"> – </w:t>
    </w:r>
    <w:r>
      <w:fldChar w:fldCharType="begin"/>
    </w:r>
    <w:r>
      <w:instrText xml:space="preserve"> REF _Ref359595173 \h </w:instrText>
    </w:r>
    <w:r>
      <w:fldChar w:fldCharType="separate"/>
    </w:r>
    <w:r>
      <w:t>Preliminary</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rsidP="00F011FB">
    <w:pPr>
      <w:pStyle w:val="Header"/>
      <w:jc w:val="right"/>
    </w:pPr>
  </w:p>
  <w:p w:rsidR="008175D9" w:rsidRDefault="008175D9" w:rsidP="00F011FB">
    <w:pPr>
      <w:pStyle w:val="Header"/>
      <w:jc w:val="right"/>
    </w:pPr>
  </w:p>
  <w:p w:rsidR="008175D9" w:rsidRPr="00231F4F" w:rsidRDefault="008175D9" w:rsidP="00B325BA">
    <w:pPr>
      <w:pStyle w:val="Headerodd"/>
    </w:pPr>
    <w:r>
      <w:fldChar w:fldCharType="begin"/>
    </w:r>
    <w:r>
      <w:instrText xml:space="preserve"> REF _Ref349636790 \r \h  \* MERGEFORMAT </w:instrText>
    </w:r>
    <w:r>
      <w:fldChar w:fldCharType="separate"/>
    </w:r>
    <w:r>
      <w:t>Part A</w:t>
    </w:r>
    <w:r>
      <w:fldChar w:fldCharType="end"/>
    </w:r>
    <w:r>
      <w:t xml:space="preserve"> – </w:t>
    </w:r>
    <w:r>
      <w:rPr>
        <w:i w:val="0"/>
      </w:rPr>
      <w:fldChar w:fldCharType="begin"/>
    </w:r>
    <w:r>
      <w:instrText xml:space="preserve"> REF _Ref359595173 \h </w:instrText>
    </w:r>
    <w:r>
      <w:rPr>
        <w:i w:val="0"/>
      </w:rPr>
    </w:r>
    <w:r>
      <w:rPr>
        <w:i w:val="0"/>
      </w:rPr>
      <w:fldChar w:fldCharType="separate"/>
    </w:r>
    <w:r>
      <w:t>Preliminary</w:t>
    </w:r>
    <w:r>
      <w:rPr>
        <w:i w:val="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pPr>
      <w:pStyle w:val="Header"/>
    </w:pPr>
  </w:p>
  <w:p w:rsidR="008175D9" w:rsidRDefault="008175D9">
    <w:pPr>
      <w:pStyle w:val="Header"/>
    </w:pPr>
  </w:p>
  <w:p w:rsidR="008175D9" w:rsidRDefault="008175D9" w:rsidP="00022732">
    <w:pPr>
      <w:pStyle w:val="Headereven"/>
    </w:pPr>
    <w:r>
      <w:fldChar w:fldCharType="begin"/>
    </w:r>
    <w:r>
      <w:instrText xml:space="preserve"> REF _Ref356120717 \r \h  \* MERGEFORMAT </w:instrText>
    </w:r>
    <w:r>
      <w:fldChar w:fldCharType="separate"/>
    </w:r>
    <w:r>
      <w:t>Part B</w:t>
    </w:r>
    <w:r>
      <w:fldChar w:fldCharType="end"/>
    </w:r>
    <w:r>
      <w:t xml:space="preserve"> – </w:t>
    </w:r>
    <w:r>
      <w:fldChar w:fldCharType="begin"/>
    </w:r>
    <w:r>
      <w:instrText xml:space="preserve"> REF _Ref477514806 \h </w:instrText>
    </w:r>
    <w:r>
      <w:fldChar w:fldCharType="separate"/>
    </w:r>
    <w:r>
      <w:t>Price regulation</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9" w:rsidRDefault="008175D9" w:rsidP="00F011FB">
    <w:pPr>
      <w:pStyle w:val="Header"/>
      <w:jc w:val="right"/>
    </w:pPr>
  </w:p>
  <w:p w:rsidR="008175D9" w:rsidRDefault="008175D9" w:rsidP="00F011FB">
    <w:pPr>
      <w:pStyle w:val="Header"/>
      <w:jc w:val="right"/>
    </w:pPr>
  </w:p>
  <w:p w:rsidR="008175D9" w:rsidRDefault="008175D9" w:rsidP="00326273">
    <w:pPr>
      <w:pStyle w:val="Headerodd"/>
    </w:pPr>
    <w:r>
      <w:fldChar w:fldCharType="begin"/>
    </w:r>
    <w:r>
      <w:instrText xml:space="preserve"> REF _Ref356120717 \r \h  \* MERGEFORMAT </w:instrText>
    </w:r>
    <w:r>
      <w:fldChar w:fldCharType="separate"/>
    </w:r>
    <w:r>
      <w:t>Part B</w:t>
    </w:r>
    <w:r>
      <w:fldChar w:fldCharType="end"/>
    </w:r>
    <w:r>
      <w:t xml:space="preserve"> – </w:t>
    </w:r>
    <w:r>
      <w:fldChar w:fldCharType="begin"/>
    </w:r>
    <w:r>
      <w:instrText xml:space="preserve"> REF _Ref356120717 \h  \* MERGEFORMAT </w:instrText>
    </w:r>
    <w:r>
      <w:fldChar w:fldCharType="separate"/>
    </w:r>
    <w:r>
      <w:t>Price regulatio</w:t>
    </w:r>
    <w:r>
      <w:fldChar w:fldCharType="end"/>
    </w:r>
    <w: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9E56BC"/>
    <w:lvl w:ilvl="0">
      <w:numFmt w:val="decimal"/>
      <w:pStyle w:val="QuoteBullet"/>
      <w:lvlText w:val="*"/>
      <w:lvlJc w:val="left"/>
      <w:rPr>
        <w:rFonts w:cs="Times New Roman"/>
      </w:rPr>
    </w:lvl>
  </w:abstractNum>
  <w:abstractNum w:abstractNumId="1" w15:restartNumberingAfterBreak="0">
    <w:nsid w:val="03434E67"/>
    <w:multiLevelType w:val="multilevel"/>
    <w:tmpl w:val="9FFE39AC"/>
    <w:lvl w:ilvl="0">
      <w:start w:val="1"/>
      <w:numFmt w:val="upperLetter"/>
      <w:pStyle w:val="HeadingPart"/>
      <w:lvlText w:val="Part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075CC9"/>
    <w:multiLevelType w:val="multilevel"/>
    <w:tmpl w:val="954643D0"/>
    <w:lvl w:ilvl="0">
      <w:start w:val="1"/>
      <w:numFmt w:val="lowerLetter"/>
      <w:pStyle w:val="QuoteList"/>
      <w:lvlText w:val="(%1)"/>
      <w:lvlJc w:val="left"/>
      <w:pPr>
        <w:ind w:left="720" w:hanging="360"/>
      </w:pPr>
      <w:rPr>
        <w:rFonts w:ascii="Times New Roman" w:hAnsi="Times New Roman" w:hint="default"/>
        <w:b w:val="0"/>
        <w:i w:val="0"/>
        <w:sz w:val="20"/>
      </w:rPr>
    </w:lvl>
    <w:lvl w:ilvl="1">
      <w:start w:val="1"/>
      <w:numFmt w:val="lowerRoman"/>
      <w:lvlText w:val="(%2)"/>
      <w:lvlJc w:val="left"/>
      <w:pPr>
        <w:ind w:left="1080" w:hanging="360"/>
      </w:pPr>
      <w:rPr>
        <w:rFonts w:ascii="Times New Roman" w:hAnsi="Times New Roman" w:hint="default"/>
        <w:b w:val="0"/>
        <w:i w:val="0"/>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43C06547"/>
    <w:multiLevelType w:val="hybridMultilevel"/>
    <w:tmpl w:val="3158754E"/>
    <w:lvl w:ilvl="0" w:tplc="E5CC8A56">
      <w:start w:val="1"/>
      <w:numFmt w:val="bullet"/>
      <w:pStyle w:val="BulletLas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15:restartNumberingAfterBreak="0">
    <w:nsid w:val="4ACF2B83"/>
    <w:multiLevelType w:val="multilevel"/>
    <w:tmpl w:val="0EE01922"/>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1.%2"/>
      <w:lvlJc w:val="left"/>
      <w:pPr>
        <w:tabs>
          <w:tab w:val="num" w:pos="1080"/>
        </w:tabs>
        <w:ind w:left="720" w:hanging="720"/>
      </w:pPr>
      <w:rPr>
        <w:rFonts w:ascii="Arial" w:hAnsi="Arial" w:cs="Arial" w:hint="default"/>
        <w:b/>
        <w:bCs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144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569C589C"/>
    <w:multiLevelType w:val="multilevel"/>
    <w:tmpl w:val="8F0E6F5E"/>
    <w:lvl w:ilvl="0">
      <w:start w:val="1"/>
      <w:numFmt w:val="decimal"/>
      <w:pStyle w:val="HeadingAppendix1"/>
      <w:lvlText w:val="Attachment %1"/>
      <w:lvlJc w:val="left"/>
      <w:pPr>
        <w:ind w:left="2693" w:hanging="2693"/>
      </w:pPr>
      <w:rPr>
        <w:rFonts w:hint="default"/>
      </w:rPr>
    </w:lvl>
    <w:lvl w:ilvl="1">
      <w:start w:val="1"/>
      <w:numFmt w:val="decimal"/>
      <w:pStyle w:val="HeadingAppendix2"/>
      <w:lvlText w:val="A%1.%2"/>
      <w:lvlJc w:val="left"/>
      <w:pPr>
        <w:ind w:left="907" w:hanging="907"/>
      </w:pPr>
      <w:rPr>
        <w:rFonts w:cs="Times New Roman" w:hint="default"/>
        <w:bCs w:val="0"/>
        <w:i w:val="0"/>
        <w:iCs w:val="0"/>
        <w:caps w:val="0"/>
        <w:smallCaps w:val="0"/>
        <w:strike w:val="0"/>
        <w:dstrike w:val="0"/>
        <w:noProof w:val="0"/>
        <w:vanish w:val="0"/>
        <w:color w:val="000000"/>
        <w:spacing w:val="0"/>
        <w:position w:val="0"/>
        <w:u w:val="none"/>
        <w:vertAlign w:val="baseline"/>
        <w:em w:val="none"/>
      </w:rPr>
    </w:lvl>
    <w:lvl w:ilvl="2">
      <w:start w:val="1"/>
      <w:numFmt w:val="decimal"/>
      <w:pStyle w:val="HeadingAppendix3"/>
      <w:lvlText w:val="A%1.%2.%3"/>
      <w:lvlJc w:val="left"/>
      <w:pPr>
        <w:ind w:left="907" w:hanging="907"/>
      </w:pPr>
      <w:rPr>
        <w:rFonts w:hint="default"/>
      </w:rPr>
    </w:lvl>
    <w:lvl w:ilvl="3">
      <w:start w:val="1"/>
      <w:numFmt w:val="decimal"/>
      <w:lvlText w:val="%4."/>
      <w:lvlJc w:val="left"/>
      <w:pPr>
        <w:ind w:left="2693" w:hanging="2693"/>
      </w:pPr>
      <w:rPr>
        <w:rFonts w:hint="default"/>
      </w:rPr>
    </w:lvl>
    <w:lvl w:ilvl="4">
      <w:start w:val="1"/>
      <w:numFmt w:val="lowerLetter"/>
      <w:lvlText w:val="%5."/>
      <w:lvlJc w:val="left"/>
      <w:pPr>
        <w:ind w:left="2693" w:hanging="2693"/>
      </w:pPr>
      <w:rPr>
        <w:rFonts w:hint="default"/>
      </w:rPr>
    </w:lvl>
    <w:lvl w:ilvl="5">
      <w:start w:val="1"/>
      <w:numFmt w:val="lowerRoman"/>
      <w:lvlText w:val="%6."/>
      <w:lvlJc w:val="right"/>
      <w:pPr>
        <w:ind w:left="2693" w:hanging="2693"/>
      </w:pPr>
      <w:rPr>
        <w:rFonts w:hint="default"/>
      </w:rPr>
    </w:lvl>
    <w:lvl w:ilvl="6">
      <w:start w:val="1"/>
      <w:numFmt w:val="decimal"/>
      <w:lvlText w:val="%7."/>
      <w:lvlJc w:val="left"/>
      <w:pPr>
        <w:ind w:left="2693" w:hanging="2693"/>
      </w:pPr>
      <w:rPr>
        <w:rFonts w:hint="default"/>
      </w:rPr>
    </w:lvl>
    <w:lvl w:ilvl="7">
      <w:start w:val="1"/>
      <w:numFmt w:val="lowerLetter"/>
      <w:lvlText w:val="%8."/>
      <w:lvlJc w:val="left"/>
      <w:pPr>
        <w:ind w:left="2693" w:hanging="2693"/>
      </w:pPr>
      <w:rPr>
        <w:rFonts w:hint="default"/>
      </w:rPr>
    </w:lvl>
    <w:lvl w:ilvl="8">
      <w:start w:val="1"/>
      <w:numFmt w:val="lowerRoman"/>
      <w:lvlText w:val="%9."/>
      <w:lvlJc w:val="right"/>
      <w:pPr>
        <w:ind w:left="2693" w:hanging="2693"/>
      </w:pPr>
      <w:rPr>
        <w:rFonts w:hint="default"/>
      </w:rPr>
    </w:lvl>
  </w:abstractNum>
  <w:abstractNum w:abstractNumId="6" w15:restartNumberingAfterBreak="0">
    <w:nsid w:val="5A565032"/>
    <w:multiLevelType w:val="multilevel"/>
    <w:tmpl w:val="9404D75E"/>
    <w:lvl w:ilvl="0">
      <w:start w:val="1"/>
      <w:numFmt w:val="lowerLetter"/>
      <w:pStyle w:val="LetteredList"/>
      <w:lvlText w:val="(%1)"/>
      <w:lvlJc w:val="left"/>
      <w:pPr>
        <w:ind w:left="680" w:hanging="396"/>
      </w:pPr>
      <w:rPr>
        <w:rFonts w:hint="default"/>
      </w:rPr>
    </w:lvl>
    <w:lvl w:ilvl="1">
      <w:start w:val="1"/>
      <w:numFmt w:val="lowerRoman"/>
      <w:lvlText w:val="(%2)"/>
      <w:lvlJc w:val="left"/>
      <w:pPr>
        <w:ind w:left="1701" w:hanging="624"/>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15:restartNumberingAfterBreak="0">
    <w:nsid w:val="5BFC0F86"/>
    <w:multiLevelType w:val="hybridMultilevel"/>
    <w:tmpl w:val="967807A0"/>
    <w:lvl w:ilvl="0" w:tplc="080C19FA">
      <w:start w:val="1"/>
      <w:numFmt w:val="bullet"/>
      <w:pStyle w:val="TableBullet"/>
      <w:lvlText w:val=""/>
      <w:lvlJc w:val="left"/>
      <w:pPr>
        <w:tabs>
          <w:tab w:val="num" w:pos="360"/>
        </w:tabs>
        <w:ind w:left="216" w:hanging="216"/>
      </w:pPr>
      <w:rPr>
        <w:rFonts w:ascii="Symbol" w:hAnsi="Symbol" w:hint="default"/>
        <w:sz w:val="16"/>
      </w:rPr>
    </w:lvl>
    <w:lvl w:ilvl="1" w:tplc="F9E2E734" w:tentative="1">
      <w:start w:val="1"/>
      <w:numFmt w:val="bullet"/>
      <w:lvlText w:val="o"/>
      <w:lvlJc w:val="left"/>
      <w:pPr>
        <w:tabs>
          <w:tab w:val="num" w:pos="1440"/>
        </w:tabs>
        <w:ind w:left="1440" w:hanging="360"/>
      </w:pPr>
      <w:rPr>
        <w:rFonts w:ascii="Courier New" w:hAnsi="Courier New" w:hint="default"/>
      </w:rPr>
    </w:lvl>
    <w:lvl w:ilvl="2" w:tplc="6DEEAAA4" w:tentative="1">
      <w:start w:val="1"/>
      <w:numFmt w:val="bullet"/>
      <w:lvlText w:val=""/>
      <w:lvlJc w:val="left"/>
      <w:pPr>
        <w:tabs>
          <w:tab w:val="num" w:pos="2160"/>
        </w:tabs>
        <w:ind w:left="2160" w:hanging="360"/>
      </w:pPr>
      <w:rPr>
        <w:rFonts w:ascii="Wingdings" w:hAnsi="Wingdings" w:hint="default"/>
      </w:rPr>
    </w:lvl>
    <w:lvl w:ilvl="3" w:tplc="C598E346" w:tentative="1">
      <w:start w:val="1"/>
      <w:numFmt w:val="bullet"/>
      <w:lvlText w:val=""/>
      <w:lvlJc w:val="left"/>
      <w:pPr>
        <w:tabs>
          <w:tab w:val="num" w:pos="2880"/>
        </w:tabs>
        <w:ind w:left="2880" w:hanging="360"/>
      </w:pPr>
      <w:rPr>
        <w:rFonts w:ascii="Symbol" w:hAnsi="Symbol" w:hint="default"/>
      </w:rPr>
    </w:lvl>
    <w:lvl w:ilvl="4" w:tplc="790C274C" w:tentative="1">
      <w:start w:val="1"/>
      <w:numFmt w:val="bullet"/>
      <w:lvlText w:val="o"/>
      <w:lvlJc w:val="left"/>
      <w:pPr>
        <w:tabs>
          <w:tab w:val="num" w:pos="3600"/>
        </w:tabs>
        <w:ind w:left="3600" w:hanging="360"/>
      </w:pPr>
      <w:rPr>
        <w:rFonts w:ascii="Courier New" w:hAnsi="Courier New" w:hint="default"/>
      </w:rPr>
    </w:lvl>
    <w:lvl w:ilvl="5" w:tplc="D0E442FA" w:tentative="1">
      <w:start w:val="1"/>
      <w:numFmt w:val="bullet"/>
      <w:lvlText w:val=""/>
      <w:lvlJc w:val="left"/>
      <w:pPr>
        <w:tabs>
          <w:tab w:val="num" w:pos="4320"/>
        </w:tabs>
        <w:ind w:left="4320" w:hanging="360"/>
      </w:pPr>
      <w:rPr>
        <w:rFonts w:ascii="Wingdings" w:hAnsi="Wingdings" w:hint="default"/>
      </w:rPr>
    </w:lvl>
    <w:lvl w:ilvl="6" w:tplc="D24C2F38" w:tentative="1">
      <w:start w:val="1"/>
      <w:numFmt w:val="bullet"/>
      <w:lvlText w:val=""/>
      <w:lvlJc w:val="left"/>
      <w:pPr>
        <w:tabs>
          <w:tab w:val="num" w:pos="5040"/>
        </w:tabs>
        <w:ind w:left="5040" w:hanging="360"/>
      </w:pPr>
      <w:rPr>
        <w:rFonts w:ascii="Symbol" w:hAnsi="Symbol" w:hint="default"/>
      </w:rPr>
    </w:lvl>
    <w:lvl w:ilvl="7" w:tplc="D8A6F982" w:tentative="1">
      <w:start w:val="1"/>
      <w:numFmt w:val="bullet"/>
      <w:lvlText w:val="o"/>
      <w:lvlJc w:val="left"/>
      <w:pPr>
        <w:tabs>
          <w:tab w:val="num" w:pos="5760"/>
        </w:tabs>
        <w:ind w:left="5760" w:hanging="360"/>
      </w:pPr>
      <w:rPr>
        <w:rFonts w:ascii="Courier New" w:hAnsi="Courier New" w:hint="default"/>
      </w:rPr>
    </w:lvl>
    <w:lvl w:ilvl="8" w:tplc="9F1A4F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B11EF"/>
    <w:multiLevelType w:val="hybridMultilevel"/>
    <w:tmpl w:val="5532BE76"/>
    <w:lvl w:ilvl="0" w:tplc="4DE26A5C">
      <w:start w:val="1"/>
      <w:numFmt w:val="bullet"/>
      <w:pStyle w:val="Bullet"/>
      <w:lvlText w:val=""/>
      <w:lvlJc w:val="left"/>
      <w:pPr>
        <w:ind w:left="644" w:hanging="36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lvlOverride w:ilvl="0">
      <w:lvl w:ilvl="0">
        <w:start w:val="1"/>
        <w:numFmt w:val="bullet"/>
        <w:pStyle w:val="QuoteBullet"/>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3"/>
  </w:num>
  <w:num w:numId="7">
    <w:abstractNumId w:val="5"/>
  </w:num>
  <w:num w:numId="8">
    <w:abstractNumId w:val="4"/>
  </w:num>
  <w:num w:numId="9">
    <w:abstractNumId w:val="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styleLockTheme/>
  <w:defaultTabStop w:val="720"/>
  <w:evenAndOddHeaders/>
  <w:drawingGridHorizontalSpacing w:val="110"/>
  <w:displayHorizontalDrawingGridEvery w:val="2"/>
  <w:characterSpacingControl w:val="doNotCompress"/>
  <w:hdrShapeDefaults>
    <o:shapedefaults v:ext="edit" spidmax="2206"/>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D2FE5"/>
    <w:rsid w:val="0000092A"/>
    <w:rsid w:val="00000E6F"/>
    <w:rsid w:val="00000EBB"/>
    <w:rsid w:val="0000165D"/>
    <w:rsid w:val="00001A61"/>
    <w:rsid w:val="000028B8"/>
    <w:rsid w:val="000032DE"/>
    <w:rsid w:val="00003467"/>
    <w:rsid w:val="00003DDB"/>
    <w:rsid w:val="00004112"/>
    <w:rsid w:val="000049ED"/>
    <w:rsid w:val="00005AEE"/>
    <w:rsid w:val="00006EA7"/>
    <w:rsid w:val="00011E87"/>
    <w:rsid w:val="00012215"/>
    <w:rsid w:val="00013020"/>
    <w:rsid w:val="00015578"/>
    <w:rsid w:val="00015A93"/>
    <w:rsid w:val="000166DA"/>
    <w:rsid w:val="00016727"/>
    <w:rsid w:val="00017092"/>
    <w:rsid w:val="00017EA3"/>
    <w:rsid w:val="00017FEA"/>
    <w:rsid w:val="00020F0D"/>
    <w:rsid w:val="00021CA5"/>
    <w:rsid w:val="000221CF"/>
    <w:rsid w:val="00022261"/>
    <w:rsid w:val="00022732"/>
    <w:rsid w:val="0002280B"/>
    <w:rsid w:val="000229DE"/>
    <w:rsid w:val="00022CAD"/>
    <w:rsid w:val="00023AC3"/>
    <w:rsid w:val="000240C2"/>
    <w:rsid w:val="00025E6A"/>
    <w:rsid w:val="00025E8A"/>
    <w:rsid w:val="000266BF"/>
    <w:rsid w:val="00027990"/>
    <w:rsid w:val="00027E71"/>
    <w:rsid w:val="00030428"/>
    <w:rsid w:val="00030590"/>
    <w:rsid w:val="00030D20"/>
    <w:rsid w:val="00031BCC"/>
    <w:rsid w:val="000320B2"/>
    <w:rsid w:val="0003211C"/>
    <w:rsid w:val="0003314F"/>
    <w:rsid w:val="00033398"/>
    <w:rsid w:val="00033DDA"/>
    <w:rsid w:val="000341C6"/>
    <w:rsid w:val="000344C0"/>
    <w:rsid w:val="00034590"/>
    <w:rsid w:val="00034E5E"/>
    <w:rsid w:val="0003574F"/>
    <w:rsid w:val="000358B4"/>
    <w:rsid w:val="00035C84"/>
    <w:rsid w:val="000363A7"/>
    <w:rsid w:val="00036DF6"/>
    <w:rsid w:val="00040431"/>
    <w:rsid w:val="00040992"/>
    <w:rsid w:val="00041B48"/>
    <w:rsid w:val="00041E15"/>
    <w:rsid w:val="00041E43"/>
    <w:rsid w:val="0004260E"/>
    <w:rsid w:val="00042D97"/>
    <w:rsid w:val="00042DD9"/>
    <w:rsid w:val="00043123"/>
    <w:rsid w:val="0004386E"/>
    <w:rsid w:val="00043BCD"/>
    <w:rsid w:val="000443A6"/>
    <w:rsid w:val="00045AB3"/>
    <w:rsid w:val="00046324"/>
    <w:rsid w:val="00047DC2"/>
    <w:rsid w:val="000518E9"/>
    <w:rsid w:val="00052ECE"/>
    <w:rsid w:val="00053E3A"/>
    <w:rsid w:val="00054F5F"/>
    <w:rsid w:val="00055582"/>
    <w:rsid w:val="00056D9E"/>
    <w:rsid w:val="00056DDE"/>
    <w:rsid w:val="00056E03"/>
    <w:rsid w:val="00056E9A"/>
    <w:rsid w:val="00057182"/>
    <w:rsid w:val="000574FB"/>
    <w:rsid w:val="00057BDE"/>
    <w:rsid w:val="000602C2"/>
    <w:rsid w:val="00060563"/>
    <w:rsid w:val="000618E9"/>
    <w:rsid w:val="0006229C"/>
    <w:rsid w:val="00062B88"/>
    <w:rsid w:val="00062FAE"/>
    <w:rsid w:val="0006376F"/>
    <w:rsid w:val="00063AFD"/>
    <w:rsid w:val="000647CA"/>
    <w:rsid w:val="00064AE3"/>
    <w:rsid w:val="000652FB"/>
    <w:rsid w:val="00065609"/>
    <w:rsid w:val="00065A5B"/>
    <w:rsid w:val="000668F0"/>
    <w:rsid w:val="00066D98"/>
    <w:rsid w:val="00066E03"/>
    <w:rsid w:val="00066E53"/>
    <w:rsid w:val="00066F06"/>
    <w:rsid w:val="000678EA"/>
    <w:rsid w:val="0007055A"/>
    <w:rsid w:val="00071030"/>
    <w:rsid w:val="00071377"/>
    <w:rsid w:val="0007142E"/>
    <w:rsid w:val="00071580"/>
    <w:rsid w:val="00071D9E"/>
    <w:rsid w:val="0007370F"/>
    <w:rsid w:val="00073A6F"/>
    <w:rsid w:val="00073ADE"/>
    <w:rsid w:val="00074A1D"/>
    <w:rsid w:val="0007553A"/>
    <w:rsid w:val="00076152"/>
    <w:rsid w:val="00076C3E"/>
    <w:rsid w:val="00076F86"/>
    <w:rsid w:val="00080677"/>
    <w:rsid w:val="000809BA"/>
    <w:rsid w:val="000811AC"/>
    <w:rsid w:val="0008173F"/>
    <w:rsid w:val="00081971"/>
    <w:rsid w:val="00082E06"/>
    <w:rsid w:val="00082E78"/>
    <w:rsid w:val="000830BB"/>
    <w:rsid w:val="000835B9"/>
    <w:rsid w:val="000835F4"/>
    <w:rsid w:val="00083E72"/>
    <w:rsid w:val="00084703"/>
    <w:rsid w:val="00084956"/>
    <w:rsid w:val="00084B07"/>
    <w:rsid w:val="00085490"/>
    <w:rsid w:val="00087C54"/>
    <w:rsid w:val="00090B9F"/>
    <w:rsid w:val="00090D98"/>
    <w:rsid w:val="00092503"/>
    <w:rsid w:val="00093078"/>
    <w:rsid w:val="0009491A"/>
    <w:rsid w:val="00095C13"/>
    <w:rsid w:val="00096029"/>
    <w:rsid w:val="00097426"/>
    <w:rsid w:val="00097790"/>
    <w:rsid w:val="000A01E9"/>
    <w:rsid w:val="000A0F6A"/>
    <w:rsid w:val="000A154C"/>
    <w:rsid w:val="000A3F96"/>
    <w:rsid w:val="000A3F9C"/>
    <w:rsid w:val="000A431F"/>
    <w:rsid w:val="000A4B34"/>
    <w:rsid w:val="000A4D58"/>
    <w:rsid w:val="000A5CCC"/>
    <w:rsid w:val="000A5EFB"/>
    <w:rsid w:val="000A6209"/>
    <w:rsid w:val="000A64AA"/>
    <w:rsid w:val="000A72E5"/>
    <w:rsid w:val="000A7FEA"/>
    <w:rsid w:val="000B088A"/>
    <w:rsid w:val="000B1002"/>
    <w:rsid w:val="000B1012"/>
    <w:rsid w:val="000B1DF1"/>
    <w:rsid w:val="000B23BA"/>
    <w:rsid w:val="000B2402"/>
    <w:rsid w:val="000B2441"/>
    <w:rsid w:val="000B2D09"/>
    <w:rsid w:val="000B3518"/>
    <w:rsid w:val="000B3A75"/>
    <w:rsid w:val="000B3DB8"/>
    <w:rsid w:val="000B5C50"/>
    <w:rsid w:val="000B5CA5"/>
    <w:rsid w:val="000B5CE1"/>
    <w:rsid w:val="000B5F19"/>
    <w:rsid w:val="000B69A3"/>
    <w:rsid w:val="000B6B1B"/>
    <w:rsid w:val="000B7103"/>
    <w:rsid w:val="000B76C8"/>
    <w:rsid w:val="000C0359"/>
    <w:rsid w:val="000C1045"/>
    <w:rsid w:val="000C1148"/>
    <w:rsid w:val="000C20ED"/>
    <w:rsid w:val="000C28A5"/>
    <w:rsid w:val="000C3172"/>
    <w:rsid w:val="000C3217"/>
    <w:rsid w:val="000C3A1E"/>
    <w:rsid w:val="000C4D96"/>
    <w:rsid w:val="000C560D"/>
    <w:rsid w:val="000C5D12"/>
    <w:rsid w:val="000C6CC9"/>
    <w:rsid w:val="000C742F"/>
    <w:rsid w:val="000D06E5"/>
    <w:rsid w:val="000D0CD8"/>
    <w:rsid w:val="000D0E7B"/>
    <w:rsid w:val="000D2B1E"/>
    <w:rsid w:val="000D3501"/>
    <w:rsid w:val="000D3DBE"/>
    <w:rsid w:val="000D54E9"/>
    <w:rsid w:val="000D5749"/>
    <w:rsid w:val="000D6C80"/>
    <w:rsid w:val="000D6CE0"/>
    <w:rsid w:val="000D7374"/>
    <w:rsid w:val="000E0125"/>
    <w:rsid w:val="000E14AF"/>
    <w:rsid w:val="000E1649"/>
    <w:rsid w:val="000E1C01"/>
    <w:rsid w:val="000E1C02"/>
    <w:rsid w:val="000E2A4A"/>
    <w:rsid w:val="000E4180"/>
    <w:rsid w:val="000E44F8"/>
    <w:rsid w:val="000E4A95"/>
    <w:rsid w:val="000E501B"/>
    <w:rsid w:val="000E6367"/>
    <w:rsid w:val="000E661B"/>
    <w:rsid w:val="000E780D"/>
    <w:rsid w:val="000F1B29"/>
    <w:rsid w:val="000F3A01"/>
    <w:rsid w:val="000F43FD"/>
    <w:rsid w:val="000F4CA0"/>
    <w:rsid w:val="000F7AC9"/>
    <w:rsid w:val="0010021B"/>
    <w:rsid w:val="0010026F"/>
    <w:rsid w:val="00100356"/>
    <w:rsid w:val="00100864"/>
    <w:rsid w:val="0010109A"/>
    <w:rsid w:val="00101753"/>
    <w:rsid w:val="00101AB8"/>
    <w:rsid w:val="001020E5"/>
    <w:rsid w:val="001023F7"/>
    <w:rsid w:val="00102C39"/>
    <w:rsid w:val="00103E1C"/>
    <w:rsid w:val="00104528"/>
    <w:rsid w:val="00104FD9"/>
    <w:rsid w:val="00106A61"/>
    <w:rsid w:val="00106E03"/>
    <w:rsid w:val="00106E21"/>
    <w:rsid w:val="00107F7B"/>
    <w:rsid w:val="00111069"/>
    <w:rsid w:val="00111120"/>
    <w:rsid w:val="0011160E"/>
    <w:rsid w:val="00113CC7"/>
    <w:rsid w:val="00114890"/>
    <w:rsid w:val="00116408"/>
    <w:rsid w:val="00116840"/>
    <w:rsid w:val="00116E97"/>
    <w:rsid w:val="00117E79"/>
    <w:rsid w:val="00121F53"/>
    <w:rsid w:val="001222FD"/>
    <w:rsid w:val="0012248E"/>
    <w:rsid w:val="00123D4D"/>
    <w:rsid w:val="00125798"/>
    <w:rsid w:val="00125C39"/>
    <w:rsid w:val="00125FA4"/>
    <w:rsid w:val="00126A5D"/>
    <w:rsid w:val="00127F9F"/>
    <w:rsid w:val="001308E2"/>
    <w:rsid w:val="001308FC"/>
    <w:rsid w:val="00130FCF"/>
    <w:rsid w:val="00131856"/>
    <w:rsid w:val="001318B4"/>
    <w:rsid w:val="00133BC5"/>
    <w:rsid w:val="0013419D"/>
    <w:rsid w:val="00135018"/>
    <w:rsid w:val="001356FD"/>
    <w:rsid w:val="00135A5C"/>
    <w:rsid w:val="00135AC7"/>
    <w:rsid w:val="0013620B"/>
    <w:rsid w:val="001367D9"/>
    <w:rsid w:val="00136900"/>
    <w:rsid w:val="00137159"/>
    <w:rsid w:val="0013715C"/>
    <w:rsid w:val="00137FDC"/>
    <w:rsid w:val="001402DF"/>
    <w:rsid w:val="001410AD"/>
    <w:rsid w:val="00141AF6"/>
    <w:rsid w:val="001426EB"/>
    <w:rsid w:val="0014362E"/>
    <w:rsid w:val="00145027"/>
    <w:rsid w:val="001453C8"/>
    <w:rsid w:val="0014542D"/>
    <w:rsid w:val="0014543B"/>
    <w:rsid w:val="00146073"/>
    <w:rsid w:val="00146A44"/>
    <w:rsid w:val="00150925"/>
    <w:rsid w:val="00151166"/>
    <w:rsid w:val="001515C0"/>
    <w:rsid w:val="001524EF"/>
    <w:rsid w:val="00152C56"/>
    <w:rsid w:val="00153653"/>
    <w:rsid w:val="00153A74"/>
    <w:rsid w:val="00154A8A"/>
    <w:rsid w:val="00154DB5"/>
    <w:rsid w:val="0015503F"/>
    <w:rsid w:val="001553C6"/>
    <w:rsid w:val="0015588C"/>
    <w:rsid w:val="001558F5"/>
    <w:rsid w:val="001559A0"/>
    <w:rsid w:val="00155DCB"/>
    <w:rsid w:val="001566C6"/>
    <w:rsid w:val="00160938"/>
    <w:rsid w:val="001609AB"/>
    <w:rsid w:val="00163A0E"/>
    <w:rsid w:val="00163CD7"/>
    <w:rsid w:val="00164655"/>
    <w:rsid w:val="001653AB"/>
    <w:rsid w:val="001656C6"/>
    <w:rsid w:val="00165DCD"/>
    <w:rsid w:val="0016694D"/>
    <w:rsid w:val="00167E31"/>
    <w:rsid w:val="0017088C"/>
    <w:rsid w:val="00170AD1"/>
    <w:rsid w:val="00170D62"/>
    <w:rsid w:val="00170DA5"/>
    <w:rsid w:val="001712AC"/>
    <w:rsid w:val="00171DED"/>
    <w:rsid w:val="0017227B"/>
    <w:rsid w:val="00172F47"/>
    <w:rsid w:val="0017396C"/>
    <w:rsid w:val="001746CC"/>
    <w:rsid w:val="00174965"/>
    <w:rsid w:val="001749AF"/>
    <w:rsid w:val="001754D9"/>
    <w:rsid w:val="001757BA"/>
    <w:rsid w:val="00176677"/>
    <w:rsid w:val="00177066"/>
    <w:rsid w:val="00177BB3"/>
    <w:rsid w:val="0018015D"/>
    <w:rsid w:val="001813F5"/>
    <w:rsid w:val="00181DE5"/>
    <w:rsid w:val="001822C4"/>
    <w:rsid w:val="00182863"/>
    <w:rsid w:val="00183580"/>
    <w:rsid w:val="00183E58"/>
    <w:rsid w:val="00183F5A"/>
    <w:rsid w:val="00184009"/>
    <w:rsid w:val="001860A1"/>
    <w:rsid w:val="00186487"/>
    <w:rsid w:val="001878C6"/>
    <w:rsid w:val="00187B53"/>
    <w:rsid w:val="001905EC"/>
    <w:rsid w:val="001912CE"/>
    <w:rsid w:val="00191F95"/>
    <w:rsid w:val="00192061"/>
    <w:rsid w:val="00192E34"/>
    <w:rsid w:val="00193396"/>
    <w:rsid w:val="00193FDB"/>
    <w:rsid w:val="00194157"/>
    <w:rsid w:val="0019476F"/>
    <w:rsid w:val="00196572"/>
    <w:rsid w:val="00196D0B"/>
    <w:rsid w:val="001973B1"/>
    <w:rsid w:val="001976E6"/>
    <w:rsid w:val="001A07B2"/>
    <w:rsid w:val="001A15AE"/>
    <w:rsid w:val="001A2500"/>
    <w:rsid w:val="001A2F1D"/>
    <w:rsid w:val="001A3E97"/>
    <w:rsid w:val="001A43EA"/>
    <w:rsid w:val="001A504A"/>
    <w:rsid w:val="001A535B"/>
    <w:rsid w:val="001A7536"/>
    <w:rsid w:val="001A755B"/>
    <w:rsid w:val="001B00B5"/>
    <w:rsid w:val="001B0149"/>
    <w:rsid w:val="001B1211"/>
    <w:rsid w:val="001B16A7"/>
    <w:rsid w:val="001B1E70"/>
    <w:rsid w:val="001B4FEA"/>
    <w:rsid w:val="001B57F2"/>
    <w:rsid w:val="001B5B18"/>
    <w:rsid w:val="001B61F0"/>
    <w:rsid w:val="001B6993"/>
    <w:rsid w:val="001B6AD3"/>
    <w:rsid w:val="001C1104"/>
    <w:rsid w:val="001C14D0"/>
    <w:rsid w:val="001C1773"/>
    <w:rsid w:val="001C21A0"/>
    <w:rsid w:val="001C3DC1"/>
    <w:rsid w:val="001C4295"/>
    <w:rsid w:val="001C4320"/>
    <w:rsid w:val="001C4426"/>
    <w:rsid w:val="001C560D"/>
    <w:rsid w:val="001C5A67"/>
    <w:rsid w:val="001C5FDC"/>
    <w:rsid w:val="001C61CF"/>
    <w:rsid w:val="001C7276"/>
    <w:rsid w:val="001C7995"/>
    <w:rsid w:val="001D03D0"/>
    <w:rsid w:val="001D140E"/>
    <w:rsid w:val="001D1635"/>
    <w:rsid w:val="001D2101"/>
    <w:rsid w:val="001D2560"/>
    <w:rsid w:val="001D2973"/>
    <w:rsid w:val="001D3795"/>
    <w:rsid w:val="001D3A1B"/>
    <w:rsid w:val="001D3D35"/>
    <w:rsid w:val="001D3F98"/>
    <w:rsid w:val="001D435C"/>
    <w:rsid w:val="001D4D43"/>
    <w:rsid w:val="001D620D"/>
    <w:rsid w:val="001D7B8F"/>
    <w:rsid w:val="001E011A"/>
    <w:rsid w:val="001E1CFE"/>
    <w:rsid w:val="001E231B"/>
    <w:rsid w:val="001E3650"/>
    <w:rsid w:val="001E371D"/>
    <w:rsid w:val="001E3E9B"/>
    <w:rsid w:val="001E3FE6"/>
    <w:rsid w:val="001E432D"/>
    <w:rsid w:val="001E436C"/>
    <w:rsid w:val="001E456E"/>
    <w:rsid w:val="001E45D0"/>
    <w:rsid w:val="001E49EE"/>
    <w:rsid w:val="001E4C29"/>
    <w:rsid w:val="001E662A"/>
    <w:rsid w:val="001E6DE2"/>
    <w:rsid w:val="001F00B4"/>
    <w:rsid w:val="001F00EF"/>
    <w:rsid w:val="001F014B"/>
    <w:rsid w:val="001F049C"/>
    <w:rsid w:val="001F1140"/>
    <w:rsid w:val="001F1EE7"/>
    <w:rsid w:val="001F24F0"/>
    <w:rsid w:val="001F34AA"/>
    <w:rsid w:val="001F3C5A"/>
    <w:rsid w:val="001F4885"/>
    <w:rsid w:val="001F4D87"/>
    <w:rsid w:val="001F50F0"/>
    <w:rsid w:val="001F5212"/>
    <w:rsid w:val="001F5AC1"/>
    <w:rsid w:val="001F67F2"/>
    <w:rsid w:val="001F7584"/>
    <w:rsid w:val="00201038"/>
    <w:rsid w:val="002019A8"/>
    <w:rsid w:val="00201EC4"/>
    <w:rsid w:val="00202089"/>
    <w:rsid w:val="002023C9"/>
    <w:rsid w:val="00202A97"/>
    <w:rsid w:val="00202B4A"/>
    <w:rsid w:val="00202C22"/>
    <w:rsid w:val="00202C7F"/>
    <w:rsid w:val="002038FC"/>
    <w:rsid w:val="002038FF"/>
    <w:rsid w:val="00204037"/>
    <w:rsid w:val="00204266"/>
    <w:rsid w:val="00204709"/>
    <w:rsid w:val="00204CF7"/>
    <w:rsid w:val="00205137"/>
    <w:rsid w:val="00205BE5"/>
    <w:rsid w:val="0020605E"/>
    <w:rsid w:val="00207220"/>
    <w:rsid w:val="00211964"/>
    <w:rsid w:val="00211AE2"/>
    <w:rsid w:val="0021287F"/>
    <w:rsid w:val="00213FD5"/>
    <w:rsid w:val="0021405D"/>
    <w:rsid w:val="00214D44"/>
    <w:rsid w:val="002160E2"/>
    <w:rsid w:val="002161AF"/>
    <w:rsid w:val="00216A51"/>
    <w:rsid w:val="0022116A"/>
    <w:rsid w:val="00221640"/>
    <w:rsid w:val="002217E3"/>
    <w:rsid w:val="00221B7D"/>
    <w:rsid w:val="00221D88"/>
    <w:rsid w:val="00221E2D"/>
    <w:rsid w:val="00221E9F"/>
    <w:rsid w:val="00222B97"/>
    <w:rsid w:val="00224754"/>
    <w:rsid w:val="00225331"/>
    <w:rsid w:val="002253AA"/>
    <w:rsid w:val="0022553C"/>
    <w:rsid w:val="00226FA7"/>
    <w:rsid w:val="0022788A"/>
    <w:rsid w:val="00227AB0"/>
    <w:rsid w:val="00230271"/>
    <w:rsid w:val="00230458"/>
    <w:rsid w:val="002304A4"/>
    <w:rsid w:val="00230639"/>
    <w:rsid w:val="00230D51"/>
    <w:rsid w:val="0023146E"/>
    <w:rsid w:val="00231851"/>
    <w:rsid w:val="00231F4F"/>
    <w:rsid w:val="00232889"/>
    <w:rsid w:val="002343B6"/>
    <w:rsid w:val="00236FD1"/>
    <w:rsid w:val="00237106"/>
    <w:rsid w:val="0023728D"/>
    <w:rsid w:val="002375F2"/>
    <w:rsid w:val="00242581"/>
    <w:rsid w:val="002425F1"/>
    <w:rsid w:val="00242DCF"/>
    <w:rsid w:val="00242FF8"/>
    <w:rsid w:val="00243386"/>
    <w:rsid w:val="00244C7C"/>
    <w:rsid w:val="002455A8"/>
    <w:rsid w:val="0025119B"/>
    <w:rsid w:val="002516E1"/>
    <w:rsid w:val="002547C3"/>
    <w:rsid w:val="00254AB1"/>
    <w:rsid w:val="00255E61"/>
    <w:rsid w:val="00256D9D"/>
    <w:rsid w:val="00257B34"/>
    <w:rsid w:val="00260744"/>
    <w:rsid w:val="0026277F"/>
    <w:rsid w:val="00262805"/>
    <w:rsid w:val="00262D8E"/>
    <w:rsid w:val="00262FB2"/>
    <w:rsid w:val="002631AA"/>
    <w:rsid w:val="00263A5F"/>
    <w:rsid w:val="00264965"/>
    <w:rsid w:val="00265CB9"/>
    <w:rsid w:val="00265CE4"/>
    <w:rsid w:val="00266698"/>
    <w:rsid w:val="00266888"/>
    <w:rsid w:val="00270259"/>
    <w:rsid w:val="00270818"/>
    <w:rsid w:val="00270E00"/>
    <w:rsid w:val="002716DF"/>
    <w:rsid w:val="00271722"/>
    <w:rsid w:val="002723AB"/>
    <w:rsid w:val="0027275B"/>
    <w:rsid w:val="0027276A"/>
    <w:rsid w:val="0027281F"/>
    <w:rsid w:val="0027437B"/>
    <w:rsid w:val="00274F24"/>
    <w:rsid w:val="00275B17"/>
    <w:rsid w:val="00275C05"/>
    <w:rsid w:val="00277B4E"/>
    <w:rsid w:val="0028050B"/>
    <w:rsid w:val="00280AFD"/>
    <w:rsid w:val="00280C4A"/>
    <w:rsid w:val="00280DA6"/>
    <w:rsid w:val="0028116B"/>
    <w:rsid w:val="002817D6"/>
    <w:rsid w:val="00281C94"/>
    <w:rsid w:val="00282FDC"/>
    <w:rsid w:val="0028381B"/>
    <w:rsid w:val="002852E0"/>
    <w:rsid w:val="002853A0"/>
    <w:rsid w:val="002854FD"/>
    <w:rsid w:val="00285983"/>
    <w:rsid w:val="00285C57"/>
    <w:rsid w:val="002860DB"/>
    <w:rsid w:val="00286643"/>
    <w:rsid w:val="002866E3"/>
    <w:rsid w:val="002867A6"/>
    <w:rsid w:val="002878E6"/>
    <w:rsid w:val="00290072"/>
    <w:rsid w:val="00290330"/>
    <w:rsid w:val="002904E6"/>
    <w:rsid w:val="00292669"/>
    <w:rsid w:val="002930A8"/>
    <w:rsid w:val="00294939"/>
    <w:rsid w:val="00294A95"/>
    <w:rsid w:val="00296232"/>
    <w:rsid w:val="00296DBE"/>
    <w:rsid w:val="0029751F"/>
    <w:rsid w:val="00297B37"/>
    <w:rsid w:val="002A0F95"/>
    <w:rsid w:val="002A11EE"/>
    <w:rsid w:val="002A2F1E"/>
    <w:rsid w:val="002A52AD"/>
    <w:rsid w:val="002A66ED"/>
    <w:rsid w:val="002A67D3"/>
    <w:rsid w:val="002A7068"/>
    <w:rsid w:val="002A7763"/>
    <w:rsid w:val="002A7B85"/>
    <w:rsid w:val="002B08D8"/>
    <w:rsid w:val="002B1B3D"/>
    <w:rsid w:val="002B1E97"/>
    <w:rsid w:val="002B2D69"/>
    <w:rsid w:val="002B2D81"/>
    <w:rsid w:val="002B3134"/>
    <w:rsid w:val="002B3188"/>
    <w:rsid w:val="002B386F"/>
    <w:rsid w:val="002B4F04"/>
    <w:rsid w:val="002B51E4"/>
    <w:rsid w:val="002B5842"/>
    <w:rsid w:val="002B61E7"/>
    <w:rsid w:val="002B6440"/>
    <w:rsid w:val="002B6F2B"/>
    <w:rsid w:val="002B72B8"/>
    <w:rsid w:val="002C07E3"/>
    <w:rsid w:val="002C23BA"/>
    <w:rsid w:val="002C245C"/>
    <w:rsid w:val="002C258A"/>
    <w:rsid w:val="002C26D2"/>
    <w:rsid w:val="002C2B7E"/>
    <w:rsid w:val="002C3448"/>
    <w:rsid w:val="002C385C"/>
    <w:rsid w:val="002C523C"/>
    <w:rsid w:val="002C54BB"/>
    <w:rsid w:val="002C7595"/>
    <w:rsid w:val="002C7DCD"/>
    <w:rsid w:val="002C7EE2"/>
    <w:rsid w:val="002D118D"/>
    <w:rsid w:val="002D2A3A"/>
    <w:rsid w:val="002D2E95"/>
    <w:rsid w:val="002D3FA4"/>
    <w:rsid w:val="002D42BC"/>
    <w:rsid w:val="002D49E7"/>
    <w:rsid w:val="002D4C0D"/>
    <w:rsid w:val="002D501F"/>
    <w:rsid w:val="002D51E4"/>
    <w:rsid w:val="002D55DF"/>
    <w:rsid w:val="002D64AE"/>
    <w:rsid w:val="002D6644"/>
    <w:rsid w:val="002D710A"/>
    <w:rsid w:val="002E0E8B"/>
    <w:rsid w:val="002E0F39"/>
    <w:rsid w:val="002E2746"/>
    <w:rsid w:val="002E27CF"/>
    <w:rsid w:val="002E2A84"/>
    <w:rsid w:val="002E2FD3"/>
    <w:rsid w:val="002E3C55"/>
    <w:rsid w:val="002E401D"/>
    <w:rsid w:val="002E483A"/>
    <w:rsid w:val="002E4E46"/>
    <w:rsid w:val="002E522A"/>
    <w:rsid w:val="002E56B1"/>
    <w:rsid w:val="002E5DD4"/>
    <w:rsid w:val="002E6343"/>
    <w:rsid w:val="002E647D"/>
    <w:rsid w:val="002E6ECE"/>
    <w:rsid w:val="002E6FEA"/>
    <w:rsid w:val="002E7DBF"/>
    <w:rsid w:val="002E7F0C"/>
    <w:rsid w:val="002F084F"/>
    <w:rsid w:val="002F0D81"/>
    <w:rsid w:val="002F0F82"/>
    <w:rsid w:val="002F1C9A"/>
    <w:rsid w:val="002F1F65"/>
    <w:rsid w:val="002F2F52"/>
    <w:rsid w:val="002F2F70"/>
    <w:rsid w:val="002F3017"/>
    <w:rsid w:val="002F3669"/>
    <w:rsid w:val="002F3968"/>
    <w:rsid w:val="002F4AAC"/>
    <w:rsid w:val="002F528A"/>
    <w:rsid w:val="002F58E2"/>
    <w:rsid w:val="002F7D2B"/>
    <w:rsid w:val="002F7F32"/>
    <w:rsid w:val="0030069F"/>
    <w:rsid w:val="00300ACE"/>
    <w:rsid w:val="00301BCB"/>
    <w:rsid w:val="00301E70"/>
    <w:rsid w:val="00302131"/>
    <w:rsid w:val="0030236E"/>
    <w:rsid w:val="00303B17"/>
    <w:rsid w:val="003043AB"/>
    <w:rsid w:val="003046D9"/>
    <w:rsid w:val="00305938"/>
    <w:rsid w:val="00307062"/>
    <w:rsid w:val="003075C8"/>
    <w:rsid w:val="00307ECB"/>
    <w:rsid w:val="00310140"/>
    <w:rsid w:val="003105D9"/>
    <w:rsid w:val="0031163C"/>
    <w:rsid w:val="003125AE"/>
    <w:rsid w:val="00312673"/>
    <w:rsid w:val="00312952"/>
    <w:rsid w:val="00313AE0"/>
    <w:rsid w:val="0031462D"/>
    <w:rsid w:val="00314BD4"/>
    <w:rsid w:val="0031628C"/>
    <w:rsid w:val="0031716C"/>
    <w:rsid w:val="00317D53"/>
    <w:rsid w:val="00322414"/>
    <w:rsid w:val="0032250F"/>
    <w:rsid w:val="00323A0C"/>
    <w:rsid w:val="00325836"/>
    <w:rsid w:val="00325CDF"/>
    <w:rsid w:val="00326273"/>
    <w:rsid w:val="003263BD"/>
    <w:rsid w:val="00326F58"/>
    <w:rsid w:val="00327139"/>
    <w:rsid w:val="003312BE"/>
    <w:rsid w:val="003314C5"/>
    <w:rsid w:val="003319F8"/>
    <w:rsid w:val="00334576"/>
    <w:rsid w:val="00334F8F"/>
    <w:rsid w:val="003355B8"/>
    <w:rsid w:val="00335887"/>
    <w:rsid w:val="00336207"/>
    <w:rsid w:val="00340B7E"/>
    <w:rsid w:val="003413AA"/>
    <w:rsid w:val="003426B7"/>
    <w:rsid w:val="0034391A"/>
    <w:rsid w:val="00343BE6"/>
    <w:rsid w:val="003446E5"/>
    <w:rsid w:val="00344B72"/>
    <w:rsid w:val="00346411"/>
    <w:rsid w:val="003468DE"/>
    <w:rsid w:val="00346D27"/>
    <w:rsid w:val="00346D91"/>
    <w:rsid w:val="00350B53"/>
    <w:rsid w:val="00351FD3"/>
    <w:rsid w:val="00353175"/>
    <w:rsid w:val="00353197"/>
    <w:rsid w:val="00353CF2"/>
    <w:rsid w:val="00355B37"/>
    <w:rsid w:val="0035638C"/>
    <w:rsid w:val="0035703E"/>
    <w:rsid w:val="00357174"/>
    <w:rsid w:val="003579F5"/>
    <w:rsid w:val="00357E81"/>
    <w:rsid w:val="00357F56"/>
    <w:rsid w:val="00357FFB"/>
    <w:rsid w:val="003609E3"/>
    <w:rsid w:val="00361A61"/>
    <w:rsid w:val="0036424F"/>
    <w:rsid w:val="00364D1E"/>
    <w:rsid w:val="00365C35"/>
    <w:rsid w:val="00365F38"/>
    <w:rsid w:val="003664C9"/>
    <w:rsid w:val="00366A15"/>
    <w:rsid w:val="00366B2E"/>
    <w:rsid w:val="003671E6"/>
    <w:rsid w:val="0036756A"/>
    <w:rsid w:val="0037166D"/>
    <w:rsid w:val="00371A40"/>
    <w:rsid w:val="00372CDF"/>
    <w:rsid w:val="0037300F"/>
    <w:rsid w:val="0037361A"/>
    <w:rsid w:val="003739BC"/>
    <w:rsid w:val="00373B54"/>
    <w:rsid w:val="003740F7"/>
    <w:rsid w:val="00374529"/>
    <w:rsid w:val="003747D6"/>
    <w:rsid w:val="00374FB3"/>
    <w:rsid w:val="0037548D"/>
    <w:rsid w:val="00375AD9"/>
    <w:rsid w:val="00375B1A"/>
    <w:rsid w:val="00375BFA"/>
    <w:rsid w:val="00375F15"/>
    <w:rsid w:val="00377115"/>
    <w:rsid w:val="00380147"/>
    <w:rsid w:val="00380380"/>
    <w:rsid w:val="0038039A"/>
    <w:rsid w:val="003807CD"/>
    <w:rsid w:val="00380FF4"/>
    <w:rsid w:val="0038195C"/>
    <w:rsid w:val="00381B70"/>
    <w:rsid w:val="00381C68"/>
    <w:rsid w:val="00382613"/>
    <w:rsid w:val="003839D3"/>
    <w:rsid w:val="00383CD9"/>
    <w:rsid w:val="00383DD1"/>
    <w:rsid w:val="00384B78"/>
    <w:rsid w:val="00385048"/>
    <w:rsid w:val="00385153"/>
    <w:rsid w:val="0038632F"/>
    <w:rsid w:val="00386DF9"/>
    <w:rsid w:val="00387132"/>
    <w:rsid w:val="00387282"/>
    <w:rsid w:val="00387C73"/>
    <w:rsid w:val="00387FE3"/>
    <w:rsid w:val="0039103A"/>
    <w:rsid w:val="0039188B"/>
    <w:rsid w:val="00391DF1"/>
    <w:rsid w:val="00392A47"/>
    <w:rsid w:val="0039471B"/>
    <w:rsid w:val="00394F2D"/>
    <w:rsid w:val="00395164"/>
    <w:rsid w:val="003968B0"/>
    <w:rsid w:val="00397072"/>
    <w:rsid w:val="00397748"/>
    <w:rsid w:val="003A0889"/>
    <w:rsid w:val="003A0D97"/>
    <w:rsid w:val="003A1288"/>
    <w:rsid w:val="003A2290"/>
    <w:rsid w:val="003A24F4"/>
    <w:rsid w:val="003A2926"/>
    <w:rsid w:val="003A2CD9"/>
    <w:rsid w:val="003A40E0"/>
    <w:rsid w:val="003A4945"/>
    <w:rsid w:val="003A6539"/>
    <w:rsid w:val="003A7150"/>
    <w:rsid w:val="003A72D7"/>
    <w:rsid w:val="003A741B"/>
    <w:rsid w:val="003A75FE"/>
    <w:rsid w:val="003B07EC"/>
    <w:rsid w:val="003B0CE2"/>
    <w:rsid w:val="003B0EC0"/>
    <w:rsid w:val="003B0FC6"/>
    <w:rsid w:val="003B2CA1"/>
    <w:rsid w:val="003B3BC7"/>
    <w:rsid w:val="003B4A6C"/>
    <w:rsid w:val="003B61FA"/>
    <w:rsid w:val="003B76CA"/>
    <w:rsid w:val="003B76CF"/>
    <w:rsid w:val="003C0361"/>
    <w:rsid w:val="003C081B"/>
    <w:rsid w:val="003C0AF4"/>
    <w:rsid w:val="003C0D76"/>
    <w:rsid w:val="003C1047"/>
    <w:rsid w:val="003C2434"/>
    <w:rsid w:val="003C2451"/>
    <w:rsid w:val="003C2537"/>
    <w:rsid w:val="003C3510"/>
    <w:rsid w:val="003C35CB"/>
    <w:rsid w:val="003C368B"/>
    <w:rsid w:val="003C443D"/>
    <w:rsid w:val="003C52DA"/>
    <w:rsid w:val="003C5621"/>
    <w:rsid w:val="003C6773"/>
    <w:rsid w:val="003C6BA5"/>
    <w:rsid w:val="003C740B"/>
    <w:rsid w:val="003D08E2"/>
    <w:rsid w:val="003D142E"/>
    <w:rsid w:val="003D1B46"/>
    <w:rsid w:val="003D1D4B"/>
    <w:rsid w:val="003D20E9"/>
    <w:rsid w:val="003D26D0"/>
    <w:rsid w:val="003D2809"/>
    <w:rsid w:val="003D29FC"/>
    <w:rsid w:val="003D2CDF"/>
    <w:rsid w:val="003D2FE5"/>
    <w:rsid w:val="003D43A6"/>
    <w:rsid w:val="003D44DC"/>
    <w:rsid w:val="003D4623"/>
    <w:rsid w:val="003D620D"/>
    <w:rsid w:val="003D64F6"/>
    <w:rsid w:val="003D704E"/>
    <w:rsid w:val="003D70B1"/>
    <w:rsid w:val="003D73F9"/>
    <w:rsid w:val="003D7533"/>
    <w:rsid w:val="003E096E"/>
    <w:rsid w:val="003E0B04"/>
    <w:rsid w:val="003E1165"/>
    <w:rsid w:val="003E18C9"/>
    <w:rsid w:val="003E197C"/>
    <w:rsid w:val="003E1B01"/>
    <w:rsid w:val="003E27C0"/>
    <w:rsid w:val="003E2DCF"/>
    <w:rsid w:val="003E33B0"/>
    <w:rsid w:val="003E3AAC"/>
    <w:rsid w:val="003E3E25"/>
    <w:rsid w:val="003E3F78"/>
    <w:rsid w:val="003E46AE"/>
    <w:rsid w:val="003E4B07"/>
    <w:rsid w:val="003E51A2"/>
    <w:rsid w:val="003E520A"/>
    <w:rsid w:val="003E56B4"/>
    <w:rsid w:val="003E5EE3"/>
    <w:rsid w:val="003E6110"/>
    <w:rsid w:val="003E713C"/>
    <w:rsid w:val="003E7813"/>
    <w:rsid w:val="003E7E82"/>
    <w:rsid w:val="003F1058"/>
    <w:rsid w:val="003F1AFB"/>
    <w:rsid w:val="003F2F25"/>
    <w:rsid w:val="003F30E9"/>
    <w:rsid w:val="003F4192"/>
    <w:rsid w:val="003F41DB"/>
    <w:rsid w:val="003F4F7A"/>
    <w:rsid w:val="003F5081"/>
    <w:rsid w:val="003F5718"/>
    <w:rsid w:val="003F572D"/>
    <w:rsid w:val="003F6E72"/>
    <w:rsid w:val="003F78CA"/>
    <w:rsid w:val="004002B7"/>
    <w:rsid w:val="00400764"/>
    <w:rsid w:val="00401AFD"/>
    <w:rsid w:val="00402B12"/>
    <w:rsid w:val="00403BE4"/>
    <w:rsid w:val="004050F9"/>
    <w:rsid w:val="004057ED"/>
    <w:rsid w:val="00406724"/>
    <w:rsid w:val="00407271"/>
    <w:rsid w:val="00411DCA"/>
    <w:rsid w:val="004127B8"/>
    <w:rsid w:val="00413183"/>
    <w:rsid w:val="0041412D"/>
    <w:rsid w:val="004164FD"/>
    <w:rsid w:val="00416B38"/>
    <w:rsid w:val="00416E8F"/>
    <w:rsid w:val="00417B81"/>
    <w:rsid w:val="0042021C"/>
    <w:rsid w:val="00420D69"/>
    <w:rsid w:val="00420E42"/>
    <w:rsid w:val="0042131E"/>
    <w:rsid w:val="00422292"/>
    <w:rsid w:val="00422E72"/>
    <w:rsid w:val="00423427"/>
    <w:rsid w:val="00424A85"/>
    <w:rsid w:val="00424C10"/>
    <w:rsid w:val="00424ED3"/>
    <w:rsid w:val="00425010"/>
    <w:rsid w:val="004257BA"/>
    <w:rsid w:val="00425CE3"/>
    <w:rsid w:val="00425F9E"/>
    <w:rsid w:val="0042628E"/>
    <w:rsid w:val="00427624"/>
    <w:rsid w:val="00427651"/>
    <w:rsid w:val="00430120"/>
    <w:rsid w:val="0043024A"/>
    <w:rsid w:val="00430352"/>
    <w:rsid w:val="00430398"/>
    <w:rsid w:val="00431157"/>
    <w:rsid w:val="0043194E"/>
    <w:rsid w:val="00431D33"/>
    <w:rsid w:val="00432C22"/>
    <w:rsid w:val="00433129"/>
    <w:rsid w:val="0043385D"/>
    <w:rsid w:val="00433963"/>
    <w:rsid w:val="00433D29"/>
    <w:rsid w:val="00433E5C"/>
    <w:rsid w:val="004348CB"/>
    <w:rsid w:val="00434E27"/>
    <w:rsid w:val="004352A6"/>
    <w:rsid w:val="0043553E"/>
    <w:rsid w:val="0043595D"/>
    <w:rsid w:val="00435B3D"/>
    <w:rsid w:val="0043779A"/>
    <w:rsid w:val="00437E61"/>
    <w:rsid w:val="00437EF5"/>
    <w:rsid w:val="00440847"/>
    <w:rsid w:val="00440DF0"/>
    <w:rsid w:val="00440F2A"/>
    <w:rsid w:val="004410FD"/>
    <w:rsid w:val="0044143D"/>
    <w:rsid w:val="004431A4"/>
    <w:rsid w:val="0044346F"/>
    <w:rsid w:val="004436C5"/>
    <w:rsid w:val="0044389C"/>
    <w:rsid w:val="00444071"/>
    <w:rsid w:val="004450EA"/>
    <w:rsid w:val="0044536D"/>
    <w:rsid w:val="00451263"/>
    <w:rsid w:val="0045126E"/>
    <w:rsid w:val="00451A6B"/>
    <w:rsid w:val="00451F0A"/>
    <w:rsid w:val="0045243C"/>
    <w:rsid w:val="00452529"/>
    <w:rsid w:val="0045307B"/>
    <w:rsid w:val="004557E5"/>
    <w:rsid w:val="0045608E"/>
    <w:rsid w:val="00456BF4"/>
    <w:rsid w:val="0045725D"/>
    <w:rsid w:val="00457433"/>
    <w:rsid w:val="00457779"/>
    <w:rsid w:val="0046095F"/>
    <w:rsid w:val="004621AE"/>
    <w:rsid w:val="00463C1F"/>
    <w:rsid w:val="0046481A"/>
    <w:rsid w:val="0046612E"/>
    <w:rsid w:val="004662C9"/>
    <w:rsid w:val="00466F22"/>
    <w:rsid w:val="00467786"/>
    <w:rsid w:val="0047038F"/>
    <w:rsid w:val="00470755"/>
    <w:rsid w:val="00470942"/>
    <w:rsid w:val="00470F96"/>
    <w:rsid w:val="004718A4"/>
    <w:rsid w:val="00471D48"/>
    <w:rsid w:val="00474B7B"/>
    <w:rsid w:val="00474E88"/>
    <w:rsid w:val="00474ECC"/>
    <w:rsid w:val="00476641"/>
    <w:rsid w:val="0048115C"/>
    <w:rsid w:val="004812C2"/>
    <w:rsid w:val="00481879"/>
    <w:rsid w:val="004836B2"/>
    <w:rsid w:val="00484211"/>
    <w:rsid w:val="00484822"/>
    <w:rsid w:val="00484A3F"/>
    <w:rsid w:val="00485256"/>
    <w:rsid w:val="00485966"/>
    <w:rsid w:val="00486547"/>
    <w:rsid w:val="00487A1F"/>
    <w:rsid w:val="00490266"/>
    <w:rsid w:val="00490DF9"/>
    <w:rsid w:val="00491D38"/>
    <w:rsid w:val="00491F54"/>
    <w:rsid w:val="004922CC"/>
    <w:rsid w:val="00492A68"/>
    <w:rsid w:val="00492AAC"/>
    <w:rsid w:val="00492B88"/>
    <w:rsid w:val="004934AD"/>
    <w:rsid w:val="004934B6"/>
    <w:rsid w:val="004934C5"/>
    <w:rsid w:val="0049523A"/>
    <w:rsid w:val="004957CC"/>
    <w:rsid w:val="004975CB"/>
    <w:rsid w:val="00497F1B"/>
    <w:rsid w:val="004A1310"/>
    <w:rsid w:val="004A1321"/>
    <w:rsid w:val="004A13B6"/>
    <w:rsid w:val="004A1626"/>
    <w:rsid w:val="004A17AA"/>
    <w:rsid w:val="004A199E"/>
    <w:rsid w:val="004A458D"/>
    <w:rsid w:val="004A4638"/>
    <w:rsid w:val="004A4D76"/>
    <w:rsid w:val="004A56D2"/>
    <w:rsid w:val="004A5ECF"/>
    <w:rsid w:val="004A66E2"/>
    <w:rsid w:val="004A680F"/>
    <w:rsid w:val="004A7D6C"/>
    <w:rsid w:val="004A7F2B"/>
    <w:rsid w:val="004B104B"/>
    <w:rsid w:val="004B15E0"/>
    <w:rsid w:val="004B2354"/>
    <w:rsid w:val="004B5223"/>
    <w:rsid w:val="004B64FA"/>
    <w:rsid w:val="004C029C"/>
    <w:rsid w:val="004C038B"/>
    <w:rsid w:val="004C15BC"/>
    <w:rsid w:val="004C2F1B"/>
    <w:rsid w:val="004C36E4"/>
    <w:rsid w:val="004C3BA9"/>
    <w:rsid w:val="004C436E"/>
    <w:rsid w:val="004C49EE"/>
    <w:rsid w:val="004C4D69"/>
    <w:rsid w:val="004C4EC1"/>
    <w:rsid w:val="004C4FB6"/>
    <w:rsid w:val="004C55C6"/>
    <w:rsid w:val="004C58FE"/>
    <w:rsid w:val="004C591F"/>
    <w:rsid w:val="004C5CFF"/>
    <w:rsid w:val="004C75FC"/>
    <w:rsid w:val="004C7629"/>
    <w:rsid w:val="004D1385"/>
    <w:rsid w:val="004D14D4"/>
    <w:rsid w:val="004D2464"/>
    <w:rsid w:val="004D25B3"/>
    <w:rsid w:val="004D32A1"/>
    <w:rsid w:val="004D3419"/>
    <w:rsid w:val="004D3A6F"/>
    <w:rsid w:val="004D4547"/>
    <w:rsid w:val="004D4726"/>
    <w:rsid w:val="004D52CE"/>
    <w:rsid w:val="004D6A40"/>
    <w:rsid w:val="004D7BC2"/>
    <w:rsid w:val="004E0384"/>
    <w:rsid w:val="004E1571"/>
    <w:rsid w:val="004E1A4C"/>
    <w:rsid w:val="004E2854"/>
    <w:rsid w:val="004E2F42"/>
    <w:rsid w:val="004E309F"/>
    <w:rsid w:val="004E44E6"/>
    <w:rsid w:val="004E62A9"/>
    <w:rsid w:val="004E6324"/>
    <w:rsid w:val="004E63D7"/>
    <w:rsid w:val="004E6ACB"/>
    <w:rsid w:val="004E7F59"/>
    <w:rsid w:val="004E7F5B"/>
    <w:rsid w:val="004F153B"/>
    <w:rsid w:val="004F18FE"/>
    <w:rsid w:val="004F35C6"/>
    <w:rsid w:val="004F38D8"/>
    <w:rsid w:val="004F4518"/>
    <w:rsid w:val="004F45A7"/>
    <w:rsid w:val="004F54F4"/>
    <w:rsid w:val="004F6542"/>
    <w:rsid w:val="004F6C7D"/>
    <w:rsid w:val="004F6E6E"/>
    <w:rsid w:val="004F7275"/>
    <w:rsid w:val="004F766E"/>
    <w:rsid w:val="00500760"/>
    <w:rsid w:val="00500C42"/>
    <w:rsid w:val="00501BCE"/>
    <w:rsid w:val="00502740"/>
    <w:rsid w:val="00502D80"/>
    <w:rsid w:val="0050483E"/>
    <w:rsid w:val="00505926"/>
    <w:rsid w:val="00505D05"/>
    <w:rsid w:val="00506298"/>
    <w:rsid w:val="00506640"/>
    <w:rsid w:val="005066E8"/>
    <w:rsid w:val="005068A5"/>
    <w:rsid w:val="005068FF"/>
    <w:rsid w:val="00506C1C"/>
    <w:rsid w:val="00507583"/>
    <w:rsid w:val="005104A4"/>
    <w:rsid w:val="00510D15"/>
    <w:rsid w:val="005122DD"/>
    <w:rsid w:val="00512AB2"/>
    <w:rsid w:val="0051438F"/>
    <w:rsid w:val="0051491D"/>
    <w:rsid w:val="00514BF7"/>
    <w:rsid w:val="00514C5E"/>
    <w:rsid w:val="0051618C"/>
    <w:rsid w:val="00516B8F"/>
    <w:rsid w:val="00517D77"/>
    <w:rsid w:val="005202A0"/>
    <w:rsid w:val="005205D7"/>
    <w:rsid w:val="00520736"/>
    <w:rsid w:val="00521181"/>
    <w:rsid w:val="005215AA"/>
    <w:rsid w:val="00521B0E"/>
    <w:rsid w:val="00521D60"/>
    <w:rsid w:val="00523816"/>
    <w:rsid w:val="00523C95"/>
    <w:rsid w:val="00523CE0"/>
    <w:rsid w:val="00524456"/>
    <w:rsid w:val="00524835"/>
    <w:rsid w:val="005261E6"/>
    <w:rsid w:val="00526675"/>
    <w:rsid w:val="0052790E"/>
    <w:rsid w:val="0053064D"/>
    <w:rsid w:val="005309C7"/>
    <w:rsid w:val="0053118C"/>
    <w:rsid w:val="00532388"/>
    <w:rsid w:val="00532928"/>
    <w:rsid w:val="00533A4B"/>
    <w:rsid w:val="00533D29"/>
    <w:rsid w:val="0053429C"/>
    <w:rsid w:val="00534627"/>
    <w:rsid w:val="00535525"/>
    <w:rsid w:val="00535A0F"/>
    <w:rsid w:val="00536908"/>
    <w:rsid w:val="00536FE6"/>
    <w:rsid w:val="00537150"/>
    <w:rsid w:val="00537D03"/>
    <w:rsid w:val="00540592"/>
    <w:rsid w:val="00540A1D"/>
    <w:rsid w:val="00540E6E"/>
    <w:rsid w:val="005410C3"/>
    <w:rsid w:val="005412FB"/>
    <w:rsid w:val="00541A5F"/>
    <w:rsid w:val="00542855"/>
    <w:rsid w:val="00542D1F"/>
    <w:rsid w:val="00543132"/>
    <w:rsid w:val="00543249"/>
    <w:rsid w:val="00543AAA"/>
    <w:rsid w:val="00543C28"/>
    <w:rsid w:val="00543DC5"/>
    <w:rsid w:val="005477B7"/>
    <w:rsid w:val="00547996"/>
    <w:rsid w:val="00550689"/>
    <w:rsid w:val="005508EC"/>
    <w:rsid w:val="00550D68"/>
    <w:rsid w:val="0055178D"/>
    <w:rsid w:val="00551EFA"/>
    <w:rsid w:val="00551F75"/>
    <w:rsid w:val="00552014"/>
    <w:rsid w:val="00552A9A"/>
    <w:rsid w:val="00552C01"/>
    <w:rsid w:val="005536FB"/>
    <w:rsid w:val="00553991"/>
    <w:rsid w:val="0055484E"/>
    <w:rsid w:val="00554E6E"/>
    <w:rsid w:val="00555B52"/>
    <w:rsid w:val="00555F1A"/>
    <w:rsid w:val="00557222"/>
    <w:rsid w:val="00557431"/>
    <w:rsid w:val="0056076B"/>
    <w:rsid w:val="0056195C"/>
    <w:rsid w:val="00561B49"/>
    <w:rsid w:val="00561BF4"/>
    <w:rsid w:val="00561FB0"/>
    <w:rsid w:val="00562520"/>
    <w:rsid w:val="00562681"/>
    <w:rsid w:val="0056289E"/>
    <w:rsid w:val="00562B95"/>
    <w:rsid w:val="00563FEE"/>
    <w:rsid w:val="005645CE"/>
    <w:rsid w:val="005646C1"/>
    <w:rsid w:val="00564A0E"/>
    <w:rsid w:val="00564CAF"/>
    <w:rsid w:val="0056515D"/>
    <w:rsid w:val="005651D9"/>
    <w:rsid w:val="005652BC"/>
    <w:rsid w:val="00565465"/>
    <w:rsid w:val="00565EBA"/>
    <w:rsid w:val="00565F9F"/>
    <w:rsid w:val="005679C9"/>
    <w:rsid w:val="00571730"/>
    <w:rsid w:val="00572A67"/>
    <w:rsid w:val="005739BF"/>
    <w:rsid w:val="0057483A"/>
    <w:rsid w:val="0057528A"/>
    <w:rsid w:val="005767E9"/>
    <w:rsid w:val="00576C9F"/>
    <w:rsid w:val="00577212"/>
    <w:rsid w:val="0057756D"/>
    <w:rsid w:val="00577E61"/>
    <w:rsid w:val="00577FD4"/>
    <w:rsid w:val="005801C2"/>
    <w:rsid w:val="005819DE"/>
    <w:rsid w:val="0058350C"/>
    <w:rsid w:val="00583F81"/>
    <w:rsid w:val="00583F84"/>
    <w:rsid w:val="005849D9"/>
    <w:rsid w:val="00584DA5"/>
    <w:rsid w:val="00584FA7"/>
    <w:rsid w:val="005859F1"/>
    <w:rsid w:val="00586437"/>
    <w:rsid w:val="005866EF"/>
    <w:rsid w:val="005873B6"/>
    <w:rsid w:val="0058771C"/>
    <w:rsid w:val="00587AED"/>
    <w:rsid w:val="00587BB0"/>
    <w:rsid w:val="0059036C"/>
    <w:rsid w:val="0059072A"/>
    <w:rsid w:val="005915AA"/>
    <w:rsid w:val="00591752"/>
    <w:rsid w:val="00591AF3"/>
    <w:rsid w:val="00591FAE"/>
    <w:rsid w:val="005923AA"/>
    <w:rsid w:val="00592995"/>
    <w:rsid w:val="00592A49"/>
    <w:rsid w:val="00594312"/>
    <w:rsid w:val="00594328"/>
    <w:rsid w:val="005945A2"/>
    <w:rsid w:val="00594B52"/>
    <w:rsid w:val="005954E2"/>
    <w:rsid w:val="0059561D"/>
    <w:rsid w:val="005957AB"/>
    <w:rsid w:val="005969C1"/>
    <w:rsid w:val="005970F5"/>
    <w:rsid w:val="00597535"/>
    <w:rsid w:val="005A0419"/>
    <w:rsid w:val="005A138E"/>
    <w:rsid w:val="005A1435"/>
    <w:rsid w:val="005A1C68"/>
    <w:rsid w:val="005A21C8"/>
    <w:rsid w:val="005A234F"/>
    <w:rsid w:val="005A23CA"/>
    <w:rsid w:val="005A27E0"/>
    <w:rsid w:val="005A2909"/>
    <w:rsid w:val="005A2A8E"/>
    <w:rsid w:val="005A352F"/>
    <w:rsid w:val="005A3A1E"/>
    <w:rsid w:val="005A41D8"/>
    <w:rsid w:val="005A4471"/>
    <w:rsid w:val="005A6170"/>
    <w:rsid w:val="005A619A"/>
    <w:rsid w:val="005A6941"/>
    <w:rsid w:val="005A6A63"/>
    <w:rsid w:val="005A6CF2"/>
    <w:rsid w:val="005A7C10"/>
    <w:rsid w:val="005B0200"/>
    <w:rsid w:val="005B0A91"/>
    <w:rsid w:val="005B1320"/>
    <w:rsid w:val="005B2608"/>
    <w:rsid w:val="005B3662"/>
    <w:rsid w:val="005B4E17"/>
    <w:rsid w:val="005B5159"/>
    <w:rsid w:val="005B5352"/>
    <w:rsid w:val="005B56A4"/>
    <w:rsid w:val="005B5F8A"/>
    <w:rsid w:val="005B7130"/>
    <w:rsid w:val="005B76D8"/>
    <w:rsid w:val="005B7B12"/>
    <w:rsid w:val="005C046D"/>
    <w:rsid w:val="005C087D"/>
    <w:rsid w:val="005C1980"/>
    <w:rsid w:val="005C1BB1"/>
    <w:rsid w:val="005C1D10"/>
    <w:rsid w:val="005C2AE1"/>
    <w:rsid w:val="005C2E10"/>
    <w:rsid w:val="005C3323"/>
    <w:rsid w:val="005C373E"/>
    <w:rsid w:val="005C4295"/>
    <w:rsid w:val="005C492F"/>
    <w:rsid w:val="005C7F13"/>
    <w:rsid w:val="005D0F75"/>
    <w:rsid w:val="005D11A4"/>
    <w:rsid w:val="005D124F"/>
    <w:rsid w:val="005D1768"/>
    <w:rsid w:val="005D2412"/>
    <w:rsid w:val="005D28E7"/>
    <w:rsid w:val="005D2B9A"/>
    <w:rsid w:val="005D352E"/>
    <w:rsid w:val="005D3659"/>
    <w:rsid w:val="005D380F"/>
    <w:rsid w:val="005D3918"/>
    <w:rsid w:val="005D397C"/>
    <w:rsid w:val="005D4467"/>
    <w:rsid w:val="005D4927"/>
    <w:rsid w:val="005D4D49"/>
    <w:rsid w:val="005D5BEB"/>
    <w:rsid w:val="005D5BFF"/>
    <w:rsid w:val="005D6582"/>
    <w:rsid w:val="005D6667"/>
    <w:rsid w:val="005D747E"/>
    <w:rsid w:val="005D7941"/>
    <w:rsid w:val="005E01D8"/>
    <w:rsid w:val="005E1993"/>
    <w:rsid w:val="005E1B65"/>
    <w:rsid w:val="005E1ECC"/>
    <w:rsid w:val="005E29B5"/>
    <w:rsid w:val="005E2AD1"/>
    <w:rsid w:val="005E37CF"/>
    <w:rsid w:val="005E422B"/>
    <w:rsid w:val="005E49BF"/>
    <w:rsid w:val="005E6D49"/>
    <w:rsid w:val="005E6F66"/>
    <w:rsid w:val="005F02D8"/>
    <w:rsid w:val="005F110F"/>
    <w:rsid w:val="005F114B"/>
    <w:rsid w:val="005F1D6A"/>
    <w:rsid w:val="005F24C9"/>
    <w:rsid w:val="005F2CA0"/>
    <w:rsid w:val="005F414D"/>
    <w:rsid w:val="005F4894"/>
    <w:rsid w:val="005F4C96"/>
    <w:rsid w:val="005F533C"/>
    <w:rsid w:val="005F5E37"/>
    <w:rsid w:val="005F6B9B"/>
    <w:rsid w:val="005F7E3C"/>
    <w:rsid w:val="006007E3"/>
    <w:rsid w:val="006009B1"/>
    <w:rsid w:val="00600C58"/>
    <w:rsid w:val="00601380"/>
    <w:rsid w:val="006027B7"/>
    <w:rsid w:val="00602ACD"/>
    <w:rsid w:val="00605B49"/>
    <w:rsid w:val="00606052"/>
    <w:rsid w:val="00606B3F"/>
    <w:rsid w:val="00610553"/>
    <w:rsid w:val="00610754"/>
    <w:rsid w:val="00610945"/>
    <w:rsid w:val="00611444"/>
    <w:rsid w:val="006117A0"/>
    <w:rsid w:val="00611D5A"/>
    <w:rsid w:val="0061264E"/>
    <w:rsid w:val="006129D1"/>
    <w:rsid w:val="00612DD4"/>
    <w:rsid w:val="006135BE"/>
    <w:rsid w:val="00615F0B"/>
    <w:rsid w:val="00616241"/>
    <w:rsid w:val="00616843"/>
    <w:rsid w:val="00617566"/>
    <w:rsid w:val="00617906"/>
    <w:rsid w:val="006179E6"/>
    <w:rsid w:val="00617F71"/>
    <w:rsid w:val="0062089D"/>
    <w:rsid w:val="00620C5E"/>
    <w:rsid w:val="00621447"/>
    <w:rsid w:val="006217FF"/>
    <w:rsid w:val="00622C3B"/>
    <w:rsid w:val="00623435"/>
    <w:rsid w:val="00623586"/>
    <w:rsid w:val="0062432B"/>
    <w:rsid w:val="00624817"/>
    <w:rsid w:val="006277A2"/>
    <w:rsid w:val="00627BCC"/>
    <w:rsid w:val="0063012B"/>
    <w:rsid w:val="006303BB"/>
    <w:rsid w:val="00630CA8"/>
    <w:rsid w:val="00631693"/>
    <w:rsid w:val="00632296"/>
    <w:rsid w:val="006328CC"/>
    <w:rsid w:val="00632F61"/>
    <w:rsid w:val="006335A1"/>
    <w:rsid w:val="00633ED0"/>
    <w:rsid w:val="0063523E"/>
    <w:rsid w:val="006365C0"/>
    <w:rsid w:val="0063687B"/>
    <w:rsid w:val="00636A56"/>
    <w:rsid w:val="006413E5"/>
    <w:rsid w:val="00643488"/>
    <w:rsid w:val="006435F0"/>
    <w:rsid w:val="00644437"/>
    <w:rsid w:val="006455F1"/>
    <w:rsid w:val="00645FE5"/>
    <w:rsid w:val="00646F6F"/>
    <w:rsid w:val="0064792D"/>
    <w:rsid w:val="00647960"/>
    <w:rsid w:val="00650E67"/>
    <w:rsid w:val="0065183C"/>
    <w:rsid w:val="006522BB"/>
    <w:rsid w:val="00652E5D"/>
    <w:rsid w:val="00653B25"/>
    <w:rsid w:val="0065409F"/>
    <w:rsid w:val="00654320"/>
    <w:rsid w:val="0065546A"/>
    <w:rsid w:val="00656042"/>
    <w:rsid w:val="00656225"/>
    <w:rsid w:val="00656505"/>
    <w:rsid w:val="00656737"/>
    <w:rsid w:val="0066108F"/>
    <w:rsid w:val="00661642"/>
    <w:rsid w:val="006649DF"/>
    <w:rsid w:val="00664AE0"/>
    <w:rsid w:val="0066599B"/>
    <w:rsid w:val="00667E7E"/>
    <w:rsid w:val="00667F97"/>
    <w:rsid w:val="006709D0"/>
    <w:rsid w:val="00671A32"/>
    <w:rsid w:val="00672088"/>
    <w:rsid w:val="00672455"/>
    <w:rsid w:val="00673538"/>
    <w:rsid w:val="006741E6"/>
    <w:rsid w:val="00674414"/>
    <w:rsid w:val="0067482A"/>
    <w:rsid w:val="00674FA6"/>
    <w:rsid w:val="006756DB"/>
    <w:rsid w:val="00675A63"/>
    <w:rsid w:val="00675EBD"/>
    <w:rsid w:val="00676079"/>
    <w:rsid w:val="00676A60"/>
    <w:rsid w:val="00680905"/>
    <w:rsid w:val="00681C28"/>
    <w:rsid w:val="006821EC"/>
    <w:rsid w:val="00682B4C"/>
    <w:rsid w:val="00683675"/>
    <w:rsid w:val="00683D2D"/>
    <w:rsid w:val="00683F91"/>
    <w:rsid w:val="00685560"/>
    <w:rsid w:val="00685EC3"/>
    <w:rsid w:val="00686763"/>
    <w:rsid w:val="00686BBA"/>
    <w:rsid w:val="006873D2"/>
    <w:rsid w:val="006906E0"/>
    <w:rsid w:val="006907D2"/>
    <w:rsid w:val="0069170B"/>
    <w:rsid w:val="00691904"/>
    <w:rsid w:val="00691DE2"/>
    <w:rsid w:val="006920B4"/>
    <w:rsid w:val="0069230D"/>
    <w:rsid w:val="006928BF"/>
    <w:rsid w:val="006936A3"/>
    <w:rsid w:val="00693BF7"/>
    <w:rsid w:val="0069581C"/>
    <w:rsid w:val="00695FAA"/>
    <w:rsid w:val="0069649E"/>
    <w:rsid w:val="00696DC1"/>
    <w:rsid w:val="00697587"/>
    <w:rsid w:val="006A05CF"/>
    <w:rsid w:val="006A091A"/>
    <w:rsid w:val="006A10E4"/>
    <w:rsid w:val="006A19AD"/>
    <w:rsid w:val="006A1F6D"/>
    <w:rsid w:val="006A27F0"/>
    <w:rsid w:val="006A3383"/>
    <w:rsid w:val="006A3D0E"/>
    <w:rsid w:val="006A3D3E"/>
    <w:rsid w:val="006A467B"/>
    <w:rsid w:val="006A4D5F"/>
    <w:rsid w:val="006A4F93"/>
    <w:rsid w:val="006A550F"/>
    <w:rsid w:val="006A682B"/>
    <w:rsid w:val="006B0402"/>
    <w:rsid w:val="006B0949"/>
    <w:rsid w:val="006B0D8B"/>
    <w:rsid w:val="006B18E1"/>
    <w:rsid w:val="006B1D1A"/>
    <w:rsid w:val="006B1DCB"/>
    <w:rsid w:val="006B207B"/>
    <w:rsid w:val="006B293F"/>
    <w:rsid w:val="006B2F54"/>
    <w:rsid w:val="006B3264"/>
    <w:rsid w:val="006B4717"/>
    <w:rsid w:val="006B5FF9"/>
    <w:rsid w:val="006B626F"/>
    <w:rsid w:val="006B62A3"/>
    <w:rsid w:val="006B67C9"/>
    <w:rsid w:val="006B6DEA"/>
    <w:rsid w:val="006B73AA"/>
    <w:rsid w:val="006B7A67"/>
    <w:rsid w:val="006C0359"/>
    <w:rsid w:val="006C0C24"/>
    <w:rsid w:val="006C207D"/>
    <w:rsid w:val="006C254C"/>
    <w:rsid w:val="006C2F67"/>
    <w:rsid w:val="006C30B6"/>
    <w:rsid w:val="006C4332"/>
    <w:rsid w:val="006C4A51"/>
    <w:rsid w:val="006C6290"/>
    <w:rsid w:val="006C63FC"/>
    <w:rsid w:val="006C723B"/>
    <w:rsid w:val="006C74F8"/>
    <w:rsid w:val="006C7DA7"/>
    <w:rsid w:val="006D1BFF"/>
    <w:rsid w:val="006D1DA0"/>
    <w:rsid w:val="006D2A43"/>
    <w:rsid w:val="006D346B"/>
    <w:rsid w:val="006D4FAA"/>
    <w:rsid w:val="006D5E8B"/>
    <w:rsid w:val="006D6910"/>
    <w:rsid w:val="006D6AF2"/>
    <w:rsid w:val="006D6B12"/>
    <w:rsid w:val="006D72E9"/>
    <w:rsid w:val="006E0058"/>
    <w:rsid w:val="006E19C2"/>
    <w:rsid w:val="006E28C7"/>
    <w:rsid w:val="006E2D46"/>
    <w:rsid w:val="006E4EA1"/>
    <w:rsid w:val="006E5D47"/>
    <w:rsid w:val="006E7A5C"/>
    <w:rsid w:val="006F0400"/>
    <w:rsid w:val="006F06C6"/>
    <w:rsid w:val="006F0943"/>
    <w:rsid w:val="006F38C2"/>
    <w:rsid w:val="006F3E5F"/>
    <w:rsid w:val="006F49B5"/>
    <w:rsid w:val="006F5181"/>
    <w:rsid w:val="006F5755"/>
    <w:rsid w:val="006F582C"/>
    <w:rsid w:val="006F5942"/>
    <w:rsid w:val="006F67E3"/>
    <w:rsid w:val="006F6880"/>
    <w:rsid w:val="006F6A3F"/>
    <w:rsid w:val="006F75F7"/>
    <w:rsid w:val="007000EA"/>
    <w:rsid w:val="007000EB"/>
    <w:rsid w:val="00700331"/>
    <w:rsid w:val="00701061"/>
    <w:rsid w:val="00701558"/>
    <w:rsid w:val="00701D98"/>
    <w:rsid w:val="00703413"/>
    <w:rsid w:val="007034E4"/>
    <w:rsid w:val="007037F7"/>
    <w:rsid w:val="0070397D"/>
    <w:rsid w:val="00703BE4"/>
    <w:rsid w:val="007056F8"/>
    <w:rsid w:val="007057E1"/>
    <w:rsid w:val="00705B28"/>
    <w:rsid w:val="0070614C"/>
    <w:rsid w:val="00707B34"/>
    <w:rsid w:val="00707F9E"/>
    <w:rsid w:val="00710977"/>
    <w:rsid w:val="00710B70"/>
    <w:rsid w:val="0071169D"/>
    <w:rsid w:val="00711A4E"/>
    <w:rsid w:val="00712569"/>
    <w:rsid w:val="00712D7F"/>
    <w:rsid w:val="00713FFB"/>
    <w:rsid w:val="0071401B"/>
    <w:rsid w:val="007143E1"/>
    <w:rsid w:val="00715DD4"/>
    <w:rsid w:val="00716F7A"/>
    <w:rsid w:val="007222A5"/>
    <w:rsid w:val="007229FE"/>
    <w:rsid w:val="00722BC5"/>
    <w:rsid w:val="00723398"/>
    <w:rsid w:val="007235DA"/>
    <w:rsid w:val="007236C9"/>
    <w:rsid w:val="00723FE5"/>
    <w:rsid w:val="00724A93"/>
    <w:rsid w:val="007258EC"/>
    <w:rsid w:val="00725AED"/>
    <w:rsid w:val="00726B82"/>
    <w:rsid w:val="0073023C"/>
    <w:rsid w:val="00730882"/>
    <w:rsid w:val="0073118D"/>
    <w:rsid w:val="00731204"/>
    <w:rsid w:val="007326F6"/>
    <w:rsid w:val="0073283D"/>
    <w:rsid w:val="0073434E"/>
    <w:rsid w:val="00734566"/>
    <w:rsid w:val="007348C7"/>
    <w:rsid w:val="00734C69"/>
    <w:rsid w:val="00734F1E"/>
    <w:rsid w:val="007353BF"/>
    <w:rsid w:val="0073554B"/>
    <w:rsid w:val="007364E3"/>
    <w:rsid w:val="007377D1"/>
    <w:rsid w:val="00740580"/>
    <w:rsid w:val="00740C73"/>
    <w:rsid w:val="00741058"/>
    <w:rsid w:val="007414D9"/>
    <w:rsid w:val="0074257A"/>
    <w:rsid w:val="00742CF9"/>
    <w:rsid w:val="007433ED"/>
    <w:rsid w:val="0074389C"/>
    <w:rsid w:val="007439BC"/>
    <w:rsid w:val="00743D83"/>
    <w:rsid w:val="00743F89"/>
    <w:rsid w:val="00745776"/>
    <w:rsid w:val="007472AB"/>
    <w:rsid w:val="0074735F"/>
    <w:rsid w:val="00747416"/>
    <w:rsid w:val="007477AD"/>
    <w:rsid w:val="00750E3B"/>
    <w:rsid w:val="007532FB"/>
    <w:rsid w:val="007544DC"/>
    <w:rsid w:val="007550BE"/>
    <w:rsid w:val="007552D8"/>
    <w:rsid w:val="007553C6"/>
    <w:rsid w:val="0075646A"/>
    <w:rsid w:val="00757AD8"/>
    <w:rsid w:val="0076067C"/>
    <w:rsid w:val="007606C4"/>
    <w:rsid w:val="00760A50"/>
    <w:rsid w:val="00761612"/>
    <w:rsid w:val="007644D8"/>
    <w:rsid w:val="007659DA"/>
    <w:rsid w:val="0076604A"/>
    <w:rsid w:val="007668D5"/>
    <w:rsid w:val="00770EE5"/>
    <w:rsid w:val="00773020"/>
    <w:rsid w:val="00774C86"/>
    <w:rsid w:val="00775576"/>
    <w:rsid w:val="007755A8"/>
    <w:rsid w:val="007807B0"/>
    <w:rsid w:val="00780912"/>
    <w:rsid w:val="00780CBA"/>
    <w:rsid w:val="00781B55"/>
    <w:rsid w:val="007821EC"/>
    <w:rsid w:val="00782302"/>
    <w:rsid w:val="007828B3"/>
    <w:rsid w:val="00782E7F"/>
    <w:rsid w:val="007831EA"/>
    <w:rsid w:val="00783DE8"/>
    <w:rsid w:val="0078570D"/>
    <w:rsid w:val="00785B86"/>
    <w:rsid w:val="00785C66"/>
    <w:rsid w:val="00785D85"/>
    <w:rsid w:val="00786457"/>
    <w:rsid w:val="0078722F"/>
    <w:rsid w:val="0078746C"/>
    <w:rsid w:val="007901B0"/>
    <w:rsid w:val="0079058A"/>
    <w:rsid w:val="00790F62"/>
    <w:rsid w:val="0079190D"/>
    <w:rsid w:val="007931D3"/>
    <w:rsid w:val="00793839"/>
    <w:rsid w:val="00793B32"/>
    <w:rsid w:val="00795C35"/>
    <w:rsid w:val="00795FC5"/>
    <w:rsid w:val="00796224"/>
    <w:rsid w:val="007963AF"/>
    <w:rsid w:val="00796887"/>
    <w:rsid w:val="00796E0A"/>
    <w:rsid w:val="00797B1E"/>
    <w:rsid w:val="007A0562"/>
    <w:rsid w:val="007A0E09"/>
    <w:rsid w:val="007A128D"/>
    <w:rsid w:val="007A17B2"/>
    <w:rsid w:val="007A1FA7"/>
    <w:rsid w:val="007A259D"/>
    <w:rsid w:val="007A3248"/>
    <w:rsid w:val="007A3C41"/>
    <w:rsid w:val="007A5CF2"/>
    <w:rsid w:val="007A70E6"/>
    <w:rsid w:val="007A7978"/>
    <w:rsid w:val="007B099C"/>
    <w:rsid w:val="007B0B0D"/>
    <w:rsid w:val="007B0F27"/>
    <w:rsid w:val="007B1536"/>
    <w:rsid w:val="007B22D4"/>
    <w:rsid w:val="007B22F6"/>
    <w:rsid w:val="007B2604"/>
    <w:rsid w:val="007B2879"/>
    <w:rsid w:val="007B2976"/>
    <w:rsid w:val="007B4FFB"/>
    <w:rsid w:val="007B5300"/>
    <w:rsid w:val="007B5EDC"/>
    <w:rsid w:val="007B6045"/>
    <w:rsid w:val="007B737A"/>
    <w:rsid w:val="007C0240"/>
    <w:rsid w:val="007C18CF"/>
    <w:rsid w:val="007C2791"/>
    <w:rsid w:val="007C4E1A"/>
    <w:rsid w:val="007C5892"/>
    <w:rsid w:val="007C5AC0"/>
    <w:rsid w:val="007C5C33"/>
    <w:rsid w:val="007D167E"/>
    <w:rsid w:val="007D1D5F"/>
    <w:rsid w:val="007D273D"/>
    <w:rsid w:val="007D3089"/>
    <w:rsid w:val="007D3261"/>
    <w:rsid w:val="007D35FF"/>
    <w:rsid w:val="007D3CA0"/>
    <w:rsid w:val="007D3DF2"/>
    <w:rsid w:val="007D41BD"/>
    <w:rsid w:val="007D4E07"/>
    <w:rsid w:val="007D50E4"/>
    <w:rsid w:val="007D53E3"/>
    <w:rsid w:val="007D6140"/>
    <w:rsid w:val="007D6923"/>
    <w:rsid w:val="007D6ECA"/>
    <w:rsid w:val="007D7189"/>
    <w:rsid w:val="007D723F"/>
    <w:rsid w:val="007D76BA"/>
    <w:rsid w:val="007D7A28"/>
    <w:rsid w:val="007D7D13"/>
    <w:rsid w:val="007D7F5E"/>
    <w:rsid w:val="007E00B7"/>
    <w:rsid w:val="007E06AF"/>
    <w:rsid w:val="007E1A99"/>
    <w:rsid w:val="007E31C2"/>
    <w:rsid w:val="007E3738"/>
    <w:rsid w:val="007E3E56"/>
    <w:rsid w:val="007E4C79"/>
    <w:rsid w:val="007E4F65"/>
    <w:rsid w:val="007E50A4"/>
    <w:rsid w:val="007E51E1"/>
    <w:rsid w:val="007E6B8A"/>
    <w:rsid w:val="007E7F0B"/>
    <w:rsid w:val="007F00AE"/>
    <w:rsid w:val="007F1751"/>
    <w:rsid w:val="007F2660"/>
    <w:rsid w:val="007F300C"/>
    <w:rsid w:val="007F450A"/>
    <w:rsid w:val="007F6C67"/>
    <w:rsid w:val="007F7442"/>
    <w:rsid w:val="007F7989"/>
    <w:rsid w:val="007F7E42"/>
    <w:rsid w:val="008011CA"/>
    <w:rsid w:val="00801EAD"/>
    <w:rsid w:val="00802098"/>
    <w:rsid w:val="008022B0"/>
    <w:rsid w:val="00804220"/>
    <w:rsid w:val="00806057"/>
    <w:rsid w:val="00806690"/>
    <w:rsid w:val="00806CF8"/>
    <w:rsid w:val="0080722A"/>
    <w:rsid w:val="0081047C"/>
    <w:rsid w:val="00811066"/>
    <w:rsid w:val="008126A5"/>
    <w:rsid w:val="00812AC2"/>
    <w:rsid w:val="00812E1A"/>
    <w:rsid w:val="00813638"/>
    <w:rsid w:val="00815E32"/>
    <w:rsid w:val="008166DA"/>
    <w:rsid w:val="00816C85"/>
    <w:rsid w:val="00817300"/>
    <w:rsid w:val="0081755E"/>
    <w:rsid w:val="008175D9"/>
    <w:rsid w:val="0082032B"/>
    <w:rsid w:val="008217F5"/>
    <w:rsid w:val="00821827"/>
    <w:rsid w:val="0082196F"/>
    <w:rsid w:val="00821BFF"/>
    <w:rsid w:val="0082224D"/>
    <w:rsid w:val="00822C69"/>
    <w:rsid w:val="008237D6"/>
    <w:rsid w:val="00823B36"/>
    <w:rsid w:val="00823E73"/>
    <w:rsid w:val="008252E5"/>
    <w:rsid w:val="00825412"/>
    <w:rsid w:val="00825815"/>
    <w:rsid w:val="008261A4"/>
    <w:rsid w:val="00826B20"/>
    <w:rsid w:val="00826E2B"/>
    <w:rsid w:val="00830A4A"/>
    <w:rsid w:val="00830AD3"/>
    <w:rsid w:val="00830D0E"/>
    <w:rsid w:val="00830D1E"/>
    <w:rsid w:val="008313A7"/>
    <w:rsid w:val="00831B1F"/>
    <w:rsid w:val="00831E40"/>
    <w:rsid w:val="00832295"/>
    <w:rsid w:val="008323A3"/>
    <w:rsid w:val="008335DA"/>
    <w:rsid w:val="00833CB6"/>
    <w:rsid w:val="00833F85"/>
    <w:rsid w:val="00834427"/>
    <w:rsid w:val="008346B5"/>
    <w:rsid w:val="008356B1"/>
    <w:rsid w:val="008375BE"/>
    <w:rsid w:val="00837804"/>
    <w:rsid w:val="008415C0"/>
    <w:rsid w:val="008421EC"/>
    <w:rsid w:val="00842C7C"/>
    <w:rsid w:val="00843DAE"/>
    <w:rsid w:val="00844836"/>
    <w:rsid w:val="00845773"/>
    <w:rsid w:val="008461FA"/>
    <w:rsid w:val="00846508"/>
    <w:rsid w:val="008467E6"/>
    <w:rsid w:val="00846844"/>
    <w:rsid w:val="00847403"/>
    <w:rsid w:val="00847798"/>
    <w:rsid w:val="0085040B"/>
    <w:rsid w:val="008507AB"/>
    <w:rsid w:val="00850CFE"/>
    <w:rsid w:val="00850E24"/>
    <w:rsid w:val="00851440"/>
    <w:rsid w:val="00851875"/>
    <w:rsid w:val="008518BC"/>
    <w:rsid w:val="00851A3A"/>
    <w:rsid w:val="00851D83"/>
    <w:rsid w:val="0085228E"/>
    <w:rsid w:val="0085247E"/>
    <w:rsid w:val="008527EF"/>
    <w:rsid w:val="00852AE1"/>
    <w:rsid w:val="008540C3"/>
    <w:rsid w:val="0085437C"/>
    <w:rsid w:val="00854728"/>
    <w:rsid w:val="00854A02"/>
    <w:rsid w:val="00856070"/>
    <w:rsid w:val="00857087"/>
    <w:rsid w:val="008571B1"/>
    <w:rsid w:val="00857CD5"/>
    <w:rsid w:val="00861BD4"/>
    <w:rsid w:val="00862A68"/>
    <w:rsid w:val="008634CA"/>
    <w:rsid w:val="008640BA"/>
    <w:rsid w:val="00864F4E"/>
    <w:rsid w:val="008653EF"/>
    <w:rsid w:val="00866882"/>
    <w:rsid w:val="00866979"/>
    <w:rsid w:val="00866F04"/>
    <w:rsid w:val="0086782D"/>
    <w:rsid w:val="00867BB9"/>
    <w:rsid w:val="00870738"/>
    <w:rsid w:val="0087087F"/>
    <w:rsid w:val="00870F3A"/>
    <w:rsid w:val="0087119D"/>
    <w:rsid w:val="00872B13"/>
    <w:rsid w:val="00872C5E"/>
    <w:rsid w:val="00873167"/>
    <w:rsid w:val="00877143"/>
    <w:rsid w:val="008804BC"/>
    <w:rsid w:val="00880896"/>
    <w:rsid w:val="008816CA"/>
    <w:rsid w:val="0088186C"/>
    <w:rsid w:val="00881D07"/>
    <w:rsid w:val="00882545"/>
    <w:rsid w:val="0088301C"/>
    <w:rsid w:val="0088321E"/>
    <w:rsid w:val="0088414D"/>
    <w:rsid w:val="00884858"/>
    <w:rsid w:val="00885013"/>
    <w:rsid w:val="00885C69"/>
    <w:rsid w:val="0088666F"/>
    <w:rsid w:val="0088763E"/>
    <w:rsid w:val="00887910"/>
    <w:rsid w:val="00887AAD"/>
    <w:rsid w:val="00887BDA"/>
    <w:rsid w:val="00887DFD"/>
    <w:rsid w:val="00890B1B"/>
    <w:rsid w:val="00891948"/>
    <w:rsid w:val="00891973"/>
    <w:rsid w:val="00892430"/>
    <w:rsid w:val="00893F47"/>
    <w:rsid w:val="00894D80"/>
    <w:rsid w:val="008959B1"/>
    <w:rsid w:val="00895AF0"/>
    <w:rsid w:val="00895DD8"/>
    <w:rsid w:val="0089672A"/>
    <w:rsid w:val="008A0EAD"/>
    <w:rsid w:val="008A1CF5"/>
    <w:rsid w:val="008A22E4"/>
    <w:rsid w:val="008A292F"/>
    <w:rsid w:val="008A3852"/>
    <w:rsid w:val="008A3A57"/>
    <w:rsid w:val="008A566C"/>
    <w:rsid w:val="008A629E"/>
    <w:rsid w:val="008A6EA0"/>
    <w:rsid w:val="008A6FDC"/>
    <w:rsid w:val="008A7626"/>
    <w:rsid w:val="008A7697"/>
    <w:rsid w:val="008B153E"/>
    <w:rsid w:val="008B275E"/>
    <w:rsid w:val="008B2C69"/>
    <w:rsid w:val="008B3278"/>
    <w:rsid w:val="008B40E4"/>
    <w:rsid w:val="008B65E3"/>
    <w:rsid w:val="008C002B"/>
    <w:rsid w:val="008C1C3D"/>
    <w:rsid w:val="008C2556"/>
    <w:rsid w:val="008C308D"/>
    <w:rsid w:val="008C32E0"/>
    <w:rsid w:val="008C3772"/>
    <w:rsid w:val="008C391E"/>
    <w:rsid w:val="008C4050"/>
    <w:rsid w:val="008C413B"/>
    <w:rsid w:val="008C63F9"/>
    <w:rsid w:val="008C6550"/>
    <w:rsid w:val="008C6AD4"/>
    <w:rsid w:val="008C7BE2"/>
    <w:rsid w:val="008D0604"/>
    <w:rsid w:val="008D0B4A"/>
    <w:rsid w:val="008D0C74"/>
    <w:rsid w:val="008D1420"/>
    <w:rsid w:val="008D1534"/>
    <w:rsid w:val="008D27BF"/>
    <w:rsid w:val="008D2F5F"/>
    <w:rsid w:val="008D31D5"/>
    <w:rsid w:val="008D37FA"/>
    <w:rsid w:val="008D3D2E"/>
    <w:rsid w:val="008D55D5"/>
    <w:rsid w:val="008D624A"/>
    <w:rsid w:val="008D6477"/>
    <w:rsid w:val="008D7FA3"/>
    <w:rsid w:val="008E2266"/>
    <w:rsid w:val="008E243F"/>
    <w:rsid w:val="008E2A80"/>
    <w:rsid w:val="008E39D2"/>
    <w:rsid w:val="008E3C18"/>
    <w:rsid w:val="008E3F37"/>
    <w:rsid w:val="008E3F83"/>
    <w:rsid w:val="008E4B03"/>
    <w:rsid w:val="008E5898"/>
    <w:rsid w:val="008E5AA3"/>
    <w:rsid w:val="008E5BE2"/>
    <w:rsid w:val="008E66A1"/>
    <w:rsid w:val="008E675B"/>
    <w:rsid w:val="008E6C59"/>
    <w:rsid w:val="008F0E60"/>
    <w:rsid w:val="008F145D"/>
    <w:rsid w:val="008F1B94"/>
    <w:rsid w:val="008F1C2F"/>
    <w:rsid w:val="008F1C7C"/>
    <w:rsid w:val="008F3C73"/>
    <w:rsid w:val="008F5ED3"/>
    <w:rsid w:val="008F5F86"/>
    <w:rsid w:val="008F617B"/>
    <w:rsid w:val="008F6763"/>
    <w:rsid w:val="008F6B3A"/>
    <w:rsid w:val="00901EDF"/>
    <w:rsid w:val="009034C1"/>
    <w:rsid w:val="009035E4"/>
    <w:rsid w:val="009039D3"/>
    <w:rsid w:val="00904100"/>
    <w:rsid w:val="00904552"/>
    <w:rsid w:val="00904AF4"/>
    <w:rsid w:val="00904B23"/>
    <w:rsid w:val="00904EC8"/>
    <w:rsid w:val="009051F9"/>
    <w:rsid w:val="0090619F"/>
    <w:rsid w:val="00906278"/>
    <w:rsid w:val="00906600"/>
    <w:rsid w:val="009067F6"/>
    <w:rsid w:val="00906E5C"/>
    <w:rsid w:val="00910C98"/>
    <w:rsid w:val="00910CC2"/>
    <w:rsid w:val="009117FB"/>
    <w:rsid w:val="00912020"/>
    <w:rsid w:val="00913176"/>
    <w:rsid w:val="00913AB4"/>
    <w:rsid w:val="00914867"/>
    <w:rsid w:val="00915292"/>
    <w:rsid w:val="00915D1B"/>
    <w:rsid w:val="00916222"/>
    <w:rsid w:val="009175E9"/>
    <w:rsid w:val="009202E9"/>
    <w:rsid w:val="00920701"/>
    <w:rsid w:val="009207B4"/>
    <w:rsid w:val="00920AEE"/>
    <w:rsid w:val="0092139B"/>
    <w:rsid w:val="009214E8"/>
    <w:rsid w:val="00921CFD"/>
    <w:rsid w:val="009225ED"/>
    <w:rsid w:val="009227A5"/>
    <w:rsid w:val="009237C2"/>
    <w:rsid w:val="00924F40"/>
    <w:rsid w:val="0092526E"/>
    <w:rsid w:val="009258E4"/>
    <w:rsid w:val="00926517"/>
    <w:rsid w:val="00926D0D"/>
    <w:rsid w:val="0092789D"/>
    <w:rsid w:val="00927AF8"/>
    <w:rsid w:val="00930322"/>
    <w:rsid w:val="00930623"/>
    <w:rsid w:val="009320D7"/>
    <w:rsid w:val="009330F5"/>
    <w:rsid w:val="0093344C"/>
    <w:rsid w:val="009347FD"/>
    <w:rsid w:val="00934E00"/>
    <w:rsid w:val="00934ED3"/>
    <w:rsid w:val="00935C8B"/>
    <w:rsid w:val="00936591"/>
    <w:rsid w:val="00936913"/>
    <w:rsid w:val="00936C69"/>
    <w:rsid w:val="009373E5"/>
    <w:rsid w:val="009375F8"/>
    <w:rsid w:val="00937D41"/>
    <w:rsid w:val="0094001A"/>
    <w:rsid w:val="009421FA"/>
    <w:rsid w:val="0094247B"/>
    <w:rsid w:val="009436FC"/>
    <w:rsid w:val="00943B4A"/>
    <w:rsid w:val="009446AE"/>
    <w:rsid w:val="009446CE"/>
    <w:rsid w:val="00944B42"/>
    <w:rsid w:val="009455C1"/>
    <w:rsid w:val="00946D9E"/>
    <w:rsid w:val="00951070"/>
    <w:rsid w:val="009510AF"/>
    <w:rsid w:val="009518B8"/>
    <w:rsid w:val="00952CF9"/>
    <w:rsid w:val="00953F45"/>
    <w:rsid w:val="009544B9"/>
    <w:rsid w:val="00954E30"/>
    <w:rsid w:val="00954F19"/>
    <w:rsid w:val="00955CFF"/>
    <w:rsid w:val="009568F5"/>
    <w:rsid w:val="009574E7"/>
    <w:rsid w:val="009600C2"/>
    <w:rsid w:val="0096023A"/>
    <w:rsid w:val="00960693"/>
    <w:rsid w:val="00960F13"/>
    <w:rsid w:val="00961204"/>
    <w:rsid w:val="009618C3"/>
    <w:rsid w:val="009619D0"/>
    <w:rsid w:val="00962668"/>
    <w:rsid w:val="00962842"/>
    <w:rsid w:val="00962ADD"/>
    <w:rsid w:val="00962B50"/>
    <w:rsid w:val="009647BC"/>
    <w:rsid w:val="00965366"/>
    <w:rsid w:val="00965A0F"/>
    <w:rsid w:val="00965EE0"/>
    <w:rsid w:val="00965EED"/>
    <w:rsid w:val="00966CF6"/>
    <w:rsid w:val="00967B11"/>
    <w:rsid w:val="00967B3D"/>
    <w:rsid w:val="009702E5"/>
    <w:rsid w:val="00970E92"/>
    <w:rsid w:val="0097134C"/>
    <w:rsid w:val="00971DFF"/>
    <w:rsid w:val="00971F38"/>
    <w:rsid w:val="0097302C"/>
    <w:rsid w:val="00973CB7"/>
    <w:rsid w:val="00974C50"/>
    <w:rsid w:val="0097571C"/>
    <w:rsid w:val="00976002"/>
    <w:rsid w:val="00976543"/>
    <w:rsid w:val="00976B0B"/>
    <w:rsid w:val="00976C88"/>
    <w:rsid w:val="009771E4"/>
    <w:rsid w:val="009773AD"/>
    <w:rsid w:val="00977464"/>
    <w:rsid w:val="00977D59"/>
    <w:rsid w:val="00980057"/>
    <w:rsid w:val="009807E6"/>
    <w:rsid w:val="00983374"/>
    <w:rsid w:val="00983BC8"/>
    <w:rsid w:val="009852DB"/>
    <w:rsid w:val="00985573"/>
    <w:rsid w:val="00985D06"/>
    <w:rsid w:val="00986188"/>
    <w:rsid w:val="009869A6"/>
    <w:rsid w:val="00990EF8"/>
    <w:rsid w:val="00990FB1"/>
    <w:rsid w:val="009916E7"/>
    <w:rsid w:val="009919E8"/>
    <w:rsid w:val="00991B3B"/>
    <w:rsid w:val="00991E39"/>
    <w:rsid w:val="0099250D"/>
    <w:rsid w:val="00992E7F"/>
    <w:rsid w:val="009948F3"/>
    <w:rsid w:val="009949B8"/>
    <w:rsid w:val="00994F42"/>
    <w:rsid w:val="00996651"/>
    <w:rsid w:val="009979CA"/>
    <w:rsid w:val="009A22C9"/>
    <w:rsid w:val="009A2B28"/>
    <w:rsid w:val="009A3361"/>
    <w:rsid w:val="009A37C1"/>
    <w:rsid w:val="009A4090"/>
    <w:rsid w:val="009A4313"/>
    <w:rsid w:val="009A5604"/>
    <w:rsid w:val="009A6E39"/>
    <w:rsid w:val="009A7471"/>
    <w:rsid w:val="009A7791"/>
    <w:rsid w:val="009A793F"/>
    <w:rsid w:val="009B0715"/>
    <w:rsid w:val="009B0F5F"/>
    <w:rsid w:val="009B1445"/>
    <w:rsid w:val="009B2375"/>
    <w:rsid w:val="009B28D9"/>
    <w:rsid w:val="009B2907"/>
    <w:rsid w:val="009B2B9C"/>
    <w:rsid w:val="009B2BB7"/>
    <w:rsid w:val="009B3259"/>
    <w:rsid w:val="009B3A07"/>
    <w:rsid w:val="009B4C09"/>
    <w:rsid w:val="009B635F"/>
    <w:rsid w:val="009B6530"/>
    <w:rsid w:val="009B6AC9"/>
    <w:rsid w:val="009B797F"/>
    <w:rsid w:val="009C0630"/>
    <w:rsid w:val="009C0743"/>
    <w:rsid w:val="009C0A4E"/>
    <w:rsid w:val="009C12D2"/>
    <w:rsid w:val="009C13AB"/>
    <w:rsid w:val="009C1AEE"/>
    <w:rsid w:val="009C1F96"/>
    <w:rsid w:val="009C1F9A"/>
    <w:rsid w:val="009C3AF0"/>
    <w:rsid w:val="009C4DB3"/>
    <w:rsid w:val="009C516B"/>
    <w:rsid w:val="009C538E"/>
    <w:rsid w:val="009C5495"/>
    <w:rsid w:val="009C7BBA"/>
    <w:rsid w:val="009C7DC7"/>
    <w:rsid w:val="009D01DC"/>
    <w:rsid w:val="009D02E5"/>
    <w:rsid w:val="009D1923"/>
    <w:rsid w:val="009D1C3A"/>
    <w:rsid w:val="009D21BA"/>
    <w:rsid w:val="009D2854"/>
    <w:rsid w:val="009D41CB"/>
    <w:rsid w:val="009D46EF"/>
    <w:rsid w:val="009D644D"/>
    <w:rsid w:val="009D6649"/>
    <w:rsid w:val="009D6AEE"/>
    <w:rsid w:val="009D7FF1"/>
    <w:rsid w:val="009E08A2"/>
    <w:rsid w:val="009E49D6"/>
    <w:rsid w:val="009E5B00"/>
    <w:rsid w:val="009E5B6B"/>
    <w:rsid w:val="009E5E5B"/>
    <w:rsid w:val="009E6226"/>
    <w:rsid w:val="009E6870"/>
    <w:rsid w:val="009E7015"/>
    <w:rsid w:val="009F0FE4"/>
    <w:rsid w:val="009F1CBF"/>
    <w:rsid w:val="009F28D9"/>
    <w:rsid w:val="009F3439"/>
    <w:rsid w:val="009F42B5"/>
    <w:rsid w:val="009F4CEA"/>
    <w:rsid w:val="009F509E"/>
    <w:rsid w:val="009F5825"/>
    <w:rsid w:val="009F6EA4"/>
    <w:rsid w:val="009F707D"/>
    <w:rsid w:val="009F78DD"/>
    <w:rsid w:val="009F7FE7"/>
    <w:rsid w:val="00A01A9E"/>
    <w:rsid w:val="00A01C40"/>
    <w:rsid w:val="00A023E0"/>
    <w:rsid w:val="00A023E9"/>
    <w:rsid w:val="00A03E55"/>
    <w:rsid w:val="00A044CD"/>
    <w:rsid w:val="00A06323"/>
    <w:rsid w:val="00A06367"/>
    <w:rsid w:val="00A0742C"/>
    <w:rsid w:val="00A10DA1"/>
    <w:rsid w:val="00A11006"/>
    <w:rsid w:val="00A112D4"/>
    <w:rsid w:val="00A1291C"/>
    <w:rsid w:val="00A14103"/>
    <w:rsid w:val="00A14304"/>
    <w:rsid w:val="00A1596E"/>
    <w:rsid w:val="00A16295"/>
    <w:rsid w:val="00A16A4B"/>
    <w:rsid w:val="00A16BBD"/>
    <w:rsid w:val="00A16E1D"/>
    <w:rsid w:val="00A179A4"/>
    <w:rsid w:val="00A17FEE"/>
    <w:rsid w:val="00A20E6D"/>
    <w:rsid w:val="00A2127F"/>
    <w:rsid w:val="00A22448"/>
    <w:rsid w:val="00A22ADD"/>
    <w:rsid w:val="00A2401C"/>
    <w:rsid w:val="00A26D08"/>
    <w:rsid w:val="00A274E1"/>
    <w:rsid w:val="00A2765E"/>
    <w:rsid w:val="00A27ADC"/>
    <w:rsid w:val="00A27DD1"/>
    <w:rsid w:val="00A31FAE"/>
    <w:rsid w:val="00A32373"/>
    <w:rsid w:val="00A32BB5"/>
    <w:rsid w:val="00A33206"/>
    <w:rsid w:val="00A3421B"/>
    <w:rsid w:val="00A34273"/>
    <w:rsid w:val="00A352F4"/>
    <w:rsid w:val="00A352FD"/>
    <w:rsid w:val="00A35A3D"/>
    <w:rsid w:val="00A35CE8"/>
    <w:rsid w:val="00A35D93"/>
    <w:rsid w:val="00A370C5"/>
    <w:rsid w:val="00A37939"/>
    <w:rsid w:val="00A37FAB"/>
    <w:rsid w:val="00A40107"/>
    <w:rsid w:val="00A4062D"/>
    <w:rsid w:val="00A40A5E"/>
    <w:rsid w:val="00A41978"/>
    <w:rsid w:val="00A4221D"/>
    <w:rsid w:val="00A42773"/>
    <w:rsid w:val="00A43606"/>
    <w:rsid w:val="00A440C8"/>
    <w:rsid w:val="00A441E0"/>
    <w:rsid w:val="00A4503D"/>
    <w:rsid w:val="00A462BC"/>
    <w:rsid w:val="00A47B32"/>
    <w:rsid w:val="00A47F5D"/>
    <w:rsid w:val="00A50050"/>
    <w:rsid w:val="00A500BA"/>
    <w:rsid w:val="00A50906"/>
    <w:rsid w:val="00A522CE"/>
    <w:rsid w:val="00A52ED8"/>
    <w:rsid w:val="00A53D55"/>
    <w:rsid w:val="00A544DE"/>
    <w:rsid w:val="00A56C34"/>
    <w:rsid w:val="00A5784D"/>
    <w:rsid w:val="00A57AA3"/>
    <w:rsid w:val="00A60191"/>
    <w:rsid w:val="00A605E5"/>
    <w:rsid w:val="00A61E95"/>
    <w:rsid w:val="00A62520"/>
    <w:rsid w:val="00A626FF"/>
    <w:rsid w:val="00A628DF"/>
    <w:rsid w:val="00A6306B"/>
    <w:rsid w:val="00A642C7"/>
    <w:rsid w:val="00A65018"/>
    <w:rsid w:val="00A66CFE"/>
    <w:rsid w:val="00A66F95"/>
    <w:rsid w:val="00A676DC"/>
    <w:rsid w:val="00A71F19"/>
    <w:rsid w:val="00A7252A"/>
    <w:rsid w:val="00A72A97"/>
    <w:rsid w:val="00A72FA0"/>
    <w:rsid w:val="00A73066"/>
    <w:rsid w:val="00A730EF"/>
    <w:rsid w:val="00A73956"/>
    <w:rsid w:val="00A73CE3"/>
    <w:rsid w:val="00A7416E"/>
    <w:rsid w:val="00A75024"/>
    <w:rsid w:val="00A7502E"/>
    <w:rsid w:val="00A7594C"/>
    <w:rsid w:val="00A75C51"/>
    <w:rsid w:val="00A76C9D"/>
    <w:rsid w:val="00A77098"/>
    <w:rsid w:val="00A8042C"/>
    <w:rsid w:val="00A814AA"/>
    <w:rsid w:val="00A819E4"/>
    <w:rsid w:val="00A81DE3"/>
    <w:rsid w:val="00A83332"/>
    <w:rsid w:val="00A859E0"/>
    <w:rsid w:val="00A85C59"/>
    <w:rsid w:val="00A863C2"/>
    <w:rsid w:val="00A86D92"/>
    <w:rsid w:val="00A8764A"/>
    <w:rsid w:val="00A87857"/>
    <w:rsid w:val="00A90466"/>
    <w:rsid w:val="00A90489"/>
    <w:rsid w:val="00A9108C"/>
    <w:rsid w:val="00A91851"/>
    <w:rsid w:val="00A9202D"/>
    <w:rsid w:val="00A92EE5"/>
    <w:rsid w:val="00A93315"/>
    <w:rsid w:val="00A96829"/>
    <w:rsid w:val="00A96920"/>
    <w:rsid w:val="00A97640"/>
    <w:rsid w:val="00A97F85"/>
    <w:rsid w:val="00AA004E"/>
    <w:rsid w:val="00AA07C2"/>
    <w:rsid w:val="00AA0886"/>
    <w:rsid w:val="00AA0945"/>
    <w:rsid w:val="00AA0C1C"/>
    <w:rsid w:val="00AA0FBC"/>
    <w:rsid w:val="00AA24BF"/>
    <w:rsid w:val="00AA39FF"/>
    <w:rsid w:val="00AA3B0B"/>
    <w:rsid w:val="00AA415D"/>
    <w:rsid w:val="00AA4F93"/>
    <w:rsid w:val="00AA614B"/>
    <w:rsid w:val="00AA6E9C"/>
    <w:rsid w:val="00AA6EA9"/>
    <w:rsid w:val="00AB00D7"/>
    <w:rsid w:val="00AB0CCE"/>
    <w:rsid w:val="00AB10EE"/>
    <w:rsid w:val="00AB16A6"/>
    <w:rsid w:val="00AB1BCF"/>
    <w:rsid w:val="00AB1EE6"/>
    <w:rsid w:val="00AB360F"/>
    <w:rsid w:val="00AB3A40"/>
    <w:rsid w:val="00AB412F"/>
    <w:rsid w:val="00AB5470"/>
    <w:rsid w:val="00AB58E3"/>
    <w:rsid w:val="00AB606B"/>
    <w:rsid w:val="00AB61A8"/>
    <w:rsid w:val="00AB628B"/>
    <w:rsid w:val="00AB7A80"/>
    <w:rsid w:val="00AB7BA0"/>
    <w:rsid w:val="00AC04DB"/>
    <w:rsid w:val="00AC058E"/>
    <w:rsid w:val="00AC3159"/>
    <w:rsid w:val="00AC3BD4"/>
    <w:rsid w:val="00AC41DB"/>
    <w:rsid w:val="00AC497B"/>
    <w:rsid w:val="00AC4F84"/>
    <w:rsid w:val="00AC5097"/>
    <w:rsid w:val="00AC562B"/>
    <w:rsid w:val="00AC5ACC"/>
    <w:rsid w:val="00AC5CD6"/>
    <w:rsid w:val="00AC5D18"/>
    <w:rsid w:val="00AC5DEE"/>
    <w:rsid w:val="00AC6BED"/>
    <w:rsid w:val="00AC711C"/>
    <w:rsid w:val="00AC746E"/>
    <w:rsid w:val="00AC7835"/>
    <w:rsid w:val="00AC78E0"/>
    <w:rsid w:val="00AD22AE"/>
    <w:rsid w:val="00AD313F"/>
    <w:rsid w:val="00AD3A9E"/>
    <w:rsid w:val="00AD3F25"/>
    <w:rsid w:val="00AD4510"/>
    <w:rsid w:val="00AD495E"/>
    <w:rsid w:val="00AD5B18"/>
    <w:rsid w:val="00AD5B59"/>
    <w:rsid w:val="00AD5CDF"/>
    <w:rsid w:val="00AD675C"/>
    <w:rsid w:val="00AD71EB"/>
    <w:rsid w:val="00AE026A"/>
    <w:rsid w:val="00AE1AB7"/>
    <w:rsid w:val="00AE216B"/>
    <w:rsid w:val="00AE256E"/>
    <w:rsid w:val="00AE25C0"/>
    <w:rsid w:val="00AE4464"/>
    <w:rsid w:val="00AE46DC"/>
    <w:rsid w:val="00AE5E25"/>
    <w:rsid w:val="00AE6962"/>
    <w:rsid w:val="00AE6A1E"/>
    <w:rsid w:val="00AE7E4C"/>
    <w:rsid w:val="00AF0A92"/>
    <w:rsid w:val="00AF11FE"/>
    <w:rsid w:val="00AF1D77"/>
    <w:rsid w:val="00AF22A6"/>
    <w:rsid w:val="00AF2A90"/>
    <w:rsid w:val="00AF2FBD"/>
    <w:rsid w:val="00AF360A"/>
    <w:rsid w:val="00AF5A8B"/>
    <w:rsid w:val="00AF64B8"/>
    <w:rsid w:val="00AF72E5"/>
    <w:rsid w:val="00AF75EE"/>
    <w:rsid w:val="00B007C1"/>
    <w:rsid w:val="00B01599"/>
    <w:rsid w:val="00B020F9"/>
    <w:rsid w:val="00B02346"/>
    <w:rsid w:val="00B026B8"/>
    <w:rsid w:val="00B02770"/>
    <w:rsid w:val="00B04016"/>
    <w:rsid w:val="00B0434B"/>
    <w:rsid w:val="00B049D0"/>
    <w:rsid w:val="00B05DA6"/>
    <w:rsid w:val="00B0617B"/>
    <w:rsid w:val="00B128A8"/>
    <w:rsid w:val="00B1299D"/>
    <w:rsid w:val="00B12AAD"/>
    <w:rsid w:val="00B13C8B"/>
    <w:rsid w:val="00B13F54"/>
    <w:rsid w:val="00B13FDB"/>
    <w:rsid w:val="00B152E1"/>
    <w:rsid w:val="00B16131"/>
    <w:rsid w:val="00B1779F"/>
    <w:rsid w:val="00B219ED"/>
    <w:rsid w:val="00B21FF6"/>
    <w:rsid w:val="00B22B49"/>
    <w:rsid w:val="00B2304A"/>
    <w:rsid w:val="00B2325F"/>
    <w:rsid w:val="00B23B02"/>
    <w:rsid w:val="00B2485F"/>
    <w:rsid w:val="00B25274"/>
    <w:rsid w:val="00B25802"/>
    <w:rsid w:val="00B25A67"/>
    <w:rsid w:val="00B25C0F"/>
    <w:rsid w:val="00B25E0A"/>
    <w:rsid w:val="00B267AF"/>
    <w:rsid w:val="00B26D7C"/>
    <w:rsid w:val="00B26F55"/>
    <w:rsid w:val="00B309D5"/>
    <w:rsid w:val="00B31944"/>
    <w:rsid w:val="00B325BA"/>
    <w:rsid w:val="00B32A85"/>
    <w:rsid w:val="00B32AB2"/>
    <w:rsid w:val="00B32EC9"/>
    <w:rsid w:val="00B32F8F"/>
    <w:rsid w:val="00B34F5E"/>
    <w:rsid w:val="00B35209"/>
    <w:rsid w:val="00B352EC"/>
    <w:rsid w:val="00B35615"/>
    <w:rsid w:val="00B35AA3"/>
    <w:rsid w:val="00B37B11"/>
    <w:rsid w:val="00B4191A"/>
    <w:rsid w:val="00B42A01"/>
    <w:rsid w:val="00B42A45"/>
    <w:rsid w:val="00B4330C"/>
    <w:rsid w:val="00B44269"/>
    <w:rsid w:val="00B4526A"/>
    <w:rsid w:val="00B4535D"/>
    <w:rsid w:val="00B45E29"/>
    <w:rsid w:val="00B45E60"/>
    <w:rsid w:val="00B461CF"/>
    <w:rsid w:val="00B47534"/>
    <w:rsid w:val="00B47C28"/>
    <w:rsid w:val="00B50D66"/>
    <w:rsid w:val="00B5281D"/>
    <w:rsid w:val="00B52A63"/>
    <w:rsid w:val="00B52D04"/>
    <w:rsid w:val="00B532E0"/>
    <w:rsid w:val="00B54024"/>
    <w:rsid w:val="00B54515"/>
    <w:rsid w:val="00B5557D"/>
    <w:rsid w:val="00B55C6F"/>
    <w:rsid w:val="00B56172"/>
    <w:rsid w:val="00B56A50"/>
    <w:rsid w:val="00B56B03"/>
    <w:rsid w:val="00B577ED"/>
    <w:rsid w:val="00B57DAF"/>
    <w:rsid w:val="00B60419"/>
    <w:rsid w:val="00B6083E"/>
    <w:rsid w:val="00B608A4"/>
    <w:rsid w:val="00B617B5"/>
    <w:rsid w:val="00B61EDC"/>
    <w:rsid w:val="00B62DB4"/>
    <w:rsid w:val="00B63081"/>
    <w:rsid w:val="00B63336"/>
    <w:rsid w:val="00B63908"/>
    <w:rsid w:val="00B64526"/>
    <w:rsid w:val="00B645D5"/>
    <w:rsid w:val="00B6645C"/>
    <w:rsid w:val="00B665AB"/>
    <w:rsid w:val="00B70524"/>
    <w:rsid w:val="00B70552"/>
    <w:rsid w:val="00B7082D"/>
    <w:rsid w:val="00B70871"/>
    <w:rsid w:val="00B70939"/>
    <w:rsid w:val="00B70E69"/>
    <w:rsid w:val="00B719F7"/>
    <w:rsid w:val="00B71C63"/>
    <w:rsid w:val="00B724AF"/>
    <w:rsid w:val="00B72D90"/>
    <w:rsid w:val="00B73363"/>
    <w:rsid w:val="00B73CC1"/>
    <w:rsid w:val="00B74B48"/>
    <w:rsid w:val="00B74DE0"/>
    <w:rsid w:val="00B75DA9"/>
    <w:rsid w:val="00B76DA9"/>
    <w:rsid w:val="00B76EF2"/>
    <w:rsid w:val="00B7785D"/>
    <w:rsid w:val="00B77EAC"/>
    <w:rsid w:val="00B803F0"/>
    <w:rsid w:val="00B806E1"/>
    <w:rsid w:val="00B8109D"/>
    <w:rsid w:val="00B8189F"/>
    <w:rsid w:val="00B81EEA"/>
    <w:rsid w:val="00B82738"/>
    <w:rsid w:val="00B82C5D"/>
    <w:rsid w:val="00B82E9D"/>
    <w:rsid w:val="00B837CF"/>
    <w:rsid w:val="00B83BAC"/>
    <w:rsid w:val="00B84241"/>
    <w:rsid w:val="00B84D67"/>
    <w:rsid w:val="00B85430"/>
    <w:rsid w:val="00B85753"/>
    <w:rsid w:val="00B86032"/>
    <w:rsid w:val="00B909D2"/>
    <w:rsid w:val="00B91D92"/>
    <w:rsid w:val="00B91FA5"/>
    <w:rsid w:val="00B9220A"/>
    <w:rsid w:val="00B9230B"/>
    <w:rsid w:val="00B9239C"/>
    <w:rsid w:val="00B925A5"/>
    <w:rsid w:val="00B937E3"/>
    <w:rsid w:val="00B9386A"/>
    <w:rsid w:val="00B93AF1"/>
    <w:rsid w:val="00B94413"/>
    <w:rsid w:val="00B9441B"/>
    <w:rsid w:val="00B95552"/>
    <w:rsid w:val="00B95BF5"/>
    <w:rsid w:val="00B96BD4"/>
    <w:rsid w:val="00B97610"/>
    <w:rsid w:val="00BA14B9"/>
    <w:rsid w:val="00BA15C5"/>
    <w:rsid w:val="00BA1BEE"/>
    <w:rsid w:val="00BA1BFD"/>
    <w:rsid w:val="00BA3D0B"/>
    <w:rsid w:val="00BA43C2"/>
    <w:rsid w:val="00BA44A3"/>
    <w:rsid w:val="00BA4CC9"/>
    <w:rsid w:val="00BA4D30"/>
    <w:rsid w:val="00BA575B"/>
    <w:rsid w:val="00BA6A9D"/>
    <w:rsid w:val="00BA6B99"/>
    <w:rsid w:val="00BA72C5"/>
    <w:rsid w:val="00BB0389"/>
    <w:rsid w:val="00BB0F03"/>
    <w:rsid w:val="00BB1769"/>
    <w:rsid w:val="00BB21FC"/>
    <w:rsid w:val="00BB2FDA"/>
    <w:rsid w:val="00BB3D9C"/>
    <w:rsid w:val="00BB5221"/>
    <w:rsid w:val="00BB5BA3"/>
    <w:rsid w:val="00BB5D30"/>
    <w:rsid w:val="00BB5DE9"/>
    <w:rsid w:val="00BB6815"/>
    <w:rsid w:val="00BB6F9C"/>
    <w:rsid w:val="00BB77F8"/>
    <w:rsid w:val="00BB7EE6"/>
    <w:rsid w:val="00BC04ED"/>
    <w:rsid w:val="00BC0949"/>
    <w:rsid w:val="00BC0C0C"/>
    <w:rsid w:val="00BC0C4F"/>
    <w:rsid w:val="00BC0FC5"/>
    <w:rsid w:val="00BC1CC1"/>
    <w:rsid w:val="00BC2131"/>
    <w:rsid w:val="00BC288A"/>
    <w:rsid w:val="00BC316F"/>
    <w:rsid w:val="00BC39E7"/>
    <w:rsid w:val="00BC3A89"/>
    <w:rsid w:val="00BC3AC7"/>
    <w:rsid w:val="00BC4A71"/>
    <w:rsid w:val="00BC66CA"/>
    <w:rsid w:val="00BC7151"/>
    <w:rsid w:val="00BC761E"/>
    <w:rsid w:val="00BD01BB"/>
    <w:rsid w:val="00BD0355"/>
    <w:rsid w:val="00BD0589"/>
    <w:rsid w:val="00BD2034"/>
    <w:rsid w:val="00BD2F2A"/>
    <w:rsid w:val="00BD45FB"/>
    <w:rsid w:val="00BD47FA"/>
    <w:rsid w:val="00BD4F22"/>
    <w:rsid w:val="00BD6A4B"/>
    <w:rsid w:val="00BD6CC6"/>
    <w:rsid w:val="00BE018D"/>
    <w:rsid w:val="00BE0F27"/>
    <w:rsid w:val="00BE166A"/>
    <w:rsid w:val="00BE322E"/>
    <w:rsid w:val="00BE39C7"/>
    <w:rsid w:val="00BE3AC8"/>
    <w:rsid w:val="00BE49C8"/>
    <w:rsid w:val="00BE4CC4"/>
    <w:rsid w:val="00BE5AA9"/>
    <w:rsid w:val="00BE5AF7"/>
    <w:rsid w:val="00BE65B0"/>
    <w:rsid w:val="00BF0BA8"/>
    <w:rsid w:val="00BF14DB"/>
    <w:rsid w:val="00BF1C69"/>
    <w:rsid w:val="00BF1CCE"/>
    <w:rsid w:val="00BF2825"/>
    <w:rsid w:val="00BF3677"/>
    <w:rsid w:val="00BF3710"/>
    <w:rsid w:val="00BF3830"/>
    <w:rsid w:val="00BF3B12"/>
    <w:rsid w:val="00BF425F"/>
    <w:rsid w:val="00BF4965"/>
    <w:rsid w:val="00BF5891"/>
    <w:rsid w:val="00BF5A7B"/>
    <w:rsid w:val="00BF7284"/>
    <w:rsid w:val="00BF7714"/>
    <w:rsid w:val="00BF7A3D"/>
    <w:rsid w:val="00BF7AE1"/>
    <w:rsid w:val="00BF7EAD"/>
    <w:rsid w:val="00C00DD3"/>
    <w:rsid w:val="00C027CE"/>
    <w:rsid w:val="00C02CD5"/>
    <w:rsid w:val="00C02D94"/>
    <w:rsid w:val="00C02F17"/>
    <w:rsid w:val="00C03D45"/>
    <w:rsid w:val="00C042ED"/>
    <w:rsid w:val="00C045A0"/>
    <w:rsid w:val="00C04891"/>
    <w:rsid w:val="00C04950"/>
    <w:rsid w:val="00C04F35"/>
    <w:rsid w:val="00C05A1D"/>
    <w:rsid w:val="00C05D66"/>
    <w:rsid w:val="00C05F97"/>
    <w:rsid w:val="00C06A03"/>
    <w:rsid w:val="00C07319"/>
    <w:rsid w:val="00C07383"/>
    <w:rsid w:val="00C073A7"/>
    <w:rsid w:val="00C07876"/>
    <w:rsid w:val="00C10200"/>
    <w:rsid w:val="00C10D71"/>
    <w:rsid w:val="00C11B29"/>
    <w:rsid w:val="00C14582"/>
    <w:rsid w:val="00C15387"/>
    <w:rsid w:val="00C157AB"/>
    <w:rsid w:val="00C15902"/>
    <w:rsid w:val="00C15B2E"/>
    <w:rsid w:val="00C15F1F"/>
    <w:rsid w:val="00C16708"/>
    <w:rsid w:val="00C16BDF"/>
    <w:rsid w:val="00C22A4B"/>
    <w:rsid w:val="00C230C7"/>
    <w:rsid w:val="00C23206"/>
    <w:rsid w:val="00C239B3"/>
    <w:rsid w:val="00C2483B"/>
    <w:rsid w:val="00C24D6F"/>
    <w:rsid w:val="00C24E04"/>
    <w:rsid w:val="00C25232"/>
    <w:rsid w:val="00C25D89"/>
    <w:rsid w:val="00C269A5"/>
    <w:rsid w:val="00C26A3D"/>
    <w:rsid w:val="00C27EFA"/>
    <w:rsid w:val="00C30855"/>
    <w:rsid w:val="00C30AFA"/>
    <w:rsid w:val="00C31B38"/>
    <w:rsid w:val="00C32038"/>
    <w:rsid w:val="00C32863"/>
    <w:rsid w:val="00C32A01"/>
    <w:rsid w:val="00C331E8"/>
    <w:rsid w:val="00C338CE"/>
    <w:rsid w:val="00C33B96"/>
    <w:rsid w:val="00C33CE4"/>
    <w:rsid w:val="00C3414F"/>
    <w:rsid w:val="00C3439C"/>
    <w:rsid w:val="00C34616"/>
    <w:rsid w:val="00C34A90"/>
    <w:rsid w:val="00C35D79"/>
    <w:rsid w:val="00C36606"/>
    <w:rsid w:val="00C36F7E"/>
    <w:rsid w:val="00C37A3C"/>
    <w:rsid w:val="00C37EE4"/>
    <w:rsid w:val="00C402C2"/>
    <w:rsid w:val="00C4108A"/>
    <w:rsid w:val="00C41AA3"/>
    <w:rsid w:val="00C427CF"/>
    <w:rsid w:val="00C42941"/>
    <w:rsid w:val="00C43037"/>
    <w:rsid w:val="00C438D5"/>
    <w:rsid w:val="00C43A0E"/>
    <w:rsid w:val="00C43AF9"/>
    <w:rsid w:val="00C46426"/>
    <w:rsid w:val="00C46759"/>
    <w:rsid w:val="00C467AB"/>
    <w:rsid w:val="00C46D9C"/>
    <w:rsid w:val="00C470F2"/>
    <w:rsid w:val="00C501FC"/>
    <w:rsid w:val="00C50C99"/>
    <w:rsid w:val="00C50F5A"/>
    <w:rsid w:val="00C513A2"/>
    <w:rsid w:val="00C52824"/>
    <w:rsid w:val="00C5286A"/>
    <w:rsid w:val="00C53F0D"/>
    <w:rsid w:val="00C55A8D"/>
    <w:rsid w:val="00C57605"/>
    <w:rsid w:val="00C6050F"/>
    <w:rsid w:val="00C60B9F"/>
    <w:rsid w:val="00C61D47"/>
    <w:rsid w:val="00C625DF"/>
    <w:rsid w:val="00C626B3"/>
    <w:rsid w:val="00C627AB"/>
    <w:rsid w:val="00C63250"/>
    <w:rsid w:val="00C63404"/>
    <w:rsid w:val="00C6352F"/>
    <w:rsid w:val="00C63A81"/>
    <w:rsid w:val="00C63B79"/>
    <w:rsid w:val="00C63C8A"/>
    <w:rsid w:val="00C6482F"/>
    <w:rsid w:val="00C6552A"/>
    <w:rsid w:val="00C667BD"/>
    <w:rsid w:val="00C6685F"/>
    <w:rsid w:val="00C724A7"/>
    <w:rsid w:val="00C73E0D"/>
    <w:rsid w:val="00C73F4F"/>
    <w:rsid w:val="00C751D3"/>
    <w:rsid w:val="00C75584"/>
    <w:rsid w:val="00C7596D"/>
    <w:rsid w:val="00C768A3"/>
    <w:rsid w:val="00C76ADE"/>
    <w:rsid w:val="00C77059"/>
    <w:rsid w:val="00C8009B"/>
    <w:rsid w:val="00C8078C"/>
    <w:rsid w:val="00C81A0E"/>
    <w:rsid w:val="00C821CB"/>
    <w:rsid w:val="00C828FF"/>
    <w:rsid w:val="00C82B82"/>
    <w:rsid w:val="00C82CC7"/>
    <w:rsid w:val="00C833E9"/>
    <w:rsid w:val="00C84237"/>
    <w:rsid w:val="00C84AFC"/>
    <w:rsid w:val="00C84B39"/>
    <w:rsid w:val="00C85391"/>
    <w:rsid w:val="00C853E8"/>
    <w:rsid w:val="00C864F5"/>
    <w:rsid w:val="00C86D87"/>
    <w:rsid w:val="00C90116"/>
    <w:rsid w:val="00C9215D"/>
    <w:rsid w:val="00C92A7B"/>
    <w:rsid w:val="00C93570"/>
    <w:rsid w:val="00C9401B"/>
    <w:rsid w:val="00C94745"/>
    <w:rsid w:val="00C949D9"/>
    <w:rsid w:val="00C94BBC"/>
    <w:rsid w:val="00C94DEC"/>
    <w:rsid w:val="00C954BC"/>
    <w:rsid w:val="00C95DEF"/>
    <w:rsid w:val="00C96615"/>
    <w:rsid w:val="00C97ECC"/>
    <w:rsid w:val="00CA038E"/>
    <w:rsid w:val="00CA102A"/>
    <w:rsid w:val="00CA1B6B"/>
    <w:rsid w:val="00CA2A30"/>
    <w:rsid w:val="00CA2E97"/>
    <w:rsid w:val="00CA334B"/>
    <w:rsid w:val="00CA3549"/>
    <w:rsid w:val="00CA61BB"/>
    <w:rsid w:val="00CA6231"/>
    <w:rsid w:val="00CB08B7"/>
    <w:rsid w:val="00CB09F2"/>
    <w:rsid w:val="00CB251E"/>
    <w:rsid w:val="00CB34C3"/>
    <w:rsid w:val="00CB37F5"/>
    <w:rsid w:val="00CB3B77"/>
    <w:rsid w:val="00CB49E3"/>
    <w:rsid w:val="00CB4C81"/>
    <w:rsid w:val="00CB4D7E"/>
    <w:rsid w:val="00CB5701"/>
    <w:rsid w:val="00CB6FC7"/>
    <w:rsid w:val="00CB768D"/>
    <w:rsid w:val="00CB76D7"/>
    <w:rsid w:val="00CC05F9"/>
    <w:rsid w:val="00CC0E7D"/>
    <w:rsid w:val="00CC1554"/>
    <w:rsid w:val="00CC1BFE"/>
    <w:rsid w:val="00CC52CB"/>
    <w:rsid w:val="00CC6CB8"/>
    <w:rsid w:val="00CC711F"/>
    <w:rsid w:val="00CC7E7E"/>
    <w:rsid w:val="00CD0543"/>
    <w:rsid w:val="00CD055C"/>
    <w:rsid w:val="00CD18DB"/>
    <w:rsid w:val="00CD1C6E"/>
    <w:rsid w:val="00CD4420"/>
    <w:rsid w:val="00CD4CFA"/>
    <w:rsid w:val="00CD4E97"/>
    <w:rsid w:val="00CD5B5F"/>
    <w:rsid w:val="00CD65CE"/>
    <w:rsid w:val="00CD6BE5"/>
    <w:rsid w:val="00CE0487"/>
    <w:rsid w:val="00CE0598"/>
    <w:rsid w:val="00CE0856"/>
    <w:rsid w:val="00CE14E1"/>
    <w:rsid w:val="00CE1FEC"/>
    <w:rsid w:val="00CE27F7"/>
    <w:rsid w:val="00CE3CD5"/>
    <w:rsid w:val="00CE446E"/>
    <w:rsid w:val="00CE56B1"/>
    <w:rsid w:val="00CE5E4D"/>
    <w:rsid w:val="00CE6A8A"/>
    <w:rsid w:val="00CE6EF7"/>
    <w:rsid w:val="00CE71E6"/>
    <w:rsid w:val="00CF053E"/>
    <w:rsid w:val="00CF0BC6"/>
    <w:rsid w:val="00CF112C"/>
    <w:rsid w:val="00CF130D"/>
    <w:rsid w:val="00CF1A2A"/>
    <w:rsid w:val="00CF2C5C"/>
    <w:rsid w:val="00CF2E15"/>
    <w:rsid w:val="00CF308C"/>
    <w:rsid w:val="00CF39A5"/>
    <w:rsid w:val="00CF3E89"/>
    <w:rsid w:val="00CF484F"/>
    <w:rsid w:val="00CF6034"/>
    <w:rsid w:val="00CF6AFF"/>
    <w:rsid w:val="00CF6CC5"/>
    <w:rsid w:val="00CF701B"/>
    <w:rsid w:val="00CF7156"/>
    <w:rsid w:val="00CF7718"/>
    <w:rsid w:val="00D004A9"/>
    <w:rsid w:val="00D00724"/>
    <w:rsid w:val="00D009A6"/>
    <w:rsid w:val="00D02380"/>
    <w:rsid w:val="00D0380C"/>
    <w:rsid w:val="00D0450B"/>
    <w:rsid w:val="00D04934"/>
    <w:rsid w:val="00D04B88"/>
    <w:rsid w:val="00D04C2B"/>
    <w:rsid w:val="00D04C64"/>
    <w:rsid w:val="00D059AC"/>
    <w:rsid w:val="00D05D9F"/>
    <w:rsid w:val="00D05F85"/>
    <w:rsid w:val="00D074A6"/>
    <w:rsid w:val="00D10BB5"/>
    <w:rsid w:val="00D11A5A"/>
    <w:rsid w:val="00D12367"/>
    <w:rsid w:val="00D124D9"/>
    <w:rsid w:val="00D134B9"/>
    <w:rsid w:val="00D1351D"/>
    <w:rsid w:val="00D1600B"/>
    <w:rsid w:val="00D16EBC"/>
    <w:rsid w:val="00D21052"/>
    <w:rsid w:val="00D22A2F"/>
    <w:rsid w:val="00D22DC8"/>
    <w:rsid w:val="00D22DD7"/>
    <w:rsid w:val="00D233F0"/>
    <w:rsid w:val="00D23870"/>
    <w:rsid w:val="00D261CB"/>
    <w:rsid w:val="00D268E8"/>
    <w:rsid w:val="00D270B8"/>
    <w:rsid w:val="00D27147"/>
    <w:rsid w:val="00D271FB"/>
    <w:rsid w:val="00D27253"/>
    <w:rsid w:val="00D305C4"/>
    <w:rsid w:val="00D32D1E"/>
    <w:rsid w:val="00D33FF5"/>
    <w:rsid w:val="00D343AA"/>
    <w:rsid w:val="00D349FD"/>
    <w:rsid w:val="00D3509F"/>
    <w:rsid w:val="00D3555F"/>
    <w:rsid w:val="00D35820"/>
    <w:rsid w:val="00D370F9"/>
    <w:rsid w:val="00D372C0"/>
    <w:rsid w:val="00D40B32"/>
    <w:rsid w:val="00D40E7F"/>
    <w:rsid w:val="00D415C7"/>
    <w:rsid w:val="00D42365"/>
    <w:rsid w:val="00D427A2"/>
    <w:rsid w:val="00D42FF9"/>
    <w:rsid w:val="00D43BC9"/>
    <w:rsid w:val="00D43EA4"/>
    <w:rsid w:val="00D43EF6"/>
    <w:rsid w:val="00D44066"/>
    <w:rsid w:val="00D44637"/>
    <w:rsid w:val="00D45754"/>
    <w:rsid w:val="00D45D18"/>
    <w:rsid w:val="00D466E6"/>
    <w:rsid w:val="00D4763E"/>
    <w:rsid w:val="00D5057D"/>
    <w:rsid w:val="00D50680"/>
    <w:rsid w:val="00D50B13"/>
    <w:rsid w:val="00D51AE5"/>
    <w:rsid w:val="00D51DBB"/>
    <w:rsid w:val="00D52309"/>
    <w:rsid w:val="00D5242B"/>
    <w:rsid w:val="00D52C24"/>
    <w:rsid w:val="00D52E3A"/>
    <w:rsid w:val="00D5410B"/>
    <w:rsid w:val="00D543D5"/>
    <w:rsid w:val="00D54AF3"/>
    <w:rsid w:val="00D5690F"/>
    <w:rsid w:val="00D57161"/>
    <w:rsid w:val="00D57422"/>
    <w:rsid w:val="00D5792B"/>
    <w:rsid w:val="00D57C0A"/>
    <w:rsid w:val="00D60C2C"/>
    <w:rsid w:val="00D60D2B"/>
    <w:rsid w:val="00D617D0"/>
    <w:rsid w:val="00D61B58"/>
    <w:rsid w:val="00D61F39"/>
    <w:rsid w:val="00D6250E"/>
    <w:rsid w:val="00D630C7"/>
    <w:rsid w:val="00D63373"/>
    <w:rsid w:val="00D63E14"/>
    <w:rsid w:val="00D641A8"/>
    <w:rsid w:val="00D641CC"/>
    <w:rsid w:val="00D64678"/>
    <w:rsid w:val="00D64833"/>
    <w:rsid w:val="00D64EEF"/>
    <w:rsid w:val="00D6520E"/>
    <w:rsid w:val="00D65810"/>
    <w:rsid w:val="00D65BD5"/>
    <w:rsid w:val="00D66190"/>
    <w:rsid w:val="00D67976"/>
    <w:rsid w:val="00D67E7C"/>
    <w:rsid w:val="00D70235"/>
    <w:rsid w:val="00D706E5"/>
    <w:rsid w:val="00D714CF"/>
    <w:rsid w:val="00D715D7"/>
    <w:rsid w:val="00D71BCC"/>
    <w:rsid w:val="00D72641"/>
    <w:rsid w:val="00D72DB2"/>
    <w:rsid w:val="00D73E05"/>
    <w:rsid w:val="00D7433F"/>
    <w:rsid w:val="00D74583"/>
    <w:rsid w:val="00D760F3"/>
    <w:rsid w:val="00D768D8"/>
    <w:rsid w:val="00D76B4C"/>
    <w:rsid w:val="00D812E0"/>
    <w:rsid w:val="00D816C7"/>
    <w:rsid w:val="00D82261"/>
    <w:rsid w:val="00D822BF"/>
    <w:rsid w:val="00D8365F"/>
    <w:rsid w:val="00D83CD9"/>
    <w:rsid w:val="00D8451D"/>
    <w:rsid w:val="00D8483C"/>
    <w:rsid w:val="00D848D3"/>
    <w:rsid w:val="00D84DAB"/>
    <w:rsid w:val="00D85A30"/>
    <w:rsid w:val="00D85EED"/>
    <w:rsid w:val="00D86124"/>
    <w:rsid w:val="00D86403"/>
    <w:rsid w:val="00D86490"/>
    <w:rsid w:val="00D86C9A"/>
    <w:rsid w:val="00D9030D"/>
    <w:rsid w:val="00D919D6"/>
    <w:rsid w:val="00D91A93"/>
    <w:rsid w:val="00D91C3E"/>
    <w:rsid w:val="00D91DFD"/>
    <w:rsid w:val="00D92503"/>
    <w:rsid w:val="00D92D24"/>
    <w:rsid w:val="00D92F03"/>
    <w:rsid w:val="00D93E1D"/>
    <w:rsid w:val="00D941CB"/>
    <w:rsid w:val="00D94648"/>
    <w:rsid w:val="00D94707"/>
    <w:rsid w:val="00D95C36"/>
    <w:rsid w:val="00D9605E"/>
    <w:rsid w:val="00D975CF"/>
    <w:rsid w:val="00D97F60"/>
    <w:rsid w:val="00DA038D"/>
    <w:rsid w:val="00DA1A77"/>
    <w:rsid w:val="00DA1E54"/>
    <w:rsid w:val="00DA41B4"/>
    <w:rsid w:val="00DA6432"/>
    <w:rsid w:val="00DA650F"/>
    <w:rsid w:val="00DA68F1"/>
    <w:rsid w:val="00DA6945"/>
    <w:rsid w:val="00DA706F"/>
    <w:rsid w:val="00DA73C5"/>
    <w:rsid w:val="00DA7718"/>
    <w:rsid w:val="00DA7C9A"/>
    <w:rsid w:val="00DA7F05"/>
    <w:rsid w:val="00DB0D65"/>
    <w:rsid w:val="00DB1E12"/>
    <w:rsid w:val="00DB3E5D"/>
    <w:rsid w:val="00DB417D"/>
    <w:rsid w:val="00DB4208"/>
    <w:rsid w:val="00DB48F6"/>
    <w:rsid w:val="00DB4C2F"/>
    <w:rsid w:val="00DB4F85"/>
    <w:rsid w:val="00DB540E"/>
    <w:rsid w:val="00DB5ECE"/>
    <w:rsid w:val="00DB63AC"/>
    <w:rsid w:val="00DB6C38"/>
    <w:rsid w:val="00DB77E4"/>
    <w:rsid w:val="00DB7DDC"/>
    <w:rsid w:val="00DC01AF"/>
    <w:rsid w:val="00DC067C"/>
    <w:rsid w:val="00DC1C19"/>
    <w:rsid w:val="00DC2156"/>
    <w:rsid w:val="00DC31F0"/>
    <w:rsid w:val="00DC3FEC"/>
    <w:rsid w:val="00DC47F4"/>
    <w:rsid w:val="00DC4A87"/>
    <w:rsid w:val="00DC616C"/>
    <w:rsid w:val="00DC667C"/>
    <w:rsid w:val="00DC674A"/>
    <w:rsid w:val="00DC6D45"/>
    <w:rsid w:val="00DC6DBF"/>
    <w:rsid w:val="00DC7B21"/>
    <w:rsid w:val="00DD01F8"/>
    <w:rsid w:val="00DD22F2"/>
    <w:rsid w:val="00DD372C"/>
    <w:rsid w:val="00DD46F5"/>
    <w:rsid w:val="00DD4F1E"/>
    <w:rsid w:val="00DD5524"/>
    <w:rsid w:val="00DD562E"/>
    <w:rsid w:val="00DD5A31"/>
    <w:rsid w:val="00DD68D4"/>
    <w:rsid w:val="00DD6C2A"/>
    <w:rsid w:val="00DD77C8"/>
    <w:rsid w:val="00DD7A16"/>
    <w:rsid w:val="00DD7E7E"/>
    <w:rsid w:val="00DE029D"/>
    <w:rsid w:val="00DE110E"/>
    <w:rsid w:val="00DE286C"/>
    <w:rsid w:val="00DE2E62"/>
    <w:rsid w:val="00DE3143"/>
    <w:rsid w:val="00DE367B"/>
    <w:rsid w:val="00DE36D7"/>
    <w:rsid w:val="00DE3ADD"/>
    <w:rsid w:val="00DE41E9"/>
    <w:rsid w:val="00DE445C"/>
    <w:rsid w:val="00DE59DB"/>
    <w:rsid w:val="00DE64FD"/>
    <w:rsid w:val="00DE6D9D"/>
    <w:rsid w:val="00DE6EF8"/>
    <w:rsid w:val="00DE7ECB"/>
    <w:rsid w:val="00DF0238"/>
    <w:rsid w:val="00DF0935"/>
    <w:rsid w:val="00DF0E87"/>
    <w:rsid w:val="00DF1C1D"/>
    <w:rsid w:val="00DF1C64"/>
    <w:rsid w:val="00DF1FF5"/>
    <w:rsid w:val="00DF35B8"/>
    <w:rsid w:val="00DF41BB"/>
    <w:rsid w:val="00DF4502"/>
    <w:rsid w:val="00DF59B2"/>
    <w:rsid w:val="00DF7CED"/>
    <w:rsid w:val="00DF7F83"/>
    <w:rsid w:val="00E00860"/>
    <w:rsid w:val="00E00D1B"/>
    <w:rsid w:val="00E01478"/>
    <w:rsid w:val="00E0159B"/>
    <w:rsid w:val="00E01E4C"/>
    <w:rsid w:val="00E03647"/>
    <w:rsid w:val="00E03917"/>
    <w:rsid w:val="00E03A59"/>
    <w:rsid w:val="00E04A6A"/>
    <w:rsid w:val="00E04B3A"/>
    <w:rsid w:val="00E04EB8"/>
    <w:rsid w:val="00E05A64"/>
    <w:rsid w:val="00E05B34"/>
    <w:rsid w:val="00E06365"/>
    <w:rsid w:val="00E070A9"/>
    <w:rsid w:val="00E0794A"/>
    <w:rsid w:val="00E101C7"/>
    <w:rsid w:val="00E110FE"/>
    <w:rsid w:val="00E13B09"/>
    <w:rsid w:val="00E15191"/>
    <w:rsid w:val="00E156DB"/>
    <w:rsid w:val="00E162B8"/>
    <w:rsid w:val="00E174C6"/>
    <w:rsid w:val="00E17B21"/>
    <w:rsid w:val="00E17DFC"/>
    <w:rsid w:val="00E17FB1"/>
    <w:rsid w:val="00E20A90"/>
    <w:rsid w:val="00E21F29"/>
    <w:rsid w:val="00E2365D"/>
    <w:rsid w:val="00E237CB"/>
    <w:rsid w:val="00E2428B"/>
    <w:rsid w:val="00E258B7"/>
    <w:rsid w:val="00E25B53"/>
    <w:rsid w:val="00E25C30"/>
    <w:rsid w:val="00E2672E"/>
    <w:rsid w:val="00E26864"/>
    <w:rsid w:val="00E27037"/>
    <w:rsid w:val="00E272EE"/>
    <w:rsid w:val="00E274DE"/>
    <w:rsid w:val="00E275CB"/>
    <w:rsid w:val="00E27B0B"/>
    <w:rsid w:val="00E30BA1"/>
    <w:rsid w:val="00E31599"/>
    <w:rsid w:val="00E31B26"/>
    <w:rsid w:val="00E31B33"/>
    <w:rsid w:val="00E31BA6"/>
    <w:rsid w:val="00E32432"/>
    <w:rsid w:val="00E32611"/>
    <w:rsid w:val="00E328CA"/>
    <w:rsid w:val="00E32F10"/>
    <w:rsid w:val="00E36094"/>
    <w:rsid w:val="00E365FB"/>
    <w:rsid w:val="00E3745E"/>
    <w:rsid w:val="00E41E50"/>
    <w:rsid w:val="00E420B0"/>
    <w:rsid w:val="00E42160"/>
    <w:rsid w:val="00E4261A"/>
    <w:rsid w:val="00E42705"/>
    <w:rsid w:val="00E427B8"/>
    <w:rsid w:val="00E427F2"/>
    <w:rsid w:val="00E42D58"/>
    <w:rsid w:val="00E42FAB"/>
    <w:rsid w:val="00E4390D"/>
    <w:rsid w:val="00E44BB5"/>
    <w:rsid w:val="00E44CA5"/>
    <w:rsid w:val="00E44F66"/>
    <w:rsid w:val="00E453E2"/>
    <w:rsid w:val="00E459EA"/>
    <w:rsid w:val="00E46031"/>
    <w:rsid w:val="00E46543"/>
    <w:rsid w:val="00E47ADD"/>
    <w:rsid w:val="00E47D21"/>
    <w:rsid w:val="00E47D9A"/>
    <w:rsid w:val="00E50175"/>
    <w:rsid w:val="00E50ABA"/>
    <w:rsid w:val="00E50B55"/>
    <w:rsid w:val="00E50D9C"/>
    <w:rsid w:val="00E50E1F"/>
    <w:rsid w:val="00E533BC"/>
    <w:rsid w:val="00E535D4"/>
    <w:rsid w:val="00E53C21"/>
    <w:rsid w:val="00E54C57"/>
    <w:rsid w:val="00E550F2"/>
    <w:rsid w:val="00E56AF4"/>
    <w:rsid w:val="00E56CA1"/>
    <w:rsid w:val="00E573D6"/>
    <w:rsid w:val="00E60427"/>
    <w:rsid w:val="00E6092A"/>
    <w:rsid w:val="00E613AB"/>
    <w:rsid w:val="00E620E2"/>
    <w:rsid w:val="00E629D8"/>
    <w:rsid w:val="00E63054"/>
    <w:rsid w:val="00E630DF"/>
    <w:rsid w:val="00E636BA"/>
    <w:rsid w:val="00E636CA"/>
    <w:rsid w:val="00E64305"/>
    <w:rsid w:val="00E64D89"/>
    <w:rsid w:val="00E66374"/>
    <w:rsid w:val="00E67D26"/>
    <w:rsid w:val="00E70653"/>
    <w:rsid w:val="00E71151"/>
    <w:rsid w:val="00E7124C"/>
    <w:rsid w:val="00E71541"/>
    <w:rsid w:val="00E716B4"/>
    <w:rsid w:val="00E71E9C"/>
    <w:rsid w:val="00E72160"/>
    <w:rsid w:val="00E74311"/>
    <w:rsid w:val="00E746CD"/>
    <w:rsid w:val="00E7495C"/>
    <w:rsid w:val="00E753CC"/>
    <w:rsid w:val="00E75B2A"/>
    <w:rsid w:val="00E7672F"/>
    <w:rsid w:val="00E76AB1"/>
    <w:rsid w:val="00E8121D"/>
    <w:rsid w:val="00E81590"/>
    <w:rsid w:val="00E82A4D"/>
    <w:rsid w:val="00E82CAF"/>
    <w:rsid w:val="00E82E8E"/>
    <w:rsid w:val="00E83D0B"/>
    <w:rsid w:val="00E8443A"/>
    <w:rsid w:val="00E849FD"/>
    <w:rsid w:val="00E86D40"/>
    <w:rsid w:val="00E86DDF"/>
    <w:rsid w:val="00E86F97"/>
    <w:rsid w:val="00E872DB"/>
    <w:rsid w:val="00E877C5"/>
    <w:rsid w:val="00E9091C"/>
    <w:rsid w:val="00E91C93"/>
    <w:rsid w:val="00E920EC"/>
    <w:rsid w:val="00E92616"/>
    <w:rsid w:val="00E93AFA"/>
    <w:rsid w:val="00E93C00"/>
    <w:rsid w:val="00E93C6A"/>
    <w:rsid w:val="00E93E63"/>
    <w:rsid w:val="00E9575E"/>
    <w:rsid w:val="00E95B64"/>
    <w:rsid w:val="00E97046"/>
    <w:rsid w:val="00E97613"/>
    <w:rsid w:val="00EA14C5"/>
    <w:rsid w:val="00EA1A9D"/>
    <w:rsid w:val="00EA2E48"/>
    <w:rsid w:val="00EA2E8C"/>
    <w:rsid w:val="00EA3229"/>
    <w:rsid w:val="00EA326C"/>
    <w:rsid w:val="00EA4E37"/>
    <w:rsid w:val="00EA5F87"/>
    <w:rsid w:val="00EA6D8E"/>
    <w:rsid w:val="00EA7783"/>
    <w:rsid w:val="00EB044E"/>
    <w:rsid w:val="00EB05CC"/>
    <w:rsid w:val="00EB0B40"/>
    <w:rsid w:val="00EB1165"/>
    <w:rsid w:val="00EB2137"/>
    <w:rsid w:val="00EB2D5A"/>
    <w:rsid w:val="00EB30CF"/>
    <w:rsid w:val="00EB3E0A"/>
    <w:rsid w:val="00EB45E2"/>
    <w:rsid w:val="00EB491E"/>
    <w:rsid w:val="00EB4B57"/>
    <w:rsid w:val="00EB4BC5"/>
    <w:rsid w:val="00EB5DF2"/>
    <w:rsid w:val="00EB6041"/>
    <w:rsid w:val="00EB65B6"/>
    <w:rsid w:val="00EB7184"/>
    <w:rsid w:val="00EB731F"/>
    <w:rsid w:val="00EB74D5"/>
    <w:rsid w:val="00EB7930"/>
    <w:rsid w:val="00EB7DBF"/>
    <w:rsid w:val="00EC0435"/>
    <w:rsid w:val="00EC0568"/>
    <w:rsid w:val="00EC0723"/>
    <w:rsid w:val="00EC15E1"/>
    <w:rsid w:val="00EC19F8"/>
    <w:rsid w:val="00EC1BE2"/>
    <w:rsid w:val="00EC1F88"/>
    <w:rsid w:val="00EC29FA"/>
    <w:rsid w:val="00EC2DC6"/>
    <w:rsid w:val="00EC36B1"/>
    <w:rsid w:val="00EC36DA"/>
    <w:rsid w:val="00EC3C93"/>
    <w:rsid w:val="00EC43C0"/>
    <w:rsid w:val="00EC495D"/>
    <w:rsid w:val="00EC4E5E"/>
    <w:rsid w:val="00EC733D"/>
    <w:rsid w:val="00EC7B35"/>
    <w:rsid w:val="00EC7BE0"/>
    <w:rsid w:val="00EC7CB1"/>
    <w:rsid w:val="00EC7DCB"/>
    <w:rsid w:val="00ED0AE0"/>
    <w:rsid w:val="00ED1ACC"/>
    <w:rsid w:val="00ED20FE"/>
    <w:rsid w:val="00ED26E2"/>
    <w:rsid w:val="00ED29A0"/>
    <w:rsid w:val="00ED2BDA"/>
    <w:rsid w:val="00ED2CCF"/>
    <w:rsid w:val="00ED3A5B"/>
    <w:rsid w:val="00ED3EEF"/>
    <w:rsid w:val="00ED4BD0"/>
    <w:rsid w:val="00ED4D4A"/>
    <w:rsid w:val="00ED5220"/>
    <w:rsid w:val="00ED5528"/>
    <w:rsid w:val="00ED588D"/>
    <w:rsid w:val="00ED5A15"/>
    <w:rsid w:val="00ED67B1"/>
    <w:rsid w:val="00ED7195"/>
    <w:rsid w:val="00ED7765"/>
    <w:rsid w:val="00ED77BE"/>
    <w:rsid w:val="00ED7B47"/>
    <w:rsid w:val="00EE040D"/>
    <w:rsid w:val="00EE19AE"/>
    <w:rsid w:val="00EE1AF6"/>
    <w:rsid w:val="00EE24F4"/>
    <w:rsid w:val="00EE2BDE"/>
    <w:rsid w:val="00EE2C88"/>
    <w:rsid w:val="00EE3321"/>
    <w:rsid w:val="00EE389E"/>
    <w:rsid w:val="00EE509A"/>
    <w:rsid w:val="00EE53DC"/>
    <w:rsid w:val="00EE55A2"/>
    <w:rsid w:val="00EE6345"/>
    <w:rsid w:val="00EE6C4D"/>
    <w:rsid w:val="00EE6D28"/>
    <w:rsid w:val="00EE6DE2"/>
    <w:rsid w:val="00EE7443"/>
    <w:rsid w:val="00EF037C"/>
    <w:rsid w:val="00EF1AE3"/>
    <w:rsid w:val="00EF2777"/>
    <w:rsid w:val="00EF2C78"/>
    <w:rsid w:val="00EF3464"/>
    <w:rsid w:val="00EF3B0F"/>
    <w:rsid w:val="00EF4AC5"/>
    <w:rsid w:val="00EF4D28"/>
    <w:rsid w:val="00EF4F0C"/>
    <w:rsid w:val="00EF5112"/>
    <w:rsid w:val="00EF597E"/>
    <w:rsid w:val="00EF6554"/>
    <w:rsid w:val="00EF6678"/>
    <w:rsid w:val="00EF6AF3"/>
    <w:rsid w:val="00EF7634"/>
    <w:rsid w:val="00EF76D9"/>
    <w:rsid w:val="00EF7F7F"/>
    <w:rsid w:val="00F0059A"/>
    <w:rsid w:val="00F011FB"/>
    <w:rsid w:val="00F01950"/>
    <w:rsid w:val="00F02AEB"/>
    <w:rsid w:val="00F02CC9"/>
    <w:rsid w:val="00F0546D"/>
    <w:rsid w:val="00F05E7E"/>
    <w:rsid w:val="00F11743"/>
    <w:rsid w:val="00F12D98"/>
    <w:rsid w:val="00F1345C"/>
    <w:rsid w:val="00F1357F"/>
    <w:rsid w:val="00F14216"/>
    <w:rsid w:val="00F157D7"/>
    <w:rsid w:val="00F16633"/>
    <w:rsid w:val="00F16C70"/>
    <w:rsid w:val="00F176D8"/>
    <w:rsid w:val="00F17B25"/>
    <w:rsid w:val="00F17D99"/>
    <w:rsid w:val="00F2015B"/>
    <w:rsid w:val="00F203A6"/>
    <w:rsid w:val="00F20A90"/>
    <w:rsid w:val="00F21573"/>
    <w:rsid w:val="00F21696"/>
    <w:rsid w:val="00F22284"/>
    <w:rsid w:val="00F226B2"/>
    <w:rsid w:val="00F233B6"/>
    <w:rsid w:val="00F243BE"/>
    <w:rsid w:val="00F24C6B"/>
    <w:rsid w:val="00F25529"/>
    <w:rsid w:val="00F25E37"/>
    <w:rsid w:val="00F2614B"/>
    <w:rsid w:val="00F3043F"/>
    <w:rsid w:val="00F30FBF"/>
    <w:rsid w:val="00F31522"/>
    <w:rsid w:val="00F32514"/>
    <w:rsid w:val="00F32585"/>
    <w:rsid w:val="00F32EE0"/>
    <w:rsid w:val="00F33A31"/>
    <w:rsid w:val="00F34CDA"/>
    <w:rsid w:val="00F34F97"/>
    <w:rsid w:val="00F35E08"/>
    <w:rsid w:val="00F35E09"/>
    <w:rsid w:val="00F35F12"/>
    <w:rsid w:val="00F36CA7"/>
    <w:rsid w:val="00F372FF"/>
    <w:rsid w:val="00F37768"/>
    <w:rsid w:val="00F402F6"/>
    <w:rsid w:val="00F4057E"/>
    <w:rsid w:val="00F4059E"/>
    <w:rsid w:val="00F418FD"/>
    <w:rsid w:val="00F41DB1"/>
    <w:rsid w:val="00F43257"/>
    <w:rsid w:val="00F434D0"/>
    <w:rsid w:val="00F43AA3"/>
    <w:rsid w:val="00F459FB"/>
    <w:rsid w:val="00F46147"/>
    <w:rsid w:val="00F4632C"/>
    <w:rsid w:val="00F47FB1"/>
    <w:rsid w:val="00F47FFA"/>
    <w:rsid w:val="00F51793"/>
    <w:rsid w:val="00F51F72"/>
    <w:rsid w:val="00F52486"/>
    <w:rsid w:val="00F52830"/>
    <w:rsid w:val="00F531B3"/>
    <w:rsid w:val="00F53FE7"/>
    <w:rsid w:val="00F5427C"/>
    <w:rsid w:val="00F54F81"/>
    <w:rsid w:val="00F55314"/>
    <w:rsid w:val="00F55BFE"/>
    <w:rsid w:val="00F55DA7"/>
    <w:rsid w:val="00F576C3"/>
    <w:rsid w:val="00F6061B"/>
    <w:rsid w:val="00F62557"/>
    <w:rsid w:val="00F62E24"/>
    <w:rsid w:val="00F631EA"/>
    <w:rsid w:val="00F63405"/>
    <w:rsid w:val="00F639B6"/>
    <w:rsid w:val="00F654EB"/>
    <w:rsid w:val="00F65F35"/>
    <w:rsid w:val="00F66572"/>
    <w:rsid w:val="00F673B0"/>
    <w:rsid w:val="00F678D6"/>
    <w:rsid w:val="00F736C9"/>
    <w:rsid w:val="00F74001"/>
    <w:rsid w:val="00F745AC"/>
    <w:rsid w:val="00F74F59"/>
    <w:rsid w:val="00F75742"/>
    <w:rsid w:val="00F761B4"/>
    <w:rsid w:val="00F7639D"/>
    <w:rsid w:val="00F763FD"/>
    <w:rsid w:val="00F7649D"/>
    <w:rsid w:val="00F777FA"/>
    <w:rsid w:val="00F77DED"/>
    <w:rsid w:val="00F81DED"/>
    <w:rsid w:val="00F81F74"/>
    <w:rsid w:val="00F82ABF"/>
    <w:rsid w:val="00F83AC2"/>
    <w:rsid w:val="00F83EFC"/>
    <w:rsid w:val="00F87120"/>
    <w:rsid w:val="00F9030B"/>
    <w:rsid w:val="00F90BCE"/>
    <w:rsid w:val="00F90F7C"/>
    <w:rsid w:val="00F913A1"/>
    <w:rsid w:val="00F925F3"/>
    <w:rsid w:val="00F9305F"/>
    <w:rsid w:val="00F93C98"/>
    <w:rsid w:val="00F944FA"/>
    <w:rsid w:val="00F950CF"/>
    <w:rsid w:val="00F96416"/>
    <w:rsid w:val="00F96471"/>
    <w:rsid w:val="00F96484"/>
    <w:rsid w:val="00F96FDA"/>
    <w:rsid w:val="00F97822"/>
    <w:rsid w:val="00FA0520"/>
    <w:rsid w:val="00FA077B"/>
    <w:rsid w:val="00FA0E19"/>
    <w:rsid w:val="00FA0EBC"/>
    <w:rsid w:val="00FA1CFB"/>
    <w:rsid w:val="00FA1EB9"/>
    <w:rsid w:val="00FA2DC9"/>
    <w:rsid w:val="00FA34A5"/>
    <w:rsid w:val="00FA3BDD"/>
    <w:rsid w:val="00FA4319"/>
    <w:rsid w:val="00FA48A6"/>
    <w:rsid w:val="00FA7E55"/>
    <w:rsid w:val="00FA7E8E"/>
    <w:rsid w:val="00FB0BE9"/>
    <w:rsid w:val="00FB186F"/>
    <w:rsid w:val="00FB2248"/>
    <w:rsid w:val="00FB255F"/>
    <w:rsid w:val="00FB3265"/>
    <w:rsid w:val="00FB3CD4"/>
    <w:rsid w:val="00FB3FC8"/>
    <w:rsid w:val="00FB47CE"/>
    <w:rsid w:val="00FB4B8C"/>
    <w:rsid w:val="00FB521F"/>
    <w:rsid w:val="00FB72CD"/>
    <w:rsid w:val="00FB76ED"/>
    <w:rsid w:val="00FB7990"/>
    <w:rsid w:val="00FB7B6C"/>
    <w:rsid w:val="00FC0C5A"/>
    <w:rsid w:val="00FC0CDB"/>
    <w:rsid w:val="00FC0D15"/>
    <w:rsid w:val="00FC0FE2"/>
    <w:rsid w:val="00FC3558"/>
    <w:rsid w:val="00FC4038"/>
    <w:rsid w:val="00FC5394"/>
    <w:rsid w:val="00FC66ED"/>
    <w:rsid w:val="00FC6E71"/>
    <w:rsid w:val="00FC7D2D"/>
    <w:rsid w:val="00FD0226"/>
    <w:rsid w:val="00FD0566"/>
    <w:rsid w:val="00FD1A04"/>
    <w:rsid w:val="00FD1FAA"/>
    <w:rsid w:val="00FD2055"/>
    <w:rsid w:val="00FD222A"/>
    <w:rsid w:val="00FD23BE"/>
    <w:rsid w:val="00FD3934"/>
    <w:rsid w:val="00FD3CD3"/>
    <w:rsid w:val="00FD4037"/>
    <w:rsid w:val="00FD4BC2"/>
    <w:rsid w:val="00FD4FC6"/>
    <w:rsid w:val="00FD50D7"/>
    <w:rsid w:val="00FD5208"/>
    <w:rsid w:val="00FD5ABE"/>
    <w:rsid w:val="00FD5E5D"/>
    <w:rsid w:val="00FD7AC8"/>
    <w:rsid w:val="00FE0570"/>
    <w:rsid w:val="00FE0A8E"/>
    <w:rsid w:val="00FE0BA1"/>
    <w:rsid w:val="00FE26C8"/>
    <w:rsid w:val="00FE28FF"/>
    <w:rsid w:val="00FE33AA"/>
    <w:rsid w:val="00FE395F"/>
    <w:rsid w:val="00FE3B1A"/>
    <w:rsid w:val="00FE487B"/>
    <w:rsid w:val="00FE586C"/>
    <w:rsid w:val="00FE60CB"/>
    <w:rsid w:val="00FE6590"/>
    <w:rsid w:val="00FE6A56"/>
    <w:rsid w:val="00FE6EDC"/>
    <w:rsid w:val="00FE7585"/>
    <w:rsid w:val="00FE7DDB"/>
    <w:rsid w:val="00FF18D7"/>
    <w:rsid w:val="00FF261D"/>
    <w:rsid w:val="00FF2BAA"/>
    <w:rsid w:val="00FF469E"/>
    <w:rsid w:val="00FF4F1A"/>
    <w:rsid w:val="00FF5482"/>
    <w:rsid w:val="00FF5F02"/>
    <w:rsid w:val="00FF6368"/>
    <w:rsid w:val="00FF6464"/>
    <w:rsid w:val="00FF6A6B"/>
    <w:rsid w:val="00FF6BBE"/>
    <w:rsid w:val="00FF6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6"/>
    <o:shapelayout v:ext="edit">
      <o:idmap v:ext="edit" data="1"/>
    </o:shapelayout>
  </w:shapeDefaults>
  <w:decimalSymbol w:val="."/>
  <w:listSeparator w:val=","/>
  <w15:docId w15:val="{89C9D5AA-F9D5-4132-B047-FE3FFFEF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0" w:qFormat="1"/>
    <w:lsdException w:name="heading 6" w:uiPriority="0" w:qFormat="1"/>
    <w:lsdException w:name="heading 7" w:locked="0" w:uiPriority="0" w:qFormat="1"/>
    <w:lsdException w:name="heading 8" w:uiPriority="0" w:qFormat="1"/>
    <w:lsdException w:name="heading 9" w:uiPriority="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iPriority="0" w:unhideWhenUsed="1"/>
    <w:lsdException w:name="header" w:locked="0" w:semiHidden="1" w:unhideWhenUsed="1"/>
    <w:lsdException w:name="footer" w:locked="0" w:semiHidden="1" w:unhideWhenUsed="1" w:qFormat="1"/>
    <w:lsdException w:name="index heading" w:locked="0" w:semiHidden="1" w:unhideWhenUsed="1"/>
    <w:lsdException w:name="caption" w:locked="0" w:semiHidden="1"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35820"/>
    <w:pPr>
      <w:spacing w:after="220" w:line="280" w:lineRule="atLeast"/>
    </w:pPr>
    <w:rPr>
      <w:rFonts w:ascii="Times New Roman" w:hAnsi="Times New Roman"/>
      <w:sz w:val="22"/>
      <w:lang w:val="en-GB" w:eastAsia="en-US"/>
    </w:rPr>
  </w:style>
  <w:style w:type="paragraph" w:styleId="Heading1">
    <w:name w:val="heading 1"/>
    <w:basedOn w:val="Normal"/>
    <w:next w:val="Normal"/>
    <w:link w:val="Heading1Char"/>
    <w:qFormat/>
    <w:rsid w:val="00EB65B6"/>
    <w:pPr>
      <w:keepNext/>
      <w:numPr>
        <w:numId w:val="8"/>
      </w:numPr>
      <w:spacing w:after="300" w:line="240" w:lineRule="auto"/>
      <w:outlineLvl w:val="0"/>
    </w:pPr>
    <w:rPr>
      <w:rFonts w:ascii="Tahoma" w:hAnsi="Tahoma"/>
      <w:b/>
      <w:color w:val="000033"/>
      <w:kern w:val="28"/>
      <w:sz w:val="40"/>
    </w:rPr>
  </w:style>
  <w:style w:type="paragraph" w:styleId="Heading2">
    <w:name w:val="heading 2"/>
    <w:basedOn w:val="Normal"/>
    <w:next w:val="Normal"/>
    <w:link w:val="Heading2Char"/>
    <w:autoRedefine/>
    <w:qFormat/>
    <w:rsid w:val="00A814AA"/>
    <w:pPr>
      <w:keepNext/>
      <w:numPr>
        <w:ilvl w:val="1"/>
        <w:numId w:val="4"/>
      </w:numPr>
      <w:spacing w:before="480" w:after="240" w:line="240" w:lineRule="auto"/>
      <w:outlineLvl w:val="1"/>
    </w:pPr>
    <w:rPr>
      <w:rFonts w:ascii="Arial" w:hAnsi="Arial" w:cs="Arial"/>
      <w:b/>
      <w:color w:val="000033"/>
      <w:sz w:val="26"/>
      <w:szCs w:val="26"/>
    </w:rPr>
  </w:style>
  <w:style w:type="paragraph" w:styleId="Heading3">
    <w:name w:val="heading 3"/>
    <w:basedOn w:val="Normal"/>
    <w:next w:val="Normal"/>
    <w:link w:val="Heading3Char"/>
    <w:autoRedefine/>
    <w:qFormat/>
    <w:rsid w:val="00C37EE4"/>
    <w:pPr>
      <w:keepNext/>
      <w:numPr>
        <w:ilvl w:val="2"/>
        <w:numId w:val="4"/>
      </w:numPr>
      <w:spacing w:before="480" w:after="240" w:line="240" w:lineRule="auto"/>
      <w:outlineLvl w:val="2"/>
    </w:pPr>
    <w:rPr>
      <w:rFonts w:ascii="Arial" w:hAnsi="Arial" w:cs="Arial"/>
      <w:b/>
      <w:color w:val="000033"/>
    </w:rPr>
  </w:style>
  <w:style w:type="paragraph" w:styleId="Heading4">
    <w:name w:val="heading 4"/>
    <w:basedOn w:val="Normal"/>
    <w:next w:val="Normal"/>
    <w:link w:val="Heading4Char"/>
    <w:qFormat/>
    <w:rsid w:val="002E7DBF"/>
    <w:pPr>
      <w:keepNext/>
      <w:spacing w:after="120" w:line="240" w:lineRule="auto"/>
      <w:outlineLvl w:val="3"/>
    </w:pPr>
    <w:rPr>
      <w:b/>
      <w:sz w:val="24"/>
    </w:rPr>
  </w:style>
  <w:style w:type="paragraph" w:styleId="Heading5">
    <w:name w:val="heading 5"/>
    <w:basedOn w:val="Normal"/>
    <w:next w:val="Normal"/>
    <w:link w:val="Heading5Char"/>
    <w:semiHidden/>
    <w:qFormat/>
    <w:rsid w:val="00924F40"/>
    <w:pPr>
      <w:keepNext/>
      <w:spacing w:before="60" w:after="60" w:line="240" w:lineRule="auto"/>
      <w:outlineLvl w:val="4"/>
    </w:pPr>
    <w:rPr>
      <w:i/>
      <w:sz w:val="24"/>
    </w:rPr>
  </w:style>
  <w:style w:type="paragraph" w:styleId="Heading6">
    <w:name w:val="heading 6"/>
    <w:basedOn w:val="Normal"/>
    <w:next w:val="Normal"/>
    <w:link w:val="Heading6Char"/>
    <w:semiHidden/>
    <w:qFormat/>
    <w:locked/>
    <w:rsid w:val="00924F40"/>
    <w:pPr>
      <w:spacing w:before="240" w:after="60" w:line="240" w:lineRule="auto"/>
      <w:outlineLvl w:val="5"/>
    </w:pPr>
    <w:rPr>
      <w:bCs/>
      <w:i/>
      <w:color w:val="7F7F7F" w:themeColor="text1" w:themeTint="80"/>
      <w:szCs w:val="22"/>
    </w:rPr>
  </w:style>
  <w:style w:type="paragraph" w:styleId="Heading7">
    <w:name w:val="heading 7"/>
    <w:aliases w:val="Appendix"/>
    <w:basedOn w:val="Normal"/>
    <w:next w:val="Normal"/>
    <w:link w:val="Heading7Char"/>
    <w:semiHidden/>
    <w:qFormat/>
    <w:locked/>
    <w:rsid w:val="00924F40"/>
    <w:pPr>
      <w:spacing w:before="240" w:after="60" w:line="240" w:lineRule="auto"/>
      <w:outlineLvl w:val="6"/>
    </w:pPr>
    <w:rPr>
      <w:b/>
      <w:sz w:val="24"/>
      <w:szCs w:val="24"/>
      <w:lang w:val="en-AU" w:eastAsia="en-AU"/>
    </w:rPr>
  </w:style>
  <w:style w:type="paragraph" w:styleId="Heading8">
    <w:name w:val="heading 8"/>
    <w:basedOn w:val="Normal"/>
    <w:next w:val="Normal"/>
    <w:link w:val="Heading8Char"/>
    <w:semiHidden/>
    <w:qFormat/>
    <w:locked/>
    <w:rsid w:val="00924F40"/>
    <w:pPr>
      <w:spacing w:before="240" w:after="60"/>
      <w:outlineLvl w:val="7"/>
    </w:pPr>
    <w:rPr>
      <w:rFonts w:ascii="Arial" w:hAnsi="Arial"/>
      <w:i/>
      <w:sz w:val="20"/>
      <w:lang w:val="en-AU" w:eastAsia="en-AU"/>
    </w:rPr>
  </w:style>
  <w:style w:type="paragraph" w:styleId="Heading9">
    <w:name w:val="heading 9"/>
    <w:basedOn w:val="Normal"/>
    <w:next w:val="Normal"/>
    <w:link w:val="Heading9Char"/>
    <w:semiHidden/>
    <w:qFormat/>
    <w:locked/>
    <w:rsid w:val="00924F40"/>
    <w:pPr>
      <w:spacing w:before="240" w:after="60"/>
      <w:outlineLvl w:val="8"/>
    </w:pPr>
    <w:rPr>
      <w:rFonts w:ascii="Arial" w:hAnsi="Arial"/>
      <w:b/>
      <w:i/>
      <w:sz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B65B6"/>
    <w:rPr>
      <w:rFonts w:ascii="Tahoma" w:hAnsi="Tahoma"/>
      <w:b/>
      <w:color w:val="000033"/>
      <w:kern w:val="28"/>
      <w:sz w:val="40"/>
      <w:lang w:val="en-GB" w:eastAsia="en-US"/>
    </w:rPr>
  </w:style>
  <w:style w:type="character" w:customStyle="1" w:styleId="Heading2Char">
    <w:name w:val="Heading 2 Char"/>
    <w:link w:val="Heading2"/>
    <w:locked/>
    <w:rsid w:val="00A814AA"/>
    <w:rPr>
      <w:rFonts w:ascii="Arial" w:hAnsi="Arial" w:cs="Arial"/>
      <w:b/>
      <w:color w:val="000033"/>
      <w:sz w:val="26"/>
      <w:szCs w:val="26"/>
      <w:lang w:val="en-GB" w:eastAsia="en-US"/>
    </w:rPr>
  </w:style>
  <w:style w:type="character" w:customStyle="1" w:styleId="Heading3Char">
    <w:name w:val="Heading 3 Char"/>
    <w:link w:val="Heading3"/>
    <w:locked/>
    <w:rsid w:val="00C37EE4"/>
    <w:rPr>
      <w:rFonts w:ascii="Arial" w:hAnsi="Arial" w:cs="Arial"/>
      <w:b/>
      <w:color w:val="000033"/>
      <w:sz w:val="22"/>
      <w:lang w:val="en-GB" w:eastAsia="en-US"/>
    </w:rPr>
  </w:style>
  <w:style w:type="character" w:customStyle="1" w:styleId="Heading4Char">
    <w:name w:val="Heading 4 Char"/>
    <w:link w:val="Heading4"/>
    <w:locked/>
    <w:rsid w:val="002E7DBF"/>
    <w:rPr>
      <w:rFonts w:ascii="Times New Roman" w:hAnsi="Times New Roman"/>
      <w:b/>
      <w:sz w:val="24"/>
      <w:lang w:val="en-GB" w:eastAsia="en-US"/>
    </w:rPr>
  </w:style>
  <w:style w:type="character" w:customStyle="1" w:styleId="Heading5Char">
    <w:name w:val="Heading 5 Char"/>
    <w:link w:val="Heading5"/>
    <w:semiHidden/>
    <w:locked/>
    <w:rsid w:val="009852DB"/>
    <w:rPr>
      <w:rFonts w:ascii="Times New Roman" w:hAnsi="Times New Roman"/>
      <w:i/>
      <w:sz w:val="24"/>
      <w:lang w:val="en-GB" w:eastAsia="en-US"/>
    </w:rPr>
  </w:style>
  <w:style w:type="character" w:customStyle="1" w:styleId="Heading6Char">
    <w:name w:val="Heading 6 Char"/>
    <w:link w:val="Heading6"/>
    <w:semiHidden/>
    <w:locked/>
    <w:rsid w:val="009852DB"/>
    <w:rPr>
      <w:rFonts w:ascii="Times New Roman" w:hAnsi="Times New Roman"/>
      <w:bCs/>
      <w:i/>
      <w:color w:val="7F7F7F" w:themeColor="text1" w:themeTint="80"/>
      <w:sz w:val="22"/>
      <w:szCs w:val="22"/>
      <w:lang w:val="en-GB" w:eastAsia="en-US"/>
    </w:rPr>
  </w:style>
  <w:style w:type="character" w:customStyle="1" w:styleId="Heading7Char">
    <w:name w:val="Heading 7 Char"/>
    <w:aliases w:val="Appendix Char"/>
    <w:link w:val="Heading7"/>
    <w:semiHidden/>
    <w:locked/>
    <w:rsid w:val="009852DB"/>
    <w:rPr>
      <w:rFonts w:ascii="Times New Roman" w:hAnsi="Times New Roman"/>
      <w:b/>
      <w:sz w:val="24"/>
      <w:szCs w:val="24"/>
    </w:rPr>
  </w:style>
  <w:style w:type="character" w:customStyle="1" w:styleId="Heading8Char">
    <w:name w:val="Heading 8 Char"/>
    <w:link w:val="Heading8"/>
    <w:semiHidden/>
    <w:locked/>
    <w:rsid w:val="009852DB"/>
    <w:rPr>
      <w:rFonts w:ascii="Arial" w:hAnsi="Arial"/>
      <w:i/>
    </w:rPr>
  </w:style>
  <w:style w:type="character" w:customStyle="1" w:styleId="Heading9Char">
    <w:name w:val="Heading 9 Char"/>
    <w:link w:val="Heading9"/>
    <w:semiHidden/>
    <w:locked/>
    <w:rsid w:val="009852DB"/>
    <w:rPr>
      <w:rFonts w:ascii="Arial" w:hAnsi="Arial"/>
      <w:b/>
      <w:i/>
      <w:sz w:val="18"/>
    </w:rPr>
  </w:style>
  <w:style w:type="paragraph" w:customStyle="1" w:styleId="FigureName">
    <w:name w:val="Figure Name"/>
    <w:basedOn w:val="TableName"/>
    <w:next w:val="Normal"/>
    <w:qFormat/>
    <w:rsid w:val="00F7639D"/>
  </w:style>
  <w:style w:type="paragraph" w:customStyle="1" w:styleId="TableName">
    <w:name w:val="Table Name"/>
    <w:basedOn w:val="TableTextLeft"/>
    <w:link w:val="TableNameChar"/>
    <w:qFormat/>
    <w:rsid w:val="00F7639D"/>
    <w:pPr>
      <w:spacing w:before="120" w:after="120"/>
      <w:ind w:left="1080" w:hanging="1080"/>
    </w:pPr>
    <w:rPr>
      <w:b/>
      <w:sz w:val="20"/>
    </w:rPr>
  </w:style>
  <w:style w:type="paragraph" w:customStyle="1" w:styleId="TableTextLeft">
    <w:name w:val="Table Text Left"/>
    <w:uiPriority w:val="99"/>
    <w:qFormat/>
    <w:rsid w:val="00F7639D"/>
    <w:pPr>
      <w:keepNext/>
      <w:spacing w:before="40" w:after="40"/>
    </w:pPr>
    <w:rPr>
      <w:rFonts w:ascii="Arial Narrow" w:hAnsi="Arial Narrow"/>
      <w:sz w:val="18"/>
      <w:lang w:val="en-GB" w:eastAsia="en-US"/>
    </w:rPr>
  </w:style>
  <w:style w:type="character" w:customStyle="1" w:styleId="TableNameChar">
    <w:name w:val="Table Name Char"/>
    <w:link w:val="TableName"/>
    <w:locked/>
    <w:rsid w:val="008D7FA3"/>
    <w:rPr>
      <w:rFonts w:ascii="Arial Narrow" w:hAnsi="Arial Narrow" w:cs="Times New Roman"/>
      <w:b/>
    </w:rPr>
  </w:style>
  <w:style w:type="paragraph" w:styleId="Footer">
    <w:name w:val="footer"/>
    <w:basedOn w:val="Normal"/>
    <w:link w:val="FooterChar"/>
    <w:uiPriority w:val="99"/>
    <w:qFormat/>
    <w:rsid w:val="00280AFD"/>
    <w:pPr>
      <w:tabs>
        <w:tab w:val="right" w:pos="8732"/>
      </w:tabs>
      <w:spacing w:after="0" w:line="240" w:lineRule="atLeast"/>
    </w:pPr>
    <w:rPr>
      <w:i/>
      <w:color w:val="808080"/>
      <w:sz w:val="18"/>
    </w:rPr>
  </w:style>
  <w:style w:type="character" w:customStyle="1" w:styleId="FooterChar">
    <w:name w:val="Footer Char"/>
    <w:link w:val="Footer"/>
    <w:uiPriority w:val="99"/>
    <w:locked/>
    <w:rsid w:val="00280AFD"/>
    <w:rPr>
      <w:rFonts w:ascii="Times New Roman" w:hAnsi="Times New Roman"/>
      <w:i/>
      <w:color w:val="808080"/>
      <w:sz w:val="18"/>
      <w:lang w:val="en-GB" w:eastAsia="en-US"/>
    </w:rPr>
  </w:style>
  <w:style w:type="paragraph" w:customStyle="1" w:styleId="HeadingAppendix1">
    <w:name w:val="Heading Appendix 1"/>
    <w:basedOn w:val="Heading1"/>
    <w:qFormat/>
    <w:rsid w:val="00E47D9A"/>
    <w:pPr>
      <w:numPr>
        <w:numId w:val="7"/>
      </w:numPr>
      <w:tabs>
        <w:tab w:val="left" w:pos="2693"/>
      </w:tabs>
      <w:ind w:left="0" w:firstLine="0"/>
    </w:pPr>
  </w:style>
  <w:style w:type="paragraph" w:styleId="FootnoteText">
    <w:name w:val="footnote text"/>
    <w:aliases w:val="Footnote,(NECG) Footnote Text,Footnote Text Char2,(NECG) Footnote Text Char,Footnote Text Char1 Char1"/>
    <w:basedOn w:val="Normal"/>
    <w:link w:val="FootnoteTextChar"/>
    <w:uiPriority w:val="99"/>
    <w:qFormat/>
    <w:rsid w:val="00847798"/>
    <w:pPr>
      <w:overflowPunct w:val="0"/>
      <w:autoSpaceDE w:val="0"/>
      <w:autoSpaceDN w:val="0"/>
      <w:adjustRightInd w:val="0"/>
      <w:spacing w:after="120" w:line="240" w:lineRule="auto"/>
      <w:textAlignment w:val="baseline"/>
    </w:pPr>
    <w:rPr>
      <w:sz w:val="18"/>
      <w:szCs w:val="18"/>
      <w:lang w:val="en-AU"/>
    </w:rPr>
  </w:style>
  <w:style w:type="character" w:customStyle="1" w:styleId="FootnoteTextChar">
    <w:name w:val="Footnote Text Char"/>
    <w:aliases w:val="Footnote Char,(NECG) Footnote Text Char1,Footnote Text Char2 Char,(NECG) Footnote Text Char Char,Footnote Text Char1 Char1 Char"/>
    <w:link w:val="FootnoteText"/>
    <w:uiPriority w:val="99"/>
    <w:locked/>
    <w:rsid w:val="00847798"/>
    <w:rPr>
      <w:rFonts w:ascii="Times New Roman" w:hAnsi="Times New Roman"/>
      <w:sz w:val="18"/>
      <w:szCs w:val="18"/>
      <w:lang w:eastAsia="en-US"/>
    </w:rPr>
  </w:style>
  <w:style w:type="paragraph" w:styleId="TableofFigures">
    <w:name w:val="table of figures"/>
    <w:basedOn w:val="Normal"/>
    <w:next w:val="Normal"/>
    <w:uiPriority w:val="99"/>
    <w:rsid w:val="005859F1"/>
    <w:pPr>
      <w:tabs>
        <w:tab w:val="left" w:pos="1080"/>
        <w:tab w:val="right" w:pos="7655"/>
      </w:tabs>
      <w:ind w:left="1077" w:right="720" w:hanging="1077"/>
    </w:pPr>
    <w:rPr>
      <w:noProof/>
    </w:rPr>
  </w:style>
  <w:style w:type="paragraph" w:styleId="TOC3">
    <w:name w:val="toc 3"/>
    <w:basedOn w:val="TOC2"/>
    <w:next w:val="Normal"/>
    <w:autoRedefine/>
    <w:uiPriority w:val="39"/>
    <w:rsid w:val="00F7639D"/>
    <w:pPr>
      <w:tabs>
        <w:tab w:val="left" w:pos="1800"/>
      </w:tabs>
      <w:ind w:left="1800"/>
    </w:pPr>
  </w:style>
  <w:style w:type="paragraph" w:styleId="TOC2">
    <w:name w:val="toc 2"/>
    <w:basedOn w:val="TOC1"/>
    <w:next w:val="Normal"/>
    <w:uiPriority w:val="39"/>
    <w:rsid w:val="00F7639D"/>
    <w:pPr>
      <w:tabs>
        <w:tab w:val="clear" w:pos="360"/>
        <w:tab w:val="left" w:pos="1080"/>
      </w:tabs>
      <w:spacing w:before="60" w:after="0"/>
      <w:ind w:left="1080" w:hanging="720"/>
    </w:pPr>
    <w:rPr>
      <w:b w:val="0"/>
    </w:rPr>
  </w:style>
  <w:style w:type="paragraph" w:styleId="TOC1">
    <w:name w:val="toc 1"/>
    <w:basedOn w:val="Normal"/>
    <w:next w:val="Normal"/>
    <w:uiPriority w:val="39"/>
    <w:rsid w:val="00CF6CC5"/>
    <w:pPr>
      <w:tabs>
        <w:tab w:val="left" w:pos="360"/>
        <w:tab w:val="right" w:pos="7655"/>
      </w:tabs>
      <w:spacing w:before="360" w:after="60" w:line="240" w:lineRule="auto"/>
      <w:ind w:left="357" w:right="1134" w:hanging="357"/>
    </w:pPr>
    <w:rPr>
      <w:b/>
      <w:noProof/>
      <w:szCs w:val="40"/>
    </w:rPr>
  </w:style>
  <w:style w:type="paragraph" w:styleId="Quote">
    <w:name w:val="Quote"/>
    <w:basedOn w:val="Normal"/>
    <w:link w:val="QuoteChar"/>
    <w:qFormat/>
    <w:rsid w:val="00924F40"/>
    <w:pPr>
      <w:spacing w:line="240" w:lineRule="atLeast"/>
      <w:ind w:left="360" w:right="360"/>
    </w:pPr>
    <w:rPr>
      <w:sz w:val="20"/>
      <w:lang w:val="en-AU" w:eastAsia="en-AU"/>
    </w:rPr>
  </w:style>
  <w:style w:type="character" w:customStyle="1" w:styleId="QuoteChar">
    <w:name w:val="Quote Char"/>
    <w:link w:val="Quote"/>
    <w:locked/>
    <w:rsid w:val="00924F40"/>
    <w:rPr>
      <w:rFonts w:ascii="Times New Roman" w:hAnsi="Times New Roman" w:cs="Times New Roman"/>
    </w:rPr>
  </w:style>
  <w:style w:type="paragraph" w:customStyle="1" w:styleId="Bullet">
    <w:name w:val="Bullet"/>
    <w:basedOn w:val="Normal"/>
    <w:link w:val="BulletChar"/>
    <w:qFormat/>
    <w:rsid w:val="008B275E"/>
    <w:pPr>
      <w:numPr>
        <w:numId w:val="1"/>
      </w:numPr>
      <w:spacing w:after="100"/>
      <w:ind w:left="681" w:hanging="397"/>
    </w:pPr>
  </w:style>
  <w:style w:type="character" w:customStyle="1" w:styleId="BulletChar">
    <w:name w:val="Bullet Char"/>
    <w:link w:val="Bullet"/>
    <w:uiPriority w:val="99"/>
    <w:locked/>
    <w:rsid w:val="008B275E"/>
    <w:rPr>
      <w:rFonts w:ascii="Times New Roman" w:hAnsi="Times New Roman"/>
      <w:sz w:val="22"/>
      <w:lang w:val="en-GB" w:eastAsia="en-US"/>
    </w:rPr>
  </w:style>
  <w:style w:type="paragraph" w:customStyle="1" w:styleId="Heading1a">
    <w:name w:val="Heading 1a"/>
    <w:basedOn w:val="Heading1"/>
    <w:rsid w:val="000A4D58"/>
    <w:pPr>
      <w:numPr>
        <w:numId w:val="0"/>
      </w:numPr>
    </w:pPr>
    <w:rPr>
      <w:lang w:val="en-AU"/>
    </w:rPr>
  </w:style>
  <w:style w:type="paragraph" w:customStyle="1" w:styleId="TableHeadingLeft">
    <w:name w:val="Table Heading Left"/>
    <w:basedOn w:val="TableTextLeft"/>
    <w:uiPriority w:val="99"/>
    <w:rsid w:val="0025119B"/>
    <w:rPr>
      <w:b/>
    </w:rPr>
  </w:style>
  <w:style w:type="paragraph" w:customStyle="1" w:styleId="TableNotes">
    <w:name w:val="Table Notes"/>
    <w:basedOn w:val="TableTextLeft"/>
    <w:rsid w:val="00F7639D"/>
    <w:pPr>
      <w:keepNext w:val="0"/>
      <w:keepLines/>
      <w:spacing w:before="60" w:after="0"/>
    </w:pPr>
    <w:rPr>
      <w:sz w:val="16"/>
    </w:rPr>
  </w:style>
  <w:style w:type="paragraph" w:customStyle="1" w:styleId="BulletLast">
    <w:name w:val="Bullet Last"/>
    <w:basedOn w:val="Normal"/>
    <w:qFormat/>
    <w:rsid w:val="008B275E"/>
    <w:pPr>
      <w:numPr>
        <w:numId w:val="6"/>
      </w:numPr>
      <w:ind w:left="681" w:hanging="397"/>
    </w:pPr>
  </w:style>
  <w:style w:type="paragraph" w:styleId="Header">
    <w:name w:val="header"/>
    <w:basedOn w:val="Normal"/>
    <w:link w:val="HeaderChar"/>
    <w:uiPriority w:val="99"/>
    <w:unhideWhenUsed/>
    <w:locked/>
    <w:rsid w:val="00ED5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28"/>
    <w:rPr>
      <w:rFonts w:ascii="Times New Roman" w:hAnsi="Times New Roman"/>
      <w:sz w:val="22"/>
      <w:lang w:val="en-GB" w:eastAsia="en-US"/>
    </w:rPr>
  </w:style>
  <w:style w:type="paragraph" w:customStyle="1" w:styleId="TableBullet">
    <w:name w:val="Table Bullet"/>
    <w:basedOn w:val="TableTextLeft"/>
    <w:uiPriority w:val="99"/>
    <w:rsid w:val="00F7639D"/>
    <w:pPr>
      <w:numPr>
        <w:numId w:val="2"/>
      </w:numPr>
      <w:tabs>
        <w:tab w:val="left" w:pos="216"/>
      </w:tabs>
    </w:pPr>
  </w:style>
  <w:style w:type="paragraph" w:customStyle="1" w:styleId="TableNotesHanging">
    <w:name w:val="Table Notes Hanging"/>
    <w:basedOn w:val="TableNotes"/>
    <w:uiPriority w:val="99"/>
    <w:rsid w:val="00821827"/>
    <w:pPr>
      <w:ind w:left="567" w:hanging="567"/>
    </w:pPr>
  </w:style>
  <w:style w:type="character" w:styleId="Hyperlink">
    <w:name w:val="Hyperlink"/>
    <w:uiPriority w:val="99"/>
    <w:rsid w:val="00F7639D"/>
    <w:rPr>
      <w:rFonts w:ascii="Times New Roman" w:hAnsi="Times New Roman" w:cs="Times New Roman"/>
      <w:color w:val="000000"/>
      <w:sz w:val="22"/>
      <w:u w:val="none"/>
    </w:rPr>
  </w:style>
  <w:style w:type="paragraph" w:customStyle="1" w:styleId="TableNotesHangingLast">
    <w:name w:val="Table Notes Hanging Last"/>
    <w:basedOn w:val="TableNotesHanging"/>
    <w:uiPriority w:val="99"/>
    <w:rsid w:val="00821827"/>
    <w:pPr>
      <w:spacing w:after="320"/>
    </w:pPr>
  </w:style>
  <w:style w:type="paragraph" w:customStyle="1" w:styleId="TableNotesLast">
    <w:name w:val="Table Notes Last"/>
    <w:basedOn w:val="TableNotes"/>
    <w:rsid w:val="00F7639D"/>
    <w:pPr>
      <w:spacing w:after="320"/>
    </w:pPr>
  </w:style>
  <w:style w:type="paragraph" w:styleId="CommentText">
    <w:name w:val="annotation text"/>
    <w:basedOn w:val="Normal"/>
    <w:link w:val="CommentTextChar"/>
    <w:semiHidden/>
    <w:locked/>
    <w:rsid w:val="00474ECC"/>
    <w:rPr>
      <w:sz w:val="24"/>
      <w:szCs w:val="24"/>
    </w:rPr>
  </w:style>
  <w:style w:type="character" w:customStyle="1" w:styleId="CommentTextChar">
    <w:name w:val="Comment Text Char"/>
    <w:link w:val="CommentText"/>
    <w:semiHidden/>
    <w:locked/>
    <w:rsid w:val="00474ECC"/>
    <w:rPr>
      <w:rFonts w:ascii="Times New Roman" w:hAnsi="Times New Roman" w:cs="Times New Roman"/>
      <w:sz w:val="24"/>
      <w:szCs w:val="24"/>
    </w:rPr>
  </w:style>
  <w:style w:type="paragraph" w:styleId="CommentSubject">
    <w:name w:val="annotation subject"/>
    <w:basedOn w:val="CommentText"/>
    <w:next w:val="CommentText"/>
    <w:link w:val="CommentSubjectChar"/>
    <w:semiHidden/>
    <w:locked/>
    <w:rsid w:val="00474ECC"/>
    <w:rPr>
      <w:sz w:val="22"/>
      <w:szCs w:val="20"/>
    </w:rPr>
  </w:style>
  <w:style w:type="character" w:customStyle="1" w:styleId="CommentSubjectChar">
    <w:name w:val="Comment Subject Char"/>
    <w:basedOn w:val="CommentTextChar"/>
    <w:link w:val="CommentSubject"/>
    <w:semiHidden/>
    <w:locked/>
    <w:rsid w:val="00474ECC"/>
    <w:rPr>
      <w:rFonts w:ascii="Times New Roman" w:hAnsi="Times New Roman" w:cs="Times New Roman"/>
      <w:sz w:val="24"/>
      <w:szCs w:val="24"/>
    </w:rPr>
  </w:style>
  <w:style w:type="paragraph" w:styleId="EndnoteText">
    <w:name w:val="endnote text"/>
    <w:basedOn w:val="Normal"/>
    <w:link w:val="EndnoteTextChar"/>
    <w:semiHidden/>
    <w:locked/>
    <w:rsid w:val="00474ECC"/>
    <w:rPr>
      <w:sz w:val="20"/>
    </w:rPr>
  </w:style>
  <w:style w:type="character" w:customStyle="1" w:styleId="EndnoteTextChar">
    <w:name w:val="Endnote Text Char"/>
    <w:link w:val="EndnoteText"/>
    <w:semiHidden/>
    <w:locked/>
    <w:rsid w:val="00474ECC"/>
    <w:rPr>
      <w:rFonts w:ascii="Times New Roman" w:hAnsi="Times New Roman" w:cs="Times New Roman"/>
    </w:rPr>
  </w:style>
  <w:style w:type="paragraph" w:styleId="Index1">
    <w:name w:val="index 1"/>
    <w:basedOn w:val="Normal"/>
    <w:next w:val="Normal"/>
    <w:autoRedefine/>
    <w:uiPriority w:val="99"/>
    <w:semiHidden/>
    <w:locked/>
    <w:rsid w:val="00474ECC"/>
    <w:pPr>
      <w:ind w:left="220" w:hanging="220"/>
    </w:pPr>
  </w:style>
  <w:style w:type="paragraph" w:styleId="Index2">
    <w:name w:val="index 2"/>
    <w:basedOn w:val="Normal"/>
    <w:next w:val="Normal"/>
    <w:autoRedefine/>
    <w:semiHidden/>
    <w:locked/>
    <w:rsid w:val="00474ECC"/>
    <w:pPr>
      <w:ind w:left="440" w:hanging="220"/>
    </w:pPr>
  </w:style>
  <w:style w:type="paragraph" w:styleId="Index3">
    <w:name w:val="index 3"/>
    <w:basedOn w:val="Normal"/>
    <w:next w:val="Normal"/>
    <w:autoRedefine/>
    <w:semiHidden/>
    <w:locked/>
    <w:rsid w:val="00474ECC"/>
    <w:pPr>
      <w:ind w:left="660" w:hanging="220"/>
    </w:pPr>
  </w:style>
  <w:style w:type="paragraph" w:styleId="Index4">
    <w:name w:val="index 4"/>
    <w:basedOn w:val="Normal"/>
    <w:next w:val="Normal"/>
    <w:autoRedefine/>
    <w:semiHidden/>
    <w:locked/>
    <w:rsid w:val="00474ECC"/>
    <w:pPr>
      <w:ind w:left="880" w:hanging="220"/>
    </w:pPr>
  </w:style>
  <w:style w:type="paragraph" w:styleId="Index5">
    <w:name w:val="index 5"/>
    <w:basedOn w:val="Normal"/>
    <w:next w:val="Normal"/>
    <w:autoRedefine/>
    <w:semiHidden/>
    <w:locked/>
    <w:rsid w:val="00474ECC"/>
    <w:pPr>
      <w:ind w:left="1100" w:hanging="220"/>
    </w:pPr>
  </w:style>
  <w:style w:type="paragraph" w:styleId="Index6">
    <w:name w:val="index 6"/>
    <w:basedOn w:val="Normal"/>
    <w:next w:val="Normal"/>
    <w:autoRedefine/>
    <w:semiHidden/>
    <w:locked/>
    <w:rsid w:val="00474ECC"/>
    <w:pPr>
      <w:ind w:left="1320" w:hanging="220"/>
    </w:pPr>
  </w:style>
  <w:style w:type="paragraph" w:styleId="Index7">
    <w:name w:val="index 7"/>
    <w:basedOn w:val="Normal"/>
    <w:next w:val="Normal"/>
    <w:autoRedefine/>
    <w:semiHidden/>
    <w:locked/>
    <w:rsid w:val="00474ECC"/>
    <w:pPr>
      <w:ind w:left="1540" w:hanging="220"/>
    </w:pPr>
  </w:style>
  <w:style w:type="paragraph" w:styleId="Index8">
    <w:name w:val="index 8"/>
    <w:basedOn w:val="Normal"/>
    <w:next w:val="Normal"/>
    <w:autoRedefine/>
    <w:semiHidden/>
    <w:locked/>
    <w:rsid w:val="00474ECC"/>
    <w:pPr>
      <w:ind w:left="1760" w:hanging="220"/>
    </w:pPr>
  </w:style>
  <w:style w:type="paragraph" w:styleId="Index9">
    <w:name w:val="index 9"/>
    <w:basedOn w:val="Normal"/>
    <w:next w:val="Normal"/>
    <w:autoRedefine/>
    <w:semiHidden/>
    <w:locked/>
    <w:rsid w:val="00474ECC"/>
    <w:pPr>
      <w:ind w:left="1980" w:hanging="220"/>
    </w:pPr>
  </w:style>
  <w:style w:type="paragraph" w:styleId="IndexHeading">
    <w:name w:val="index heading"/>
    <w:basedOn w:val="Normal"/>
    <w:next w:val="Index1"/>
    <w:semiHidden/>
    <w:locked/>
    <w:rsid w:val="00474ECC"/>
    <w:rPr>
      <w:rFonts w:ascii="Arial" w:hAnsi="Arial" w:cs="Arial"/>
      <w:b/>
      <w:bCs/>
    </w:rPr>
  </w:style>
  <w:style w:type="paragraph" w:styleId="Caption">
    <w:name w:val="caption"/>
    <w:basedOn w:val="Normal"/>
    <w:next w:val="Normal"/>
    <w:semiHidden/>
    <w:qFormat/>
    <w:locked/>
    <w:rsid w:val="00C768A3"/>
    <w:pPr>
      <w:spacing w:after="200" w:line="240" w:lineRule="auto"/>
    </w:pPr>
    <w:rPr>
      <w:b/>
      <w:bCs/>
      <w:color w:val="4F81BD" w:themeColor="accent1"/>
      <w:sz w:val="18"/>
      <w:szCs w:val="18"/>
    </w:rPr>
  </w:style>
  <w:style w:type="paragraph" w:styleId="TOAHeading">
    <w:name w:val="toa heading"/>
    <w:basedOn w:val="Normal"/>
    <w:next w:val="Normal"/>
    <w:semiHidden/>
    <w:locked/>
    <w:rsid w:val="00474ECC"/>
    <w:pPr>
      <w:spacing w:before="120"/>
    </w:pPr>
    <w:rPr>
      <w:rFonts w:ascii="Arial" w:hAnsi="Arial" w:cs="Arial"/>
      <w:b/>
      <w:bCs/>
      <w:sz w:val="24"/>
      <w:szCs w:val="24"/>
    </w:rPr>
  </w:style>
  <w:style w:type="paragraph" w:customStyle="1" w:styleId="QuoteBullet">
    <w:name w:val="Quote Bullet"/>
    <w:basedOn w:val="Quote"/>
    <w:qFormat/>
    <w:rsid w:val="00F7639D"/>
    <w:pPr>
      <w:numPr>
        <w:numId w:val="3"/>
      </w:numPr>
      <w:ind w:left="714" w:right="357" w:hanging="357"/>
    </w:pPr>
  </w:style>
  <w:style w:type="paragraph" w:customStyle="1" w:styleId="References">
    <w:name w:val="References"/>
    <w:basedOn w:val="Normal"/>
    <w:qFormat/>
    <w:rsid w:val="00F24C6B"/>
    <w:pPr>
      <w:ind w:left="567" w:hanging="567"/>
    </w:pPr>
    <w:rPr>
      <w:szCs w:val="24"/>
    </w:rPr>
  </w:style>
  <w:style w:type="table" w:styleId="TableGrid">
    <w:name w:val="Table Grid"/>
    <w:basedOn w:val="TableNormal"/>
    <w:locked/>
    <w:rsid w:val="00474ECC"/>
    <w:pPr>
      <w:spacing w:after="220" w:line="280" w:lineRule="atLeast"/>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474ECC"/>
    <w:rPr>
      <w:rFonts w:ascii="Times New Roman" w:eastAsia="SimSun" w:hAnsi="Times New Roman"/>
      <w:sz w:val="22"/>
      <w:lang w:val="en-GB" w:eastAsia="en-US"/>
    </w:rPr>
  </w:style>
  <w:style w:type="table" w:customStyle="1" w:styleId="Style1">
    <w:name w:val="Style1"/>
    <w:locked/>
    <w:rsid w:val="00474ECC"/>
    <w:rPr>
      <w:rFonts w:ascii="Arial Narrow" w:eastAsia="SimSun" w:hAnsi="Arial Narrow"/>
      <w:sz w:val="18"/>
    </w:rPr>
    <w:tblPr>
      <w:tblInd w:w="0" w:type="dxa"/>
      <w:tblBorders>
        <w:top w:val="single" w:sz="8" w:space="0" w:color="333399"/>
        <w:bottom w:val="single" w:sz="8" w:space="0" w:color="333399"/>
      </w:tblBorders>
      <w:tblCellMar>
        <w:top w:w="0" w:type="dxa"/>
        <w:left w:w="108" w:type="dxa"/>
        <w:bottom w:w="0" w:type="dxa"/>
        <w:right w:w="108" w:type="dxa"/>
      </w:tblCellMar>
    </w:tblPr>
  </w:style>
  <w:style w:type="paragraph" w:styleId="PlainText">
    <w:name w:val="Plain Text"/>
    <w:basedOn w:val="Normal"/>
    <w:link w:val="PlainTextChar"/>
    <w:semiHidden/>
    <w:locked/>
    <w:rsid w:val="00474ECC"/>
    <w:rPr>
      <w:rFonts w:ascii="Consolas" w:hAnsi="Consolas"/>
      <w:sz w:val="21"/>
      <w:szCs w:val="21"/>
    </w:rPr>
  </w:style>
  <w:style w:type="character" w:customStyle="1" w:styleId="PlainTextChar">
    <w:name w:val="Plain Text Char"/>
    <w:link w:val="PlainText"/>
    <w:semiHidden/>
    <w:locked/>
    <w:rsid w:val="00474ECC"/>
    <w:rPr>
      <w:rFonts w:ascii="Consolas" w:hAnsi="Consolas" w:cs="Times New Roman"/>
      <w:sz w:val="21"/>
      <w:szCs w:val="21"/>
    </w:rPr>
  </w:style>
  <w:style w:type="table" w:customStyle="1" w:styleId="icrctable">
    <w:name w:val="icrc table"/>
    <w:basedOn w:val="TableSimple1"/>
    <w:locked/>
    <w:rsid w:val="00F7639D"/>
    <w:rPr>
      <w:rFonts w:ascii="Arial Narrow" w:hAnsi="Arial Narrow"/>
      <w:sz w:val="18"/>
      <w:lang w:val="en-US" w:eastAsia="en-US"/>
    </w:rPr>
    <w:tblPr>
      <w:tblBorders>
        <w:top w:val="single" w:sz="8" w:space="0" w:color="333399"/>
        <w:bottom w:val="single" w:sz="8" w:space="0" w:color="333399"/>
      </w:tblBorders>
    </w:tblPr>
    <w:tblStylePr w:type="firstRow">
      <w:rPr>
        <w:rFonts w:cs="Times New Roman"/>
      </w:rPr>
      <w:tblPr/>
      <w:tcPr>
        <w:tcBorders>
          <w:bottom w:val="single" w:sz="4" w:space="0" w:color="333399"/>
          <w:tl2br w:val="none" w:sz="0" w:space="0" w:color="auto"/>
          <w:tr2bl w:val="none" w:sz="0" w:space="0" w:color="auto"/>
        </w:tcBorders>
        <w:shd w:val="clear" w:color="auto" w:fill="auto"/>
      </w:tcPr>
    </w:tblStylePr>
    <w:tblStylePr w:type="lastRow">
      <w:rPr>
        <w:rFonts w:cs="Times New Roman"/>
      </w:rPr>
      <w:tblPr/>
      <w:tcPr>
        <w:tcBorders>
          <w:top w:val="single" w:sz="4" w:space="0" w:color="333399"/>
          <w:tl2br w:val="none" w:sz="0" w:space="0" w:color="auto"/>
          <w:tr2bl w:val="none" w:sz="0" w:space="0" w:color="auto"/>
        </w:tcBorders>
        <w:shd w:val="clear" w:color="auto" w:fill="auto"/>
      </w:tcPr>
    </w:tblStylePr>
  </w:style>
  <w:style w:type="table" w:styleId="TableSimple1">
    <w:name w:val="Table Simple 1"/>
    <w:basedOn w:val="TableNormal"/>
    <w:locked/>
    <w:rsid w:val="00F7639D"/>
    <w:pPr>
      <w:spacing w:after="220" w:line="280" w:lineRule="atLeast"/>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erodd">
    <w:name w:val="Header (odd)"/>
    <w:basedOn w:val="Normal"/>
    <w:rsid w:val="006D6B12"/>
    <w:pPr>
      <w:spacing w:after="0"/>
      <w:jc w:val="right"/>
    </w:pPr>
    <w:rPr>
      <w:i/>
      <w:color w:val="808080"/>
      <w:sz w:val="18"/>
      <w:szCs w:val="18"/>
    </w:rPr>
  </w:style>
  <w:style w:type="paragraph" w:customStyle="1" w:styleId="Headereven">
    <w:name w:val="Header (even)"/>
    <w:basedOn w:val="Headerodd"/>
    <w:rsid w:val="006D6B12"/>
    <w:pPr>
      <w:jc w:val="left"/>
    </w:pPr>
  </w:style>
  <w:style w:type="table" w:customStyle="1" w:styleId="ICRC">
    <w:name w:val="ICRC"/>
    <w:locked/>
    <w:rsid w:val="00474ECC"/>
    <w:rPr>
      <w:rFonts w:ascii="Arial Narrow" w:hAnsi="Arial Narrow"/>
      <w:sz w:val="18"/>
    </w:rPr>
    <w:tblPr>
      <w:tblInd w:w="0" w:type="dxa"/>
      <w:tblBorders>
        <w:bottom w:val="single" w:sz="12" w:space="0" w:color="333399"/>
      </w:tblBorders>
      <w:tblCellMar>
        <w:top w:w="0" w:type="dxa"/>
        <w:left w:w="108" w:type="dxa"/>
        <w:bottom w:w="0" w:type="dxa"/>
        <w:right w:w="108" w:type="dxa"/>
      </w:tblCellMar>
    </w:tblPr>
  </w:style>
  <w:style w:type="paragraph" w:customStyle="1" w:styleId="FigureText">
    <w:name w:val="Figure Text"/>
    <w:basedOn w:val="Normal"/>
    <w:qFormat/>
    <w:rsid w:val="00F7639D"/>
    <w:pPr>
      <w:spacing w:after="0" w:line="240" w:lineRule="auto"/>
    </w:pPr>
    <w:rPr>
      <w:rFonts w:ascii="Arial" w:hAnsi="Arial"/>
      <w:sz w:val="16"/>
    </w:rPr>
  </w:style>
  <w:style w:type="character" w:styleId="EndnoteReference">
    <w:name w:val="endnote reference"/>
    <w:uiPriority w:val="99"/>
    <w:semiHidden/>
    <w:unhideWhenUsed/>
    <w:locked/>
    <w:rsid w:val="001609AB"/>
    <w:rPr>
      <w:vertAlign w:val="superscript"/>
    </w:rPr>
  </w:style>
  <w:style w:type="paragraph" w:styleId="BalloonText">
    <w:name w:val="Balloon Text"/>
    <w:basedOn w:val="Normal"/>
    <w:link w:val="BalloonTextChar"/>
    <w:uiPriority w:val="99"/>
    <w:semiHidden/>
    <w:unhideWhenUsed/>
    <w:locked/>
    <w:rsid w:val="005F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4B"/>
    <w:rPr>
      <w:rFonts w:ascii="Tahoma" w:hAnsi="Tahoma" w:cs="Tahoma"/>
      <w:sz w:val="16"/>
      <w:szCs w:val="16"/>
      <w:lang w:val="en-GB" w:eastAsia="en-US"/>
    </w:rPr>
  </w:style>
  <w:style w:type="character" w:styleId="CommentReference">
    <w:name w:val="annotation reference"/>
    <w:basedOn w:val="DefaultParagraphFont"/>
    <w:uiPriority w:val="99"/>
    <w:semiHidden/>
    <w:unhideWhenUsed/>
    <w:locked/>
    <w:rsid w:val="0031462D"/>
    <w:rPr>
      <w:sz w:val="16"/>
      <w:szCs w:val="16"/>
    </w:rPr>
  </w:style>
  <w:style w:type="character" w:styleId="PlaceholderText">
    <w:name w:val="Placeholder Text"/>
    <w:basedOn w:val="DefaultParagraphFont"/>
    <w:uiPriority w:val="99"/>
    <w:semiHidden/>
    <w:locked/>
    <w:rsid w:val="0074389C"/>
    <w:rPr>
      <w:color w:val="808080"/>
    </w:rPr>
  </w:style>
  <w:style w:type="paragraph" w:customStyle="1" w:styleId="HeadingPart">
    <w:name w:val="Heading Part"/>
    <w:basedOn w:val="Heading1"/>
    <w:qFormat/>
    <w:rsid w:val="000A4D58"/>
    <w:pPr>
      <w:numPr>
        <w:numId w:val="5"/>
      </w:numPr>
      <w:tabs>
        <w:tab w:val="left" w:pos="1843"/>
      </w:tabs>
    </w:pPr>
  </w:style>
  <w:style w:type="character" w:styleId="FootnoteReference">
    <w:name w:val="footnote reference"/>
    <w:aliases w:val="(NECG) Footnote Reference"/>
    <w:basedOn w:val="DefaultParagraphFont"/>
    <w:unhideWhenUsed/>
    <w:rsid w:val="00FE0570"/>
    <w:rPr>
      <w:vertAlign w:val="superscript"/>
    </w:rPr>
  </w:style>
  <w:style w:type="character" w:customStyle="1" w:styleId="Italic">
    <w:name w:val="Italic"/>
    <w:basedOn w:val="DefaultParagraphFont"/>
    <w:uiPriority w:val="1"/>
    <w:qFormat/>
    <w:rsid w:val="00F24C6B"/>
    <w:rPr>
      <w:i/>
    </w:rPr>
  </w:style>
  <w:style w:type="character" w:customStyle="1" w:styleId="HighlightYellow">
    <w:name w:val="Highlight Yellow"/>
    <w:basedOn w:val="DefaultParagraphFont"/>
    <w:uiPriority w:val="1"/>
    <w:qFormat/>
    <w:rsid w:val="00A75C51"/>
    <w:rPr>
      <w:sz w:val="22"/>
      <w:szCs w:val="24"/>
      <w:bdr w:val="none" w:sz="0" w:space="0" w:color="auto"/>
      <w:shd w:val="clear" w:color="auto" w:fill="FFFF00"/>
    </w:rPr>
  </w:style>
  <w:style w:type="character" w:customStyle="1" w:styleId="HighlightGreen">
    <w:name w:val="Highlight Green"/>
    <w:basedOn w:val="HighlightYellow"/>
    <w:uiPriority w:val="1"/>
    <w:qFormat/>
    <w:rsid w:val="00FF5F02"/>
    <w:rPr>
      <w:sz w:val="22"/>
      <w:szCs w:val="24"/>
      <w:bdr w:val="none" w:sz="0" w:space="0" w:color="auto"/>
      <w:shd w:val="clear" w:color="auto" w:fill="92D050"/>
    </w:rPr>
  </w:style>
  <w:style w:type="character" w:customStyle="1" w:styleId="HighlightBlue">
    <w:name w:val="Highlight Blue"/>
    <w:basedOn w:val="HighlightGreen"/>
    <w:uiPriority w:val="1"/>
    <w:qFormat/>
    <w:rsid w:val="00FF5F02"/>
    <w:rPr>
      <w:sz w:val="22"/>
      <w:szCs w:val="24"/>
      <w:bdr w:val="none" w:sz="0" w:space="0" w:color="auto"/>
      <w:shd w:val="clear" w:color="auto" w:fill="00B0F0"/>
    </w:rPr>
  </w:style>
  <w:style w:type="character" w:customStyle="1" w:styleId="Bold">
    <w:name w:val="Bold"/>
    <w:basedOn w:val="DefaultParagraphFont"/>
    <w:uiPriority w:val="1"/>
    <w:qFormat/>
    <w:rsid w:val="00FB72CD"/>
    <w:rPr>
      <w:rFonts w:eastAsia="SimSun"/>
      <w:b/>
      <w:lang w:val="en-AU"/>
    </w:rPr>
  </w:style>
  <w:style w:type="paragraph" w:customStyle="1" w:styleId="Heading50">
    <w:name w:val="Heading 5^"/>
    <w:basedOn w:val="Heading5"/>
    <w:link w:val="Heading5Char0"/>
    <w:qFormat/>
    <w:rsid w:val="001822C4"/>
    <w:pPr>
      <w:spacing w:before="0" w:after="120"/>
    </w:pPr>
    <w:rPr>
      <w:szCs w:val="24"/>
      <w:lang w:val="en-AU"/>
    </w:rPr>
  </w:style>
  <w:style w:type="character" w:customStyle="1" w:styleId="Heading5Char0">
    <w:name w:val="Heading 5^ Char"/>
    <w:basedOn w:val="Heading5Char"/>
    <w:link w:val="Heading50"/>
    <w:rsid w:val="001822C4"/>
    <w:rPr>
      <w:rFonts w:ascii="Times New Roman" w:hAnsi="Times New Roman"/>
      <w:i/>
      <w:sz w:val="24"/>
      <w:szCs w:val="24"/>
      <w:lang w:val="en-GB" w:eastAsia="en-US"/>
    </w:rPr>
  </w:style>
  <w:style w:type="paragraph" w:customStyle="1" w:styleId="Box">
    <w:name w:val="Box"/>
    <w:basedOn w:val="Normal"/>
    <w:qFormat/>
    <w:rsid w:val="00280AFD"/>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BE5F1" w:themeFill="accent1" w:themeFillTint="33"/>
    </w:pPr>
  </w:style>
  <w:style w:type="paragraph" w:customStyle="1" w:styleId="QuoteList">
    <w:name w:val="Quote List"/>
    <w:basedOn w:val="Normal"/>
    <w:qFormat/>
    <w:rsid w:val="00A41978"/>
    <w:pPr>
      <w:numPr>
        <w:numId w:val="9"/>
      </w:numPr>
    </w:pPr>
    <w:rPr>
      <w:sz w:val="20"/>
    </w:rPr>
  </w:style>
  <w:style w:type="paragraph" w:customStyle="1" w:styleId="TableHeadingRight">
    <w:name w:val="Table Heading Right"/>
    <w:basedOn w:val="TableHeadingLeft"/>
    <w:qFormat/>
    <w:rsid w:val="00280AFD"/>
    <w:pPr>
      <w:jc w:val="right"/>
    </w:pPr>
  </w:style>
  <w:style w:type="paragraph" w:customStyle="1" w:styleId="TableTextRight">
    <w:name w:val="Table Text Right"/>
    <w:basedOn w:val="TableTextLeft"/>
    <w:qFormat/>
    <w:rsid w:val="00280AFD"/>
    <w:pPr>
      <w:jc w:val="right"/>
    </w:pPr>
  </w:style>
  <w:style w:type="paragraph" w:customStyle="1" w:styleId="HeadingAppendix2">
    <w:name w:val="Heading Appendix 2"/>
    <w:basedOn w:val="Heading2"/>
    <w:qFormat/>
    <w:rsid w:val="00D42FF9"/>
    <w:pPr>
      <w:numPr>
        <w:numId w:val="7"/>
      </w:numPr>
    </w:pPr>
  </w:style>
  <w:style w:type="paragraph" w:customStyle="1" w:styleId="HeadingAppendix3">
    <w:name w:val="Heading Appendix 3"/>
    <w:basedOn w:val="Heading3"/>
    <w:qFormat/>
    <w:rsid w:val="00D42FF9"/>
    <w:pPr>
      <w:numPr>
        <w:numId w:val="7"/>
      </w:numPr>
    </w:pPr>
  </w:style>
  <w:style w:type="paragraph" w:styleId="DocumentMap">
    <w:name w:val="Document Map"/>
    <w:basedOn w:val="Normal"/>
    <w:link w:val="DocumentMapChar"/>
    <w:uiPriority w:val="99"/>
    <w:semiHidden/>
    <w:unhideWhenUsed/>
    <w:locked/>
    <w:rsid w:val="00E258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258B7"/>
    <w:rPr>
      <w:rFonts w:ascii="Tahoma" w:hAnsi="Tahoma" w:cs="Tahoma"/>
      <w:sz w:val="16"/>
      <w:szCs w:val="16"/>
      <w:lang w:val="en-GB" w:eastAsia="en-US"/>
    </w:rPr>
  </w:style>
  <w:style w:type="paragraph" w:customStyle="1" w:styleId="Equation">
    <w:name w:val="Equation"/>
    <w:basedOn w:val="Normal"/>
    <w:qFormat/>
    <w:rsid w:val="005F2CA0"/>
    <w:pPr>
      <w:ind w:left="1134"/>
    </w:pPr>
    <w:rPr>
      <w:rFonts w:eastAsia="Times New Roman"/>
      <w:lang w:val="en-AU"/>
    </w:rPr>
  </w:style>
  <w:style w:type="paragraph" w:customStyle="1" w:styleId="LetteredList">
    <w:name w:val="Lettered List"/>
    <w:basedOn w:val="Bullet"/>
    <w:qFormat/>
    <w:rsid w:val="004B15E0"/>
    <w:pPr>
      <w:numPr>
        <w:numId w:val="10"/>
      </w:numPr>
    </w:pPr>
  </w:style>
  <w:style w:type="paragraph" w:customStyle="1" w:styleId="LetteredListLast">
    <w:name w:val="Lettered List Last"/>
    <w:basedOn w:val="LetteredList"/>
    <w:qFormat/>
    <w:rsid w:val="00470942"/>
    <w:pPr>
      <w:spacing w:after="220"/>
      <w:ind w:left="681" w:hanging="397"/>
    </w:pPr>
  </w:style>
  <w:style w:type="paragraph" w:customStyle="1" w:styleId="EquationVariables">
    <w:name w:val="Equation Variables"/>
    <w:basedOn w:val="Equation"/>
    <w:qFormat/>
    <w:rsid w:val="005F2CA0"/>
    <w:pPr>
      <w:tabs>
        <w:tab w:val="left" w:pos="2552"/>
      </w:tabs>
      <w:ind w:left="2552" w:hanging="851"/>
    </w:pPr>
  </w:style>
  <w:style w:type="paragraph" w:customStyle="1" w:styleId="Default">
    <w:name w:val="Default"/>
    <w:rsid w:val="00A87857"/>
    <w:pPr>
      <w:autoSpaceDE w:val="0"/>
      <w:autoSpaceDN w:val="0"/>
      <w:adjustRightInd w:val="0"/>
    </w:pPr>
    <w:rPr>
      <w:rFonts w:ascii="Calibri" w:hAnsi="Calibri" w:cs="Calibri"/>
      <w:color w:val="000000"/>
      <w:sz w:val="24"/>
      <w:szCs w:val="24"/>
    </w:rPr>
  </w:style>
  <w:style w:type="paragraph" w:customStyle="1" w:styleId="BulletIntro">
    <w:name w:val="BulletIntro"/>
    <w:basedOn w:val="Normal"/>
    <w:next w:val="Bullet"/>
    <w:rsid w:val="002E5DD4"/>
    <w:pPr>
      <w:keepNext/>
      <w:spacing w:after="100"/>
    </w:pPr>
    <w:rPr>
      <w:rFonts w:eastAsia="Times New Roman"/>
    </w:rPr>
  </w:style>
  <w:style w:type="paragraph" w:customStyle="1" w:styleId="BulletLast0">
    <w:name w:val="BulletLast"/>
    <w:basedOn w:val="Bullet"/>
    <w:link w:val="BulletLastChar"/>
    <w:rsid w:val="002E5DD4"/>
    <w:pPr>
      <w:numPr>
        <w:numId w:val="0"/>
      </w:numPr>
      <w:spacing w:after="220"/>
      <w:ind w:left="360" w:hanging="360"/>
    </w:pPr>
    <w:rPr>
      <w:rFonts w:eastAsia="Times New Roman"/>
      <w:lang w:val="en-AU"/>
    </w:rPr>
  </w:style>
  <w:style w:type="paragraph" w:styleId="ListParagraph">
    <w:name w:val="List Paragraph"/>
    <w:basedOn w:val="Normal"/>
    <w:uiPriority w:val="34"/>
    <w:qFormat/>
    <w:locked/>
    <w:rsid w:val="00CA2A30"/>
    <w:pPr>
      <w:ind w:left="720"/>
      <w:contextualSpacing/>
    </w:pPr>
  </w:style>
  <w:style w:type="character" w:styleId="FollowedHyperlink">
    <w:name w:val="FollowedHyperlink"/>
    <w:basedOn w:val="DefaultParagraphFont"/>
    <w:uiPriority w:val="99"/>
    <w:semiHidden/>
    <w:unhideWhenUsed/>
    <w:locked/>
    <w:rsid w:val="00081971"/>
    <w:rPr>
      <w:color w:val="800080" w:themeColor="followedHyperlink"/>
      <w:u w:val="single"/>
    </w:rPr>
  </w:style>
  <w:style w:type="paragraph" w:customStyle="1" w:styleId="TableText">
    <w:name w:val="Table Text"/>
    <w:uiPriority w:val="99"/>
    <w:qFormat/>
    <w:rsid w:val="00381B70"/>
    <w:pPr>
      <w:keepNext/>
      <w:spacing w:before="40" w:after="40"/>
    </w:pPr>
    <w:rPr>
      <w:rFonts w:ascii="Arial Narrow" w:hAnsi="Arial Narrow"/>
      <w:sz w:val="18"/>
      <w:lang w:val="en-GB" w:eastAsia="en-US"/>
    </w:rPr>
  </w:style>
  <w:style w:type="character" w:customStyle="1" w:styleId="BulletCharChar">
    <w:name w:val="Bullet Char Char"/>
    <w:basedOn w:val="DefaultParagraphFont"/>
    <w:locked/>
    <w:rsid w:val="00C6685F"/>
    <w:rPr>
      <w:rFonts w:eastAsia="Times New Roman" w:cs="Times New Roman"/>
      <w:szCs w:val="20"/>
      <w:lang w:val="en-GB"/>
    </w:rPr>
  </w:style>
  <w:style w:type="character" w:customStyle="1" w:styleId="BulletLastChar">
    <w:name w:val="BulletLast Char"/>
    <w:basedOn w:val="DefaultParagraphFont"/>
    <w:link w:val="BulletLast0"/>
    <w:locked/>
    <w:rsid w:val="00C6685F"/>
    <w:rPr>
      <w:rFonts w:ascii="Times New Roman" w:eastAsia="Times New Roman" w:hAnsi="Times New Roman"/>
      <w:sz w:val="22"/>
      <w:lang w:eastAsia="en-US"/>
    </w:rPr>
  </w:style>
  <w:style w:type="paragraph" w:customStyle="1" w:styleId="TableName0">
    <w:name w:val="TableName"/>
    <w:basedOn w:val="TableText0"/>
    <w:link w:val="TableNameChar0"/>
    <w:rsid w:val="00B96BD4"/>
    <w:pPr>
      <w:spacing w:before="120" w:after="120"/>
      <w:ind w:left="1080" w:hanging="1080"/>
    </w:pPr>
    <w:rPr>
      <w:b/>
      <w:sz w:val="20"/>
    </w:rPr>
  </w:style>
  <w:style w:type="paragraph" w:customStyle="1" w:styleId="TableText0">
    <w:name w:val="TableText"/>
    <w:rsid w:val="00B96BD4"/>
    <w:pPr>
      <w:keepNext/>
      <w:spacing w:before="40" w:after="40"/>
    </w:pPr>
    <w:rPr>
      <w:rFonts w:ascii="Arial Narrow" w:eastAsia="Times New Roman" w:hAnsi="Arial Narrow"/>
      <w:sz w:val="18"/>
      <w:lang w:val="en-GB" w:eastAsia="en-US"/>
    </w:rPr>
  </w:style>
  <w:style w:type="character" w:customStyle="1" w:styleId="TableNameChar0">
    <w:name w:val="TableName Char"/>
    <w:basedOn w:val="DefaultParagraphFont"/>
    <w:link w:val="TableName0"/>
    <w:locked/>
    <w:rsid w:val="00B96BD4"/>
    <w:rPr>
      <w:rFonts w:ascii="Arial Narrow" w:eastAsia="Times New Roman" w:hAnsi="Arial Narrow"/>
      <w:b/>
      <w:lang w:val="en-GB" w:eastAsia="en-US"/>
    </w:rPr>
  </w:style>
  <w:style w:type="paragraph" w:customStyle="1" w:styleId="TableHeading">
    <w:name w:val="TableHeading"/>
    <w:basedOn w:val="TableText0"/>
    <w:rsid w:val="00B96BD4"/>
    <w:rPr>
      <w:b/>
    </w:rPr>
  </w:style>
  <w:style w:type="paragraph" w:customStyle="1" w:styleId="TableNotes0">
    <w:name w:val="TableNotes"/>
    <w:basedOn w:val="TableText0"/>
    <w:rsid w:val="00B96BD4"/>
    <w:pPr>
      <w:keepNext w:val="0"/>
      <w:keepLines/>
      <w:spacing w:before="6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683">
      <w:bodyDiv w:val="1"/>
      <w:marLeft w:val="0"/>
      <w:marRight w:val="0"/>
      <w:marTop w:val="0"/>
      <w:marBottom w:val="0"/>
      <w:divBdr>
        <w:top w:val="none" w:sz="0" w:space="0" w:color="auto"/>
        <w:left w:val="none" w:sz="0" w:space="0" w:color="auto"/>
        <w:bottom w:val="none" w:sz="0" w:space="0" w:color="auto"/>
        <w:right w:val="none" w:sz="0" w:space="0" w:color="auto"/>
      </w:divBdr>
    </w:div>
    <w:div w:id="272792016">
      <w:bodyDiv w:val="1"/>
      <w:marLeft w:val="0"/>
      <w:marRight w:val="0"/>
      <w:marTop w:val="0"/>
      <w:marBottom w:val="0"/>
      <w:divBdr>
        <w:top w:val="none" w:sz="0" w:space="0" w:color="auto"/>
        <w:left w:val="none" w:sz="0" w:space="0" w:color="auto"/>
        <w:bottom w:val="none" w:sz="0" w:space="0" w:color="auto"/>
        <w:right w:val="none" w:sz="0" w:space="0" w:color="auto"/>
      </w:divBdr>
    </w:div>
    <w:div w:id="302927545">
      <w:bodyDiv w:val="1"/>
      <w:marLeft w:val="0"/>
      <w:marRight w:val="0"/>
      <w:marTop w:val="0"/>
      <w:marBottom w:val="0"/>
      <w:divBdr>
        <w:top w:val="none" w:sz="0" w:space="0" w:color="auto"/>
        <w:left w:val="none" w:sz="0" w:space="0" w:color="auto"/>
        <w:bottom w:val="none" w:sz="0" w:space="0" w:color="auto"/>
        <w:right w:val="none" w:sz="0" w:space="0" w:color="auto"/>
      </w:divBdr>
      <w:divsChild>
        <w:div w:id="1875147875">
          <w:marLeft w:val="0"/>
          <w:marRight w:val="0"/>
          <w:marTop w:val="0"/>
          <w:marBottom w:val="0"/>
          <w:divBdr>
            <w:top w:val="none" w:sz="0" w:space="0" w:color="auto"/>
            <w:left w:val="none" w:sz="0" w:space="0" w:color="auto"/>
            <w:bottom w:val="none" w:sz="0" w:space="0" w:color="auto"/>
            <w:right w:val="none" w:sz="0" w:space="0" w:color="auto"/>
          </w:divBdr>
          <w:divsChild>
            <w:div w:id="19126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0817">
      <w:bodyDiv w:val="1"/>
      <w:marLeft w:val="0"/>
      <w:marRight w:val="0"/>
      <w:marTop w:val="0"/>
      <w:marBottom w:val="0"/>
      <w:divBdr>
        <w:top w:val="none" w:sz="0" w:space="0" w:color="auto"/>
        <w:left w:val="none" w:sz="0" w:space="0" w:color="auto"/>
        <w:bottom w:val="none" w:sz="0" w:space="0" w:color="auto"/>
        <w:right w:val="none" w:sz="0" w:space="0" w:color="auto"/>
      </w:divBdr>
    </w:div>
    <w:div w:id="339545424">
      <w:bodyDiv w:val="1"/>
      <w:marLeft w:val="0"/>
      <w:marRight w:val="0"/>
      <w:marTop w:val="0"/>
      <w:marBottom w:val="0"/>
      <w:divBdr>
        <w:top w:val="none" w:sz="0" w:space="0" w:color="auto"/>
        <w:left w:val="none" w:sz="0" w:space="0" w:color="auto"/>
        <w:bottom w:val="none" w:sz="0" w:space="0" w:color="auto"/>
        <w:right w:val="none" w:sz="0" w:space="0" w:color="auto"/>
      </w:divBdr>
    </w:div>
    <w:div w:id="367798367">
      <w:bodyDiv w:val="1"/>
      <w:marLeft w:val="0"/>
      <w:marRight w:val="0"/>
      <w:marTop w:val="0"/>
      <w:marBottom w:val="0"/>
      <w:divBdr>
        <w:top w:val="none" w:sz="0" w:space="0" w:color="auto"/>
        <w:left w:val="none" w:sz="0" w:space="0" w:color="auto"/>
        <w:bottom w:val="none" w:sz="0" w:space="0" w:color="auto"/>
        <w:right w:val="none" w:sz="0" w:space="0" w:color="auto"/>
      </w:divBdr>
    </w:div>
    <w:div w:id="465657628">
      <w:bodyDiv w:val="1"/>
      <w:marLeft w:val="0"/>
      <w:marRight w:val="0"/>
      <w:marTop w:val="0"/>
      <w:marBottom w:val="0"/>
      <w:divBdr>
        <w:top w:val="none" w:sz="0" w:space="0" w:color="auto"/>
        <w:left w:val="none" w:sz="0" w:space="0" w:color="auto"/>
        <w:bottom w:val="none" w:sz="0" w:space="0" w:color="auto"/>
        <w:right w:val="none" w:sz="0" w:space="0" w:color="auto"/>
      </w:divBdr>
    </w:div>
    <w:div w:id="613096929">
      <w:bodyDiv w:val="1"/>
      <w:marLeft w:val="0"/>
      <w:marRight w:val="0"/>
      <w:marTop w:val="0"/>
      <w:marBottom w:val="0"/>
      <w:divBdr>
        <w:top w:val="none" w:sz="0" w:space="0" w:color="auto"/>
        <w:left w:val="none" w:sz="0" w:space="0" w:color="auto"/>
        <w:bottom w:val="none" w:sz="0" w:space="0" w:color="auto"/>
        <w:right w:val="none" w:sz="0" w:space="0" w:color="auto"/>
      </w:divBdr>
    </w:div>
    <w:div w:id="855846145">
      <w:bodyDiv w:val="1"/>
      <w:marLeft w:val="0"/>
      <w:marRight w:val="0"/>
      <w:marTop w:val="0"/>
      <w:marBottom w:val="0"/>
      <w:divBdr>
        <w:top w:val="none" w:sz="0" w:space="0" w:color="auto"/>
        <w:left w:val="none" w:sz="0" w:space="0" w:color="auto"/>
        <w:bottom w:val="none" w:sz="0" w:space="0" w:color="auto"/>
        <w:right w:val="none" w:sz="0" w:space="0" w:color="auto"/>
      </w:divBdr>
    </w:div>
    <w:div w:id="1001472059">
      <w:bodyDiv w:val="1"/>
      <w:marLeft w:val="0"/>
      <w:marRight w:val="0"/>
      <w:marTop w:val="0"/>
      <w:marBottom w:val="0"/>
      <w:divBdr>
        <w:top w:val="none" w:sz="0" w:space="0" w:color="auto"/>
        <w:left w:val="none" w:sz="0" w:space="0" w:color="auto"/>
        <w:bottom w:val="none" w:sz="0" w:space="0" w:color="auto"/>
        <w:right w:val="none" w:sz="0" w:space="0" w:color="auto"/>
      </w:divBdr>
    </w:div>
    <w:div w:id="1171406824">
      <w:bodyDiv w:val="1"/>
      <w:marLeft w:val="0"/>
      <w:marRight w:val="0"/>
      <w:marTop w:val="0"/>
      <w:marBottom w:val="0"/>
      <w:divBdr>
        <w:top w:val="none" w:sz="0" w:space="0" w:color="auto"/>
        <w:left w:val="none" w:sz="0" w:space="0" w:color="auto"/>
        <w:bottom w:val="none" w:sz="0" w:space="0" w:color="auto"/>
        <w:right w:val="none" w:sz="0" w:space="0" w:color="auto"/>
      </w:divBdr>
    </w:div>
    <w:div w:id="1295481164">
      <w:bodyDiv w:val="1"/>
      <w:marLeft w:val="0"/>
      <w:marRight w:val="0"/>
      <w:marTop w:val="0"/>
      <w:marBottom w:val="0"/>
      <w:divBdr>
        <w:top w:val="none" w:sz="0" w:space="0" w:color="auto"/>
        <w:left w:val="none" w:sz="0" w:space="0" w:color="auto"/>
        <w:bottom w:val="none" w:sz="0" w:space="0" w:color="auto"/>
        <w:right w:val="none" w:sz="0" w:space="0" w:color="auto"/>
      </w:divBdr>
    </w:div>
    <w:div w:id="1437098443">
      <w:bodyDiv w:val="1"/>
      <w:marLeft w:val="0"/>
      <w:marRight w:val="0"/>
      <w:marTop w:val="0"/>
      <w:marBottom w:val="0"/>
      <w:divBdr>
        <w:top w:val="none" w:sz="0" w:space="0" w:color="auto"/>
        <w:left w:val="none" w:sz="0" w:space="0" w:color="auto"/>
        <w:bottom w:val="none" w:sz="0" w:space="0" w:color="auto"/>
        <w:right w:val="none" w:sz="0" w:space="0" w:color="auto"/>
      </w:divBdr>
    </w:div>
    <w:div w:id="1470436677">
      <w:bodyDiv w:val="1"/>
      <w:marLeft w:val="0"/>
      <w:marRight w:val="0"/>
      <w:marTop w:val="0"/>
      <w:marBottom w:val="0"/>
      <w:divBdr>
        <w:top w:val="none" w:sz="0" w:space="0" w:color="auto"/>
        <w:left w:val="none" w:sz="0" w:space="0" w:color="auto"/>
        <w:bottom w:val="none" w:sz="0" w:space="0" w:color="auto"/>
        <w:right w:val="none" w:sz="0" w:space="0" w:color="auto"/>
      </w:divBdr>
    </w:div>
    <w:div w:id="1517495421">
      <w:bodyDiv w:val="1"/>
      <w:marLeft w:val="0"/>
      <w:marRight w:val="0"/>
      <w:marTop w:val="0"/>
      <w:marBottom w:val="0"/>
      <w:divBdr>
        <w:top w:val="none" w:sz="0" w:space="0" w:color="auto"/>
        <w:left w:val="none" w:sz="0" w:space="0" w:color="auto"/>
        <w:bottom w:val="none" w:sz="0" w:space="0" w:color="auto"/>
        <w:right w:val="none" w:sz="0" w:space="0" w:color="auto"/>
      </w:divBdr>
    </w:div>
    <w:div w:id="1684940905">
      <w:bodyDiv w:val="1"/>
      <w:marLeft w:val="0"/>
      <w:marRight w:val="0"/>
      <w:marTop w:val="0"/>
      <w:marBottom w:val="0"/>
      <w:divBdr>
        <w:top w:val="none" w:sz="0" w:space="0" w:color="auto"/>
        <w:left w:val="none" w:sz="0" w:space="0" w:color="auto"/>
        <w:bottom w:val="none" w:sz="0" w:space="0" w:color="auto"/>
        <w:right w:val="none" w:sz="0" w:space="0" w:color="auto"/>
      </w:divBdr>
      <w:divsChild>
        <w:div w:id="1945764520">
          <w:marLeft w:val="0"/>
          <w:marRight w:val="0"/>
          <w:marTop w:val="0"/>
          <w:marBottom w:val="0"/>
          <w:divBdr>
            <w:top w:val="none" w:sz="0" w:space="0" w:color="auto"/>
            <w:left w:val="none" w:sz="0" w:space="0" w:color="auto"/>
            <w:bottom w:val="none" w:sz="0" w:space="0" w:color="auto"/>
            <w:right w:val="none" w:sz="0" w:space="0" w:color="auto"/>
          </w:divBdr>
          <w:divsChild>
            <w:div w:id="48844495">
              <w:marLeft w:val="0"/>
              <w:marRight w:val="0"/>
              <w:marTop w:val="0"/>
              <w:marBottom w:val="0"/>
              <w:divBdr>
                <w:top w:val="none" w:sz="0" w:space="0" w:color="auto"/>
                <w:left w:val="none" w:sz="0" w:space="0" w:color="auto"/>
                <w:bottom w:val="none" w:sz="0" w:space="0" w:color="auto"/>
                <w:right w:val="none" w:sz="0" w:space="0" w:color="auto"/>
              </w:divBdr>
              <w:divsChild>
                <w:div w:id="1122268288">
                  <w:marLeft w:val="0"/>
                  <w:marRight w:val="0"/>
                  <w:marTop w:val="0"/>
                  <w:marBottom w:val="0"/>
                  <w:divBdr>
                    <w:top w:val="none" w:sz="0" w:space="0" w:color="auto"/>
                    <w:left w:val="none" w:sz="0" w:space="0" w:color="auto"/>
                    <w:bottom w:val="none" w:sz="0" w:space="0" w:color="auto"/>
                    <w:right w:val="none" w:sz="0" w:space="0" w:color="auto"/>
                  </w:divBdr>
                  <w:divsChild>
                    <w:div w:id="1906984513">
                      <w:marLeft w:val="0"/>
                      <w:marRight w:val="0"/>
                      <w:marTop w:val="0"/>
                      <w:marBottom w:val="0"/>
                      <w:divBdr>
                        <w:top w:val="none" w:sz="0" w:space="0" w:color="auto"/>
                        <w:left w:val="none" w:sz="0" w:space="0" w:color="auto"/>
                        <w:bottom w:val="none" w:sz="0" w:space="0" w:color="auto"/>
                        <w:right w:val="none" w:sz="0" w:space="0" w:color="auto"/>
                      </w:divBdr>
                      <w:divsChild>
                        <w:div w:id="305356326">
                          <w:marLeft w:val="0"/>
                          <w:marRight w:val="0"/>
                          <w:marTop w:val="0"/>
                          <w:marBottom w:val="0"/>
                          <w:divBdr>
                            <w:top w:val="none" w:sz="0" w:space="0" w:color="auto"/>
                            <w:left w:val="none" w:sz="0" w:space="0" w:color="auto"/>
                            <w:bottom w:val="none" w:sz="0" w:space="0" w:color="auto"/>
                            <w:right w:val="none" w:sz="0" w:space="0" w:color="auto"/>
                          </w:divBdr>
                          <w:divsChild>
                            <w:div w:id="11807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23121">
      <w:bodyDiv w:val="1"/>
      <w:marLeft w:val="0"/>
      <w:marRight w:val="0"/>
      <w:marTop w:val="0"/>
      <w:marBottom w:val="0"/>
      <w:divBdr>
        <w:top w:val="none" w:sz="0" w:space="0" w:color="auto"/>
        <w:left w:val="none" w:sz="0" w:space="0" w:color="auto"/>
        <w:bottom w:val="none" w:sz="0" w:space="0" w:color="auto"/>
        <w:right w:val="none" w:sz="0" w:space="0" w:color="auto"/>
      </w:divBdr>
    </w:div>
    <w:div w:id="1763836881">
      <w:bodyDiv w:val="1"/>
      <w:marLeft w:val="0"/>
      <w:marRight w:val="0"/>
      <w:marTop w:val="0"/>
      <w:marBottom w:val="0"/>
      <w:divBdr>
        <w:top w:val="none" w:sz="0" w:space="0" w:color="auto"/>
        <w:left w:val="none" w:sz="0" w:space="0" w:color="auto"/>
        <w:bottom w:val="none" w:sz="0" w:space="0" w:color="auto"/>
        <w:right w:val="none" w:sz="0" w:space="0" w:color="auto"/>
      </w:divBdr>
    </w:div>
    <w:div w:id="1974091666">
      <w:bodyDiv w:val="1"/>
      <w:marLeft w:val="0"/>
      <w:marRight w:val="0"/>
      <w:marTop w:val="0"/>
      <w:marBottom w:val="0"/>
      <w:divBdr>
        <w:top w:val="none" w:sz="0" w:space="0" w:color="auto"/>
        <w:left w:val="none" w:sz="0" w:space="0" w:color="auto"/>
        <w:bottom w:val="none" w:sz="0" w:space="0" w:color="auto"/>
        <w:right w:val="none" w:sz="0" w:space="0" w:color="auto"/>
      </w:divBdr>
    </w:div>
    <w:div w:id="2011324154">
      <w:bodyDiv w:val="1"/>
      <w:marLeft w:val="0"/>
      <w:marRight w:val="0"/>
      <w:marTop w:val="0"/>
      <w:marBottom w:val="0"/>
      <w:divBdr>
        <w:top w:val="none" w:sz="0" w:space="0" w:color="auto"/>
        <w:left w:val="none" w:sz="0" w:space="0" w:color="auto"/>
        <w:bottom w:val="none" w:sz="0" w:space="0" w:color="auto"/>
        <w:right w:val="none" w:sz="0" w:space="0" w:color="auto"/>
      </w:divBdr>
    </w:div>
    <w:div w:id="20990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crc@act.gov.au"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icrc.act.gov.au"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act.gov.au/di/2016-138/default.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phillips.ACTGOV\AppData\Local\Microsoft\Windows\Temporary%20Internet%20Files\Content.MSO\3E11E3C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2DDF4CB4944FD9B0D9D2A05ED3BF6B"/>
        <w:category>
          <w:name w:val="General"/>
          <w:gallery w:val="placeholder"/>
        </w:category>
        <w:types>
          <w:type w:val="bbPlcHdr"/>
        </w:types>
        <w:behaviors>
          <w:behavior w:val="content"/>
        </w:behaviors>
        <w:guid w:val="{502BACFA-6697-4D70-82CF-8FAFC63C38CE}"/>
      </w:docPartPr>
      <w:docPartBody>
        <w:p w:rsidR="008074B8" w:rsidRDefault="008074B8">
          <w:pPr>
            <w:pStyle w:val="542DDF4CB4944FD9B0D9D2A05ED3BF6B"/>
          </w:pPr>
          <w:r w:rsidRPr="00576B9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074B8"/>
    <w:rsid w:val="0000415C"/>
    <w:rsid w:val="00004B75"/>
    <w:rsid w:val="00030395"/>
    <w:rsid w:val="000832BB"/>
    <w:rsid w:val="000846BB"/>
    <w:rsid w:val="0008778B"/>
    <w:rsid w:val="000E383B"/>
    <w:rsid w:val="00101621"/>
    <w:rsid w:val="00101CC0"/>
    <w:rsid w:val="00124F2E"/>
    <w:rsid w:val="001414CD"/>
    <w:rsid w:val="00150574"/>
    <w:rsid w:val="0019380D"/>
    <w:rsid w:val="001A4E4E"/>
    <w:rsid w:val="001A4F2C"/>
    <w:rsid w:val="001A5642"/>
    <w:rsid w:val="001C4353"/>
    <w:rsid w:val="001C438A"/>
    <w:rsid w:val="001C4A7F"/>
    <w:rsid w:val="0020468F"/>
    <w:rsid w:val="002118D3"/>
    <w:rsid w:val="0021367B"/>
    <w:rsid w:val="002354A0"/>
    <w:rsid w:val="0024025F"/>
    <w:rsid w:val="002D7ECD"/>
    <w:rsid w:val="002E0785"/>
    <w:rsid w:val="002E6FE4"/>
    <w:rsid w:val="002F3760"/>
    <w:rsid w:val="002F4BE5"/>
    <w:rsid w:val="002F62EF"/>
    <w:rsid w:val="002F693A"/>
    <w:rsid w:val="0032201A"/>
    <w:rsid w:val="003318B8"/>
    <w:rsid w:val="00355425"/>
    <w:rsid w:val="0037707A"/>
    <w:rsid w:val="00385ACA"/>
    <w:rsid w:val="00392B7E"/>
    <w:rsid w:val="00395F95"/>
    <w:rsid w:val="003B7D04"/>
    <w:rsid w:val="003C1CC0"/>
    <w:rsid w:val="003D0A15"/>
    <w:rsid w:val="003E2384"/>
    <w:rsid w:val="00424B16"/>
    <w:rsid w:val="00494C04"/>
    <w:rsid w:val="004A6213"/>
    <w:rsid w:val="004D6A74"/>
    <w:rsid w:val="004E2DE1"/>
    <w:rsid w:val="004E612E"/>
    <w:rsid w:val="004F74D7"/>
    <w:rsid w:val="00504CEB"/>
    <w:rsid w:val="00505A89"/>
    <w:rsid w:val="00506AEA"/>
    <w:rsid w:val="00510FB3"/>
    <w:rsid w:val="00533366"/>
    <w:rsid w:val="0055748E"/>
    <w:rsid w:val="00565FC2"/>
    <w:rsid w:val="00596CF1"/>
    <w:rsid w:val="005B183E"/>
    <w:rsid w:val="005B58F3"/>
    <w:rsid w:val="005E6A12"/>
    <w:rsid w:val="005F1459"/>
    <w:rsid w:val="00606030"/>
    <w:rsid w:val="00620B25"/>
    <w:rsid w:val="006432EB"/>
    <w:rsid w:val="0065761C"/>
    <w:rsid w:val="00685A73"/>
    <w:rsid w:val="006B11B7"/>
    <w:rsid w:val="006F041B"/>
    <w:rsid w:val="006F3B41"/>
    <w:rsid w:val="00703C71"/>
    <w:rsid w:val="0071309A"/>
    <w:rsid w:val="0072437C"/>
    <w:rsid w:val="007270C9"/>
    <w:rsid w:val="00727354"/>
    <w:rsid w:val="0073021A"/>
    <w:rsid w:val="007363AE"/>
    <w:rsid w:val="00767FAA"/>
    <w:rsid w:val="0078276F"/>
    <w:rsid w:val="007970D8"/>
    <w:rsid w:val="007C6814"/>
    <w:rsid w:val="007E4FE9"/>
    <w:rsid w:val="007F68DA"/>
    <w:rsid w:val="00802009"/>
    <w:rsid w:val="00802792"/>
    <w:rsid w:val="008074B8"/>
    <w:rsid w:val="00814FC9"/>
    <w:rsid w:val="00823240"/>
    <w:rsid w:val="0085786A"/>
    <w:rsid w:val="00867287"/>
    <w:rsid w:val="00880AE1"/>
    <w:rsid w:val="00881874"/>
    <w:rsid w:val="008A7050"/>
    <w:rsid w:val="008B0FC3"/>
    <w:rsid w:val="009143D5"/>
    <w:rsid w:val="00931791"/>
    <w:rsid w:val="009349FC"/>
    <w:rsid w:val="00944BFB"/>
    <w:rsid w:val="00953EF8"/>
    <w:rsid w:val="00967A60"/>
    <w:rsid w:val="00975BFB"/>
    <w:rsid w:val="00983B90"/>
    <w:rsid w:val="00994E3F"/>
    <w:rsid w:val="009A4349"/>
    <w:rsid w:val="009A676F"/>
    <w:rsid w:val="009E10FA"/>
    <w:rsid w:val="009E2055"/>
    <w:rsid w:val="009E5D68"/>
    <w:rsid w:val="00A202CC"/>
    <w:rsid w:val="00A320A6"/>
    <w:rsid w:val="00A3312A"/>
    <w:rsid w:val="00A448E9"/>
    <w:rsid w:val="00A72CAB"/>
    <w:rsid w:val="00A82F5C"/>
    <w:rsid w:val="00A95FFD"/>
    <w:rsid w:val="00AF2BC3"/>
    <w:rsid w:val="00B52528"/>
    <w:rsid w:val="00B71552"/>
    <w:rsid w:val="00B850E6"/>
    <w:rsid w:val="00B85D43"/>
    <w:rsid w:val="00B94319"/>
    <w:rsid w:val="00BD67F8"/>
    <w:rsid w:val="00BD6CA8"/>
    <w:rsid w:val="00BD7EEF"/>
    <w:rsid w:val="00BF50B5"/>
    <w:rsid w:val="00BF7E7D"/>
    <w:rsid w:val="00C44554"/>
    <w:rsid w:val="00C66E68"/>
    <w:rsid w:val="00C86859"/>
    <w:rsid w:val="00C954BC"/>
    <w:rsid w:val="00C95AAE"/>
    <w:rsid w:val="00CD5A14"/>
    <w:rsid w:val="00CE7182"/>
    <w:rsid w:val="00CF7552"/>
    <w:rsid w:val="00D0733B"/>
    <w:rsid w:val="00D12DB8"/>
    <w:rsid w:val="00D402B1"/>
    <w:rsid w:val="00D43E1D"/>
    <w:rsid w:val="00D74F87"/>
    <w:rsid w:val="00D7684C"/>
    <w:rsid w:val="00DA7506"/>
    <w:rsid w:val="00DC0D08"/>
    <w:rsid w:val="00DD28DF"/>
    <w:rsid w:val="00E055F5"/>
    <w:rsid w:val="00E360F6"/>
    <w:rsid w:val="00E579A9"/>
    <w:rsid w:val="00E737D7"/>
    <w:rsid w:val="00E74EBB"/>
    <w:rsid w:val="00E763BB"/>
    <w:rsid w:val="00E81228"/>
    <w:rsid w:val="00E94F20"/>
    <w:rsid w:val="00E964C2"/>
    <w:rsid w:val="00F01432"/>
    <w:rsid w:val="00F42233"/>
    <w:rsid w:val="00F462F6"/>
    <w:rsid w:val="00F706F6"/>
    <w:rsid w:val="00F861FB"/>
    <w:rsid w:val="00FC0393"/>
    <w:rsid w:val="00FC6E42"/>
    <w:rsid w:val="00FD3769"/>
    <w:rsid w:val="00FD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A14"/>
    <w:rPr>
      <w:color w:val="808080"/>
    </w:rPr>
  </w:style>
  <w:style w:type="paragraph" w:customStyle="1" w:styleId="542DDF4CB4944FD9B0D9D2A05ED3BF6B">
    <w:name w:val="542DDF4CB4944FD9B0D9D2A05ED3BF6B"/>
    <w:rsid w:val="00807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021D-3B44-4592-8DE9-F3299887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3E11E3C1</Template>
  <TotalTime>237</TotalTime>
  <Pages>25</Pages>
  <Words>5150</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Standing offer prices for the supply of electricity to small customers</vt:lpstr>
    </vt:vector>
  </TitlesOfParts>
  <Company>ACT Government</Company>
  <LinksUpToDate>false</LinksUpToDate>
  <CharactersWithSpaces>34443</CharactersWithSpaces>
  <SharedDoc>false</SharedDoc>
  <HLinks>
    <vt:vector size="138" baseType="variant">
      <vt:variant>
        <vt:i4>1507378</vt:i4>
      </vt:variant>
      <vt:variant>
        <vt:i4>131</vt:i4>
      </vt:variant>
      <vt:variant>
        <vt:i4>0</vt:i4>
      </vt:variant>
      <vt:variant>
        <vt:i4>5</vt:i4>
      </vt:variant>
      <vt:variant>
        <vt:lpwstr/>
      </vt:variant>
      <vt:variant>
        <vt:lpwstr>_Toc300311025</vt:lpwstr>
      </vt:variant>
      <vt:variant>
        <vt:i4>1507378</vt:i4>
      </vt:variant>
      <vt:variant>
        <vt:i4>125</vt:i4>
      </vt:variant>
      <vt:variant>
        <vt:i4>0</vt:i4>
      </vt:variant>
      <vt:variant>
        <vt:i4>5</vt:i4>
      </vt:variant>
      <vt:variant>
        <vt:lpwstr/>
      </vt:variant>
      <vt:variant>
        <vt:lpwstr>_Toc300311024</vt:lpwstr>
      </vt:variant>
      <vt:variant>
        <vt:i4>1507378</vt:i4>
      </vt:variant>
      <vt:variant>
        <vt:i4>119</vt:i4>
      </vt:variant>
      <vt:variant>
        <vt:i4>0</vt:i4>
      </vt:variant>
      <vt:variant>
        <vt:i4>5</vt:i4>
      </vt:variant>
      <vt:variant>
        <vt:lpwstr/>
      </vt:variant>
      <vt:variant>
        <vt:lpwstr>_Toc300311023</vt:lpwstr>
      </vt:variant>
      <vt:variant>
        <vt:i4>1507378</vt:i4>
      </vt:variant>
      <vt:variant>
        <vt:i4>113</vt:i4>
      </vt:variant>
      <vt:variant>
        <vt:i4>0</vt:i4>
      </vt:variant>
      <vt:variant>
        <vt:i4>5</vt:i4>
      </vt:variant>
      <vt:variant>
        <vt:lpwstr/>
      </vt:variant>
      <vt:variant>
        <vt:lpwstr>_Toc300311022</vt:lpwstr>
      </vt:variant>
      <vt:variant>
        <vt:i4>1507378</vt:i4>
      </vt:variant>
      <vt:variant>
        <vt:i4>107</vt:i4>
      </vt:variant>
      <vt:variant>
        <vt:i4>0</vt:i4>
      </vt:variant>
      <vt:variant>
        <vt:i4>5</vt:i4>
      </vt:variant>
      <vt:variant>
        <vt:lpwstr/>
      </vt:variant>
      <vt:variant>
        <vt:lpwstr>_Toc300311021</vt:lpwstr>
      </vt:variant>
      <vt:variant>
        <vt:i4>1507378</vt:i4>
      </vt:variant>
      <vt:variant>
        <vt:i4>101</vt:i4>
      </vt:variant>
      <vt:variant>
        <vt:i4>0</vt:i4>
      </vt:variant>
      <vt:variant>
        <vt:i4>5</vt:i4>
      </vt:variant>
      <vt:variant>
        <vt:lpwstr/>
      </vt:variant>
      <vt:variant>
        <vt:lpwstr>_Toc300311020</vt:lpwstr>
      </vt:variant>
      <vt:variant>
        <vt:i4>1310770</vt:i4>
      </vt:variant>
      <vt:variant>
        <vt:i4>95</vt:i4>
      </vt:variant>
      <vt:variant>
        <vt:i4>0</vt:i4>
      </vt:variant>
      <vt:variant>
        <vt:i4>5</vt:i4>
      </vt:variant>
      <vt:variant>
        <vt:lpwstr/>
      </vt:variant>
      <vt:variant>
        <vt:lpwstr>_Toc300311019</vt:lpwstr>
      </vt:variant>
      <vt:variant>
        <vt:i4>1310770</vt:i4>
      </vt:variant>
      <vt:variant>
        <vt:i4>89</vt:i4>
      </vt:variant>
      <vt:variant>
        <vt:i4>0</vt:i4>
      </vt:variant>
      <vt:variant>
        <vt:i4>5</vt:i4>
      </vt:variant>
      <vt:variant>
        <vt:lpwstr/>
      </vt:variant>
      <vt:variant>
        <vt:lpwstr>_Toc300311018</vt:lpwstr>
      </vt:variant>
      <vt:variant>
        <vt:i4>1310770</vt:i4>
      </vt:variant>
      <vt:variant>
        <vt:i4>83</vt:i4>
      </vt:variant>
      <vt:variant>
        <vt:i4>0</vt:i4>
      </vt:variant>
      <vt:variant>
        <vt:i4>5</vt:i4>
      </vt:variant>
      <vt:variant>
        <vt:lpwstr/>
      </vt:variant>
      <vt:variant>
        <vt:lpwstr>_Toc300311017</vt:lpwstr>
      </vt:variant>
      <vt:variant>
        <vt:i4>1310770</vt:i4>
      </vt:variant>
      <vt:variant>
        <vt:i4>77</vt:i4>
      </vt:variant>
      <vt:variant>
        <vt:i4>0</vt:i4>
      </vt:variant>
      <vt:variant>
        <vt:i4>5</vt:i4>
      </vt:variant>
      <vt:variant>
        <vt:lpwstr/>
      </vt:variant>
      <vt:variant>
        <vt:lpwstr>_Toc300311016</vt:lpwstr>
      </vt:variant>
      <vt:variant>
        <vt:i4>1310770</vt:i4>
      </vt:variant>
      <vt:variant>
        <vt:i4>71</vt:i4>
      </vt:variant>
      <vt:variant>
        <vt:i4>0</vt:i4>
      </vt:variant>
      <vt:variant>
        <vt:i4>5</vt:i4>
      </vt:variant>
      <vt:variant>
        <vt:lpwstr/>
      </vt:variant>
      <vt:variant>
        <vt:lpwstr>_Toc300311015</vt:lpwstr>
      </vt:variant>
      <vt:variant>
        <vt:i4>1310770</vt:i4>
      </vt:variant>
      <vt:variant>
        <vt:i4>65</vt:i4>
      </vt:variant>
      <vt:variant>
        <vt:i4>0</vt:i4>
      </vt:variant>
      <vt:variant>
        <vt:i4>5</vt:i4>
      </vt:variant>
      <vt:variant>
        <vt:lpwstr/>
      </vt:variant>
      <vt:variant>
        <vt:lpwstr>_Toc300311014</vt:lpwstr>
      </vt:variant>
      <vt:variant>
        <vt:i4>1310770</vt:i4>
      </vt:variant>
      <vt:variant>
        <vt:i4>59</vt:i4>
      </vt:variant>
      <vt:variant>
        <vt:i4>0</vt:i4>
      </vt:variant>
      <vt:variant>
        <vt:i4>5</vt:i4>
      </vt:variant>
      <vt:variant>
        <vt:lpwstr/>
      </vt:variant>
      <vt:variant>
        <vt:lpwstr>_Toc300311013</vt:lpwstr>
      </vt:variant>
      <vt:variant>
        <vt:i4>1310770</vt:i4>
      </vt:variant>
      <vt:variant>
        <vt:i4>53</vt:i4>
      </vt:variant>
      <vt:variant>
        <vt:i4>0</vt:i4>
      </vt:variant>
      <vt:variant>
        <vt:i4>5</vt:i4>
      </vt:variant>
      <vt:variant>
        <vt:lpwstr/>
      </vt:variant>
      <vt:variant>
        <vt:lpwstr>_Toc300311012</vt:lpwstr>
      </vt:variant>
      <vt:variant>
        <vt:i4>1310770</vt:i4>
      </vt:variant>
      <vt:variant>
        <vt:i4>47</vt:i4>
      </vt:variant>
      <vt:variant>
        <vt:i4>0</vt:i4>
      </vt:variant>
      <vt:variant>
        <vt:i4>5</vt:i4>
      </vt:variant>
      <vt:variant>
        <vt:lpwstr/>
      </vt:variant>
      <vt:variant>
        <vt:lpwstr>_Toc300311011</vt:lpwstr>
      </vt:variant>
      <vt:variant>
        <vt:i4>1310770</vt:i4>
      </vt:variant>
      <vt:variant>
        <vt:i4>41</vt:i4>
      </vt:variant>
      <vt:variant>
        <vt:i4>0</vt:i4>
      </vt:variant>
      <vt:variant>
        <vt:i4>5</vt:i4>
      </vt:variant>
      <vt:variant>
        <vt:lpwstr/>
      </vt:variant>
      <vt:variant>
        <vt:lpwstr>_Toc300311010</vt:lpwstr>
      </vt:variant>
      <vt:variant>
        <vt:i4>1376306</vt:i4>
      </vt:variant>
      <vt:variant>
        <vt:i4>35</vt:i4>
      </vt:variant>
      <vt:variant>
        <vt:i4>0</vt:i4>
      </vt:variant>
      <vt:variant>
        <vt:i4>5</vt:i4>
      </vt:variant>
      <vt:variant>
        <vt:lpwstr/>
      </vt:variant>
      <vt:variant>
        <vt:lpwstr>_Toc300311009</vt:lpwstr>
      </vt:variant>
      <vt:variant>
        <vt:i4>1376306</vt:i4>
      </vt:variant>
      <vt:variant>
        <vt:i4>29</vt:i4>
      </vt:variant>
      <vt:variant>
        <vt:i4>0</vt:i4>
      </vt:variant>
      <vt:variant>
        <vt:i4>5</vt:i4>
      </vt:variant>
      <vt:variant>
        <vt:lpwstr/>
      </vt:variant>
      <vt:variant>
        <vt:lpwstr>_Toc300311008</vt:lpwstr>
      </vt:variant>
      <vt:variant>
        <vt:i4>1376306</vt:i4>
      </vt:variant>
      <vt:variant>
        <vt:i4>23</vt:i4>
      </vt:variant>
      <vt:variant>
        <vt:i4>0</vt:i4>
      </vt:variant>
      <vt:variant>
        <vt:i4>5</vt:i4>
      </vt:variant>
      <vt:variant>
        <vt:lpwstr/>
      </vt:variant>
      <vt:variant>
        <vt:lpwstr>_Toc300311007</vt:lpwstr>
      </vt:variant>
      <vt:variant>
        <vt:i4>1376306</vt:i4>
      </vt:variant>
      <vt:variant>
        <vt:i4>17</vt:i4>
      </vt:variant>
      <vt:variant>
        <vt:i4>0</vt:i4>
      </vt:variant>
      <vt:variant>
        <vt:i4>5</vt:i4>
      </vt:variant>
      <vt:variant>
        <vt:lpwstr/>
      </vt:variant>
      <vt:variant>
        <vt:lpwstr>_Toc300311006</vt:lpwstr>
      </vt:variant>
      <vt:variant>
        <vt:i4>1376306</vt:i4>
      </vt:variant>
      <vt:variant>
        <vt:i4>11</vt:i4>
      </vt:variant>
      <vt:variant>
        <vt:i4>0</vt:i4>
      </vt:variant>
      <vt:variant>
        <vt:i4>5</vt:i4>
      </vt:variant>
      <vt:variant>
        <vt:lpwstr/>
      </vt:variant>
      <vt:variant>
        <vt:lpwstr>_Toc300311005</vt:lpwstr>
      </vt:variant>
      <vt:variant>
        <vt:i4>4194351</vt:i4>
      </vt:variant>
      <vt:variant>
        <vt:i4>6</vt:i4>
      </vt:variant>
      <vt:variant>
        <vt:i4>0</vt:i4>
      </vt:variant>
      <vt:variant>
        <vt:i4>5</vt:i4>
      </vt:variant>
      <vt:variant>
        <vt:lpwstr>mailto:icrc@act.gov.au</vt:lpwstr>
      </vt:variant>
      <vt:variant>
        <vt:lpwstr/>
      </vt:variant>
      <vt:variant>
        <vt:i4>6750261</vt:i4>
      </vt:variant>
      <vt:variant>
        <vt:i4>3</vt:i4>
      </vt:variant>
      <vt:variant>
        <vt:i4>0</vt:i4>
      </vt:variant>
      <vt:variant>
        <vt:i4>5</vt:i4>
      </vt:variant>
      <vt:variant>
        <vt:lpwstr>http://www.icrc.act.gov.au/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offer prices for the supply of electricity to small customers</dc:title>
  <dc:creator>ICRC@act.gov.au</dc:creator>
  <cp:lastModifiedBy>Fahey, Andy</cp:lastModifiedBy>
  <cp:revision>34</cp:revision>
  <cp:lastPrinted>2017-02-06T23:13:00Z</cp:lastPrinted>
  <dcterms:created xsi:type="dcterms:W3CDTF">2017-02-28T02:34:00Z</dcterms:created>
  <dcterms:modified xsi:type="dcterms:W3CDTF">2017-03-27T22:46:00Z</dcterms:modified>
</cp:coreProperties>
</file>