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47.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Default Extension="wmf" ContentType="image/x-wmf"/>
  <Override PartName="/word/header34.xml" ContentType="application/vnd.openxmlformats-officedocument.wordprocessingml.header+xml"/>
  <Override PartName="/word/header43.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stylesWithEffects.xml" ContentType="application/vnd.ms-word.stylesWithEffects+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drawings/drawing2.xml" ContentType="application/vnd.openxmlformats-officedocument.drawingml.chartshapes+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charts/chart5.xml" ContentType="application/vnd.openxmlformats-officedocument.drawingml.chart+xml"/>
  <Override PartName="/word/header2.xml" ContentType="application/vnd.openxmlformats-officedocument.wordprocessingml.header+xml"/>
  <Override PartName="/word/charts/chart3.xml" ContentType="application/vnd.openxmlformats-officedocument.drawingml.chart+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header39.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Default Extension="jpeg" ContentType="image/jpeg"/>
  <Override PartName="/word/footer6.xml" ContentType="application/vnd.openxmlformats-officedocument.wordprocessingml.footer+xml"/>
  <Default Extension="emf" ContentType="image/x-emf"/>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glossary/fontTable.xml" ContentType="application/vnd.openxmlformats-officedocument.wordprocessingml.fontTable+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drawings/drawing1.xml" ContentType="application/vnd.openxmlformats-officedocument.drawingml.chartshapes+xml"/>
  <Override PartName="/word/header20.xml" ContentType="application/vnd.openxmlformats-officedocument.wordprocessingml.header+xml"/>
  <Override PartName="/word/charts/chart6.xml" ContentType="application/vnd.openxmlformats-officedocument.drawingml.chart+xml"/>
  <Override PartName="/word/glossary/document.xml" ContentType="application/vnd.openxmlformats-officedocument.wordprocessingml.document.glossary+xml"/>
  <Override PartName="/word/header5.xml" ContentType="application/vnd.openxmlformats-officedocument.wordprocessingml.header+xml"/>
  <Override PartName="/word/charts/chart4.xml" ContentType="application/vnd.openxmlformats-officedocument.drawingml.chart+xml"/>
  <Override PartName="/word/theme/theme1.xml" ContentType="application/vnd.openxmlformats-officedocument.theme+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0906" w:rsidRPr="00263720" w:rsidRDefault="00A50906" w:rsidP="008A1C91">
      <w:pPr>
        <w:pStyle w:val="References"/>
        <w:rPr>
          <w:lang w:val="en-AU"/>
        </w:rPr>
      </w:pPr>
    </w:p>
    <w:p w:rsidR="00A50906" w:rsidRPr="00D11A5A" w:rsidRDefault="00A50906" w:rsidP="008A1C91">
      <w:pPr>
        <w:pStyle w:val="References"/>
        <w:rPr>
          <w:lang w:val="en-AU"/>
        </w:rPr>
      </w:pPr>
    </w:p>
    <w:p w:rsidR="00A50906" w:rsidRPr="00D11A5A" w:rsidRDefault="00A50906" w:rsidP="008A1C91">
      <w:pPr>
        <w:pStyle w:val="References"/>
        <w:rPr>
          <w:lang w:val="en-AU"/>
        </w:rPr>
      </w:pPr>
    </w:p>
    <w:p w:rsidR="00A50906" w:rsidRPr="00D11A5A" w:rsidRDefault="00A50906" w:rsidP="008A1C91">
      <w:pPr>
        <w:pStyle w:val="References"/>
        <w:rPr>
          <w:lang w:val="en-AU"/>
        </w:rPr>
      </w:pPr>
    </w:p>
    <w:p w:rsidR="00796887" w:rsidRPr="00D11A5A" w:rsidRDefault="00796887" w:rsidP="008A1C91">
      <w:pPr>
        <w:pStyle w:val="References"/>
        <w:rPr>
          <w:lang w:val="en-AU"/>
        </w:rPr>
      </w:pPr>
    </w:p>
    <w:p w:rsidR="00796887" w:rsidRPr="00D11A5A" w:rsidRDefault="00A7215E" w:rsidP="008A1C91">
      <w:pPr>
        <w:pStyle w:val="References"/>
        <w:rPr>
          <w:lang w:val="en-AU"/>
        </w:rPr>
      </w:pPr>
      <w:bookmarkStart w:id="0" w:name="_top"/>
      <w:bookmarkEnd w:id="0"/>
      <w:r w:rsidRPr="00A7215E">
        <w:rPr>
          <w:bCs/>
          <w:noProof/>
          <w:lang w:val="en-AU" w:eastAsia="en-AU"/>
        </w:rPr>
        <w:pict>
          <v:shapetype id="_x0000_t202" coordsize="21600,21600" o:spt="202" path="m,l,21600r21600,l21600,xe">
            <v:stroke joinstyle="miter"/>
            <v:path gradientshapeok="t" o:connecttype="rect"/>
          </v:shapetype>
          <v:shape id="Text Box 2" o:spid="_x0000_s1026" type="#_x0000_t202" style="position:absolute;left:0;text-align:left;margin-left:118.6pt;margin-top:361.25pt;width:290.25pt;height:120.5pt;z-index:251660288;visibility:visible;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" stroked="f">
            <v:textbox style="mso-fit-shape-to-text:t">
              <w:txbxContent>
                <w:p w:rsidR="003766AB" w:rsidRDefault="003766AB" w:rsidP="009334E1">
                  <w:pPr>
                    <w:pStyle w:val="CoverInquiry"/>
                  </w:pPr>
                  <w:r>
                    <w:t>Issues paper</w:t>
                  </w:r>
                </w:p>
                <w:p w:rsidR="003766AB" w:rsidRDefault="003766AB" w:rsidP="009334E1">
                  <w:pPr>
                    <w:pStyle w:val="CoverReport"/>
                  </w:pPr>
                  <w:r>
                    <w:t>Tariff Review 2016</w:t>
                  </w:r>
                </w:p>
                <w:p w:rsidR="003766AB" w:rsidRDefault="00A7215E" w:rsidP="009334E1">
                  <w:pPr>
                    <w:pStyle w:val="CoverReportNumMonth"/>
                  </w:pPr>
                  <w:sdt>
                    <w:sdtPr>
                      <w:rPr>
                        <w:szCs w:val="24"/>
                      </w:rPr>
                      <w:alias w:val="Title"/>
                      <w:id w:val="1186123"/>
                      <w:placeholder>
                        <w:docPart w:val="BEC3A54377E54BA4BC2549893CE933A7"/>
                      </w:placeholder>
                      <w:dataBinding w:prefixMappings="xmlns:ns0='http://purl.org/dc/elements/1.1/' xmlns:ns1='http://schemas.openxmlformats.org/package/2006/metadata/core-properties' " w:xpath="/ns1:coreProperties[1]/ns0:title[1]" w:storeItemID="{6C3C8BC8-F283-45AE-878A-BAB7291924A1}"/>
                      <w:text/>
                    </w:sdtPr>
                    <w:sdtContent>
                      <w:r w:rsidR="00263424" w:rsidRPr="009954A8">
                        <w:rPr>
                          <w:szCs w:val="24"/>
                        </w:rPr>
                        <w:t>Regulated Water and Sewerage Services</w:t>
                      </w:r>
                    </w:sdtContent>
                  </w:sdt>
                  <w:bookmarkStart w:id="1" w:name="_Toc265597563"/>
                </w:p>
                <w:p w:rsidR="003766AB" w:rsidRPr="00E729F4" w:rsidRDefault="003766AB" w:rsidP="00287869">
                  <w:pPr>
                    <w:pStyle w:val="CoverReportNumMonth"/>
                    <w:rPr>
                      <w:rStyle w:val="Bold"/>
                    </w:rPr>
                  </w:pPr>
                  <w:r w:rsidRPr="00E729F4">
                    <w:rPr>
                      <w:rStyle w:val="Bold"/>
                    </w:rPr>
                    <w:t xml:space="preserve">Report </w:t>
                  </w:r>
                  <w:r>
                    <w:rPr>
                      <w:rStyle w:val="Bold"/>
                    </w:rPr>
                    <w:t>7</w:t>
                  </w:r>
                  <w:r w:rsidRPr="00E729F4">
                    <w:rPr>
                      <w:rStyle w:val="Bold"/>
                    </w:rPr>
                    <w:t xml:space="preserve"> of 2015, </w:t>
                  </w:r>
                  <w:r>
                    <w:rPr>
                      <w:rStyle w:val="Bold"/>
                    </w:rPr>
                    <w:t>November</w:t>
                  </w:r>
                  <w:r w:rsidRPr="00E729F4">
                    <w:rPr>
                      <w:rStyle w:val="Bold"/>
                    </w:rPr>
                    <w:t xml:space="preserve"> 201</w:t>
                  </w:r>
                  <w:bookmarkEnd w:id="1"/>
                  <w:r w:rsidRPr="00E729F4">
                    <w:rPr>
                      <w:rStyle w:val="Bold"/>
                    </w:rPr>
                    <w:t>5</w:t>
                  </w:r>
                </w:p>
              </w:txbxContent>
            </v:textbox>
          </v:shape>
        </w:pict>
      </w:r>
    </w:p>
    <w:p w:rsidR="00796887" w:rsidRPr="004A66E2" w:rsidRDefault="00796887" w:rsidP="008A1C91">
      <w:pPr>
        <w:pStyle w:val="References"/>
        <w:sectPr w:rsidR="00796887" w:rsidRPr="004A66E2" w:rsidSect="00FD0141">
          <w:headerReference w:type="even" r:id="rId8"/>
          <w:headerReference w:type="default" r:id="rId9"/>
          <w:footerReference w:type="even" r:id="rId10"/>
          <w:footerReference w:type="default" r:id="rId11"/>
          <w:headerReference w:type="first" r:id="rId12"/>
          <w:footerReference w:type="first" r:id="rId13"/>
          <w:endnotePr>
            <w:numFmt w:val="decimal"/>
          </w:endnotePr>
          <w:pgSz w:w="11907" w:h="16840" w:code="9"/>
          <w:pgMar w:top="2268" w:right="2098" w:bottom="1701" w:left="2098" w:header="578" w:footer="578" w:gutter="0"/>
          <w:pgNumType w:fmt="lowerRoman" w:start="1"/>
          <w:cols w:space="720"/>
          <w:titlePg/>
          <w:docGrid w:linePitch="299"/>
        </w:sectPr>
      </w:pPr>
      <w:bookmarkStart w:id="2" w:name="_Toc27649604"/>
      <w:bookmarkStart w:id="3" w:name="_Toc43786474"/>
      <w:bookmarkStart w:id="4" w:name="_Toc44217184"/>
    </w:p>
    <w:p w:rsidR="000721C4" w:rsidRPr="00B5530C" w:rsidRDefault="000721C4" w:rsidP="0088522D">
      <w:pPr>
        <w:pStyle w:val="References"/>
        <w:jc w:val="center"/>
      </w:pPr>
      <w:bookmarkStart w:id="5" w:name="_Toc44217186"/>
      <w:bookmarkStart w:id="6" w:name="_Toc118359366"/>
      <w:bookmarkEnd w:id="2"/>
      <w:bookmarkEnd w:id="3"/>
      <w:bookmarkEnd w:id="4"/>
      <w:r w:rsidRPr="00B5530C">
        <w:lastRenderedPageBreak/>
        <w:t xml:space="preserve">The Independent Competition and Regulatory Commission is a Territory Authority established under the </w:t>
      </w:r>
      <w:r w:rsidRPr="00C04AA0">
        <w:rPr>
          <w:rStyle w:val="Italic"/>
        </w:rPr>
        <w:t>Independent Competition and Regulatory Commission Act 1997</w:t>
      </w:r>
      <w:r w:rsidRPr="00B5530C">
        <w:t xml:space="preserve"> (</w:t>
      </w:r>
      <w:r w:rsidR="00C04AA0">
        <w:t xml:space="preserve">the </w:t>
      </w:r>
      <w:r w:rsidRPr="00B5530C">
        <w:t>ICRC Act). The Commission is constituted under the ICRC Act by one or more standing</w:t>
      </w:r>
      <w:r w:rsidR="00767AA8">
        <w:t xml:space="preserve"> commissioners and </w:t>
      </w:r>
      <w:r w:rsidRPr="00B5530C">
        <w:t>any associated commissioners appointed for particular purposes. Commissioners are statutory appointments and the current Commissioners are Senior Commissioner Malcolm Gray and Commissioner Mike Buckley. We, the Commissioners who constitute the Commission, take direct responsibility for delivery of the outcomes of the Commission.</w:t>
      </w:r>
    </w:p>
    <w:p w:rsidR="000721C4" w:rsidRPr="00B5530C" w:rsidRDefault="000721C4" w:rsidP="0088522D">
      <w:pPr>
        <w:pStyle w:val="References"/>
        <w:jc w:val="center"/>
      </w:pPr>
      <w:r w:rsidRPr="00B5530C">
        <w:t xml:space="preserve">We have responsibilities for a broad range of regulatory and utility administrative matters. We have responsibility under the ICRC Act for regulating and advising government about pricing and other matters for monopoly, near-monopoly and ministerially declared regulated industries, </w:t>
      </w:r>
      <w:r w:rsidR="000271A9">
        <w:t xml:space="preserve">and </w:t>
      </w:r>
      <w:r w:rsidRPr="00B5530C">
        <w:t>providing advice on competitive neutrality complaints and government-regulated activities. We also have responsibility for arbitrating infrastructure access disputes under the ICRC Act. In discharging our objectives and functions, we provide independent</w:t>
      </w:r>
      <w:r w:rsidR="00D2715C">
        <w:t>,</w:t>
      </w:r>
      <w:r w:rsidRPr="00B5530C">
        <w:t xml:space="preserve"> robust analysis and advice.</w:t>
      </w:r>
    </w:p>
    <w:p w:rsidR="000721C4" w:rsidRPr="00B5530C" w:rsidRDefault="000721C4" w:rsidP="0088522D">
      <w:pPr>
        <w:pStyle w:val="References"/>
        <w:jc w:val="center"/>
      </w:pPr>
      <w:r w:rsidRPr="00B5530C">
        <w:t xml:space="preserve">Our objectives are set out in section 7 of the ICRC Act and section 3 of the </w:t>
      </w:r>
      <w:r w:rsidRPr="0036790F">
        <w:rPr>
          <w:i/>
        </w:rPr>
        <w:t>Utilities</w:t>
      </w:r>
      <w:r w:rsidR="0036790F">
        <w:rPr>
          <w:i/>
        </w:rPr>
        <w:t> </w:t>
      </w:r>
      <w:r w:rsidRPr="0036790F">
        <w:rPr>
          <w:i/>
        </w:rPr>
        <w:t>Act</w:t>
      </w:r>
      <w:r w:rsidR="0036790F">
        <w:rPr>
          <w:i/>
        </w:rPr>
        <w:t> </w:t>
      </w:r>
      <w:r w:rsidR="0036790F" w:rsidRPr="0036790F">
        <w:rPr>
          <w:i/>
        </w:rPr>
        <w:t>2000</w:t>
      </w:r>
      <w:r w:rsidRPr="00B5530C">
        <w:t>.</w:t>
      </w:r>
    </w:p>
    <w:p w:rsidR="000721C4" w:rsidRPr="00B5530C" w:rsidRDefault="000721C4" w:rsidP="0088522D">
      <w:pPr>
        <w:pStyle w:val="References"/>
        <w:jc w:val="center"/>
      </w:pPr>
      <w:r w:rsidRPr="00B5530C">
        <w:t xml:space="preserve">Correspondence or other inquiries may be directed to </w:t>
      </w:r>
      <w:r w:rsidR="00B2762C">
        <w:t>the Commission</w:t>
      </w:r>
      <w:r w:rsidRPr="00B5530C">
        <w:t xml:space="preserve"> at the </w:t>
      </w:r>
      <w:r w:rsidR="00314A3B">
        <w:t xml:space="preserve">following </w:t>
      </w:r>
      <w:r w:rsidRPr="00B5530C">
        <w:t>addresses:</w:t>
      </w:r>
    </w:p>
    <w:p w:rsidR="000721C4" w:rsidRPr="00B5530C" w:rsidRDefault="000721C4" w:rsidP="0088522D">
      <w:pPr>
        <w:pStyle w:val="References"/>
        <w:jc w:val="center"/>
      </w:pPr>
      <w:r w:rsidRPr="00B5530C">
        <w:t>Independent Competition and Regulatory Commission</w:t>
      </w:r>
      <w:r w:rsidRPr="00B5530C">
        <w:br/>
        <w:t>PO Box 161</w:t>
      </w:r>
      <w:r w:rsidRPr="00B5530C">
        <w:br/>
        <w:t>Civic Square ACT 2608</w:t>
      </w:r>
    </w:p>
    <w:p w:rsidR="000721C4" w:rsidRPr="00B5530C" w:rsidRDefault="000721C4" w:rsidP="0088522D">
      <w:pPr>
        <w:pStyle w:val="References"/>
        <w:jc w:val="center"/>
      </w:pPr>
      <w:r w:rsidRPr="00B5530C">
        <w:t>Level 8</w:t>
      </w:r>
      <w:r w:rsidRPr="00B5530C">
        <w:br/>
        <w:t>221 London Circuit</w:t>
      </w:r>
      <w:r w:rsidRPr="00B5530C">
        <w:br/>
        <w:t>Canberra ACT 2601</w:t>
      </w:r>
    </w:p>
    <w:p w:rsidR="000721C4" w:rsidRDefault="000721C4" w:rsidP="0088522D">
      <w:pPr>
        <w:pStyle w:val="References"/>
        <w:jc w:val="center"/>
      </w:pPr>
      <w:r w:rsidRPr="00B5530C">
        <w:t xml:space="preserve">We may be contacted at the above addresses, by telephone on (02) 6205 0799, or by fax on (02) 6207 5887. Our website is at </w:t>
      </w:r>
      <w:hyperlink r:id="rId14" w:history="1">
        <w:r w:rsidRPr="00B5530C">
          <w:rPr>
            <w:rStyle w:val="Hyperlink"/>
          </w:rPr>
          <w:t>www.icrc.act.gov.au</w:t>
        </w:r>
      </w:hyperlink>
      <w:r w:rsidRPr="00B5530C">
        <w:t xml:space="preserve"> and our email address is </w:t>
      </w:r>
      <w:hyperlink r:id="rId15" w:history="1">
        <w:r w:rsidRPr="00B5530C">
          <w:rPr>
            <w:rStyle w:val="Hyperlink"/>
          </w:rPr>
          <w:t>icrc@act.gov.au</w:t>
        </w:r>
      </w:hyperlink>
      <w:r w:rsidRPr="00B5530C">
        <w:t>.</w:t>
      </w:r>
    </w:p>
    <w:p w:rsidR="00341230" w:rsidRDefault="00341230" w:rsidP="008A1C91">
      <w:pPr>
        <w:pStyle w:val="References"/>
      </w:pPr>
    </w:p>
    <w:p w:rsidR="00341230" w:rsidRDefault="00341230" w:rsidP="008A1C91">
      <w:pPr>
        <w:pStyle w:val="References"/>
        <w:sectPr w:rsidR="00341230" w:rsidSect="00FD0141">
          <w:headerReference w:type="even" r:id="rId16"/>
          <w:headerReference w:type="default" r:id="rId17"/>
          <w:footerReference w:type="even" r:id="rId18"/>
          <w:footerReference w:type="default" r:id="rId19"/>
          <w:headerReference w:type="first" r:id="rId20"/>
          <w:endnotePr>
            <w:numFmt w:val="decimal"/>
          </w:endnotePr>
          <w:type w:val="oddPage"/>
          <w:pgSz w:w="11907" w:h="16840" w:code="9"/>
          <w:pgMar w:top="2268" w:right="2098" w:bottom="1701" w:left="2098" w:header="578" w:footer="578" w:gutter="0"/>
          <w:pgNumType w:fmt="lowerRoman" w:start="1"/>
          <w:cols w:space="720"/>
        </w:sectPr>
      </w:pPr>
    </w:p>
    <w:p w:rsidR="00180A18" w:rsidRDefault="00C7756B" w:rsidP="0088522D">
      <w:pPr>
        <w:pStyle w:val="Heading1a"/>
      </w:pPr>
      <w:bookmarkStart w:id="7" w:name="_Toc435700142"/>
      <w:bookmarkStart w:id="8" w:name="_Toc368572030"/>
      <w:r>
        <w:lastRenderedPageBreak/>
        <w:t>Foreword</w:t>
      </w:r>
      <w:bookmarkEnd w:id="7"/>
    </w:p>
    <w:p w:rsidR="00930636" w:rsidRPr="00930636" w:rsidRDefault="00930636" w:rsidP="00930636">
      <w:r w:rsidRPr="00930636">
        <w:t>During the 2012</w:t>
      </w:r>
      <w:r w:rsidR="00CC5DB0">
        <w:sym w:font="Symbol" w:char="F02D"/>
      </w:r>
      <w:r w:rsidRPr="00930636">
        <w:t>13 review of water and sewerage services, it became apparent that there was a desire in at least some segments of the community for a review of the structure of the tariff separate from community concern about the level of prices for these services. Although the Commission determined that changing the tariff structure was not urgent, we acknowledged the community desire for a review by committing to undertake such a review during the forthcoming, that is now current, regulatory period.</w:t>
      </w:r>
    </w:p>
    <w:p w:rsidR="00930636" w:rsidRPr="00930636" w:rsidRDefault="00930636" w:rsidP="00930636">
      <w:r w:rsidRPr="00930636">
        <w:t xml:space="preserve">This issues paper commences the promised process of review by outlining some of the principal issues that might be examined and inviting community participation in the review. </w:t>
      </w:r>
    </w:p>
    <w:p w:rsidR="00930636" w:rsidRPr="00930636" w:rsidRDefault="00930636" w:rsidP="00930636">
      <w:r w:rsidRPr="00930636">
        <w:t>Reviewing tariff structure</w:t>
      </w:r>
      <w:r w:rsidR="0077183E">
        <w:t>s</w:t>
      </w:r>
      <w:r w:rsidRPr="00930636">
        <w:t xml:space="preserve"> can involve excursions into some fairly obscure topics. To assist public understanding of the issues and to facilitate community involvement in their debate, we are planning a series of technical papers to be released during the first half of the review period. These will cover such issues as the elasticity of demand for water and marginal cost pricing.</w:t>
      </w:r>
    </w:p>
    <w:p w:rsidR="00930636" w:rsidRPr="00930636" w:rsidRDefault="00930636" w:rsidP="00930636">
      <w:r w:rsidRPr="00930636">
        <w:t>In order to maximise community involvement we are allowing a lengthy period for the receipt of submissions to be taken account of in our draft report, extending from now until 1 July 2016. During this period the three planned technical papers will be released, starting with the one on price elasticity in February 2016. Given the breadth of the issues involved in the review, we anticipate that it may be easier for interested parties to make a number of submissions, perhaps one in response to the issues paper and others in response to the technical papers as they are published, rather than waiting and making one omnibus submission. One of the purposes of the extended submission period is to accommodate such a sequence of submissions and we encourage interested parties to make as many submissions as they find necessary to present their views to the Commission.</w:t>
      </w:r>
    </w:p>
    <w:p w:rsidR="00930636" w:rsidRPr="00930636" w:rsidRDefault="00930636" w:rsidP="00930636">
      <w:r w:rsidRPr="00930636">
        <w:t>In this issues paper we have tried to provide a framework for organising and presenting the diverse range of issues relevant to a review of tariff structure. You should, however, regard this as facilitative rather than constraining. If you feel that our approach has led us to miss something important, please let us know.</w:t>
      </w:r>
    </w:p>
    <w:p w:rsidR="00180A18" w:rsidRPr="00930636" w:rsidRDefault="00930636" w:rsidP="00930636">
      <w:r w:rsidRPr="00930636">
        <w:t>I commend this issues paper to you and look forward to hearing your views on the structure of tariffs for water and sewerage services in the ACT.</w:t>
      </w:r>
    </w:p>
    <w:p w:rsidR="00930636" w:rsidRDefault="00930636" w:rsidP="008A1C91">
      <w:pPr>
        <w:pStyle w:val="References"/>
      </w:pPr>
    </w:p>
    <w:p w:rsidR="00646109" w:rsidRDefault="00180A18" w:rsidP="008A1C91">
      <w:pPr>
        <w:pStyle w:val="References"/>
      </w:pPr>
      <w:r>
        <w:t>Malcolm Gray</w:t>
      </w:r>
    </w:p>
    <w:p w:rsidR="00180A18" w:rsidRDefault="00180A18" w:rsidP="008A1C91">
      <w:pPr>
        <w:pStyle w:val="References"/>
      </w:pPr>
      <w:r>
        <w:t>Senior Commissioner</w:t>
      </w:r>
    </w:p>
    <w:p w:rsidR="00C7756B" w:rsidRPr="00C7756B" w:rsidRDefault="006D642E" w:rsidP="008A1C91">
      <w:pPr>
        <w:pStyle w:val="References"/>
      </w:pPr>
      <w:r>
        <w:t>23</w:t>
      </w:r>
      <w:r w:rsidR="00180A18">
        <w:t xml:space="preserve"> November 2015</w:t>
      </w:r>
      <w:r w:rsidR="00C7756B">
        <w:br w:type="page"/>
      </w:r>
    </w:p>
    <w:p w:rsidR="00341230" w:rsidRDefault="00341230" w:rsidP="0088522D">
      <w:pPr>
        <w:pStyle w:val="Heading1a"/>
      </w:pPr>
      <w:bookmarkStart w:id="9" w:name="_Toc435700143"/>
      <w:r w:rsidRPr="001E53CC">
        <w:lastRenderedPageBreak/>
        <w:t>How to make a submission</w:t>
      </w:r>
      <w:bookmarkEnd w:id="8"/>
      <w:bookmarkEnd w:id="9"/>
    </w:p>
    <w:tbl>
      <w:tblPr>
        <w:tblW w:w="49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780"/>
      </w:tblGrid>
      <w:tr w:rsidR="00341230" w:rsidRPr="00C6335A" w:rsidTr="00FD2BFE">
        <w:tc>
          <w:tcPr>
            <w:tcW w:w="5000" w:type="pct"/>
          </w:tcPr>
          <w:p w:rsidR="00341230" w:rsidRDefault="00341230" w:rsidP="00B222E3">
            <w:pPr>
              <w:rPr>
                <w:lang w:val="en-AU"/>
              </w:rPr>
            </w:pPr>
            <w:r w:rsidRPr="004834A1">
              <w:rPr>
                <w:lang w:val="en-AU"/>
              </w:rPr>
              <w:t>Th</w:t>
            </w:r>
            <w:r w:rsidR="0005566A">
              <w:rPr>
                <w:lang w:val="en-AU"/>
              </w:rPr>
              <w:t>is</w:t>
            </w:r>
            <w:r w:rsidRPr="004834A1">
              <w:rPr>
                <w:lang w:val="en-AU"/>
              </w:rPr>
              <w:t xml:space="preserve"> </w:t>
            </w:r>
            <w:r>
              <w:t xml:space="preserve">issues paper </w:t>
            </w:r>
            <w:r w:rsidRPr="004834A1">
              <w:rPr>
                <w:lang w:val="en-AU"/>
              </w:rPr>
              <w:t>provides a</w:t>
            </w:r>
            <w:r>
              <w:rPr>
                <w:lang w:val="en-AU"/>
              </w:rPr>
              <w:t>n</w:t>
            </w:r>
            <w:r w:rsidRPr="004834A1">
              <w:rPr>
                <w:lang w:val="en-AU"/>
              </w:rPr>
              <w:t xml:space="preserve"> opportunity for </w:t>
            </w:r>
            <w:r>
              <w:rPr>
                <w:lang w:val="en-AU"/>
              </w:rPr>
              <w:t>stakeholders</w:t>
            </w:r>
            <w:r w:rsidRPr="004834A1">
              <w:rPr>
                <w:lang w:val="en-AU"/>
              </w:rPr>
              <w:t xml:space="preserve"> to inform the </w:t>
            </w:r>
            <w:r>
              <w:t xml:space="preserve">development of </w:t>
            </w:r>
            <w:r w:rsidR="00E85DDD">
              <w:t>the</w:t>
            </w:r>
            <w:r w:rsidR="000C33DA">
              <w:t xml:space="preserve"> </w:t>
            </w:r>
            <w:r>
              <w:t xml:space="preserve">draft </w:t>
            </w:r>
            <w:r w:rsidRPr="004834A1">
              <w:rPr>
                <w:lang w:val="en-AU"/>
              </w:rPr>
              <w:t>report. It will also ensure that relevant information and views are made public and brought to the Commission</w:t>
            </w:r>
            <w:r>
              <w:rPr>
                <w:lang w:val="en-AU"/>
              </w:rPr>
              <w:t>’</w:t>
            </w:r>
            <w:r w:rsidRPr="004834A1">
              <w:rPr>
                <w:lang w:val="en-AU"/>
              </w:rPr>
              <w:t>s attention.</w:t>
            </w:r>
          </w:p>
          <w:p w:rsidR="00341230" w:rsidRPr="00C6335A" w:rsidRDefault="00341230" w:rsidP="00B222E3">
            <w:pPr>
              <w:rPr>
                <w:rFonts w:eastAsia="SimSun"/>
                <w:lang w:val="en-AU"/>
              </w:rPr>
            </w:pPr>
            <w:r w:rsidRPr="00C6335A">
              <w:rPr>
                <w:rFonts w:eastAsia="SimSun"/>
                <w:lang w:val="en-AU"/>
              </w:rPr>
              <w:t>Submissions may be mailed to the Commission at:</w:t>
            </w:r>
          </w:p>
          <w:p w:rsidR="00341230" w:rsidRPr="00C6335A" w:rsidRDefault="00341230" w:rsidP="00B222E3">
            <w:pPr>
              <w:rPr>
                <w:rFonts w:eastAsia="SimSun"/>
                <w:lang w:val="en-AU"/>
              </w:rPr>
            </w:pPr>
            <w:r w:rsidRPr="00C6335A">
              <w:rPr>
                <w:rFonts w:eastAsia="SimSun"/>
                <w:lang w:val="en-AU"/>
              </w:rPr>
              <w:t>Independent Competition and R</w:t>
            </w:r>
            <w:r>
              <w:rPr>
                <w:rFonts w:eastAsia="SimSun"/>
                <w:lang w:val="en-AU"/>
              </w:rPr>
              <w:t>egulatory Commission</w:t>
            </w:r>
            <w:r>
              <w:rPr>
                <w:rFonts w:eastAsia="SimSun"/>
                <w:lang w:val="en-AU"/>
              </w:rPr>
              <w:br/>
              <w:t>PO Box 161</w:t>
            </w:r>
            <w:r>
              <w:rPr>
                <w:rFonts w:eastAsia="SimSun"/>
                <w:lang w:val="en-AU"/>
              </w:rPr>
              <w:br/>
              <w:t>Civic Square</w:t>
            </w:r>
            <w:r w:rsidRPr="00C6335A">
              <w:rPr>
                <w:rFonts w:eastAsia="SimSun"/>
                <w:lang w:val="en-AU"/>
              </w:rPr>
              <w:t xml:space="preserve"> ACT</w:t>
            </w:r>
            <w:r>
              <w:rPr>
                <w:rFonts w:eastAsia="SimSun"/>
                <w:lang w:val="en-AU"/>
              </w:rPr>
              <w:t xml:space="preserve"> </w:t>
            </w:r>
            <w:r w:rsidRPr="00C6335A">
              <w:rPr>
                <w:rFonts w:eastAsia="SimSun"/>
                <w:lang w:val="en-AU"/>
              </w:rPr>
              <w:t>260</w:t>
            </w:r>
            <w:r>
              <w:rPr>
                <w:rFonts w:eastAsia="SimSun"/>
                <w:lang w:val="en-AU"/>
              </w:rPr>
              <w:t>8</w:t>
            </w:r>
          </w:p>
          <w:p w:rsidR="00341230" w:rsidRDefault="00341230" w:rsidP="00B222E3">
            <w:pPr>
              <w:rPr>
                <w:rFonts w:eastAsia="SimSun"/>
                <w:lang w:val="en-AU"/>
              </w:rPr>
            </w:pPr>
            <w:r w:rsidRPr="00C6335A">
              <w:rPr>
                <w:rFonts w:eastAsia="SimSun"/>
                <w:lang w:val="en-AU"/>
              </w:rPr>
              <w:t xml:space="preserve">Alternatively, submissions may be emailed to the Commission at </w:t>
            </w:r>
            <w:hyperlink r:id="rId21" w:history="1">
              <w:r w:rsidRPr="00C36951">
                <w:rPr>
                  <w:rFonts w:eastAsia="SimSun"/>
                  <w:lang w:val="en-AU"/>
                </w:rPr>
                <w:t>icrc@act.gov.au</w:t>
              </w:r>
            </w:hyperlink>
            <w:r w:rsidRPr="00C6335A">
              <w:rPr>
                <w:rFonts w:eastAsia="SimSun"/>
                <w:lang w:val="en-AU"/>
              </w:rPr>
              <w:t>.</w:t>
            </w:r>
            <w:r>
              <w:rPr>
                <w:rFonts w:eastAsia="SimSun"/>
                <w:lang w:val="en-AU"/>
              </w:rPr>
              <w:t xml:space="preserve"> </w:t>
            </w:r>
            <w:r w:rsidRPr="00692BCF">
              <w:rPr>
                <w:rFonts w:eastAsia="SimSun"/>
                <w:lang w:val="en-AU"/>
              </w:rPr>
              <w:t xml:space="preserve">The </w:t>
            </w:r>
            <w:r>
              <w:rPr>
                <w:rFonts w:eastAsia="SimSun"/>
                <w:lang w:val="en-AU"/>
              </w:rPr>
              <w:t xml:space="preserve">Commission </w:t>
            </w:r>
            <w:r w:rsidRPr="00692BCF">
              <w:rPr>
                <w:rFonts w:eastAsia="SimSun"/>
                <w:lang w:val="en-AU"/>
              </w:rPr>
              <w:t>encourages</w:t>
            </w:r>
            <w:r>
              <w:rPr>
                <w:rFonts w:eastAsia="SimSun"/>
                <w:lang w:val="en-AU"/>
              </w:rPr>
              <w:t xml:space="preserve"> stakeholders </w:t>
            </w:r>
            <w:r w:rsidRPr="00692BCF">
              <w:rPr>
                <w:rFonts w:eastAsia="SimSun"/>
                <w:lang w:val="en-AU"/>
              </w:rPr>
              <w:t>to make submissions in either Microsoft Word format or PDF (OCR</w:t>
            </w:r>
            <w:r>
              <w:rPr>
                <w:rFonts w:eastAsia="SimSun"/>
                <w:lang w:val="en-AU"/>
              </w:rPr>
              <w:t xml:space="preserve"> </w:t>
            </w:r>
            <w:r w:rsidRPr="00692BCF">
              <w:rPr>
                <w:rFonts w:eastAsia="SimSun"/>
                <w:lang w:val="en-AU"/>
              </w:rPr>
              <w:t>readable text format</w:t>
            </w:r>
            <w:r>
              <w:rPr>
                <w:rFonts w:eastAsia="SimSun"/>
                <w:lang w:val="en-AU"/>
              </w:rPr>
              <w:t xml:space="preserve"> – </w:t>
            </w:r>
            <w:r w:rsidRPr="00692BCF">
              <w:rPr>
                <w:rFonts w:eastAsia="SimSun"/>
                <w:lang w:val="en-AU"/>
              </w:rPr>
              <w:t>that is</w:t>
            </w:r>
            <w:r>
              <w:rPr>
                <w:rFonts w:eastAsia="SimSun"/>
                <w:lang w:val="en-AU"/>
              </w:rPr>
              <w:t>,</w:t>
            </w:r>
            <w:r w:rsidRPr="00692BCF">
              <w:rPr>
                <w:rFonts w:eastAsia="SimSun"/>
                <w:lang w:val="en-AU"/>
              </w:rPr>
              <w:t xml:space="preserve"> they should be direct conversions from the word</w:t>
            </w:r>
            <w:r>
              <w:rPr>
                <w:rFonts w:eastAsia="SimSun"/>
                <w:lang w:val="en-AU"/>
              </w:rPr>
              <w:t>-</w:t>
            </w:r>
            <w:r w:rsidRPr="00692BCF">
              <w:rPr>
                <w:rFonts w:eastAsia="SimSun"/>
                <w:lang w:val="en-AU"/>
              </w:rPr>
              <w:t>processing program, rather than scanned copies in which the text cannot be searched)</w:t>
            </w:r>
            <w:r>
              <w:rPr>
                <w:rFonts w:eastAsia="SimSun"/>
                <w:lang w:val="en-AU"/>
              </w:rPr>
              <w:t>.</w:t>
            </w:r>
          </w:p>
          <w:p w:rsidR="00341230" w:rsidRPr="002D502F" w:rsidRDefault="00341230" w:rsidP="00B222E3">
            <w:pPr>
              <w:rPr>
                <w:rFonts w:eastAsia="SimSun"/>
                <w:lang w:val="en-AU"/>
              </w:rPr>
            </w:pPr>
            <w:r w:rsidRPr="00E5541B">
              <w:rPr>
                <w:rFonts w:eastAsia="SimSun"/>
                <w:lang w:val="en-AU"/>
              </w:rPr>
              <w:t>For submissions received from individuals, all personal details (for example</w:t>
            </w:r>
            <w:r>
              <w:rPr>
                <w:rFonts w:eastAsia="SimSun"/>
                <w:lang w:val="en-AU"/>
              </w:rPr>
              <w:t>,</w:t>
            </w:r>
            <w:r w:rsidRPr="00E5541B">
              <w:rPr>
                <w:rFonts w:eastAsia="SimSun"/>
                <w:lang w:val="en-AU"/>
              </w:rPr>
              <w:t xml:space="preserve"> home and email address</w:t>
            </w:r>
            <w:r>
              <w:rPr>
                <w:rFonts w:eastAsia="SimSun"/>
                <w:lang w:val="en-AU"/>
              </w:rPr>
              <w:t>es</w:t>
            </w:r>
            <w:r w:rsidRPr="00E5541B">
              <w:rPr>
                <w:rFonts w:eastAsia="SimSun"/>
                <w:lang w:val="en-AU"/>
              </w:rPr>
              <w:t xml:space="preserve">, </w:t>
            </w:r>
            <w:r>
              <w:rPr>
                <w:rFonts w:eastAsia="SimSun"/>
                <w:lang w:val="en-AU"/>
              </w:rPr>
              <w:t>and tele</w:t>
            </w:r>
            <w:r w:rsidRPr="00E5541B">
              <w:rPr>
                <w:rFonts w:eastAsia="SimSun"/>
                <w:lang w:val="en-AU"/>
              </w:rPr>
              <w:t>phone and fax number</w:t>
            </w:r>
            <w:r>
              <w:rPr>
                <w:rFonts w:eastAsia="SimSun"/>
                <w:lang w:val="en-AU"/>
              </w:rPr>
              <w:t>s</w:t>
            </w:r>
            <w:r w:rsidRPr="00E5541B">
              <w:rPr>
                <w:rFonts w:eastAsia="SimSun"/>
                <w:lang w:val="en-AU"/>
              </w:rPr>
              <w:t xml:space="preserve">) will be removed for privacy reasons before </w:t>
            </w:r>
            <w:r>
              <w:rPr>
                <w:rFonts w:eastAsia="SimSun"/>
                <w:lang w:val="en-AU"/>
              </w:rPr>
              <w:t>the submissions</w:t>
            </w:r>
            <w:r w:rsidRPr="00E5541B">
              <w:rPr>
                <w:rFonts w:eastAsia="SimSun"/>
                <w:lang w:val="en-AU"/>
              </w:rPr>
              <w:t xml:space="preserve"> </w:t>
            </w:r>
            <w:r>
              <w:rPr>
                <w:rFonts w:eastAsia="SimSun"/>
                <w:lang w:val="en-AU"/>
              </w:rPr>
              <w:t>are</w:t>
            </w:r>
            <w:r w:rsidRPr="00E5541B">
              <w:rPr>
                <w:rFonts w:eastAsia="SimSun"/>
                <w:lang w:val="en-AU"/>
              </w:rPr>
              <w:t xml:space="preserve"> published on the website.</w:t>
            </w:r>
          </w:p>
          <w:p w:rsidR="00341230" w:rsidRDefault="00341230" w:rsidP="00B222E3">
            <w:pPr>
              <w:rPr>
                <w:rFonts w:eastAsia="SimSun"/>
                <w:lang w:val="en-AU"/>
              </w:rPr>
            </w:pPr>
            <w:r w:rsidRPr="00C6335A">
              <w:rPr>
                <w:rFonts w:eastAsia="SimSun"/>
                <w:lang w:val="en-AU"/>
              </w:rPr>
              <w:t xml:space="preserve">The Commission is guided by and believes strongly in the principles of openness, transparency, consistency and accountability. Public consultation is a crucial element of </w:t>
            </w:r>
            <w:r>
              <w:rPr>
                <w:rFonts w:eastAsia="SimSun"/>
                <w:lang w:val="en-AU"/>
              </w:rPr>
              <w:t xml:space="preserve">the </w:t>
            </w:r>
            <w:r w:rsidRPr="00C6335A">
              <w:rPr>
                <w:rFonts w:eastAsia="SimSun"/>
                <w:lang w:val="en-AU"/>
              </w:rPr>
              <w:t>Commission</w:t>
            </w:r>
            <w:r>
              <w:rPr>
                <w:rFonts w:eastAsia="SimSun"/>
                <w:lang w:val="en-AU"/>
              </w:rPr>
              <w:t>’</w:t>
            </w:r>
            <w:r w:rsidRPr="00C6335A">
              <w:rPr>
                <w:rFonts w:eastAsia="SimSun"/>
                <w:lang w:val="en-AU"/>
              </w:rPr>
              <w:t xml:space="preserve">s processes. </w:t>
            </w:r>
            <w:r>
              <w:rPr>
                <w:rFonts w:eastAsia="SimSun"/>
                <w:lang w:val="en-AU"/>
              </w:rPr>
              <w:t>T</w:t>
            </w:r>
            <w:r w:rsidRPr="00FB72CD">
              <w:t>he Commission</w:t>
            </w:r>
            <w:r>
              <w:t>’</w:t>
            </w:r>
            <w:r w:rsidRPr="00FB72CD">
              <w:t xml:space="preserve">s preference </w:t>
            </w:r>
            <w:r w:rsidR="00C3310E">
              <w:t xml:space="preserve">is </w:t>
            </w:r>
            <w:r w:rsidRPr="00FB72CD">
              <w:t>that all submissions it receives be treated as public and be published on the Commission</w:t>
            </w:r>
            <w:r>
              <w:t>’</w:t>
            </w:r>
            <w:r w:rsidRPr="00FB72CD">
              <w:t xml:space="preserve">s website unless the author of the submission indicates clearly that all or part of the submission is confidential and not to be made available publicly. Where confidential material is claimed, the Commission prefers that this be under a separate cover and clearly marked </w:t>
            </w:r>
            <w:r>
              <w:t>‘</w:t>
            </w:r>
            <w:r w:rsidRPr="00FB72CD">
              <w:t>In Confidence</w:t>
            </w:r>
            <w:r>
              <w:t>’</w:t>
            </w:r>
            <w:r w:rsidRPr="00FB72CD">
              <w:t>. The Commission will assess the author</w:t>
            </w:r>
            <w:r>
              <w:t>’</w:t>
            </w:r>
            <w:r w:rsidRPr="00FB72CD">
              <w:t>s claim and discuss appropriate steps to ensure that confidential material is</w:t>
            </w:r>
            <w:r w:rsidRPr="00FF5F02">
              <w:t xml:space="preserve"> protected while</w:t>
            </w:r>
            <w:r w:rsidRPr="00C6335A">
              <w:rPr>
                <w:rFonts w:eastAsia="SimSun"/>
                <w:lang w:val="en-AU"/>
              </w:rPr>
              <w:t xml:space="preserve"> maintaining the principles of openness, transparency, consistency and accountability.</w:t>
            </w:r>
          </w:p>
          <w:p w:rsidR="00341230" w:rsidRPr="00C6335A" w:rsidRDefault="00341230" w:rsidP="00B222E3">
            <w:pPr>
              <w:rPr>
                <w:rFonts w:eastAsia="SimSun"/>
                <w:lang w:val="en-AU"/>
              </w:rPr>
            </w:pPr>
            <w:r>
              <w:rPr>
                <w:rFonts w:eastAsia="SimSun"/>
                <w:lang w:val="en-AU"/>
              </w:rPr>
              <w:t xml:space="preserve">We </w:t>
            </w:r>
            <w:r w:rsidRPr="00C6335A">
              <w:rPr>
                <w:rFonts w:eastAsia="SimSun"/>
                <w:lang w:val="en-AU"/>
              </w:rPr>
              <w:t>may be contacted at the above addresses, by telephone on (02)</w:t>
            </w:r>
            <w:r>
              <w:rPr>
                <w:rFonts w:eastAsia="SimSun"/>
                <w:lang w:val="en-AU"/>
              </w:rPr>
              <w:t> </w:t>
            </w:r>
            <w:r w:rsidRPr="00C6335A">
              <w:rPr>
                <w:rFonts w:eastAsia="SimSun"/>
                <w:lang w:val="en-AU"/>
              </w:rPr>
              <w:t>6205</w:t>
            </w:r>
            <w:r>
              <w:rPr>
                <w:rFonts w:eastAsia="SimSun"/>
                <w:lang w:val="en-AU"/>
              </w:rPr>
              <w:t> </w:t>
            </w:r>
            <w:r w:rsidRPr="00C6335A">
              <w:rPr>
                <w:rFonts w:eastAsia="SimSun"/>
                <w:lang w:val="en-AU"/>
              </w:rPr>
              <w:t>0799 or by fax on (02) 6207 5887. The Commission</w:t>
            </w:r>
            <w:r>
              <w:rPr>
                <w:rFonts w:eastAsia="SimSun"/>
                <w:lang w:val="en-AU"/>
              </w:rPr>
              <w:t>’</w:t>
            </w:r>
            <w:r w:rsidRPr="00C6335A">
              <w:rPr>
                <w:rFonts w:eastAsia="SimSun"/>
                <w:lang w:val="en-AU"/>
              </w:rPr>
              <w:t>s website is at www.icrc.act.gov.au.</w:t>
            </w:r>
          </w:p>
          <w:p w:rsidR="00341230" w:rsidRPr="00C6335A" w:rsidRDefault="00E41453" w:rsidP="002114D5">
            <w:pPr>
              <w:rPr>
                <w:rFonts w:eastAsia="SimSun"/>
              </w:rPr>
            </w:pPr>
            <w:r>
              <w:t>The closing time</w:t>
            </w:r>
            <w:r w:rsidR="00E85DDD">
              <w:t xml:space="preserve"> for s</w:t>
            </w:r>
            <w:r w:rsidR="00341230" w:rsidRPr="00C6335A">
              <w:rPr>
                <w:rFonts w:eastAsia="SimSun"/>
              </w:rPr>
              <w:t xml:space="preserve">ubmissions on the </w:t>
            </w:r>
            <w:r w:rsidR="00341230">
              <w:rPr>
                <w:rFonts w:eastAsia="SimSun"/>
              </w:rPr>
              <w:t>issues paper</w:t>
            </w:r>
            <w:r w:rsidR="00341230" w:rsidRPr="00C6335A">
              <w:rPr>
                <w:rFonts w:eastAsia="SimSun"/>
              </w:rPr>
              <w:t xml:space="preserve"> </w:t>
            </w:r>
            <w:r w:rsidR="00E85DDD">
              <w:t xml:space="preserve">and subsequent technical papers is </w:t>
            </w:r>
            <w:r w:rsidR="00341230" w:rsidRPr="00DB3C19">
              <w:rPr>
                <w:rFonts w:eastAsia="SimSun"/>
                <w:b/>
              </w:rPr>
              <w:t>5 pm</w:t>
            </w:r>
            <w:r>
              <w:rPr>
                <w:rFonts w:eastAsia="SimSun"/>
                <w:b/>
              </w:rPr>
              <w:t xml:space="preserve"> on Friday</w:t>
            </w:r>
            <w:r w:rsidR="00341230" w:rsidRPr="00DB3C19">
              <w:rPr>
                <w:rFonts w:eastAsia="SimSun"/>
                <w:b/>
              </w:rPr>
              <w:t xml:space="preserve">, </w:t>
            </w:r>
            <w:r w:rsidR="005D0250" w:rsidRPr="005D0250">
              <w:rPr>
                <w:rStyle w:val="Bold"/>
              </w:rPr>
              <w:t>1</w:t>
            </w:r>
            <w:r w:rsidR="005D0250">
              <w:rPr>
                <w:rStyle w:val="Bold"/>
              </w:rPr>
              <w:t> </w:t>
            </w:r>
            <w:r w:rsidR="00341230" w:rsidRPr="005D0250">
              <w:rPr>
                <w:rStyle w:val="Bold"/>
              </w:rPr>
              <w:t>J</w:t>
            </w:r>
            <w:r w:rsidR="005D0250" w:rsidRPr="005D0250">
              <w:rPr>
                <w:rStyle w:val="Bold"/>
              </w:rPr>
              <w:t>uly</w:t>
            </w:r>
            <w:r w:rsidR="00341230" w:rsidRPr="005D0250">
              <w:rPr>
                <w:rStyle w:val="Bold"/>
              </w:rPr>
              <w:t> 2016</w:t>
            </w:r>
            <w:r w:rsidR="00341230" w:rsidRPr="00DB3C19">
              <w:rPr>
                <w:rStyle w:val="Bold"/>
              </w:rPr>
              <w:t>.</w:t>
            </w:r>
          </w:p>
        </w:tc>
      </w:tr>
    </w:tbl>
    <w:p w:rsidR="00341230" w:rsidRDefault="00341230" w:rsidP="008A1C91">
      <w:pPr>
        <w:pStyle w:val="References"/>
      </w:pPr>
    </w:p>
    <w:p w:rsidR="00043BCD" w:rsidRDefault="00043BCD" w:rsidP="008A1C91">
      <w:pPr>
        <w:pStyle w:val="References"/>
      </w:pPr>
    </w:p>
    <w:p w:rsidR="00866575" w:rsidRDefault="00866575" w:rsidP="008A1C91">
      <w:pPr>
        <w:pStyle w:val="References"/>
        <w:sectPr w:rsidR="00866575" w:rsidSect="00FD0141">
          <w:headerReference w:type="even" r:id="rId22"/>
          <w:headerReference w:type="default" r:id="rId23"/>
          <w:footerReference w:type="default" r:id="rId24"/>
          <w:headerReference w:type="first" r:id="rId25"/>
          <w:endnotePr>
            <w:numFmt w:val="decimal"/>
          </w:endnotePr>
          <w:type w:val="oddPage"/>
          <w:pgSz w:w="11907" w:h="16840" w:code="9"/>
          <w:pgMar w:top="2268" w:right="2098" w:bottom="1701" w:left="2098" w:header="578" w:footer="578" w:gutter="0"/>
          <w:pgNumType w:fmt="lowerRoman" w:start="1"/>
          <w:cols w:space="720"/>
        </w:sectPr>
      </w:pPr>
    </w:p>
    <w:p w:rsidR="00866575" w:rsidRDefault="00A7215E" w:rsidP="0088522D">
      <w:pPr>
        <w:pStyle w:val="Heading1a"/>
      </w:pPr>
      <w:bookmarkStart w:id="10" w:name="Tariff_review_at_a_glance"/>
      <w:bookmarkEnd w:id="10"/>
      <w:r>
        <w:rPr>
          <w:noProof/>
          <w:lang w:eastAsia="en-AU"/>
        </w:rPr>
        <w:lastRenderedPageBreak/>
        <w:pict>
          <v:roundrect id="AutoShape 16" o:spid="_x0000_s1027" style="position:absolute;margin-left:350.95pt;margin-top:26.15pt;width:288.45pt;height:55.3pt;z-index:251669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" fillcolor="white [3212]" strokecolor="#ccc0d9 [1303]" strokeweight="1pt">
            <v:shadow color="#7f7f7f [1601]" opacity=".5" offset="1pt"/>
            <v:textbox>
              <w:txbxContent>
                <w:p w:rsidR="003766AB" w:rsidRPr="00D42F45" w:rsidRDefault="003766AB" w:rsidP="00360AB8">
                  <w:pPr>
                    <w:rPr>
                      <w:color w:val="7030A0"/>
                      <w:sz w:val="24"/>
                      <w:szCs w:val="24"/>
                    </w:rPr>
                  </w:pPr>
                  <w:r w:rsidRPr="00D42F45">
                    <w:rPr>
                      <w:color w:val="7030A0"/>
                      <w:sz w:val="24"/>
                      <w:szCs w:val="24"/>
                    </w:rPr>
                    <w:t>Context is important as i</w:t>
                  </w:r>
                  <w:r>
                    <w:rPr>
                      <w:color w:val="7030A0"/>
                      <w:sz w:val="24"/>
                      <w:szCs w:val="24"/>
                    </w:rPr>
                    <w:t>t sets the scene for the review. It also informs the numerous matters that will be analysed and discussed during the review process.</w:t>
                  </w:r>
                </w:p>
              </w:txbxContent>
            </v:textbox>
          </v:roundrect>
        </w:pict>
      </w:r>
      <w:r>
        <w:rPr>
          <w:noProof/>
          <w:lang w:eastAsia="en-AU"/>
        </w:rPr>
        <w:pict>
          <v:roundrect id="AutoShape 26" o:spid="_x0000_s1028" style="position:absolute;margin-left:-41.85pt;margin-top:31.35pt;width:243.3pt;height:55.3pt;z-index:2516787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" fillcolor="white [3212]" strokecolor="#ccc0d9 [1303]" strokeweight="1pt">
            <v:shadow color="#7f7f7f [1601]" opacity=".5" offset="1pt"/>
            <v:textbox>
              <w:txbxContent>
                <w:p w:rsidR="003766AB" w:rsidRPr="001D300C" w:rsidRDefault="003766AB" w:rsidP="00077DFC">
                  <w:pPr>
                    <w:rPr>
                      <w:color w:val="4F6228" w:themeColor="accent3" w:themeShade="80"/>
                      <w:sz w:val="24"/>
                      <w:szCs w:val="24"/>
                    </w:rPr>
                  </w:pPr>
                  <w:r>
                    <w:rPr>
                      <w:color w:val="4F6228" w:themeColor="accent3" w:themeShade="80"/>
                      <w:sz w:val="24"/>
                      <w:szCs w:val="24"/>
                    </w:rPr>
                    <w:t>This chapter i</w:t>
                  </w:r>
                  <w:r w:rsidRPr="001D300C">
                    <w:rPr>
                      <w:color w:val="4F6228" w:themeColor="accent3" w:themeShade="80"/>
                      <w:sz w:val="24"/>
                      <w:szCs w:val="24"/>
                    </w:rPr>
                    <w:t>ntroduc</w:t>
                  </w:r>
                  <w:r>
                    <w:rPr>
                      <w:color w:val="4F6228" w:themeColor="accent3" w:themeShade="80"/>
                      <w:sz w:val="24"/>
                      <w:szCs w:val="24"/>
                    </w:rPr>
                    <w:t>es</w:t>
                  </w:r>
                  <w:r w:rsidRPr="001D300C">
                    <w:rPr>
                      <w:color w:val="4F6228" w:themeColor="accent3" w:themeShade="80"/>
                      <w:sz w:val="24"/>
                      <w:szCs w:val="24"/>
                    </w:rPr>
                    <w:t xml:space="preserve"> the Commission’s review of Icon Water’s water</w:t>
                  </w:r>
                  <w:r>
                    <w:rPr>
                      <w:color w:val="4F6228" w:themeColor="accent3" w:themeShade="80"/>
                      <w:sz w:val="24"/>
                      <w:szCs w:val="24"/>
                    </w:rPr>
                    <w:t xml:space="preserve"> and sewerage services tariffs.</w:t>
                  </w:r>
                </w:p>
              </w:txbxContent>
            </v:textbox>
          </v:roundrect>
        </w:pict>
      </w:r>
      <w:r>
        <w:rPr>
          <w:noProof/>
          <w:lang w:eastAsia="en-AU"/>
        </w:rPr>
        <w:pict>
          <v:roundrect id="AutoShape 23" o:spid="_x0000_s1029" href="#Chap1" title="Chapter 1: Introduction" style="position:absolute;margin-left:-41.85pt;margin-top:86.5pt;width:99.2pt;height:56.7pt;z-index:2516756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" o:button="t" fillcolor="#4e6128 [1606]" strokecolor="white [3212]" strokeweight="0">
            <v:fill o:detectmouseclick="t"/>
            <v:shadow color="#7f7f7f [1601]" opacity=".5" offset="1pt"/>
            <v:textbox>
              <w:txbxContent>
                <w:p w:rsidR="003766AB" w:rsidRPr="005E6520" w:rsidRDefault="003766AB" w:rsidP="00077DFC">
                  <w:pPr>
                    <w:jc w:val="center"/>
                    <w:rPr>
                      <w:b/>
                      <w:color w:val="FFFFFF" w:themeColor="background1"/>
                      <w:sz w:val="28"/>
                      <w:szCs w:val="28"/>
                    </w:rPr>
                  </w:pPr>
                  <w:r w:rsidRPr="005E6520">
                    <w:rPr>
                      <w:b/>
                      <w:color w:val="FFFFFF" w:themeColor="background1"/>
                      <w:sz w:val="28"/>
                      <w:szCs w:val="28"/>
                    </w:rPr>
                    <w:t>Chapter 1: Introduction</w:t>
                  </w:r>
                </w:p>
              </w:txbxContent>
            </v:textbox>
          </v:roundrect>
        </w:pict>
      </w:r>
      <w:bookmarkStart w:id="11" w:name="_Toc435700144"/>
      <w:r w:rsidR="00591C46">
        <w:t>T</w:t>
      </w:r>
      <w:r w:rsidR="009265C3">
        <w:t>ariff review at a glance</w:t>
      </w:r>
      <w:r w:rsidR="00691244">
        <w:t>:</w:t>
      </w:r>
      <w:r w:rsidR="00D71E7D">
        <w:t xml:space="preserve"> </w:t>
      </w:r>
      <w:r w:rsidR="00691244">
        <w:t>C</w:t>
      </w:r>
      <w:r w:rsidR="00D71E7D">
        <w:t>lick and go</w:t>
      </w:r>
      <w:bookmarkEnd w:id="11"/>
    </w:p>
    <w:p w:rsidR="00866575" w:rsidRDefault="00866575" w:rsidP="008A1C91">
      <w:pPr>
        <w:pStyle w:val="References"/>
      </w:pPr>
    </w:p>
    <w:p w:rsidR="00866575" w:rsidRDefault="00A7215E" w:rsidP="008A1C91">
      <w:pPr>
        <w:pStyle w:val="References"/>
      </w:pPr>
      <w:r>
        <w:rPr>
          <w:noProof/>
          <w:lang w:val="en-AU" w:eastAsia="en-AU"/>
        </w:rPr>
        <w:pict>
          <v:roundrect id="AutoShape 12" o:spid="_x0000_s1030" href="#Chap2" title="Chapter 2: Context" style="position:absolute;left:0;text-align:left;margin-left:350.85pt;margin-top:17.3pt;width:99.2pt;height:63.55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" o:button="t" fillcolor="#3f3151 [1607]" strokecolor="white [3212]" strokeweight="0">
            <v:fill o:detectmouseclick="t"/>
            <v:shadow color="#7f7f7f [1601]" opacity=".5" offset="1pt"/>
            <v:textbox>
              <w:txbxContent>
                <w:p w:rsidR="003766AB" w:rsidRPr="00FD48F8" w:rsidRDefault="003766AB" w:rsidP="00667089">
                  <w:pPr>
                    <w:jc w:val="center"/>
                    <w:rPr>
                      <w:b/>
                      <w:color w:val="FFFFFF" w:themeColor="background1"/>
                      <w:sz w:val="28"/>
                      <w:szCs w:val="28"/>
                    </w:rPr>
                  </w:pPr>
                  <w:r w:rsidRPr="00FD48F8">
                    <w:rPr>
                      <w:b/>
                      <w:color w:val="FFFFFF" w:themeColor="background1"/>
                      <w:sz w:val="28"/>
                      <w:szCs w:val="28"/>
                    </w:rPr>
                    <w:t>Chapter 2: Context</w:t>
                  </w:r>
                  <w:r>
                    <w:rPr>
                      <w:b/>
                      <w:color w:val="FFFFFF" w:themeColor="background1"/>
                      <w:sz w:val="28"/>
                      <w:szCs w:val="28"/>
                    </w:rPr>
                    <w:t xml:space="preserve"> for the review</w:t>
                  </w:r>
                </w:p>
              </w:txbxContent>
            </v:textbox>
          </v:roundrect>
        </w:pict>
      </w:r>
      <w:r>
        <w:rPr>
          <w:noProof/>
          <w:lang w:val="en-AU" w:eastAsia="en-AU"/>
        </w:rPr>
        <w:pict>
          <v:roundrect id="AutoShape 30" o:spid="_x0000_s1031" href="#Reg_context" title="Regulatory context " style="position:absolute;left:0;text-align:left;margin-left:451pt;margin-top:19.35pt;width:194.15pt;height:25.65pt;z-index:2516817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" o:button="t" fillcolor="#ccc0d9 [1303]" strokecolor="white [3212]" strokeweight="0">
            <v:fill o:detectmouseclick="t"/>
            <v:shadow color="#205867 [1608]" opacity=".5" offset="1pt"/>
            <v:textbox>
              <w:txbxContent>
                <w:p w:rsidR="003766AB" w:rsidRPr="006A38CC" w:rsidRDefault="003766AB" w:rsidP="006A38CC">
                  <w:r w:rsidRPr="006A38CC">
                    <w:t xml:space="preserve">Where are </w:t>
                  </w:r>
                  <w:r>
                    <w:t xml:space="preserve">we </w:t>
                  </w:r>
                  <w:r w:rsidRPr="006A38CC">
                    <w:t xml:space="preserve">in the regulatory </w:t>
                  </w:r>
                  <w:r>
                    <w:t>cycle?</w:t>
                  </w:r>
                </w:p>
              </w:txbxContent>
            </v:textbox>
          </v:roundrect>
        </w:pict>
      </w:r>
      <w:r>
        <w:rPr>
          <w:noProof/>
          <w:lang w:val="en-AU" w:eastAsia="en-AU"/>
        </w:rPr>
        <w:pict>
          <v:roundrect id="AutoShape 24" o:spid="_x0000_s1032" href="#Tariffs_vs_prices" title="Tariffs versus prices" style="position:absolute;left:0;text-align:left;margin-left:57.4pt;margin-top:23.6pt;width:236.65pt;height:25.65pt;z-index:2516766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" o:button="t" fillcolor="#d6e3bc [1302]" strokecolor="white [3212]" strokeweight="0">
            <v:fill o:detectmouseclick="t"/>
            <v:shadow color="#205867 [1608]" opacity=".5" offset="1pt"/>
            <v:textbox>
              <w:txbxContent>
                <w:p w:rsidR="003766AB" w:rsidRPr="00A0678A" w:rsidRDefault="003766AB" w:rsidP="00077DFC">
                  <w:r>
                    <w:t>How are tariffs different from prices</w:t>
                  </w:r>
                  <w:r w:rsidRPr="00A0678A">
                    <w:t>?</w:t>
                  </w:r>
                </w:p>
              </w:txbxContent>
            </v:textbox>
          </v:roundrect>
        </w:pict>
      </w:r>
    </w:p>
    <w:p w:rsidR="00866575" w:rsidRDefault="00A7215E" w:rsidP="008A1C91">
      <w:pPr>
        <w:pStyle w:val="References"/>
      </w:pPr>
      <w:r>
        <w:rPr>
          <w:noProof/>
          <w:lang w:val="en-AU" w:eastAsia="en-AU"/>
        </w:rPr>
        <w:pict>
          <v:roundrect id="AutoShape 31" o:spid="_x0000_s1033" href="#Leg_context" title="Legislative context" style="position:absolute;left:0;text-align:left;margin-left:452.7pt;margin-top:21.3pt;width:196.6pt;height:25.65pt;z-index:2516828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" o:button="t" fillcolor="#ccc0d9 [1303]" strokecolor="white [3212]" strokeweight="0">
            <v:fill o:detectmouseclick="t"/>
            <v:shadow color="#205867 [1608]" opacity=".5" offset="1pt"/>
            <v:textbox>
              <w:txbxContent>
                <w:p w:rsidR="003766AB" w:rsidRPr="0040778A" w:rsidRDefault="003766AB" w:rsidP="0040778A">
                  <w:r>
                    <w:t>Legislation that guides the Commission</w:t>
                  </w:r>
                </w:p>
              </w:txbxContent>
            </v:textbox>
          </v:roundrect>
        </w:pict>
      </w:r>
      <w:r>
        <w:rPr>
          <w:noProof/>
          <w:lang w:val="en-AU" w:eastAsia="en-AU"/>
        </w:rPr>
        <w:pict>
          <v:roundrect id="AutoShape 39" o:spid="_x0000_s1034" href="#Why_review" title="Why are we doing a review?" style="position:absolute;left:0;text-align:left;margin-left:58.35pt;margin-top:24.25pt;width:146.85pt;height:25.65pt;z-index:2516889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" o:button="t" fillcolor="#d6e3bc [1302]" strokecolor="white [3212]" strokeweight="0">
            <v:fill o:detectmouseclick="t"/>
            <v:shadow color="#205867 [1608]" opacity=".5" offset="1pt"/>
            <v:textbox>
              <w:txbxContent>
                <w:p w:rsidR="003766AB" w:rsidRPr="00A0678A" w:rsidRDefault="003766AB" w:rsidP="005C5EB8">
                  <w:r>
                    <w:t>Why are we doing a review?</w:t>
                  </w:r>
                </w:p>
              </w:txbxContent>
            </v:textbox>
          </v:roundrect>
        </w:pict>
      </w:r>
    </w:p>
    <w:p w:rsidR="00866575" w:rsidRDefault="00A7215E" w:rsidP="008A1C91">
      <w:pPr>
        <w:pStyle w:val="References"/>
      </w:pPr>
      <w:r>
        <w:rPr>
          <w:noProof/>
          <w:lang w:val="en-AU" w:eastAsia="en-AU"/>
        </w:rPr>
        <w:pict>
          <v:roundrect id="AutoShape 32" o:spid="_x0000_s1035" href="#Govt_context" title="Government policy context" style="position:absolute;left:0;text-align:left;margin-left:452.95pt;margin-top:23.25pt;width:247pt;height:25.65pt;z-index:2516838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" o:button="t" fillcolor="#ccc0d9 [1303]" strokecolor="white [3212]" strokeweight="0">
            <v:fill o:detectmouseclick="t"/>
            <v:shadow color="#205867 [1608]" opacity=".5" offset="1pt"/>
            <v:textbox>
              <w:txbxContent>
                <w:p w:rsidR="003766AB" w:rsidRPr="0040778A" w:rsidRDefault="003766AB" w:rsidP="006074AD">
                  <w:r>
                    <w:t xml:space="preserve">Relevant ACT Government and national policies </w:t>
                  </w:r>
                </w:p>
              </w:txbxContent>
            </v:textbox>
          </v:roundrect>
        </w:pict>
      </w:r>
    </w:p>
    <w:p w:rsidR="009265C3" w:rsidRDefault="00A7215E" w:rsidP="008A1C91">
      <w:pPr>
        <w:pStyle w:val="References"/>
      </w:pPr>
      <w:r>
        <w:rPr>
          <w:noProof/>
          <w:lang w:val="en-AU" w:eastAsia="en-AU"/>
        </w:rPr>
        <w:pict>
          <v:roundrect id="AutoShape 28" o:spid="_x0000_s1036" href="#Scope" title="Scope of the review" style="position:absolute;left:0;text-align:left;margin-left:57.4pt;margin-top:.9pt;width:146.85pt;height:25.65pt;z-index:2516797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" o:button="t" fillcolor="#d6e3bc [1302]" strokecolor="white [3212]" strokeweight="0">
            <v:fill o:detectmouseclick="t"/>
            <v:shadow color="#205867 [1608]" opacity=".5" offset="1pt"/>
            <v:textbox>
              <w:txbxContent>
                <w:p w:rsidR="003766AB" w:rsidRPr="00A0678A" w:rsidRDefault="003766AB" w:rsidP="00A0678A">
                  <w:r>
                    <w:t>What will the review cover?</w:t>
                  </w:r>
                </w:p>
              </w:txbxContent>
            </v:textbox>
          </v:roundrect>
        </w:pict>
      </w:r>
    </w:p>
    <w:p w:rsidR="009265C3" w:rsidRDefault="00A7215E" w:rsidP="008A1C91">
      <w:pPr>
        <w:pStyle w:val="References"/>
      </w:pPr>
      <w:r>
        <w:rPr>
          <w:noProof/>
          <w:lang w:val="en-AU" w:eastAsia="en-AU"/>
        </w:rPr>
        <w:pict>
          <v:roundrect id="AutoShape 29" o:spid="_x0000_s1037" href="#Timeline" title="Key papers and timeline" style="position:absolute;left:0;text-align:left;margin-left:57.4pt;margin-top:4.55pt;width:188.2pt;height:22.65pt;z-index:2516807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" o:button="t" fillcolor="#d6e3bc [1302]" strokecolor="white [3212]" strokeweight="0">
            <v:fill o:detectmouseclick="t"/>
            <v:shadow color="#205867 [1608]" opacity=".5" offset="1pt"/>
            <v:textbox>
              <w:txbxContent>
                <w:p w:rsidR="003766AB" w:rsidRPr="00BC35D7" w:rsidRDefault="003766AB" w:rsidP="00BC35D7">
                  <w:r>
                    <w:t>Key review papers and timelines</w:t>
                  </w:r>
                </w:p>
              </w:txbxContent>
            </v:textbox>
          </v:roundrect>
        </w:pict>
      </w:r>
      <w:r>
        <w:rPr>
          <w:noProof/>
          <w:lang w:val="en-AU" w:eastAsia="en-AU"/>
        </w:rPr>
        <w:pict>
          <v:roundrect id="AutoShape 34" o:spid="_x0000_s1038" href="#Papers_context" title="Recent pricing papers and reviews" style="position:absolute;left:0;text-align:left;margin-left:454.05pt;margin-top:.05pt;width:180.55pt;height:25.65pt;z-index:2516858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" o:button="t" fillcolor="#ccc0d9 [1303]" strokecolor="white [3212]" strokeweight="0">
            <v:fill o:detectmouseclick="t"/>
            <v:shadow color="#205867 [1608]" opacity=".5" offset="1pt"/>
            <v:textbox>
              <w:txbxContent>
                <w:p w:rsidR="003766AB" w:rsidRPr="0040778A" w:rsidRDefault="003766AB" w:rsidP="007A40AC">
                  <w:r>
                    <w:t xml:space="preserve">Recent pricing reviews and reports </w:t>
                  </w:r>
                </w:p>
              </w:txbxContent>
            </v:textbox>
          </v:roundrect>
        </w:pict>
      </w:r>
    </w:p>
    <w:p w:rsidR="009265C3" w:rsidRDefault="00A7215E" w:rsidP="008A1C91">
      <w:pPr>
        <w:pStyle w:val="References"/>
      </w:pPr>
      <w:r>
        <w:rPr>
          <w:noProof/>
          <w:lang w:val="en-AU" w:eastAsia="en-AU"/>
        </w:rPr>
        <w:pict>
          <v:roundrect id="AutoShape 13" o:spid="_x0000_s1039" href="#Water_security" title="ACT water security" style="position:absolute;left:0;text-align:left;margin-left:454.55pt;margin-top:1.95pt;width:213.7pt;height:25.65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" o:button="t" fillcolor="#ccc0d9 [1303]" strokecolor="white [3212]" strokeweight="0">
            <v:fill o:detectmouseclick="t"/>
            <v:shadow color="#205867 [1608]" opacity=".5" offset="1pt"/>
            <v:textbox>
              <w:txbxContent>
                <w:p w:rsidR="003766AB" w:rsidRPr="006A38CC" w:rsidRDefault="003766AB" w:rsidP="00667089">
                  <w:r>
                    <w:t>What is the ACT w</w:t>
                  </w:r>
                  <w:r w:rsidRPr="006A38CC">
                    <w:t>ater security</w:t>
                  </w:r>
                  <w:r>
                    <w:t xml:space="preserve"> situation?</w:t>
                  </w:r>
                </w:p>
              </w:txbxContent>
            </v:textbox>
          </v:roundrect>
        </w:pict>
      </w:r>
      <w:r>
        <w:rPr>
          <w:noProof/>
          <w:lang w:val="en-AU" w:eastAsia="en-AU"/>
        </w:rPr>
        <w:pict>
          <v:roundrect id="AutoShape 41" o:spid="_x0000_s1040" href="#What_happens_next" title="What happens after the review" style="position:absolute;left:0;text-align:left;margin-left:58.35pt;margin-top:5.7pt;width:158.9pt;height:25.65pt;z-index:2516899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" o:button="t" fillcolor="#d6e3bc [1302]" strokecolor="white [3212]" strokeweight="0">
            <v:fill o:detectmouseclick="t"/>
            <v:shadow color="#205867 [1608]" opacity=".5" offset="1pt"/>
            <v:textbox>
              <w:txbxContent>
                <w:p w:rsidR="003766AB" w:rsidRPr="00B551CA" w:rsidRDefault="003766AB" w:rsidP="00B551CA">
                  <w:r>
                    <w:t>What happens after the review?</w:t>
                  </w:r>
                </w:p>
              </w:txbxContent>
            </v:textbox>
          </v:roundrect>
        </w:pict>
      </w:r>
    </w:p>
    <w:p w:rsidR="009265C3" w:rsidRDefault="00A7215E" w:rsidP="008A1C91">
      <w:pPr>
        <w:pStyle w:val="References"/>
      </w:pPr>
      <w:r>
        <w:rPr>
          <w:noProof/>
          <w:lang w:val="en-AU" w:eastAsia="en-AU"/>
        </w:rPr>
        <w:pict>
          <v:roundrect id="AutoShape 18" o:spid="_x0000_s1041" style="position:absolute;left:0;text-align:left;margin-left:86.15pt;margin-top:12.7pt;width:454.95pt;height:75.45pt;z-index:251671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" fillcolor="white [3212]" strokecolor="#bfbfbf [2412]" strokeweight="1pt">
            <v:shadow color="#7f7f7f [1601]" opacity=".5" offset="1pt"/>
            <v:textbox>
              <w:txbxContent>
                <w:p w:rsidR="003766AB" w:rsidRPr="00FF67B5" w:rsidRDefault="003766AB" w:rsidP="005E4011">
                  <w:pPr>
                    <w:rPr>
                      <w:sz w:val="24"/>
                      <w:szCs w:val="24"/>
                    </w:rPr>
                  </w:pPr>
                  <w:r w:rsidRPr="00FF67B5">
                    <w:rPr>
                      <w:sz w:val="24"/>
                      <w:szCs w:val="24"/>
                    </w:rPr>
                    <w:t xml:space="preserve">This chapter presents </w:t>
                  </w:r>
                  <w:r>
                    <w:rPr>
                      <w:sz w:val="24"/>
                      <w:szCs w:val="24"/>
                    </w:rPr>
                    <w:t xml:space="preserve">the </w:t>
                  </w:r>
                  <w:r w:rsidRPr="00FF67B5">
                    <w:rPr>
                      <w:sz w:val="24"/>
                      <w:szCs w:val="24"/>
                    </w:rPr>
                    <w:t xml:space="preserve">proposed </w:t>
                  </w:r>
                  <w:r>
                    <w:rPr>
                      <w:sz w:val="24"/>
                      <w:szCs w:val="24"/>
                    </w:rPr>
                    <w:t xml:space="preserve">economic regulation objective and pricing </w:t>
                  </w:r>
                  <w:r w:rsidRPr="00FF67B5">
                    <w:rPr>
                      <w:sz w:val="24"/>
                      <w:szCs w:val="24"/>
                    </w:rPr>
                    <w:t xml:space="preserve">principles that the Commission </w:t>
                  </w:r>
                  <w:r>
                    <w:rPr>
                      <w:sz w:val="24"/>
                      <w:szCs w:val="24"/>
                    </w:rPr>
                    <w:t xml:space="preserve">will </w:t>
                  </w:r>
                  <w:r w:rsidRPr="00FF67B5">
                    <w:rPr>
                      <w:sz w:val="24"/>
                      <w:szCs w:val="24"/>
                    </w:rPr>
                    <w:t xml:space="preserve">to use as a framework to assess </w:t>
                  </w:r>
                  <w:r>
                    <w:rPr>
                      <w:sz w:val="24"/>
                      <w:szCs w:val="24"/>
                    </w:rPr>
                    <w:t xml:space="preserve">the current and </w:t>
                  </w:r>
                  <w:r w:rsidRPr="00FF67B5">
                    <w:rPr>
                      <w:sz w:val="24"/>
                      <w:szCs w:val="24"/>
                    </w:rPr>
                    <w:t xml:space="preserve">alternative tariff structures. The </w:t>
                  </w:r>
                  <w:r>
                    <w:rPr>
                      <w:sz w:val="24"/>
                      <w:szCs w:val="24"/>
                    </w:rPr>
                    <w:t xml:space="preserve">objective and </w:t>
                  </w:r>
                  <w:r w:rsidRPr="00FF67B5">
                    <w:rPr>
                      <w:sz w:val="24"/>
                      <w:szCs w:val="24"/>
                    </w:rPr>
                    <w:t xml:space="preserve">principles are important as they will influence the Commission’s </w:t>
                  </w:r>
                  <w:r>
                    <w:rPr>
                      <w:sz w:val="24"/>
                      <w:szCs w:val="24"/>
                    </w:rPr>
                    <w:t xml:space="preserve">decision on the preferred </w:t>
                  </w:r>
                  <w:r w:rsidRPr="00FF67B5">
                    <w:rPr>
                      <w:sz w:val="24"/>
                      <w:szCs w:val="24"/>
                    </w:rPr>
                    <w:t>tariff structure</w:t>
                  </w:r>
                  <w:r>
                    <w:rPr>
                      <w:sz w:val="24"/>
                      <w:szCs w:val="24"/>
                    </w:rPr>
                    <w:t xml:space="preserve"> at the conclusion of the review</w:t>
                  </w:r>
                  <w:r w:rsidRPr="00FF67B5">
                    <w:rPr>
                      <w:sz w:val="24"/>
                      <w:szCs w:val="24"/>
                    </w:rPr>
                    <w:t>.</w:t>
                  </w:r>
                </w:p>
              </w:txbxContent>
            </v:textbox>
          </v:roundrect>
        </w:pict>
      </w:r>
    </w:p>
    <w:p w:rsidR="00866575" w:rsidRDefault="00866575" w:rsidP="008A1C91">
      <w:pPr>
        <w:pStyle w:val="References"/>
      </w:pPr>
    </w:p>
    <w:p w:rsidR="00866575" w:rsidRPr="00866575" w:rsidRDefault="00866575" w:rsidP="008A1C91">
      <w:pPr>
        <w:pStyle w:val="References"/>
      </w:pPr>
    </w:p>
    <w:p w:rsidR="001F5AAF" w:rsidRDefault="00A7215E" w:rsidP="008A1C91">
      <w:pPr>
        <w:pStyle w:val="References"/>
      </w:pPr>
      <w:r>
        <w:rPr>
          <w:noProof/>
          <w:lang w:val="en-AU" w:eastAsia="en-AU"/>
        </w:rPr>
        <w:pict>
          <v:roundrect id="AutoShape 42" o:spid="_x0000_s1046" href="#Three_objective" title="List of principles" style="position:absolute;left:0;text-align:left;margin-left:219.2pt;margin-top:13.45pt;width:254.45pt;height:25.65pt;z-index:251691008;visibility:visible" arcsize="10923f" o:button="t" fillcolor="#bfbfbf [2412]" strokecolor="white [3212]" strokeweight="0">
            <v:fill o:detectmouseclick="t"/>
            <v:shadow color="#205867 [1608]" opacity=".5" offset="1pt"/>
            <v:textbox>
              <w:txbxContent>
                <w:p w:rsidR="003766AB" w:rsidRPr="00DB0429" w:rsidRDefault="00404FF4" w:rsidP="00DB0429">
                  <w:r w:rsidRPr="00404FF4">
                    <w:rPr>
                      <w:b/>
                    </w:rPr>
                    <w:t>Overarching o</w:t>
                  </w:r>
                  <w:r w:rsidR="004A2F40" w:rsidRPr="00404FF4">
                    <w:rPr>
                      <w:b/>
                    </w:rPr>
                    <w:t>bjective</w:t>
                  </w:r>
                  <w:r w:rsidR="004A2F40">
                    <w:t xml:space="preserve"> </w:t>
                  </w:r>
                  <w:r w:rsidR="004A2F40">
                    <w:sym w:font="Symbol" w:char="F02D"/>
                  </w:r>
                  <w:r w:rsidR="004A2F40">
                    <w:t xml:space="preserve"> </w:t>
                  </w:r>
                  <w:r>
                    <w:t>maximising social welfare</w:t>
                  </w:r>
                </w:p>
              </w:txbxContent>
            </v:textbox>
          </v:roundrect>
        </w:pict>
      </w:r>
      <w:r>
        <w:rPr>
          <w:noProof/>
          <w:lang w:val="en-AU" w:eastAsia="en-AU"/>
        </w:rPr>
        <w:pict>
          <v:roundrect id="AutoShape 6" o:spid="_x0000_s1042" href="#Chap3" title="Chapter 3 presents the Commission's proposed pricing principles" style="position:absolute;left:0;text-align:left;margin-left:85.25pt;margin-top:13.3pt;width:132pt;height:100.35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" o:button="t" fillcolor="black [3200]" strokecolor="white [3212]" strokeweight="0">
            <v:fill o:detectmouseclick="t"/>
            <v:shadow color="#7f7f7f [1601]" opacity=".5" offset="1pt"/>
            <v:textbox>
              <w:txbxContent>
                <w:p w:rsidR="003766AB" w:rsidRPr="00FD48F8" w:rsidRDefault="003766AB" w:rsidP="00F43612">
                  <w:pPr>
                    <w:jc w:val="center"/>
                    <w:rPr>
                      <w:b/>
                      <w:sz w:val="28"/>
                      <w:szCs w:val="28"/>
                    </w:rPr>
                  </w:pPr>
                  <w:r w:rsidRPr="00FD48F8">
                    <w:rPr>
                      <w:b/>
                      <w:sz w:val="28"/>
                      <w:szCs w:val="28"/>
                    </w:rPr>
                    <w:t xml:space="preserve">Chapter 3: </w:t>
                  </w:r>
                  <w:r>
                    <w:rPr>
                      <w:b/>
                      <w:sz w:val="28"/>
                      <w:szCs w:val="28"/>
                    </w:rPr>
                    <w:t>Economic regulation</w:t>
                  </w:r>
                  <w:r w:rsidRPr="00FD48F8">
                    <w:rPr>
                      <w:b/>
                      <w:sz w:val="28"/>
                      <w:szCs w:val="28"/>
                    </w:rPr>
                    <w:t xml:space="preserve"> </w:t>
                  </w:r>
                  <w:r>
                    <w:rPr>
                      <w:b/>
                      <w:sz w:val="28"/>
                      <w:szCs w:val="28"/>
                    </w:rPr>
                    <w:t xml:space="preserve">objective and pricing </w:t>
                  </w:r>
                  <w:r w:rsidRPr="00FD48F8">
                    <w:rPr>
                      <w:b/>
                      <w:sz w:val="28"/>
                      <w:szCs w:val="28"/>
                    </w:rPr>
                    <w:t>principles</w:t>
                  </w:r>
                </w:p>
              </w:txbxContent>
            </v:textbox>
          </v:roundrect>
        </w:pict>
      </w:r>
    </w:p>
    <w:p w:rsidR="001F5AAF" w:rsidRDefault="00A7215E" w:rsidP="008A1C91">
      <w:pPr>
        <w:pStyle w:val="References"/>
      </w:pPr>
      <w:r>
        <w:rPr>
          <w:noProof/>
          <w:lang w:val="en-AU" w:eastAsia="en-AU"/>
        </w:rPr>
        <w:pict>
          <v:roundrect id="AutoShape 11" o:spid="_x0000_s1043" href="#Princ_econ_efficiency" title="Economic efficiency" style="position:absolute;left:0;text-align:left;margin-left:219.2pt;margin-top:14.1pt;width:458.85pt;height:25.65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" o:button="t" fillcolor="#bfbfbf [2412]" strokecolor="white [3212]" strokeweight="0">
            <v:fill o:detectmouseclick="t"/>
            <v:shadow color="#205867 [1608]" opacity=".5" offset="1pt"/>
            <v:textbox>
              <w:txbxContent>
                <w:p w:rsidR="003766AB" w:rsidRPr="00C86B02" w:rsidRDefault="003766AB" w:rsidP="002D5297">
                  <w:r w:rsidRPr="00EC0A0F">
                    <w:rPr>
                      <w:b/>
                    </w:rPr>
                    <w:t>Economic efficiency</w:t>
                  </w:r>
                  <w:r>
                    <w:t xml:space="preserve"> </w:t>
                  </w:r>
                  <w:r>
                    <w:sym w:font="Symbol" w:char="F02D"/>
                  </w:r>
                  <w:r>
                    <w:t xml:space="preserve"> cost-reflective price signals to encourage efficient use of scarce resources</w:t>
                  </w:r>
                </w:p>
              </w:txbxContent>
            </v:textbox>
          </v:roundrect>
        </w:pict>
      </w:r>
    </w:p>
    <w:p w:rsidR="00866575" w:rsidRDefault="00A7215E" w:rsidP="008A1C91">
      <w:pPr>
        <w:pStyle w:val="References"/>
      </w:pPr>
      <w:r>
        <w:rPr>
          <w:noProof/>
          <w:lang w:val="en-AU" w:eastAsia="en-AU"/>
        </w:rPr>
        <w:pict>
          <v:roundrect id="AutoShape 35" o:spid="_x0000_s1044" href="#Princ_financial_viability" title="Financial viability" style="position:absolute;left:0;text-align:left;margin-left:217.75pt;margin-top:15.9pt;width:354.4pt;height:25.65pt;z-index:2516869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" o:button="t" fillcolor="#bfbfbf [2412]" strokecolor="white [3212]" strokeweight="0">
            <v:fill o:detectmouseclick="t"/>
            <v:shadow color="#205867 [1608]" opacity=".5" offset="1pt"/>
            <v:textbox>
              <w:txbxContent>
                <w:p w:rsidR="003766AB" w:rsidRPr="00C86B02" w:rsidRDefault="003766AB" w:rsidP="00C86B02">
                  <w:r w:rsidRPr="00EC0A0F">
                    <w:rPr>
                      <w:b/>
                    </w:rPr>
                    <w:t>Financial viability</w:t>
                  </w:r>
                  <w:r>
                    <w:t xml:space="preserve"> </w:t>
                  </w:r>
                  <w:r>
                    <w:sym w:font="Symbol" w:char="F02D"/>
                  </w:r>
                  <w:r>
                    <w:t xml:space="preserve"> setting prices to recover Icon Water’s efficient costs</w:t>
                  </w:r>
                </w:p>
              </w:txbxContent>
            </v:textbox>
          </v:roundrect>
        </w:pict>
      </w:r>
    </w:p>
    <w:p w:rsidR="001F5AAF" w:rsidRDefault="00A7215E" w:rsidP="008A1C91">
      <w:pPr>
        <w:pStyle w:val="References"/>
      </w:pPr>
      <w:r>
        <w:rPr>
          <w:noProof/>
          <w:lang w:val="en-AU" w:eastAsia="en-AU"/>
        </w:rPr>
        <w:pict>
          <v:roundrect id="AutoShape 36" o:spid="_x0000_s1045" href="#Princ_sociall_impacts" title="Social impacts" style="position:absolute;left:0;text-align:left;margin-left:217.25pt;margin-top:17.85pt;width:223.6pt;height:25.65pt;z-index:2516879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" o:button="t" fillcolor="#bfbfbf [2412]" strokecolor="white [3212]" strokeweight="0">
            <v:fill o:detectmouseclick="t"/>
            <v:shadow color="#205867 [1608]" opacity=".5" offset="1pt"/>
            <v:textbox>
              <w:txbxContent>
                <w:p w:rsidR="003766AB" w:rsidRPr="00C86B02" w:rsidRDefault="003766AB" w:rsidP="00C86B02">
                  <w:r>
                    <w:rPr>
                      <w:b/>
                    </w:rPr>
                    <w:t>Community impacts</w:t>
                  </w:r>
                  <w:r>
                    <w:t xml:space="preserve"> </w:t>
                  </w:r>
                  <w:r>
                    <w:sym w:font="Symbol" w:char="F02D"/>
                  </w:r>
                  <w:r>
                    <w:t xml:space="preserve"> avoiding price shocks</w:t>
                  </w:r>
                </w:p>
              </w:txbxContent>
            </v:textbox>
          </v:roundrect>
        </w:pict>
      </w:r>
    </w:p>
    <w:p w:rsidR="001F5AAF" w:rsidRDefault="00A7215E" w:rsidP="008A1C91">
      <w:pPr>
        <w:pStyle w:val="References"/>
      </w:pPr>
      <w:r>
        <w:rPr>
          <w:noProof/>
          <w:lang w:val="en-AU" w:eastAsia="en-AU"/>
        </w:rPr>
        <w:lastRenderedPageBreak/>
        <w:pict>
          <v:roundrect id="AutoShape 33" o:spid="_x0000_s1047" style="position:absolute;left:0;text-align:left;margin-left:64.95pt;margin-top:-5.5pt;width:530.85pt;height:56.6pt;z-index:2516848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" fillcolor="white [3212]" strokecolor="#bfbfbf [2412]" strokeweight="1pt">
            <v:shadow color="#7f7f7f [1601]" opacity=".5" offset="1pt"/>
            <v:textbox>
              <w:txbxContent>
                <w:p w:rsidR="003766AB" w:rsidRPr="00EE4A3A" w:rsidRDefault="003766AB" w:rsidP="003A7D92">
                  <w:pPr>
                    <w:rPr>
                      <w:color w:val="17365D" w:themeColor="text2" w:themeShade="BF"/>
                      <w:sz w:val="24"/>
                      <w:szCs w:val="24"/>
                    </w:rPr>
                  </w:pPr>
                  <w:r w:rsidRPr="00EE4A3A">
                    <w:rPr>
                      <w:color w:val="17365D" w:themeColor="text2" w:themeShade="BF"/>
                      <w:sz w:val="24"/>
                      <w:szCs w:val="24"/>
                    </w:rPr>
                    <w:t>This chapter presents current water pricing arrangements in the ACT and other jurisdictions. It also explores a number of theoretical and practical issues that have important implications for the</w:t>
                  </w:r>
                  <w:r>
                    <w:rPr>
                      <w:color w:val="17365D" w:themeColor="text2" w:themeShade="BF"/>
                      <w:sz w:val="24"/>
                      <w:szCs w:val="24"/>
                    </w:rPr>
                    <w:t xml:space="preserve"> choice of water tariff design.</w:t>
                  </w:r>
                </w:p>
              </w:txbxContent>
            </v:textbox>
          </v:roundrect>
        </w:pict>
      </w:r>
      <w:r>
        <w:rPr>
          <w:noProof/>
          <w:lang w:val="en-AU" w:eastAsia="en-AU"/>
        </w:rPr>
        <w:pict>
          <v:roundrect id="AutoShape 9" o:spid="_x0000_s1048" href="#Chap4" title="Chapter 4: Water pricing" style="position:absolute;left:0;text-align:left;margin-left:64.95pt;margin-top:52.6pt;width:99.2pt;height:62.45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" o:button="t" fillcolor="#002060" strokecolor="white [3212]" strokeweight="0">
            <v:fill o:detectmouseclick="t"/>
            <v:shadow color="#7f7f7f [1601]" opacity=".5" offset="1pt"/>
            <v:textbox>
              <w:txbxContent>
                <w:p w:rsidR="003766AB" w:rsidRPr="00FD48F8" w:rsidRDefault="003766AB" w:rsidP="001849AD">
                  <w:pPr>
                    <w:jc w:val="center"/>
                    <w:rPr>
                      <w:b/>
                      <w:color w:val="FFFFFF" w:themeColor="background1"/>
                      <w:sz w:val="28"/>
                      <w:szCs w:val="28"/>
                    </w:rPr>
                  </w:pPr>
                  <w:r w:rsidRPr="00FD48F8">
                    <w:rPr>
                      <w:b/>
                      <w:color w:val="FFFFFF" w:themeColor="background1"/>
                      <w:sz w:val="28"/>
                      <w:szCs w:val="28"/>
                    </w:rPr>
                    <w:t>Chapter 4: Water pricing</w:t>
                  </w:r>
                </w:p>
              </w:txbxContent>
            </v:textbox>
          </v:roundrect>
        </w:pict>
      </w:r>
    </w:p>
    <w:p w:rsidR="001F5AAF" w:rsidRDefault="001F5AAF" w:rsidP="008A1C91">
      <w:pPr>
        <w:pStyle w:val="References"/>
      </w:pPr>
    </w:p>
    <w:p w:rsidR="001F5AAF" w:rsidRDefault="00A7215E" w:rsidP="008A1C91">
      <w:pPr>
        <w:pStyle w:val="References"/>
      </w:pPr>
      <w:r>
        <w:rPr>
          <w:noProof/>
          <w:lang w:val="en-AU" w:eastAsia="en-AU"/>
        </w:rPr>
        <w:pict>
          <v:roundrect id="AutoShape 10" o:spid="_x0000_s1049" href="#Four_ACT_pricing" title="ACT water prices" style="position:absolute;left:0;text-align:left;margin-left:164.9pt;margin-top:3.3pt;width:218.55pt;height:25.65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" o:button="t" fillcolor="#b6dde8 [1304]" strokecolor="white [3212]" strokeweight="0">
            <v:fill o:detectmouseclick="t"/>
            <v:shadow color="#205867 [1608]" opacity=".5" offset="1pt"/>
            <v:textbox>
              <w:txbxContent>
                <w:p w:rsidR="003766AB" w:rsidRPr="00EE4A3A" w:rsidRDefault="003766AB" w:rsidP="00354575">
                  <w:pPr>
                    <w:rPr>
                      <w:color w:val="17365D" w:themeColor="text2" w:themeShade="BF"/>
                      <w:sz w:val="20"/>
                    </w:rPr>
                  </w:pPr>
                  <w:r w:rsidRPr="00EE4A3A">
                    <w:rPr>
                      <w:color w:val="17365D" w:themeColor="text2" w:themeShade="BF"/>
                      <w:sz w:val="20"/>
                    </w:rPr>
                    <w:t xml:space="preserve">Icon Water’s current </w:t>
                  </w:r>
                  <w:r>
                    <w:rPr>
                      <w:color w:val="17365D" w:themeColor="text2" w:themeShade="BF"/>
                      <w:sz w:val="20"/>
                    </w:rPr>
                    <w:t xml:space="preserve">water </w:t>
                  </w:r>
                  <w:r w:rsidRPr="00EE4A3A">
                    <w:rPr>
                      <w:color w:val="17365D" w:themeColor="text2" w:themeShade="BF"/>
                      <w:sz w:val="20"/>
                    </w:rPr>
                    <w:t>pricing arrangements</w:t>
                  </w:r>
                </w:p>
              </w:txbxContent>
            </v:textbox>
          </v:roundrect>
        </w:pict>
      </w:r>
      <w:r>
        <w:rPr>
          <w:noProof/>
          <w:lang w:val="en-AU" w:eastAsia="en-AU"/>
        </w:rPr>
        <w:pict>
          <v:roundrect id="AutoShape 48" o:spid="_x0000_s1050" href="#Four_daily_pricing" title="Daily pricing" style="position:absolute;left:0;text-align:left;margin-left:392.2pt;margin-top:3.35pt;width:79.75pt;height:25.65pt;z-index:2516951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" o:button="t" fillcolor="#b6dde8 [1304]" strokecolor="white [3212]" strokeweight="0">
            <v:fill o:detectmouseclick="t"/>
            <v:shadow color="#205867 [1608]" opacity=".5" offset="1pt"/>
            <v:textbox>
              <w:txbxContent>
                <w:p w:rsidR="003766AB" w:rsidRPr="0043704B" w:rsidRDefault="003766AB" w:rsidP="00AD1DBD">
                  <w:pPr>
                    <w:rPr>
                      <w:color w:val="17365D" w:themeColor="text2" w:themeShade="BF"/>
                      <w:sz w:val="20"/>
                    </w:rPr>
                  </w:pPr>
                  <w:r>
                    <w:rPr>
                      <w:color w:val="17365D" w:themeColor="text2" w:themeShade="BF"/>
                      <w:sz w:val="20"/>
                    </w:rPr>
                    <w:t>Daily pricing</w:t>
                  </w:r>
                </w:p>
              </w:txbxContent>
            </v:textbox>
          </v:roundrect>
        </w:pict>
      </w:r>
    </w:p>
    <w:p w:rsidR="001F5AAF" w:rsidRDefault="00A7215E" w:rsidP="008A1C91">
      <w:pPr>
        <w:pStyle w:val="References"/>
      </w:pPr>
      <w:r>
        <w:rPr>
          <w:noProof/>
          <w:lang w:val="en-AU" w:eastAsia="en-AU"/>
        </w:rPr>
        <w:pict>
          <v:roundrect id="AutoShape 49" o:spid="_x0000_s1051" href="#Four_optional_tariffs" title="Optional tariffs" style="position:absolute;left:0;text-align:left;margin-left:392.4pt;margin-top:4.8pt;width:161pt;height:25.65pt;z-index:2516961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" o:button="t" fillcolor="#b6dde8 [1304]" strokecolor="white [3212]" strokeweight="0">
            <v:fill o:detectmouseclick="t"/>
            <v:shadow color="#205867 [1608]" opacity=".5" offset="1pt"/>
            <v:textbox>
              <w:txbxContent>
                <w:p w:rsidR="003766AB" w:rsidRPr="0043704B" w:rsidRDefault="003766AB" w:rsidP="00AD1DBD">
                  <w:pPr>
                    <w:rPr>
                      <w:color w:val="17365D" w:themeColor="text2" w:themeShade="BF"/>
                      <w:sz w:val="20"/>
                    </w:rPr>
                  </w:pPr>
                  <w:r>
                    <w:rPr>
                      <w:color w:val="17365D" w:themeColor="text2" w:themeShade="BF"/>
                      <w:sz w:val="20"/>
                    </w:rPr>
                    <w:t>More than one water tariff option</w:t>
                  </w:r>
                </w:p>
              </w:txbxContent>
            </v:textbox>
          </v:roundrect>
        </w:pict>
      </w:r>
      <w:r>
        <w:rPr>
          <w:noProof/>
          <w:lang w:val="en-AU" w:eastAsia="en-AU"/>
        </w:rPr>
        <w:pict>
          <v:roundrect id="AutoShape 15" o:spid="_x0000_s1052" href="#Four_other_pricing" title="Water pricing in other jurisdictions" style="position:absolute;left:0;text-align:left;margin-left:164.35pt;margin-top:5.65pt;width:162.85pt;height:25.65pt;z-index:251668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" o:button="t" fillcolor="#b6dde8 [1304]" strokecolor="white [3212]" strokeweight="0">
            <v:fill o:detectmouseclick="t"/>
            <v:shadow color="#205867 [1608]" opacity=".5" offset="1pt"/>
            <v:textbox>
              <w:txbxContent>
                <w:p w:rsidR="003766AB" w:rsidRPr="00EE4A3A" w:rsidRDefault="003766AB" w:rsidP="00141E92">
                  <w:pPr>
                    <w:rPr>
                      <w:color w:val="17365D" w:themeColor="text2" w:themeShade="BF"/>
                      <w:sz w:val="20"/>
                    </w:rPr>
                  </w:pPr>
                  <w:r>
                    <w:rPr>
                      <w:color w:val="17365D" w:themeColor="text2" w:themeShade="BF"/>
                      <w:sz w:val="20"/>
                    </w:rPr>
                    <w:t xml:space="preserve">Water pricing in other jurisdictions </w:t>
                  </w:r>
                </w:p>
              </w:txbxContent>
            </v:textbox>
          </v:roundrect>
        </w:pict>
      </w:r>
    </w:p>
    <w:p w:rsidR="001F5AAF" w:rsidRDefault="00A7215E" w:rsidP="008A1C91">
      <w:pPr>
        <w:pStyle w:val="References"/>
      </w:pPr>
      <w:r>
        <w:rPr>
          <w:noProof/>
          <w:lang w:val="en-AU" w:eastAsia="en-AU"/>
        </w:rPr>
        <w:pict>
          <v:roundrect id="AutoShape 50" o:spid="_x0000_s1053" href="#Four_differential_tariffs" title="Differential tariffs" style="position:absolute;left:0;text-align:left;margin-left:393.65pt;margin-top:6.25pt;width:246.55pt;height:25.65pt;z-index:2516971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" o:button="t" fillcolor="#b6dde8 [1304]" strokecolor="white [3212]" strokeweight="0">
            <v:fill o:detectmouseclick="t"/>
            <v:shadow color="#205867 [1608]" opacity=".5" offset="1pt"/>
            <v:textbox>
              <w:txbxContent>
                <w:p w:rsidR="003766AB" w:rsidRPr="00AD1DBD" w:rsidRDefault="003766AB" w:rsidP="00AD1DBD">
                  <w:pPr>
                    <w:rPr>
                      <w:color w:val="17365D" w:themeColor="text2" w:themeShade="BF"/>
                      <w:sz w:val="20"/>
                    </w:rPr>
                  </w:pPr>
                  <w:r w:rsidRPr="00AD1DBD">
                    <w:rPr>
                      <w:color w:val="17365D" w:themeColor="text2" w:themeShade="BF"/>
                      <w:sz w:val="20"/>
                    </w:rPr>
                    <w:t>Different prices for residential and business</w:t>
                  </w:r>
                  <w:r>
                    <w:rPr>
                      <w:color w:val="17365D" w:themeColor="text2" w:themeShade="BF"/>
                      <w:sz w:val="20"/>
                    </w:rPr>
                    <w:t xml:space="preserve"> customers</w:t>
                  </w:r>
                </w:p>
              </w:txbxContent>
            </v:textbox>
          </v:roundrect>
        </w:pict>
      </w:r>
      <w:r>
        <w:rPr>
          <w:noProof/>
          <w:lang w:val="en-AU" w:eastAsia="en-AU"/>
        </w:rPr>
        <w:pict>
          <v:roundrect id="AutoShape 44" o:spid="_x0000_s1054" href="#Four_ACT_water_market" title="ACT water market" style="position:absolute;left:0;text-align:left;margin-left:164.35pt;margin-top:8.15pt;width:123.75pt;height:25.65pt;z-index:251692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" o:button="t" fillcolor="#b6dde8 [1304]" strokecolor="white [3212]" strokeweight="0">
            <v:fill o:detectmouseclick="t"/>
            <v:shadow color="#205867 [1608]" opacity=".5" offset="1pt"/>
            <v:textbox>
              <w:txbxContent>
                <w:p w:rsidR="003766AB" w:rsidRPr="0043704B" w:rsidRDefault="003766AB" w:rsidP="0043704B">
                  <w:pPr>
                    <w:rPr>
                      <w:color w:val="17365D" w:themeColor="text2" w:themeShade="BF"/>
                      <w:sz w:val="20"/>
                    </w:rPr>
                  </w:pPr>
                  <w:r>
                    <w:rPr>
                      <w:color w:val="17365D" w:themeColor="text2" w:themeShade="BF"/>
                      <w:sz w:val="20"/>
                    </w:rPr>
                    <w:t xml:space="preserve">The </w:t>
                  </w:r>
                  <w:r w:rsidRPr="0043704B">
                    <w:rPr>
                      <w:color w:val="17365D" w:themeColor="text2" w:themeShade="BF"/>
                      <w:sz w:val="20"/>
                    </w:rPr>
                    <w:t>ACT water market</w:t>
                  </w:r>
                </w:p>
              </w:txbxContent>
            </v:textbox>
          </v:roundrect>
        </w:pict>
      </w:r>
    </w:p>
    <w:p w:rsidR="001F5AAF" w:rsidRDefault="00A7215E" w:rsidP="008A1C91">
      <w:pPr>
        <w:pStyle w:val="References"/>
      </w:pPr>
      <w:r>
        <w:rPr>
          <w:noProof/>
          <w:lang w:val="en-AU" w:eastAsia="en-AU"/>
        </w:rPr>
        <w:pict>
          <v:roundrect id="AutoShape 51" o:spid="_x0000_s1055" href="#Four_developer_charges" title="Developer charges" style="position:absolute;left:0;text-align:left;margin-left:394pt;margin-top:8pt;width:201.2pt;height:25.65pt;z-index:251698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" o:button="t" fillcolor="#b6dde8 [1304]" strokecolor="white [3212]" strokeweight="0">
            <v:fill o:detectmouseclick="t"/>
            <v:shadow color="#205867 [1608]" opacity=".5" offset="1pt"/>
            <v:textbox>
              <w:txbxContent>
                <w:p w:rsidR="003766AB" w:rsidRPr="0043704B" w:rsidRDefault="003766AB" w:rsidP="00B921A7">
                  <w:pPr>
                    <w:rPr>
                      <w:color w:val="17365D" w:themeColor="text2" w:themeShade="BF"/>
                      <w:sz w:val="20"/>
                    </w:rPr>
                  </w:pPr>
                  <w:r>
                    <w:rPr>
                      <w:color w:val="17365D" w:themeColor="text2" w:themeShade="BF"/>
                      <w:sz w:val="20"/>
                    </w:rPr>
                    <w:t xml:space="preserve">Developer charges for new </w:t>
                  </w:r>
                  <w:r w:rsidR="00DE5446">
                    <w:rPr>
                      <w:color w:val="17365D" w:themeColor="text2" w:themeShade="BF"/>
                      <w:sz w:val="20"/>
                    </w:rPr>
                    <w:t>developments</w:t>
                  </w:r>
                </w:p>
              </w:txbxContent>
            </v:textbox>
          </v:roundrect>
        </w:pict>
      </w:r>
      <w:r>
        <w:rPr>
          <w:noProof/>
          <w:lang w:val="en-AU" w:eastAsia="en-AU"/>
        </w:rPr>
        <w:pict>
          <v:roundrect id="AutoShape 45" o:spid="_x0000_s1056" href="#Four_MCost" title="Marginal cost pricing" style="position:absolute;left:0;text-align:left;margin-left:163.15pt;margin-top:10.35pt;width:206.65pt;height:25.65pt;z-index:251693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" o:button="t" fillcolor="#b6dde8 [1304]" strokecolor="white [3212]" strokeweight="0">
            <v:fill o:detectmouseclick="t"/>
            <v:shadow color="#205867 [1608]" opacity=".5" offset="1pt"/>
            <v:textbox>
              <w:txbxContent>
                <w:p w:rsidR="003766AB" w:rsidRPr="00EE4A3A" w:rsidRDefault="003766AB" w:rsidP="0043704B">
                  <w:pPr>
                    <w:rPr>
                      <w:color w:val="17365D" w:themeColor="text2" w:themeShade="BF"/>
                      <w:sz w:val="20"/>
                    </w:rPr>
                  </w:pPr>
                  <w:r w:rsidRPr="00EE4A3A">
                    <w:rPr>
                      <w:color w:val="17365D" w:themeColor="text2" w:themeShade="BF"/>
                      <w:sz w:val="20"/>
                    </w:rPr>
                    <w:t>Marginal cost pricing</w:t>
                  </w:r>
                  <w:r>
                    <w:rPr>
                      <w:color w:val="17365D" w:themeColor="text2" w:themeShade="BF"/>
                      <w:sz w:val="20"/>
                    </w:rPr>
                    <w:t xml:space="preserve"> in a monopoly situation</w:t>
                  </w:r>
                </w:p>
              </w:txbxContent>
            </v:textbox>
          </v:roundrect>
        </w:pict>
      </w:r>
    </w:p>
    <w:p w:rsidR="001F5AAF" w:rsidRDefault="00A7215E" w:rsidP="008A1C91">
      <w:pPr>
        <w:pStyle w:val="References"/>
      </w:pPr>
      <w:r>
        <w:rPr>
          <w:noProof/>
          <w:lang w:val="en-AU" w:eastAsia="en-AU"/>
        </w:rPr>
        <w:pict>
          <v:roundrect id="AutoShape 47" o:spid="_x0000_s1057" href="#Four_demandmgt" title="Using price to manage demand" style="position:absolute;left:0;text-align:left;margin-left:162.75pt;margin-top:12.15pt;width:169.8pt;height:25.65pt;z-index:2516940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" o:button="t" fillcolor="#b6dde8 [1304]" strokecolor="white [3212]" strokeweight="0">
            <v:fill o:detectmouseclick="t"/>
            <v:shadow color="#205867 [1608]" opacity=".5" offset="1pt"/>
            <v:textbox>
              <w:txbxContent>
                <w:p w:rsidR="003766AB" w:rsidRPr="0043704B" w:rsidRDefault="003766AB" w:rsidP="001A14CD">
                  <w:pPr>
                    <w:rPr>
                      <w:color w:val="17365D" w:themeColor="text2" w:themeShade="BF"/>
                      <w:sz w:val="20"/>
                    </w:rPr>
                  </w:pPr>
                  <w:r>
                    <w:rPr>
                      <w:color w:val="17365D" w:themeColor="text2" w:themeShade="BF"/>
                      <w:sz w:val="20"/>
                    </w:rPr>
                    <w:t>Using price to manage water demand</w:t>
                  </w:r>
                </w:p>
              </w:txbxContent>
            </v:textbox>
          </v:roundrect>
        </w:pict>
      </w:r>
    </w:p>
    <w:p w:rsidR="001F5AAF" w:rsidRDefault="00A7215E" w:rsidP="008A1C91">
      <w:pPr>
        <w:pStyle w:val="References"/>
      </w:pPr>
      <w:r>
        <w:rPr>
          <w:noProof/>
          <w:lang w:val="en-AU" w:eastAsia="en-AU"/>
        </w:rPr>
        <w:pict>
          <v:roundrect id="AutoShape 55" o:spid="_x0000_s1058" style="position:absolute;left:0;text-align:left;margin-left:64.35pt;margin-top:22.1pt;width:530.85pt;height:56.3pt;z-index:251702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" fillcolor="white [3212]" strokecolor="#bfbfbf [2412]" strokeweight="1pt">
            <v:shadow color="#7f7f7f [1601]" opacity=".5" offset="1pt"/>
            <v:textbox>
              <w:txbxContent>
                <w:p w:rsidR="003766AB" w:rsidRPr="009F3D38" w:rsidRDefault="003766AB" w:rsidP="009F3D38">
                  <w:pPr>
                    <w:rPr>
                      <w:color w:val="984806" w:themeColor="accent6" w:themeShade="80"/>
                      <w:sz w:val="24"/>
                      <w:szCs w:val="24"/>
                    </w:rPr>
                  </w:pPr>
                  <w:r w:rsidRPr="009F3D38">
                    <w:rPr>
                      <w:color w:val="984806" w:themeColor="accent6" w:themeShade="80"/>
                      <w:sz w:val="24"/>
                      <w:szCs w:val="24"/>
                    </w:rPr>
                    <w:t xml:space="preserve">This chapter presents current </w:t>
                  </w:r>
                  <w:r>
                    <w:rPr>
                      <w:color w:val="984806" w:themeColor="accent6" w:themeShade="80"/>
                      <w:sz w:val="24"/>
                      <w:szCs w:val="24"/>
                    </w:rPr>
                    <w:t>sewerage services</w:t>
                  </w:r>
                  <w:r w:rsidRPr="009F3D38">
                    <w:rPr>
                      <w:color w:val="984806" w:themeColor="accent6" w:themeShade="80"/>
                      <w:sz w:val="24"/>
                      <w:szCs w:val="24"/>
                    </w:rPr>
                    <w:t xml:space="preserve"> pricing arrangements in the ACT and other jurisdictions. It also explores a number of theoretical and practical issues that</w:t>
                  </w:r>
                  <w:r>
                    <w:rPr>
                      <w:color w:val="984806" w:themeColor="accent6" w:themeShade="80"/>
                      <w:sz w:val="24"/>
                      <w:szCs w:val="24"/>
                    </w:rPr>
                    <w:t xml:space="preserve"> will impact on </w:t>
                  </w:r>
                  <w:r w:rsidRPr="009F3D38">
                    <w:rPr>
                      <w:color w:val="984806" w:themeColor="accent6" w:themeShade="80"/>
                      <w:sz w:val="24"/>
                      <w:szCs w:val="24"/>
                    </w:rPr>
                    <w:t xml:space="preserve">the choice of </w:t>
                  </w:r>
                  <w:r>
                    <w:rPr>
                      <w:color w:val="984806" w:themeColor="accent6" w:themeShade="80"/>
                      <w:sz w:val="24"/>
                      <w:szCs w:val="24"/>
                    </w:rPr>
                    <w:t>sewerage services tariff design.</w:t>
                  </w:r>
                </w:p>
              </w:txbxContent>
            </v:textbox>
          </v:roundrect>
        </w:pict>
      </w:r>
    </w:p>
    <w:p w:rsidR="001F5AAF" w:rsidRDefault="001F5AAF" w:rsidP="008A1C91">
      <w:pPr>
        <w:pStyle w:val="References"/>
      </w:pPr>
    </w:p>
    <w:p w:rsidR="001F5AAF" w:rsidRDefault="001F5AAF" w:rsidP="008A1C91">
      <w:pPr>
        <w:pStyle w:val="References"/>
      </w:pPr>
    </w:p>
    <w:p w:rsidR="001F5AAF" w:rsidRDefault="00A7215E" w:rsidP="008A1C91">
      <w:pPr>
        <w:pStyle w:val="References"/>
      </w:pPr>
      <w:r w:rsidRPr="00A7215E">
        <w:rPr>
          <w:noProof/>
          <w:color w:val="984806" w:themeColor="accent6" w:themeShade="80"/>
          <w:lang w:val="en-AU" w:eastAsia="en-AU"/>
        </w:rPr>
        <w:pict>
          <v:roundrect id="AutoShape 53" o:spid="_x0000_s1059" href="#Five_ACT_pricing" title="ACT sewerage services pricing" style="position:absolute;left:0;text-align:left;margin-left:164.3pt;margin-top:5.7pt;width:263.75pt;height:25.65pt;z-index:2517002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" o:button="t" fillcolor="#fbd4b4 [1305]" strokecolor="white [3212]" strokeweight="0">
            <v:fill o:detectmouseclick="t"/>
            <v:shadow color="#205867 [1608]" opacity=".5" offset="1pt"/>
            <v:textbox>
              <w:txbxContent>
                <w:p w:rsidR="003766AB" w:rsidRPr="009F3D38" w:rsidRDefault="003766AB" w:rsidP="009F3D38">
                  <w:pPr>
                    <w:rPr>
                      <w:color w:val="984806" w:themeColor="accent6" w:themeShade="80"/>
                      <w:sz w:val="20"/>
                    </w:rPr>
                  </w:pPr>
                  <w:r w:rsidRPr="009F3D38">
                    <w:rPr>
                      <w:color w:val="984806" w:themeColor="accent6" w:themeShade="80"/>
                      <w:sz w:val="20"/>
                    </w:rPr>
                    <w:t xml:space="preserve">Icon Water’s current </w:t>
                  </w:r>
                  <w:r>
                    <w:rPr>
                      <w:color w:val="984806" w:themeColor="accent6" w:themeShade="80"/>
                      <w:sz w:val="20"/>
                    </w:rPr>
                    <w:t xml:space="preserve">sewerage services </w:t>
                  </w:r>
                  <w:r w:rsidRPr="009F3D38">
                    <w:rPr>
                      <w:color w:val="984806" w:themeColor="accent6" w:themeShade="80"/>
                      <w:sz w:val="20"/>
                    </w:rPr>
                    <w:t>pricing arrangements</w:t>
                  </w:r>
                </w:p>
              </w:txbxContent>
            </v:textbox>
          </v:roundrect>
        </w:pict>
      </w:r>
      <w:r>
        <w:rPr>
          <w:noProof/>
          <w:lang w:val="en-AU" w:eastAsia="en-AU"/>
        </w:rPr>
        <w:pict>
          <v:roundrect id="AutoShape 52" o:spid="_x0000_s1060" href="#Chap5" title="Chapter 5: Sewerage services pricing " style="position:absolute;left:0;text-align:left;margin-left:64.35pt;margin-top:5pt;width:99.2pt;height:81.2pt;z-index:2516992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" o:button="t" fillcolor="#974706 [1609]" strokecolor="white [3212]" strokeweight="0">
            <v:fill o:detectmouseclick="t"/>
            <v:shadow color="#7f7f7f [1601]" opacity=".5" offset="1pt"/>
            <v:textbox>
              <w:txbxContent>
                <w:p w:rsidR="003766AB" w:rsidRPr="00FD48F8" w:rsidRDefault="003766AB" w:rsidP="009F3D38">
                  <w:pPr>
                    <w:jc w:val="center"/>
                    <w:rPr>
                      <w:b/>
                      <w:color w:val="FFFFFF" w:themeColor="background1"/>
                      <w:sz w:val="28"/>
                      <w:szCs w:val="28"/>
                    </w:rPr>
                  </w:pPr>
                  <w:r w:rsidRPr="00FD48F8">
                    <w:rPr>
                      <w:b/>
                      <w:color w:val="FFFFFF" w:themeColor="background1"/>
                      <w:sz w:val="28"/>
                      <w:szCs w:val="28"/>
                    </w:rPr>
                    <w:t xml:space="preserve">Chapter </w:t>
                  </w:r>
                  <w:r>
                    <w:rPr>
                      <w:b/>
                      <w:color w:val="FFFFFF" w:themeColor="background1"/>
                      <w:sz w:val="28"/>
                      <w:szCs w:val="28"/>
                    </w:rPr>
                    <w:t>5</w:t>
                  </w:r>
                  <w:r w:rsidRPr="00FD48F8">
                    <w:rPr>
                      <w:b/>
                      <w:color w:val="FFFFFF" w:themeColor="background1"/>
                      <w:sz w:val="28"/>
                      <w:szCs w:val="28"/>
                    </w:rPr>
                    <w:t xml:space="preserve">: </w:t>
                  </w:r>
                  <w:r>
                    <w:rPr>
                      <w:b/>
                      <w:color w:val="FFFFFF" w:themeColor="background1"/>
                      <w:sz w:val="28"/>
                      <w:szCs w:val="28"/>
                    </w:rPr>
                    <w:t>Sewerage services</w:t>
                  </w:r>
                  <w:r w:rsidRPr="00FD48F8">
                    <w:rPr>
                      <w:b/>
                      <w:color w:val="FFFFFF" w:themeColor="background1"/>
                      <w:sz w:val="28"/>
                      <w:szCs w:val="28"/>
                    </w:rPr>
                    <w:t xml:space="preserve"> pricing</w:t>
                  </w:r>
                </w:p>
              </w:txbxContent>
            </v:textbox>
          </v:roundrect>
        </w:pict>
      </w:r>
    </w:p>
    <w:p w:rsidR="001F5AAF" w:rsidRDefault="00A7215E" w:rsidP="008A1C91">
      <w:pPr>
        <w:pStyle w:val="References"/>
      </w:pPr>
      <w:r w:rsidRPr="00A7215E">
        <w:rPr>
          <w:noProof/>
          <w:color w:val="984806" w:themeColor="accent6" w:themeShade="80"/>
          <w:lang w:val="en-AU" w:eastAsia="en-AU"/>
        </w:rPr>
        <w:pict>
          <v:roundrect id="AutoShape 54" o:spid="_x0000_s1061" href="#Five_other_pricing" title="Other jurisdictions sewerage services pricing" style="position:absolute;left:0;text-align:left;margin-left:163.75pt;margin-top:8.05pt;width:215.6pt;height:25.65pt;z-index:251701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" o:button="t" fillcolor="#fbd4b4 [1305]" strokecolor="white [3212]" strokeweight="0">
            <v:fill o:detectmouseclick="t"/>
            <v:shadow color="#205867 [1608]" opacity=".5" offset="1pt"/>
            <v:textbox>
              <w:txbxContent>
                <w:p w:rsidR="003766AB" w:rsidRPr="009F3D38" w:rsidRDefault="003766AB" w:rsidP="009F3D38">
                  <w:pPr>
                    <w:rPr>
                      <w:color w:val="984806" w:themeColor="accent6" w:themeShade="80"/>
                      <w:sz w:val="20"/>
                    </w:rPr>
                  </w:pPr>
                  <w:r>
                    <w:rPr>
                      <w:color w:val="984806" w:themeColor="accent6" w:themeShade="80"/>
                      <w:sz w:val="20"/>
                    </w:rPr>
                    <w:t xml:space="preserve">Sewerage services </w:t>
                  </w:r>
                  <w:r w:rsidRPr="009F3D38">
                    <w:rPr>
                      <w:color w:val="984806" w:themeColor="accent6" w:themeShade="80"/>
                      <w:sz w:val="20"/>
                    </w:rPr>
                    <w:t>pricing in other j</w:t>
                  </w:r>
                  <w:r>
                    <w:rPr>
                      <w:color w:val="984806" w:themeColor="accent6" w:themeShade="80"/>
                      <w:sz w:val="20"/>
                    </w:rPr>
                    <w:t>urisdictions</w:t>
                  </w:r>
                </w:p>
              </w:txbxContent>
            </v:textbox>
          </v:roundrect>
        </w:pict>
      </w:r>
    </w:p>
    <w:p w:rsidR="001F5AAF" w:rsidRDefault="00A7215E" w:rsidP="008A1C91">
      <w:pPr>
        <w:pStyle w:val="References"/>
      </w:pPr>
      <w:r w:rsidRPr="00A7215E">
        <w:rPr>
          <w:noProof/>
          <w:color w:val="984806" w:themeColor="accent6" w:themeShade="80"/>
          <w:lang w:val="en-AU" w:eastAsia="en-AU"/>
        </w:rPr>
        <w:pict>
          <v:roundrect id="AutoShape 56" o:spid="_x0000_s1062" href="#Five_vol_pricing" title="Volumetric sewage pricing" style="position:absolute;left:0;text-align:left;margin-left:163.75pt;margin-top:10.55pt;width:182.05pt;height:25.65pt;z-index:2517032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" o:button="t" fillcolor="#fbd4b4 [1305]" strokecolor="white [3212]" strokeweight="0">
            <v:fill o:detectmouseclick="t"/>
            <v:shadow color="#205867 [1608]" opacity=".5" offset="1pt"/>
            <v:textbox>
              <w:txbxContent>
                <w:p w:rsidR="003766AB" w:rsidRPr="009F3D38" w:rsidRDefault="003766AB" w:rsidP="009F3D38">
                  <w:pPr>
                    <w:rPr>
                      <w:color w:val="984806" w:themeColor="accent6" w:themeShade="80"/>
                      <w:sz w:val="20"/>
                    </w:rPr>
                  </w:pPr>
                  <w:r>
                    <w:rPr>
                      <w:color w:val="984806" w:themeColor="accent6" w:themeShade="80"/>
                      <w:sz w:val="20"/>
                    </w:rPr>
                    <w:t>Volumetric pricing for sew</w:t>
                  </w:r>
                  <w:r w:rsidR="004245A3">
                    <w:rPr>
                      <w:color w:val="984806" w:themeColor="accent6" w:themeShade="80"/>
                      <w:sz w:val="20"/>
                    </w:rPr>
                    <w:t>erage services</w:t>
                  </w:r>
                </w:p>
              </w:txbxContent>
            </v:textbox>
          </v:roundrect>
        </w:pict>
      </w:r>
    </w:p>
    <w:p w:rsidR="001F5AAF" w:rsidRDefault="00A7215E" w:rsidP="008A1C91">
      <w:pPr>
        <w:pStyle w:val="References"/>
      </w:pPr>
      <w:r>
        <w:rPr>
          <w:noProof/>
          <w:lang w:val="en-AU" w:eastAsia="en-AU"/>
        </w:rPr>
        <w:pict>
          <v:roundrect id="AutoShape 57" o:spid="_x0000_s1063" href="#Five_business_pricing" title="Business pricing" style="position:absolute;left:0;text-align:left;margin-left:164.55pt;margin-top:11.55pt;width:205.25pt;height:25.65pt;z-index:2517043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" o:button="t" fillcolor="#fbd4b4 [1305]" strokecolor="white [3212]" strokeweight="0">
            <v:fill o:detectmouseclick="t"/>
            <v:shadow color="#205867 [1608]" opacity=".5" offset="1pt"/>
            <v:textbox>
              <w:txbxContent>
                <w:p w:rsidR="003766AB" w:rsidRPr="009F3D38" w:rsidRDefault="003766AB" w:rsidP="00EA4C81">
                  <w:pPr>
                    <w:rPr>
                      <w:color w:val="984806" w:themeColor="accent6" w:themeShade="80"/>
                      <w:sz w:val="20"/>
                    </w:rPr>
                  </w:pPr>
                  <w:r>
                    <w:rPr>
                      <w:color w:val="984806" w:themeColor="accent6" w:themeShade="80"/>
                      <w:sz w:val="20"/>
                    </w:rPr>
                    <w:t>Business customer charging arrangements</w:t>
                  </w:r>
                </w:p>
              </w:txbxContent>
            </v:textbox>
          </v:roundrect>
        </w:pict>
      </w:r>
    </w:p>
    <w:p w:rsidR="001F5AAF" w:rsidRPr="00866575" w:rsidRDefault="00A7215E" w:rsidP="008A1C91">
      <w:pPr>
        <w:pStyle w:val="References"/>
      </w:pPr>
      <w:r>
        <w:rPr>
          <w:noProof/>
          <w:lang w:val="en-AU" w:eastAsia="en-AU"/>
        </w:rPr>
        <w:pict>
          <v:roundrect id="AutoShape 58" o:spid="_x0000_s1064" href="#Five_tradewaste_pricing" title="Trade waste pricing" style="position:absolute;left:0;text-align:left;margin-left:164.55pt;margin-top:12.45pt;width:103.2pt;height:25.65pt;z-index:2517053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" o:button="t" fillcolor="#fbd4b4 [1305]" strokecolor="white [3212]" strokeweight="0">
            <v:fill o:detectmouseclick="t"/>
            <v:shadow color="#205867 [1608]" opacity=".5" offset="1pt"/>
            <v:textbox>
              <w:txbxContent>
                <w:p w:rsidR="003766AB" w:rsidRPr="009F3D38" w:rsidRDefault="003766AB" w:rsidP="00EA4C81">
                  <w:pPr>
                    <w:rPr>
                      <w:color w:val="984806" w:themeColor="accent6" w:themeShade="80"/>
                      <w:sz w:val="20"/>
                    </w:rPr>
                  </w:pPr>
                  <w:r>
                    <w:rPr>
                      <w:color w:val="984806" w:themeColor="accent6" w:themeShade="80"/>
                      <w:sz w:val="20"/>
                    </w:rPr>
                    <w:t>Trade waste pricing</w:t>
                  </w:r>
                </w:p>
              </w:txbxContent>
            </v:textbox>
          </v:roundrect>
        </w:pict>
      </w:r>
    </w:p>
    <w:p w:rsidR="00206261" w:rsidRDefault="00206261" w:rsidP="008A1C91">
      <w:pPr>
        <w:pStyle w:val="References"/>
        <w:sectPr w:rsidR="00206261" w:rsidSect="00866575">
          <w:endnotePr>
            <w:numFmt w:val="decimal"/>
          </w:endnotePr>
          <w:pgSz w:w="16840" w:h="11907" w:orient="landscape" w:code="9"/>
          <w:pgMar w:top="2098" w:right="2268" w:bottom="2098" w:left="1701" w:header="578" w:footer="578" w:gutter="0"/>
          <w:pgNumType w:fmt="lowerRoman" w:start="1"/>
          <w:cols w:space="720"/>
          <w:docGrid w:linePitch="299"/>
        </w:sectPr>
      </w:pPr>
    </w:p>
    <w:bookmarkEnd w:id="5"/>
    <w:bookmarkEnd w:id="6"/>
    <w:p w:rsidR="00D5242B" w:rsidRPr="005E1CF9" w:rsidRDefault="00D5242B" w:rsidP="008A1C91">
      <w:pPr>
        <w:pStyle w:val="References"/>
        <w:rPr>
          <w:rFonts w:ascii="Tahoma" w:hAnsi="Tahoma" w:cs="Tahoma"/>
          <w:b/>
          <w:color w:val="000033"/>
          <w:sz w:val="40"/>
          <w:lang w:val="en-AU"/>
        </w:rPr>
      </w:pPr>
      <w:r w:rsidRPr="005E1CF9">
        <w:rPr>
          <w:rFonts w:ascii="Tahoma" w:hAnsi="Tahoma" w:cs="Tahoma"/>
          <w:b/>
          <w:color w:val="000033"/>
          <w:sz w:val="40"/>
          <w:lang w:val="en-AU"/>
        </w:rPr>
        <w:lastRenderedPageBreak/>
        <w:t>Contents</w:t>
      </w:r>
    </w:p>
    <w:bookmarkStart w:id="12" w:name="_Toc44217187"/>
    <w:p w:rsidR="00061954" w:rsidRDefault="00A7215E">
      <w:pPr>
        <w:pStyle w:val="TOC1"/>
        <w:rPr>
          <w:rFonts w:asciiTheme="minorHAnsi" w:eastAsiaTheme="minorEastAsia" w:hAnsiTheme="minorHAnsi" w:cstheme="minorBidi"/>
          <w:b w:val="0"/>
          <w:szCs w:val="22"/>
          <w:lang w:val="en-AU" w:eastAsia="en-AU"/>
        </w:rPr>
      </w:pPr>
      <w:r w:rsidRPr="00A7215E">
        <w:rPr>
          <w:b w:val="0"/>
          <w:lang w:val="en-AU"/>
        </w:rPr>
        <w:fldChar w:fldCharType="begin"/>
      </w:r>
      <w:r w:rsidR="00063A81">
        <w:rPr>
          <w:b w:val="0"/>
          <w:lang w:val="en-AU"/>
        </w:rPr>
        <w:instrText xml:space="preserve"> TOC \o "1-2" \h \z \u </w:instrText>
      </w:r>
      <w:r w:rsidRPr="00A7215E">
        <w:rPr>
          <w:b w:val="0"/>
          <w:lang w:val="en-AU"/>
        </w:rPr>
        <w:fldChar w:fldCharType="separate"/>
      </w:r>
      <w:hyperlink w:anchor="_Toc435700142" w:history="1">
        <w:r w:rsidR="00061954" w:rsidRPr="009152A0">
          <w:rPr>
            <w:rStyle w:val="Hyperlink"/>
          </w:rPr>
          <w:t>Foreword</w:t>
        </w:r>
        <w:r w:rsidR="00061954">
          <w:rPr>
            <w:webHidden/>
          </w:rPr>
          <w:tab/>
        </w:r>
        <w:r>
          <w:rPr>
            <w:webHidden/>
          </w:rPr>
          <w:fldChar w:fldCharType="begin"/>
        </w:r>
        <w:r w:rsidR="00061954">
          <w:rPr>
            <w:webHidden/>
          </w:rPr>
          <w:instrText xml:space="preserve"> PAGEREF _Toc435700142 \h </w:instrText>
        </w:r>
        <w:r>
          <w:rPr>
            <w:webHidden/>
          </w:rPr>
        </w:r>
        <w:r>
          <w:rPr>
            <w:webHidden/>
          </w:rPr>
          <w:fldChar w:fldCharType="separate"/>
        </w:r>
        <w:r w:rsidR="00E43227">
          <w:rPr>
            <w:webHidden/>
          </w:rPr>
          <w:t>i</w:t>
        </w:r>
        <w:r>
          <w:rPr>
            <w:webHidden/>
          </w:rPr>
          <w:fldChar w:fldCharType="end"/>
        </w:r>
      </w:hyperlink>
    </w:p>
    <w:p w:rsidR="00061954" w:rsidRDefault="00A7215E">
      <w:pPr>
        <w:pStyle w:val="TOC1"/>
        <w:rPr>
          <w:rFonts w:asciiTheme="minorHAnsi" w:eastAsiaTheme="minorEastAsia" w:hAnsiTheme="minorHAnsi" w:cstheme="minorBidi"/>
          <w:b w:val="0"/>
          <w:szCs w:val="22"/>
          <w:lang w:val="en-AU" w:eastAsia="en-AU"/>
        </w:rPr>
      </w:pPr>
      <w:hyperlink w:anchor="_Toc435700143" w:history="1">
        <w:r w:rsidR="00061954" w:rsidRPr="009152A0">
          <w:rPr>
            <w:rStyle w:val="Hyperlink"/>
          </w:rPr>
          <w:t>How to make a submission</w:t>
        </w:r>
        <w:r w:rsidR="00061954">
          <w:rPr>
            <w:webHidden/>
          </w:rPr>
          <w:tab/>
        </w:r>
        <w:r>
          <w:rPr>
            <w:webHidden/>
          </w:rPr>
          <w:fldChar w:fldCharType="begin"/>
        </w:r>
        <w:r w:rsidR="00061954">
          <w:rPr>
            <w:webHidden/>
          </w:rPr>
          <w:instrText xml:space="preserve"> PAGEREF _Toc435700143 \h </w:instrText>
        </w:r>
        <w:r>
          <w:rPr>
            <w:webHidden/>
          </w:rPr>
        </w:r>
        <w:r>
          <w:rPr>
            <w:webHidden/>
          </w:rPr>
          <w:fldChar w:fldCharType="separate"/>
        </w:r>
        <w:r w:rsidR="00E43227">
          <w:rPr>
            <w:webHidden/>
          </w:rPr>
          <w:t>ii</w:t>
        </w:r>
        <w:r>
          <w:rPr>
            <w:webHidden/>
          </w:rPr>
          <w:fldChar w:fldCharType="end"/>
        </w:r>
      </w:hyperlink>
    </w:p>
    <w:p w:rsidR="00061954" w:rsidRDefault="00A7215E">
      <w:pPr>
        <w:pStyle w:val="TOC1"/>
        <w:rPr>
          <w:rFonts w:asciiTheme="minorHAnsi" w:eastAsiaTheme="minorEastAsia" w:hAnsiTheme="minorHAnsi" w:cstheme="minorBidi"/>
          <w:b w:val="0"/>
          <w:szCs w:val="22"/>
          <w:lang w:val="en-AU" w:eastAsia="en-AU"/>
        </w:rPr>
      </w:pPr>
      <w:hyperlink w:anchor="_Toc435700144" w:history="1">
        <w:r w:rsidR="00061954" w:rsidRPr="009152A0">
          <w:rPr>
            <w:rStyle w:val="Hyperlink"/>
          </w:rPr>
          <w:t>Tariff review at a glance: Click and go</w:t>
        </w:r>
        <w:r w:rsidR="00061954">
          <w:rPr>
            <w:webHidden/>
          </w:rPr>
          <w:tab/>
        </w:r>
        <w:r>
          <w:rPr>
            <w:webHidden/>
          </w:rPr>
          <w:fldChar w:fldCharType="begin"/>
        </w:r>
        <w:r w:rsidR="00061954">
          <w:rPr>
            <w:webHidden/>
          </w:rPr>
          <w:instrText xml:space="preserve"> PAGEREF _Toc435700144 \h </w:instrText>
        </w:r>
        <w:r>
          <w:rPr>
            <w:webHidden/>
          </w:rPr>
        </w:r>
        <w:r>
          <w:rPr>
            <w:webHidden/>
          </w:rPr>
          <w:fldChar w:fldCharType="separate"/>
        </w:r>
        <w:r w:rsidR="00E43227">
          <w:rPr>
            <w:webHidden/>
          </w:rPr>
          <w:t>i</w:t>
        </w:r>
        <w:r>
          <w:rPr>
            <w:webHidden/>
          </w:rPr>
          <w:fldChar w:fldCharType="end"/>
        </w:r>
      </w:hyperlink>
    </w:p>
    <w:p w:rsidR="00061954" w:rsidRDefault="00A7215E">
      <w:pPr>
        <w:pStyle w:val="TOC1"/>
        <w:rPr>
          <w:rFonts w:asciiTheme="minorHAnsi" w:eastAsiaTheme="minorEastAsia" w:hAnsiTheme="minorHAnsi" w:cstheme="minorBidi"/>
          <w:b w:val="0"/>
          <w:szCs w:val="22"/>
          <w:lang w:val="en-AU" w:eastAsia="en-AU"/>
        </w:rPr>
      </w:pPr>
      <w:hyperlink w:anchor="_Toc435700145" w:history="1">
        <w:r w:rsidR="00061954" w:rsidRPr="009152A0">
          <w:rPr>
            <w:rStyle w:val="Hyperlink"/>
          </w:rPr>
          <w:t>1</w:t>
        </w:r>
        <w:r w:rsidR="00061954">
          <w:rPr>
            <w:rFonts w:asciiTheme="minorHAnsi" w:eastAsiaTheme="minorEastAsia" w:hAnsiTheme="minorHAnsi" w:cstheme="minorBidi"/>
            <w:b w:val="0"/>
            <w:szCs w:val="22"/>
            <w:lang w:val="en-AU" w:eastAsia="en-AU"/>
          </w:rPr>
          <w:tab/>
        </w:r>
        <w:r w:rsidR="00061954" w:rsidRPr="009152A0">
          <w:rPr>
            <w:rStyle w:val="Hyperlink"/>
          </w:rPr>
          <w:t>Introduction</w:t>
        </w:r>
        <w:r w:rsidR="00061954">
          <w:rPr>
            <w:webHidden/>
          </w:rPr>
          <w:tab/>
        </w:r>
        <w:r>
          <w:rPr>
            <w:webHidden/>
          </w:rPr>
          <w:fldChar w:fldCharType="begin"/>
        </w:r>
        <w:r w:rsidR="00061954">
          <w:rPr>
            <w:webHidden/>
          </w:rPr>
          <w:instrText xml:space="preserve"> PAGEREF _Toc435700145 \h </w:instrText>
        </w:r>
        <w:r>
          <w:rPr>
            <w:webHidden/>
          </w:rPr>
        </w:r>
        <w:r>
          <w:rPr>
            <w:webHidden/>
          </w:rPr>
          <w:fldChar w:fldCharType="separate"/>
        </w:r>
        <w:r w:rsidR="00E43227">
          <w:rPr>
            <w:webHidden/>
          </w:rPr>
          <w:t>1</w:t>
        </w:r>
        <w:r>
          <w:rPr>
            <w:webHidden/>
          </w:rPr>
          <w:fldChar w:fldCharType="end"/>
        </w:r>
      </w:hyperlink>
    </w:p>
    <w:p w:rsidR="00061954" w:rsidRDefault="00A7215E">
      <w:pPr>
        <w:pStyle w:val="TOC2"/>
        <w:rPr>
          <w:rFonts w:asciiTheme="minorHAnsi" w:eastAsiaTheme="minorEastAsia" w:hAnsiTheme="minorHAnsi" w:cstheme="minorBidi"/>
          <w:szCs w:val="22"/>
          <w:lang w:val="en-AU" w:eastAsia="en-AU"/>
        </w:rPr>
      </w:pPr>
      <w:hyperlink w:anchor="_Toc435700146" w:history="1">
        <w:r w:rsidR="00061954" w:rsidRPr="009152A0">
          <w:rPr>
            <w:rStyle w:val="Hyperlink"/>
          </w:rPr>
          <w:t>1.1</w:t>
        </w:r>
        <w:r w:rsidR="00061954">
          <w:rPr>
            <w:rFonts w:asciiTheme="minorHAnsi" w:eastAsiaTheme="minorEastAsia" w:hAnsiTheme="minorHAnsi" w:cstheme="minorBidi"/>
            <w:szCs w:val="22"/>
            <w:lang w:val="en-AU" w:eastAsia="en-AU"/>
          </w:rPr>
          <w:tab/>
        </w:r>
        <w:r w:rsidR="00061954" w:rsidRPr="009152A0">
          <w:rPr>
            <w:rStyle w:val="Hyperlink"/>
          </w:rPr>
          <w:t>How are tariffs different to prices?</w:t>
        </w:r>
        <w:r w:rsidR="00061954">
          <w:rPr>
            <w:webHidden/>
          </w:rPr>
          <w:tab/>
        </w:r>
        <w:r>
          <w:rPr>
            <w:webHidden/>
          </w:rPr>
          <w:fldChar w:fldCharType="begin"/>
        </w:r>
        <w:r w:rsidR="00061954">
          <w:rPr>
            <w:webHidden/>
          </w:rPr>
          <w:instrText xml:space="preserve"> PAGEREF _Toc435700146 \h </w:instrText>
        </w:r>
        <w:r>
          <w:rPr>
            <w:webHidden/>
          </w:rPr>
        </w:r>
        <w:r>
          <w:rPr>
            <w:webHidden/>
          </w:rPr>
          <w:fldChar w:fldCharType="separate"/>
        </w:r>
        <w:r w:rsidR="00E43227">
          <w:rPr>
            <w:webHidden/>
          </w:rPr>
          <w:t>1</w:t>
        </w:r>
        <w:r>
          <w:rPr>
            <w:webHidden/>
          </w:rPr>
          <w:fldChar w:fldCharType="end"/>
        </w:r>
      </w:hyperlink>
    </w:p>
    <w:p w:rsidR="00061954" w:rsidRDefault="00A7215E">
      <w:pPr>
        <w:pStyle w:val="TOC2"/>
        <w:rPr>
          <w:rFonts w:asciiTheme="minorHAnsi" w:eastAsiaTheme="minorEastAsia" w:hAnsiTheme="minorHAnsi" w:cstheme="minorBidi"/>
          <w:szCs w:val="22"/>
          <w:lang w:val="en-AU" w:eastAsia="en-AU"/>
        </w:rPr>
      </w:pPr>
      <w:hyperlink w:anchor="_Toc435700147" w:history="1">
        <w:r w:rsidR="00061954" w:rsidRPr="009152A0">
          <w:rPr>
            <w:rStyle w:val="Hyperlink"/>
          </w:rPr>
          <w:t>1.2</w:t>
        </w:r>
        <w:r w:rsidR="00061954">
          <w:rPr>
            <w:rFonts w:asciiTheme="minorHAnsi" w:eastAsiaTheme="minorEastAsia" w:hAnsiTheme="minorHAnsi" w:cstheme="minorBidi"/>
            <w:szCs w:val="22"/>
            <w:lang w:val="en-AU" w:eastAsia="en-AU"/>
          </w:rPr>
          <w:tab/>
        </w:r>
        <w:r w:rsidR="00061954" w:rsidRPr="009152A0">
          <w:rPr>
            <w:rStyle w:val="Hyperlink"/>
          </w:rPr>
          <w:t>Why is the Commission conducting a tariff review?</w:t>
        </w:r>
        <w:r w:rsidR="00061954">
          <w:rPr>
            <w:webHidden/>
          </w:rPr>
          <w:tab/>
        </w:r>
        <w:r>
          <w:rPr>
            <w:webHidden/>
          </w:rPr>
          <w:fldChar w:fldCharType="begin"/>
        </w:r>
        <w:r w:rsidR="00061954">
          <w:rPr>
            <w:webHidden/>
          </w:rPr>
          <w:instrText xml:space="preserve"> PAGEREF _Toc435700147 \h </w:instrText>
        </w:r>
        <w:r>
          <w:rPr>
            <w:webHidden/>
          </w:rPr>
        </w:r>
        <w:r>
          <w:rPr>
            <w:webHidden/>
          </w:rPr>
          <w:fldChar w:fldCharType="separate"/>
        </w:r>
        <w:r w:rsidR="00E43227">
          <w:rPr>
            <w:webHidden/>
          </w:rPr>
          <w:t>2</w:t>
        </w:r>
        <w:r>
          <w:rPr>
            <w:webHidden/>
          </w:rPr>
          <w:fldChar w:fldCharType="end"/>
        </w:r>
      </w:hyperlink>
    </w:p>
    <w:p w:rsidR="00061954" w:rsidRDefault="00A7215E">
      <w:pPr>
        <w:pStyle w:val="TOC2"/>
        <w:rPr>
          <w:rFonts w:asciiTheme="minorHAnsi" w:eastAsiaTheme="minorEastAsia" w:hAnsiTheme="minorHAnsi" w:cstheme="minorBidi"/>
          <w:szCs w:val="22"/>
          <w:lang w:val="en-AU" w:eastAsia="en-AU"/>
        </w:rPr>
      </w:pPr>
      <w:hyperlink w:anchor="_Toc435700148" w:history="1">
        <w:r w:rsidR="00061954" w:rsidRPr="009152A0">
          <w:rPr>
            <w:rStyle w:val="Hyperlink"/>
          </w:rPr>
          <w:t>1.3</w:t>
        </w:r>
        <w:r w:rsidR="00061954">
          <w:rPr>
            <w:rFonts w:asciiTheme="minorHAnsi" w:eastAsiaTheme="minorEastAsia" w:hAnsiTheme="minorHAnsi" w:cstheme="minorBidi"/>
            <w:szCs w:val="22"/>
            <w:lang w:val="en-AU" w:eastAsia="en-AU"/>
          </w:rPr>
          <w:tab/>
        </w:r>
        <w:r w:rsidR="00061954" w:rsidRPr="009152A0">
          <w:rPr>
            <w:rStyle w:val="Hyperlink"/>
          </w:rPr>
          <w:t>Purpose of the issues paper</w:t>
        </w:r>
        <w:r w:rsidR="00061954">
          <w:rPr>
            <w:webHidden/>
          </w:rPr>
          <w:tab/>
        </w:r>
        <w:r>
          <w:rPr>
            <w:webHidden/>
          </w:rPr>
          <w:fldChar w:fldCharType="begin"/>
        </w:r>
        <w:r w:rsidR="00061954">
          <w:rPr>
            <w:webHidden/>
          </w:rPr>
          <w:instrText xml:space="preserve"> PAGEREF _Toc435700148 \h </w:instrText>
        </w:r>
        <w:r>
          <w:rPr>
            <w:webHidden/>
          </w:rPr>
        </w:r>
        <w:r>
          <w:rPr>
            <w:webHidden/>
          </w:rPr>
          <w:fldChar w:fldCharType="separate"/>
        </w:r>
        <w:r w:rsidR="00E43227">
          <w:rPr>
            <w:webHidden/>
          </w:rPr>
          <w:t>4</w:t>
        </w:r>
        <w:r>
          <w:rPr>
            <w:webHidden/>
          </w:rPr>
          <w:fldChar w:fldCharType="end"/>
        </w:r>
      </w:hyperlink>
    </w:p>
    <w:p w:rsidR="00061954" w:rsidRDefault="00A7215E">
      <w:pPr>
        <w:pStyle w:val="TOC2"/>
        <w:rPr>
          <w:rFonts w:asciiTheme="minorHAnsi" w:eastAsiaTheme="minorEastAsia" w:hAnsiTheme="minorHAnsi" w:cstheme="minorBidi"/>
          <w:szCs w:val="22"/>
          <w:lang w:val="en-AU" w:eastAsia="en-AU"/>
        </w:rPr>
      </w:pPr>
      <w:hyperlink w:anchor="_Toc435700149" w:history="1">
        <w:r w:rsidR="00061954" w:rsidRPr="009152A0">
          <w:rPr>
            <w:rStyle w:val="Hyperlink"/>
          </w:rPr>
          <w:t>1.4</w:t>
        </w:r>
        <w:r w:rsidR="00061954">
          <w:rPr>
            <w:rFonts w:asciiTheme="minorHAnsi" w:eastAsiaTheme="minorEastAsia" w:hAnsiTheme="minorHAnsi" w:cstheme="minorBidi"/>
            <w:szCs w:val="22"/>
            <w:lang w:val="en-AU" w:eastAsia="en-AU"/>
          </w:rPr>
          <w:tab/>
        </w:r>
        <w:r w:rsidR="00061954" w:rsidRPr="009152A0">
          <w:rPr>
            <w:rStyle w:val="Hyperlink"/>
          </w:rPr>
          <w:t>Scope of the review</w:t>
        </w:r>
        <w:r w:rsidR="00061954">
          <w:rPr>
            <w:webHidden/>
          </w:rPr>
          <w:tab/>
        </w:r>
        <w:r>
          <w:rPr>
            <w:webHidden/>
          </w:rPr>
          <w:fldChar w:fldCharType="begin"/>
        </w:r>
        <w:r w:rsidR="00061954">
          <w:rPr>
            <w:webHidden/>
          </w:rPr>
          <w:instrText xml:space="preserve"> PAGEREF _Toc435700149 \h </w:instrText>
        </w:r>
        <w:r>
          <w:rPr>
            <w:webHidden/>
          </w:rPr>
        </w:r>
        <w:r>
          <w:rPr>
            <w:webHidden/>
          </w:rPr>
          <w:fldChar w:fldCharType="separate"/>
        </w:r>
        <w:r w:rsidR="00E43227">
          <w:rPr>
            <w:webHidden/>
          </w:rPr>
          <w:t>5</w:t>
        </w:r>
        <w:r>
          <w:rPr>
            <w:webHidden/>
          </w:rPr>
          <w:fldChar w:fldCharType="end"/>
        </w:r>
      </w:hyperlink>
    </w:p>
    <w:p w:rsidR="00061954" w:rsidRDefault="00A7215E">
      <w:pPr>
        <w:pStyle w:val="TOC2"/>
        <w:rPr>
          <w:rFonts w:asciiTheme="minorHAnsi" w:eastAsiaTheme="minorEastAsia" w:hAnsiTheme="minorHAnsi" w:cstheme="minorBidi"/>
          <w:szCs w:val="22"/>
          <w:lang w:val="en-AU" w:eastAsia="en-AU"/>
        </w:rPr>
      </w:pPr>
      <w:hyperlink w:anchor="_Toc435700150" w:history="1">
        <w:r w:rsidR="00061954" w:rsidRPr="009152A0">
          <w:rPr>
            <w:rStyle w:val="Hyperlink"/>
          </w:rPr>
          <w:t>1.5</w:t>
        </w:r>
        <w:r w:rsidR="00061954">
          <w:rPr>
            <w:rFonts w:asciiTheme="minorHAnsi" w:eastAsiaTheme="minorEastAsia" w:hAnsiTheme="minorHAnsi" w:cstheme="minorBidi"/>
            <w:szCs w:val="22"/>
            <w:lang w:val="en-AU" w:eastAsia="en-AU"/>
          </w:rPr>
          <w:tab/>
        </w:r>
        <w:r w:rsidR="00061954" w:rsidRPr="009152A0">
          <w:rPr>
            <w:rStyle w:val="Hyperlink"/>
          </w:rPr>
          <w:t>Review timeline and consultation approach</w:t>
        </w:r>
        <w:r w:rsidR="00061954">
          <w:rPr>
            <w:webHidden/>
          </w:rPr>
          <w:tab/>
        </w:r>
        <w:r>
          <w:rPr>
            <w:webHidden/>
          </w:rPr>
          <w:fldChar w:fldCharType="begin"/>
        </w:r>
        <w:r w:rsidR="00061954">
          <w:rPr>
            <w:webHidden/>
          </w:rPr>
          <w:instrText xml:space="preserve"> PAGEREF _Toc435700150 \h </w:instrText>
        </w:r>
        <w:r>
          <w:rPr>
            <w:webHidden/>
          </w:rPr>
        </w:r>
        <w:r>
          <w:rPr>
            <w:webHidden/>
          </w:rPr>
          <w:fldChar w:fldCharType="separate"/>
        </w:r>
        <w:r w:rsidR="00E43227">
          <w:rPr>
            <w:webHidden/>
          </w:rPr>
          <w:t>6</w:t>
        </w:r>
        <w:r>
          <w:rPr>
            <w:webHidden/>
          </w:rPr>
          <w:fldChar w:fldCharType="end"/>
        </w:r>
      </w:hyperlink>
    </w:p>
    <w:p w:rsidR="00061954" w:rsidRDefault="00A7215E">
      <w:pPr>
        <w:pStyle w:val="TOC2"/>
        <w:rPr>
          <w:rFonts w:asciiTheme="minorHAnsi" w:eastAsiaTheme="minorEastAsia" w:hAnsiTheme="minorHAnsi" w:cstheme="minorBidi"/>
          <w:szCs w:val="22"/>
          <w:lang w:val="en-AU" w:eastAsia="en-AU"/>
        </w:rPr>
      </w:pPr>
      <w:hyperlink w:anchor="_Toc435700151" w:history="1">
        <w:r w:rsidR="00061954" w:rsidRPr="009152A0">
          <w:rPr>
            <w:rStyle w:val="Hyperlink"/>
          </w:rPr>
          <w:t>1.6</w:t>
        </w:r>
        <w:r w:rsidR="00061954">
          <w:rPr>
            <w:rFonts w:asciiTheme="minorHAnsi" w:eastAsiaTheme="minorEastAsia" w:hAnsiTheme="minorHAnsi" w:cstheme="minorBidi"/>
            <w:szCs w:val="22"/>
            <w:lang w:val="en-AU" w:eastAsia="en-AU"/>
          </w:rPr>
          <w:tab/>
        </w:r>
        <w:r w:rsidR="00061954" w:rsidRPr="009152A0">
          <w:rPr>
            <w:rStyle w:val="Hyperlink"/>
          </w:rPr>
          <w:t>What happens after the review?</w:t>
        </w:r>
        <w:r w:rsidR="00061954">
          <w:rPr>
            <w:webHidden/>
          </w:rPr>
          <w:tab/>
        </w:r>
        <w:r>
          <w:rPr>
            <w:webHidden/>
          </w:rPr>
          <w:fldChar w:fldCharType="begin"/>
        </w:r>
        <w:r w:rsidR="00061954">
          <w:rPr>
            <w:webHidden/>
          </w:rPr>
          <w:instrText xml:space="preserve"> PAGEREF _Toc435700151 \h </w:instrText>
        </w:r>
        <w:r>
          <w:rPr>
            <w:webHidden/>
          </w:rPr>
        </w:r>
        <w:r>
          <w:rPr>
            <w:webHidden/>
          </w:rPr>
          <w:fldChar w:fldCharType="separate"/>
        </w:r>
        <w:r w:rsidR="00E43227">
          <w:rPr>
            <w:webHidden/>
          </w:rPr>
          <w:t>7</w:t>
        </w:r>
        <w:r>
          <w:rPr>
            <w:webHidden/>
          </w:rPr>
          <w:fldChar w:fldCharType="end"/>
        </w:r>
      </w:hyperlink>
    </w:p>
    <w:p w:rsidR="00061954" w:rsidRDefault="00A7215E">
      <w:pPr>
        <w:pStyle w:val="TOC2"/>
        <w:rPr>
          <w:rFonts w:asciiTheme="minorHAnsi" w:eastAsiaTheme="minorEastAsia" w:hAnsiTheme="minorHAnsi" w:cstheme="minorBidi"/>
          <w:szCs w:val="22"/>
          <w:lang w:val="en-AU" w:eastAsia="en-AU"/>
        </w:rPr>
      </w:pPr>
      <w:hyperlink w:anchor="_Toc435700152" w:history="1">
        <w:r w:rsidR="00061954" w:rsidRPr="009152A0">
          <w:rPr>
            <w:rStyle w:val="Hyperlink"/>
          </w:rPr>
          <w:t>1.7</w:t>
        </w:r>
        <w:r w:rsidR="00061954">
          <w:rPr>
            <w:rFonts w:asciiTheme="minorHAnsi" w:eastAsiaTheme="minorEastAsia" w:hAnsiTheme="minorHAnsi" w:cstheme="minorBidi"/>
            <w:szCs w:val="22"/>
            <w:lang w:val="en-AU" w:eastAsia="en-AU"/>
          </w:rPr>
          <w:tab/>
        </w:r>
        <w:r w:rsidR="00061954" w:rsidRPr="009152A0">
          <w:rPr>
            <w:rStyle w:val="Hyperlink"/>
          </w:rPr>
          <w:t>Structure of the issues paper</w:t>
        </w:r>
        <w:r w:rsidR="00061954">
          <w:rPr>
            <w:webHidden/>
          </w:rPr>
          <w:tab/>
        </w:r>
        <w:r>
          <w:rPr>
            <w:webHidden/>
          </w:rPr>
          <w:fldChar w:fldCharType="begin"/>
        </w:r>
        <w:r w:rsidR="00061954">
          <w:rPr>
            <w:webHidden/>
          </w:rPr>
          <w:instrText xml:space="preserve"> PAGEREF _Toc435700152 \h </w:instrText>
        </w:r>
        <w:r>
          <w:rPr>
            <w:webHidden/>
          </w:rPr>
        </w:r>
        <w:r>
          <w:rPr>
            <w:webHidden/>
          </w:rPr>
          <w:fldChar w:fldCharType="separate"/>
        </w:r>
        <w:r w:rsidR="00E43227">
          <w:rPr>
            <w:webHidden/>
          </w:rPr>
          <w:t>8</w:t>
        </w:r>
        <w:r>
          <w:rPr>
            <w:webHidden/>
          </w:rPr>
          <w:fldChar w:fldCharType="end"/>
        </w:r>
      </w:hyperlink>
    </w:p>
    <w:p w:rsidR="00061954" w:rsidRDefault="00A7215E">
      <w:pPr>
        <w:pStyle w:val="TOC1"/>
        <w:rPr>
          <w:rFonts w:asciiTheme="minorHAnsi" w:eastAsiaTheme="minorEastAsia" w:hAnsiTheme="minorHAnsi" w:cstheme="minorBidi"/>
          <w:b w:val="0"/>
          <w:szCs w:val="22"/>
          <w:lang w:val="en-AU" w:eastAsia="en-AU"/>
        </w:rPr>
      </w:pPr>
      <w:hyperlink w:anchor="_Toc435700153" w:history="1">
        <w:r w:rsidR="00061954" w:rsidRPr="009152A0">
          <w:rPr>
            <w:rStyle w:val="Hyperlink"/>
          </w:rPr>
          <w:t>2</w:t>
        </w:r>
        <w:r w:rsidR="00061954">
          <w:rPr>
            <w:rFonts w:asciiTheme="minorHAnsi" w:eastAsiaTheme="minorEastAsia" w:hAnsiTheme="minorHAnsi" w:cstheme="minorBidi"/>
            <w:b w:val="0"/>
            <w:szCs w:val="22"/>
            <w:lang w:val="en-AU" w:eastAsia="en-AU"/>
          </w:rPr>
          <w:tab/>
        </w:r>
        <w:r w:rsidR="00061954" w:rsidRPr="009152A0">
          <w:rPr>
            <w:rStyle w:val="Hyperlink"/>
          </w:rPr>
          <w:t>Context for the review</w:t>
        </w:r>
        <w:r w:rsidR="00061954">
          <w:rPr>
            <w:webHidden/>
          </w:rPr>
          <w:tab/>
        </w:r>
        <w:r>
          <w:rPr>
            <w:webHidden/>
          </w:rPr>
          <w:fldChar w:fldCharType="begin"/>
        </w:r>
        <w:r w:rsidR="00061954">
          <w:rPr>
            <w:webHidden/>
          </w:rPr>
          <w:instrText xml:space="preserve"> PAGEREF _Toc435700153 \h </w:instrText>
        </w:r>
        <w:r>
          <w:rPr>
            <w:webHidden/>
          </w:rPr>
        </w:r>
        <w:r>
          <w:rPr>
            <w:webHidden/>
          </w:rPr>
          <w:fldChar w:fldCharType="separate"/>
        </w:r>
        <w:r w:rsidR="00E43227">
          <w:rPr>
            <w:webHidden/>
          </w:rPr>
          <w:t>9</w:t>
        </w:r>
        <w:r>
          <w:rPr>
            <w:webHidden/>
          </w:rPr>
          <w:fldChar w:fldCharType="end"/>
        </w:r>
      </w:hyperlink>
    </w:p>
    <w:p w:rsidR="00061954" w:rsidRDefault="00A7215E">
      <w:pPr>
        <w:pStyle w:val="TOC2"/>
        <w:rPr>
          <w:rFonts w:asciiTheme="minorHAnsi" w:eastAsiaTheme="minorEastAsia" w:hAnsiTheme="minorHAnsi" w:cstheme="minorBidi"/>
          <w:szCs w:val="22"/>
          <w:lang w:val="en-AU" w:eastAsia="en-AU"/>
        </w:rPr>
      </w:pPr>
      <w:hyperlink w:anchor="_Toc435700154" w:history="1">
        <w:r w:rsidR="00061954" w:rsidRPr="009152A0">
          <w:rPr>
            <w:rStyle w:val="Hyperlink"/>
          </w:rPr>
          <w:t>2.1</w:t>
        </w:r>
        <w:r w:rsidR="00061954">
          <w:rPr>
            <w:rFonts w:asciiTheme="minorHAnsi" w:eastAsiaTheme="minorEastAsia" w:hAnsiTheme="minorHAnsi" w:cstheme="minorBidi"/>
            <w:szCs w:val="22"/>
            <w:lang w:val="en-AU" w:eastAsia="en-AU"/>
          </w:rPr>
          <w:tab/>
        </w:r>
        <w:r w:rsidR="00061954" w:rsidRPr="009152A0">
          <w:rPr>
            <w:rStyle w:val="Hyperlink"/>
          </w:rPr>
          <w:t>Why is context important?</w:t>
        </w:r>
        <w:r w:rsidR="00061954">
          <w:rPr>
            <w:webHidden/>
          </w:rPr>
          <w:tab/>
        </w:r>
        <w:r>
          <w:rPr>
            <w:webHidden/>
          </w:rPr>
          <w:fldChar w:fldCharType="begin"/>
        </w:r>
        <w:r w:rsidR="00061954">
          <w:rPr>
            <w:webHidden/>
          </w:rPr>
          <w:instrText xml:space="preserve"> PAGEREF _Toc435700154 \h </w:instrText>
        </w:r>
        <w:r>
          <w:rPr>
            <w:webHidden/>
          </w:rPr>
        </w:r>
        <w:r>
          <w:rPr>
            <w:webHidden/>
          </w:rPr>
          <w:fldChar w:fldCharType="separate"/>
        </w:r>
        <w:r w:rsidR="00E43227">
          <w:rPr>
            <w:webHidden/>
          </w:rPr>
          <w:t>9</w:t>
        </w:r>
        <w:r>
          <w:rPr>
            <w:webHidden/>
          </w:rPr>
          <w:fldChar w:fldCharType="end"/>
        </w:r>
      </w:hyperlink>
    </w:p>
    <w:p w:rsidR="00061954" w:rsidRDefault="00A7215E">
      <w:pPr>
        <w:pStyle w:val="TOC2"/>
        <w:rPr>
          <w:rFonts w:asciiTheme="minorHAnsi" w:eastAsiaTheme="minorEastAsia" w:hAnsiTheme="minorHAnsi" w:cstheme="minorBidi"/>
          <w:szCs w:val="22"/>
          <w:lang w:val="en-AU" w:eastAsia="en-AU"/>
        </w:rPr>
      </w:pPr>
      <w:hyperlink w:anchor="_Toc435700155" w:history="1">
        <w:r w:rsidR="00061954" w:rsidRPr="009152A0">
          <w:rPr>
            <w:rStyle w:val="Hyperlink"/>
          </w:rPr>
          <w:t>2.2</w:t>
        </w:r>
        <w:r w:rsidR="00061954">
          <w:rPr>
            <w:rFonts w:asciiTheme="minorHAnsi" w:eastAsiaTheme="minorEastAsia" w:hAnsiTheme="minorHAnsi" w:cstheme="minorBidi"/>
            <w:szCs w:val="22"/>
            <w:lang w:val="en-AU" w:eastAsia="en-AU"/>
          </w:rPr>
          <w:tab/>
        </w:r>
        <w:r w:rsidR="00061954" w:rsidRPr="009152A0">
          <w:rPr>
            <w:rStyle w:val="Hyperlink"/>
          </w:rPr>
          <w:t>Regulatory context</w:t>
        </w:r>
        <w:r w:rsidR="00061954">
          <w:rPr>
            <w:webHidden/>
          </w:rPr>
          <w:tab/>
        </w:r>
        <w:r>
          <w:rPr>
            <w:webHidden/>
          </w:rPr>
          <w:fldChar w:fldCharType="begin"/>
        </w:r>
        <w:r w:rsidR="00061954">
          <w:rPr>
            <w:webHidden/>
          </w:rPr>
          <w:instrText xml:space="preserve"> PAGEREF _Toc435700155 \h </w:instrText>
        </w:r>
        <w:r>
          <w:rPr>
            <w:webHidden/>
          </w:rPr>
        </w:r>
        <w:r>
          <w:rPr>
            <w:webHidden/>
          </w:rPr>
          <w:fldChar w:fldCharType="separate"/>
        </w:r>
        <w:r w:rsidR="00E43227">
          <w:rPr>
            <w:webHidden/>
          </w:rPr>
          <w:t>9</w:t>
        </w:r>
        <w:r>
          <w:rPr>
            <w:webHidden/>
          </w:rPr>
          <w:fldChar w:fldCharType="end"/>
        </w:r>
      </w:hyperlink>
    </w:p>
    <w:p w:rsidR="00061954" w:rsidRDefault="00A7215E">
      <w:pPr>
        <w:pStyle w:val="TOC2"/>
        <w:rPr>
          <w:rFonts w:asciiTheme="minorHAnsi" w:eastAsiaTheme="minorEastAsia" w:hAnsiTheme="minorHAnsi" w:cstheme="minorBidi"/>
          <w:szCs w:val="22"/>
          <w:lang w:val="en-AU" w:eastAsia="en-AU"/>
        </w:rPr>
      </w:pPr>
      <w:hyperlink w:anchor="_Toc435700156" w:history="1">
        <w:r w:rsidR="00061954" w:rsidRPr="009152A0">
          <w:rPr>
            <w:rStyle w:val="Hyperlink"/>
          </w:rPr>
          <w:t>2.3</w:t>
        </w:r>
        <w:r w:rsidR="00061954">
          <w:rPr>
            <w:rFonts w:asciiTheme="minorHAnsi" w:eastAsiaTheme="minorEastAsia" w:hAnsiTheme="minorHAnsi" w:cstheme="minorBidi"/>
            <w:szCs w:val="22"/>
            <w:lang w:val="en-AU" w:eastAsia="en-AU"/>
          </w:rPr>
          <w:tab/>
        </w:r>
        <w:r w:rsidR="00061954" w:rsidRPr="009152A0">
          <w:rPr>
            <w:rStyle w:val="Hyperlink"/>
          </w:rPr>
          <w:t>Legislative context</w:t>
        </w:r>
        <w:r w:rsidR="00061954">
          <w:rPr>
            <w:webHidden/>
          </w:rPr>
          <w:tab/>
        </w:r>
        <w:r>
          <w:rPr>
            <w:webHidden/>
          </w:rPr>
          <w:fldChar w:fldCharType="begin"/>
        </w:r>
        <w:r w:rsidR="00061954">
          <w:rPr>
            <w:webHidden/>
          </w:rPr>
          <w:instrText xml:space="preserve"> PAGEREF _Toc435700156 \h </w:instrText>
        </w:r>
        <w:r>
          <w:rPr>
            <w:webHidden/>
          </w:rPr>
        </w:r>
        <w:r>
          <w:rPr>
            <w:webHidden/>
          </w:rPr>
          <w:fldChar w:fldCharType="separate"/>
        </w:r>
        <w:r w:rsidR="00E43227">
          <w:rPr>
            <w:webHidden/>
          </w:rPr>
          <w:t>12</w:t>
        </w:r>
        <w:r>
          <w:rPr>
            <w:webHidden/>
          </w:rPr>
          <w:fldChar w:fldCharType="end"/>
        </w:r>
      </w:hyperlink>
    </w:p>
    <w:p w:rsidR="00061954" w:rsidRDefault="00A7215E">
      <w:pPr>
        <w:pStyle w:val="TOC2"/>
        <w:rPr>
          <w:rFonts w:asciiTheme="minorHAnsi" w:eastAsiaTheme="minorEastAsia" w:hAnsiTheme="minorHAnsi" w:cstheme="minorBidi"/>
          <w:szCs w:val="22"/>
          <w:lang w:val="en-AU" w:eastAsia="en-AU"/>
        </w:rPr>
      </w:pPr>
      <w:hyperlink w:anchor="_Toc435700157" w:history="1">
        <w:r w:rsidR="00061954" w:rsidRPr="009152A0">
          <w:rPr>
            <w:rStyle w:val="Hyperlink"/>
          </w:rPr>
          <w:t>2.4</w:t>
        </w:r>
        <w:r w:rsidR="00061954">
          <w:rPr>
            <w:rFonts w:asciiTheme="minorHAnsi" w:eastAsiaTheme="minorEastAsia" w:hAnsiTheme="minorHAnsi" w:cstheme="minorBidi"/>
            <w:szCs w:val="22"/>
            <w:lang w:val="en-AU" w:eastAsia="en-AU"/>
          </w:rPr>
          <w:tab/>
        </w:r>
        <w:r w:rsidR="00061954" w:rsidRPr="009152A0">
          <w:rPr>
            <w:rStyle w:val="Hyperlink"/>
          </w:rPr>
          <w:t>Government policy context</w:t>
        </w:r>
        <w:r w:rsidR="00061954">
          <w:rPr>
            <w:webHidden/>
          </w:rPr>
          <w:tab/>
        </w:r>
        <w:r>
          <w:rPr>
            <w:webHidden/>
          </w:rPr>
          <w:fldChar w:fldCharType="begin"/>
        </w:r>
        <w:r w:rsidR="00061954">
          <w:rPr>
            <w:webHidden/>
          </w:rPr>
          <w:instrText xml:space="preserve"> PAGEREF _Toc435700157 \h </w:instrText>
        </w:r>
        <w:r>
          <w:rPr>
            <w:webHidden/>
          </w:rPr>
        </w:r>
        <w:r>
          <w:rPr>
            <w:webHidden/>
          </w:rPr>
          <w:fldChar w:fldCharType="separate"/>
        </w:r>
        <w:r w:rsidR="00E43227">
          <w:rPr>
            <w:webHidden/>
          </w:rPr>
          <w:t>13</w:t>
        </w:r>
        <w:r>
          <w:rPr>
            <w:webHidden/>
          </w:rPr>
          <w:fldChar w:fldCharType="end"/>
        </w:r>
      </w:hyperlink>
    </w:p>
    <w:p w:rsidR="00061954" w:rsidRDefault="00A7215E">
      <w:pPr>
        <w:pStyle w:val="TOC2"/>
        <w:rPr>
          <w:rFonts w:asciiTheme="minorHAnsi" w:eastAsiaTheme="minorEastAsia" w:hAnsiTheme="minorHAnsi" w:cstheme="minorBidi"/>
          <w:szCs w:val="22"/>
          <w:lang w:val="en-AU" w:eastAsia="en-AU"/>
        </w:rPr>
      </w:pPr>
      <w:hyperlink w:anchor="_Toc435700158" w:history="1">
        <w:r w:rsidR="00061954" w:rsidRPr="009152A0">
          <w:rPr>
            <w:rStyle w:val="Hyperlink"/>
          </w:rPr>
          <w:t>2.5</w:t>
        </w:r>
        <w:r w:rsidR="00061954">
          <w:rPr>
            <w:rFonts w:asciiTheme="minorHAnsi" w:eastAsiaTheme="minorEastAsia" w:hAnsiTheme="minorHAnsi" w:cstheme="minorBidi"/>
            <w:szCs w:val="22"/>
            <w:lang w:val="en-AU" w:eastAsia="en-AU"/>
          </w:rPr>
          <w:tab/>
        </w:r>
        <w:r w:rsidR="00061954" w:rsidRPr="009152A0">
          <w:rPr>
            <w:rStyle w:val="Hyperlink"/>
          </w:rPr>
          <w:t>Recent pricing reviews and reports</w:t>
        </w:r>
        <w:r w:rsidR="00061954">
          <w:rPr>
            <w:webHidden/>
          </w:rPr>
          <w:tab/>
        </w:r>
        <w:r>
          <w:rPr>
            <w:webHidden/>
          </w:rPr>
          <w:fldChar w:fldCharType="begin"/>
        </w:r>
        <w:r w:rsidR="00061954">
          <w:rPr>
            <w:webHidden/>
          </w:rPr>
          <w:instrText xml:space="preserve"> PAGEREF _Toc435700158 \h </w:instrText>
        </w:r>
        <w:r>
          <w:rPr>
            <w:webHidden/>
          </w:rPr>
        </w:r>
        <w:r>
          <w:rPr>
            <w:webHidden/>
          </w:rPr>
          <w:fldChar w:fldCharType="separate"/>
        </w:r>
        <w:r w:rsidR="00E43227">
          <w:rPr>
            <w:webHidden/>
          </w:rPr>
          <w:t>24</w:t>
        </w:r>
        <w:r>
          <w:rPr>
            <w:webHidden/>
          </w:rPr>
          <w:fldChar w:fldCharType="end"/>
        </w:r>
      </w:hyperlink>
    </w:p>
    <w:p w:rsidR="00061954" w:rsidRDefault="00A7215E">
      <w:pPr>
        <w:pStyle w:val="TOC2"/>
        <w:rPr>
          <w:rFonts w:asciiTheme="minorHAnsi" w:eastAsiaTheme="minorEastAsia" w:hAnsiTheme="minorHAnsi" w:cstheme="minorBidi"/>
          <w:szCs w:val="22"/>
          <w:lang w:val="en-AU" w:eastAsia="en-AU"/>
        </w:rPr>
      </w:pPr>
      <w:hyperlink w:anchor="_Toc435700159" w:history="1">
        <w:r w:rsidR="00061954" w:rsidRPr="009152A0">
          <w:rPr>
            <w:rStyle w:val="Hyperlink"/>
          </w:rPr>
          <w:t>2.6</w:t>
        </w:r>
        <w:r w:rsidR="00061954">
          <w:rPr>
            <w:rFonts w:asciiTheme="minorHAnsi" w:eastAsiaTheme="minorEastAsia" w:hAnsiTheme="minorHAnsi" w:cstheme="minorBidi"/>
            <w:szCs w:val="22"/>
            <w:lang w:val="en-AU" w:eastAsia="en-AU"/>
          </w:rPr>
          <w:tab/>
        </w:r>
        <w:r w:rsidR="00061954" w:rsidRPr="009152A0">
          <w:rPr>
            <w:rStyle w:val="Hyperlink"/>
          </w:rPr>
          <w:t>Water supply and demand context</w:t>
        </w:r>
        <w:r w:rsidR="00061954">
          <w:rPr>
            <w:webHidden/>
          </w:rPr>
          <w:tab/>
        </w:r>
        <w:r>
          <w:rPr>
            <w:webHidden/>
          </w:rPr>
          <w:fldChar w:fldCharType="begin"/>
        </w:r>
        <w:r w:rsidR="00061954">
          <w:rPr>
            <w:webHidden/>
          </w:rPr>
          <w:instrText xml:space="preserve"> PAGEREF _Toc435700159 \h </w:instrText>
        </w:r>
        <w:r>
          <w:rPr>
            <w:webHidden/>
          </w:rPr>
        </w:r>
        <w:r>
          <w:rPr>
            <w:webHidden/>
          </w:rPr>
          <w:fldChar w:fldCharType="separate"/>
        </w:r>
        <w:r w:rsidR="00E43227">
          <w:rPr>
            <w:webHidden/>
          </w:rPr>
          <w:t>30</w:t>
        </w:r>
        <w:r>
          <w:rPr>
            <w:webHidden/>
          </w:rPr>
          <w:fldChar w:fldCharType="end"/>
        </w:r>
      </w:hyperlink>
    </w:p>
    <w:p w:rsidR="00061954" w:rsidRDefault="00A7215E">
      <w:pPr>
        <w:pStyle w:val="TOC1"/>
        <w:rPr>
          <w:rFonts w:asciiTheme="minorHAnsi" w:eastAsiaTheme="minorEastAsia" w:hAnsiTheme="minorHAnsi" w:cstheme="minorBidi"/>
          <w:b w:val="0"/>
          <w:szCs w:val="22"/>
          <w:lang w:val="en-AU" w:eastAsia="en-AU"/>
        </w:rPr>
      </w:pPr>
      <w:hyperlink w:anchor="_Toc435700160" w:history="1">
        <w:r w:rsidR="00061954" w:rsidRPr="009152A0">
          <w:rPr>
            <w:rStyle w:val="Hyperlink"/>
          </w:rPr>
          <w:t>3</w:t>
        </w:r>
        <w:r w:rsidR="00061954">
          <w:rPr>
            <w:rFonts w:asciiTheme="minorHAnsi" w:eastAsiaTheme="minorEastAsia" w:hAnsiTheme="minorHAnsi" w:cstheme="minorBidi"/>
            <w:b w:val="0"/>
            <w:szCs w:val="22"/>
            <w:lang w:val="en-AU" w:eastAsia="en-AU"/>
          </w:rPr>
          <w:tab/>
        </w:r>
        <w:r w:rsidR="00061954" w:rsidRPr="009152A0">
          <w:rPr>
            <w:rStyle w:val="Hyperlink"/>
          </w:rPr>
          <w:t>Proposed economic regulation objective and pricing principles</w:t>
        </w:r>
        <w:r w:rsidR="00061954">
          <w:rPr>
            <w:webHidden/>
          </w:rPr>
          <w:tab/>
        </w:r>
        <w:r>
          <w:rPr>
            <w:webHidden/>
          </w:rPr>
          <w:fldChar w:fldCharType="begin"/>
        </w:r>
        <w:r w:rsidR="00061954">
          <w:rPr>
            <w:webHidden/>
          </w:rPr>
          <w:instrText xml:space="preserve"> PAGEREF _Toc435700160 \h </w:instrText>
        </w:r>
        <w:r>
          <w:rPr>
            <w:webHidden/>
          </w:rPr>
        </w:r>
        <w:r>
          <w:rPr>
            <w:webHidden/>
          </w:rPr>
          <w:fldChar w:fldCharType="separate"/>
        </w:r>
        <w:r w:rsidR="00E43227">
          <w:rPr>
            <w:webHidden/>
          </w:rPr>
          <w:t>35</w:t>
        </w:r>
        <w:r>
          <w:rPr>
            <w:webHidden/>
          </w:rPr>
          <w:fldChar w:fldCharType="end"/>
        </w:r>
      </w:hyperlink>
    </w:p>
    <w:p w:rsidR="00061954" w:rsidRDefault="00A7215E">
      <w:pPr>
        <w:pStyle w:val="TOC2"/>
        <w:rPr>
          <w:rFonts w:asciiTheme="minorHAnsi" w:eastAsiaTheme="minorEastAsia" w:hAnsiTheme="minorHAnsi" w:cstheme="minorBidi"/>
          <w:szCs w:val="22"/>
          <w:lang w:val="en-AU" w:eastAsia="en-AU"/>
        </w:rPr>
      </w:pPr>
      <w:hyperlink w:anchor="_Toc435700161" w:history="1">
        <w:r w:rsidR="00061954" w:rsidRPr="009152A0">
          <w:rPr>
            <w:rStyle w:val="Hyperlink"/>
          </w:rPr>
          <w:t>3.1</w:t>
        </w:r>
        <w:r w:rsidR="00061954">
          <w:rPr>
            <w:rFonts w:asciiTheme="minorHAnsi" w:eastAsiaTheme="minorEastAsia" w:hAnsiTheme="minorHAnsi" w:cstheme="minorBidi"/>
            <w:szCs w:val="22"/>
            <w:lang w:val="en-AU" w:eastAsia="en-AU"/>
          </w:rPr>
          <w:tab/>
        </w:r>
        <w:r w:rsidR="00061954" w:rsidRPr="009152A0">
          <w:rPr>
            <w:rStyle w:val="Hyperlink"/>
          </w:rPr>
          <w:t>Introduction</w:t>
        </w:r>
        <w:r w:rsidR="00061954">
          <w:rPr>
            <w:webHidden/>
          </w:rPr>
          <w:tab/>
        </w:r>
        <w:r>
          <w:rPr>
            <w:webHidden/>
          </w:rPr>
          <w:fldChar w:fldCharType="begin"/>
        </w:r>
        <w:r w:rsidR="00061954">
          <w:rPr>
            <w:webHidden/>
          </w:rPr>
          <w:instrText xml:space="preserve"> PAGEREF _Toc435700161 \h </w:instrText>
        </w:r>
        <w:r>
          <w:rPr>
            <w:webHidden/>
          </w:rPr>
        </w:r>
        <w:r>
          <w:rPr>
            <w:webHidden/>
          </w:rPr>
          <w:fldChar w:fldCharType="separate"/>
        </w:r>
        <w:r w:rsidR="00E43227">
          <w:rPr>
            <w:webHidden/>
          </w:rPr>
          <w:t>35</w:t>
        </w:r>
        <w:r>
          <w:rPr>
            <w:webHidden/>
          </w:rPr>
          <w:fldChar w:fldCharType="end"/>
        </w:r>
      </w:hyperlink>
    </w:p>
    <w:p w:rsidR="00061954" w:rsidRDefault="00A7215E">
      <w:pPr>
        <w:pStyle w:val="TOC2"/>
        <w:rPr>
          <w:rFonts w:asciiTheme="minorHAnsi" w:eastAsiaTheme="minorEastAsia" w:hAnsiTheme="minorHAnsi" w:cstheme="minorBidi"/>
          <w:szCs w:val="22"/>
          <w:lang w:val="en-AU" w:eastAsia="en-AU"/>
        </w:rPr>
      </w:pPr>
      <w:hyperlink w:anchor="_Toc435700162" w:history="1">
        <w:r w:rsidR="00061954" w:rsidRPr="009152A0">
          <w:rPr>
            <w:rStyle w:val="Hyperlink"/>
          </w:rPr>
          <w:t>3.2</w:t>
        </w:r>
        <w:r w:rsidR="00061954">
          <w:rPr>
            <w:rFonts w:asciiTheme="minorHAnsi" w:eastAsiaTheme="minorEastAsia" w:hAnsiTheme="minorHAnsi" w:cstheme="minorBidi"/>
            <w:szCs w:val="22"/>
            <w:lang w:val="en-AU" w:eastAsia="en-AU"/>
          </w:rPr>
          <w:tab/>
        </w:r>
        <w:r w:rsidR="00061954" w:rsidRPr="009152A0">
          <w:rPr>
            <w:rStyle w:val="Hyperlink"/>
          </w:rPr>
          <w:t>Proposed economic regulation objective</w:t>
        </w:r>
        <w:r w:rsidR="00061954">
          <w:rPr>
            <w:webHidden/>
          </w:rPr>
          <w:tab/>
        </w:r>
        <w:r>
          <w:rPr>
            <w:webHidden/>
          </w:rPr>
          <w:fldChar w:fldCharType="begin"/>
        </w:r>
        <w:r w:rsidR="00061954">
          <w:rPr>
            <w:webHidden/>
          </w:rPr>
          <w:instrText xml:space="preserve"> PAGEREF _Toc435700162 \h </w:instrText>
        </w:r>
        <w:r>
          <w:rPr>
            <w:webHidden/>
          </w:rPr>
        </w:r>
        <w:r>
          <w:rPr>
            <w:webHidden/>
          </w:rPr>
          <w:fldChar w:fldCharType="separate"/>
        </w:r>
        <w:r w:rsidR="00E43227">
          <w:rPr>
            <w:webHidden/>
          </w:rPr>
          <w:t>36</w:t>
        </w:r>
        <w:r>
          <w:rPr>
            <w:webHidden/>
          </w:rPr>
          <w:fldChar w:fldCharType="end"/>
        </w:r>
      </w:hyperlink>
    </w:p>
    <w:p w:rsidR="00061954" w:rsidRDefault="00A7215E">
      <w:pPr>
        <w:pStyle w:val="TOC2"/>
        <w:rPr>
          <w:rFonts w:asciiTheme="minorHAnsi" w:eastAsiaTheme="minorEastAsia" w:hAnsiTheme="minorHAnsi" w:cstheme="minorBidi"/>
          <w:szCs w:val="22"/>
          <w:lang w:val="en-AU" w:eastAsia="en-AU"/>
        </w:rPr>
      </w:pPr>
      <w:hyperlink w:anchor="_Toc435700163" w:history="1">
        <w:r w:rsidR="00061954" w:rsidRPr="009152A0">
          <w:rPr>
            <w:rStyle w:val="Hyperlink"/>
          </w:rPr>
          <w:t>3.3</w:t>
        </w:r>
        <w:r w:rsidR="00061954">
          <w:rPr>
            <w:rFonts w:asciiTheme="minorHAnsi" w:eastAsiaTheme="minorEastAsia" w:hAnsiTheme="minorHAnsi" w:cstheme="minorBidi"/>
            <w:szCs w:val="22"/>
            <w:lang w:val="en-AU" w:eastAsia="en-AU"/>
          </w:rPr>
          <w:tab/>
        </w:r>
        <w:r w:rsidR="00061954" w:rsidRPr="009152A0">
          <w:rPr>
            <w:rStyle w:val="Hyperlink"/>
          </w:rPr>
          <w:t>Proposed pricing principles</w:t>
        </w:r>
        <w:r w:rsidR="00061954">
          <w:rPr>
            <w:webHidden/>
          </w:rPr>
          <w:tab/>
        </w:r>
        <w:r>
          <w:rPr>
            <w:webHidden/>
          </w:rPr>
          <w:fldChar w:fldCharType="begin"/>
        </w:r>
        <w:r w:rsidR="00061954">
          <w:rPr>
            <w:webHidden/>
          </w:rPr>
          <w:instrText xml:space="preserve"> PAGEREF _Toc435700163 \h </w:instrText>
        </w:r>
        <w:r>
          <w:rPr>
            <w:webHidden/>
          </w:rPr>
        </w:r>
        <w:r>
          <w:rPr>
            <w:webHidden/>
          </w:rPr>
          <w:fldChar w:fldCharType="separate"/>
        </w:r>
        <w:r w:rsidR="00E43227">
          <w:rPr>
            <w:webHidden/>
          </w:rPr>
          <w:t>38</w:t>
        </w:r>
        <w:r>
          <w:rPr>
            <w:webHidden/>
          </w:rPr>
          <w:fldChar w:fldCharType="end"/>
        </w:r>
      </w:hyperlink>
    </w:p>
    <w:p w:rsidR="00061954" w:rsidRDefault="00A7215E">
      <w:pPr>
        <w:pStyle w:val="TOC2"/>
        <w:rPr>
          <w:rFonts w:asciiTheme="minorHAnsi" w:eastAsiaTheme="minorEastAsia" w:hAnsiTheme="minorHAnsi" w:cstheme="minorBidi"/>
          <w:szCs w:val="22"/>
          <w:lang w:val="en-AU" w:eastAsia="en-AU"/>
        </w:rPr>
      </w:pPr>
      <w:hyperlink w:anchor="_Toc435700164" w:history="1">
        <w:r w:rsidR="00061954" w:rsidRPr="009152A0">
          <w:rPr>
            <w:rStyle w:val="Hyperlink"/>
          </w:rPr>
          <w:t>3.4</w:t>
        </w:r>
        <w:r w:rsidR="00061954">
          <w:rPr>
            <w:rFonts w:asciiTheme="minorHAnsi" w:eastAsiaTheme="minorEastAsia" w:hAnsiTheme="minorHAnsi" w:cstheme="minorBidi"/>
            <w:szCs w:val="22"/>
            <w:lang w:val="en-AU" w:eastAsia="en-AU"/>
          </w:rPr>
          <w:tab/>
        </w:r>
        <w:r w:rsidR="00061954" w:rsidRPr="009152A0">
          <w:rPr>
            <w:rStyle w:val="Hyperlink"/>
          </w:rPr>
          <w:t>Conclusion</w:t>
        </w:r>
        <w:r w:rsidR="00061954">
          <w:rPr>
            <w:webHidden/>
          </w:rPr>
          <w:tab/>
        </w:r>
        <w:r>
          <w:rPr>
            <w:webHidden/>
          </w:rPr>
          <w:fldChar w:fldCharType="begin"/>
        </w:r>
        <w:r w:rsidR="00061954">
          <w:rPr>
            <w:webHidden/>
          </w:rPr>
          <w:instrText xml:space="preserve"> PAGEREF _Toc435700164 \h </w:instrText>
        </w:r>
        <w:r>
          <w:rPr>
            <w:webHidden/>
          </w:rPr>
        </w:r>
        <w:r>
          <w:rPr>
            <w:webHidden/>
          </w:rPr>
          <w:fldChar w:fldCharType="separate"/>
        </w:r>
        <w:r w:rsidR="00E43227">
          <w:rPr>
            <w:webHidden/>
          </w:rPr>
          <w:t>45</w:t>
        </w:r>
        <w:r>
          <w:rPr>
            <w:webHidden/>
          </w:rPr>
          <w:fldChar w:fldCharType="end"/>
        </w:r>
      </w:hyperlink>
    </w:p>
    <w:p w:rsidR="00061954" w:rsidRDefault="00A7215E">
      <w:pPr>
        <w:pStyle w:val="TOC1"/>
        <w:rPr>
          <w:rFonts w:asciiTheme="minorHAnsi" w:eastAsiaTheme="minorEastAsia" w:hAnsiTheme="minorHAnsi" w:cstheme="minorBidi"/>
          <w:b w:val="0"/>
          <w:szCs w:val="22"/>
          <w:lang w:val="en-AU" w:eastAsia="en-AU"/>
        </w:rPr>
      </w:pPr>
      <w:hyperlink w:anchor="_Toc435700165" w:history="1">
        <w:r w:rsidR="00061954" w:rsidRPr="009152A0">
          <w:rPr>
            <w:rStyle w:val="Hyperlink"/>
          </w:rPr>
          <w:t>4</w:t>
        </w:r>
        <w:r w:rsidR="00061954">
          <w:rPr>
            <w:rFonts w:asciiTheme="minorHAnsi" w:eastAsiaTheme="minorEastAsia" w:hAnsiTheme="minorHAnsi" w:cstheme="minorBidi"/>
            <w:b w:val="0"/>
            <w:szCs w:val="22"/>
            <w:lang w:val="en-AU" w:eastAsia="en-AU"/>
          </w:rPr>
          <w:tab/>
        </w:r>
        <w:r w:rsidR="00061954" w:rsidRPr="009152A0">
          <w:rPr>
            <w:rStyle w:val="Hyperlink"/>
          </w:rPr>
          <w:t>Water pricing</w:t>
        </w:r>
        <w:r w:rsidR="00061954">
          <w:rPr>
            <w:webHidden/>
          </w:rPr>
          <w:tab/>
        </w:r>
        <w:r>
          <w:rPr>
            <w:webHidden/>
          </w:rPr>
          <w:fldChar w:fldCharType="begin"/>
        </w:r>
        <w:r w:rsidR="00061954">
          <w:rPr>
            <w:webHidden/>
          </w:rPr>
          <w:instrText xml:space="preserve"> PAGEREF _Toc435700165 \h </w:instrText>
        </w:r>
        <w:r>
          <w:rPr>
            <w:webHidden/>
          </w:rPr>
        </w:r>
        <w:r>
          <w:rPr>
            <w:webHidden/>
          </w:rPr>
          <w:fldChar w:fldCharType="separate"/>
        </w:r>
        <w:r w:rsidR="00E43227">
          <w:rPr>
            <w:webHidden/>
          </w:rPr>
          <w:t>47</w:t>
        </w:r>
        <w:r>
          <w:rPr>
            <w:webHidden/>
          </w:rPr>
          <w:fldChar w:fldCharType="end"/>
        </w:r>
      </w:hyperlink>
    </w:p>
    <w:p w:rsidR="00061954" w:rsidRDefault="00A7215E">
      <w:pPr>
        <w:pStyle w:val="TOC2"/>
        <w:rPr>
          <w:rFonts w:asciiTheme="minorHAnsi" w:eastAsiaTheme="minorEastAsia" w:hAnsiTheme="minorHAnsi" w:cstheme="minorBidi"/>
          <w:szCs w:val="22"/>
          <w:lang w:val="en-AU" w:eastAsia="en-AU"/>
        </w:rPr>
      </w:pPr>
      <w:hyperlink w:anchor="_Toc435700166" w:history="1">
        <w:r w:rsidR="00061954" w:rsidRPr="009152A0">
          <w:rPr>
            <w:rStyle w:val="Hyperlink"/>
          </w:rPr>
          <w:t>4.1</w:t>
        </w:r>
        <w:r w:rsidR="00061954">
          <w:rPr>
            <w:rFonts w:asciiTheme="minorHAnsi" w:eastAsiaTheme="minorEastAsia" w:hAnsiTheme="minorHAnsi" w:cstheme="minorBidi"/>
            <w:szCs w:val="22"/>
            <w:lang w:val="en-AU" w:eastAsia="en-AU"/>
          </w:rPr>
          <w:tab/>
        </w:r>
        <w:r w:rsidR="00061954" w:rsidRPr="009152A0">
          <w:rPr>
            <w:rStyle w:val="Hyperlink"/>
          </w:rPr>
          <w:t>Introduction</w:t>
        </w:r>
        <w:r w:rsidR="00061954">
          <w:rPr>
            <w:webHidden/>
          </w:rPr>
          <w:tab/>
        </w:r>
        <w:r>
          <w:rPr>
            <w:webHidden/>
          </w:rPr>
          <w:fldChar w:fldCharType="begin"/>
        </w:r>
        <w:r w:rsidR="00061954">
          <w:rPr>
            <w:webHidden/>
          </w:rPr>
          <w:instrText xml:space="preserve"> PAGEREF _Toc435700166 \h </w:instrText>
        </w:r>
        <w:r>
          <w:rPr>
            <w:webHidden/>
          </w:rPr>
        </w:r>
        <w:r>
          <w:rPr>
            <w:webHidden/>
          </w:rPr>
          <w:fldChar w:fldCharType="separate"/>
        </w:r>
        <w:r w:rsidR="00E43227">
          <w:rPr>
            <w:webHidden/>
          </w:rPr>
          <w:t>47</w:t>
        </w:r>
        <w:r>
          <w:rPr>
            <w:webHidden/>
          </w:rPr>
          <w:fldChar w:fldCharType="end"/>
        </w:r>
      </w:hyperlink>
    </w:p>
    <w:p w:rsidR="00061954" w:rsidRDefault="00A7215E">
      <w:pPr>
        <w:pStyle w:val="TOC2"/>
        <w:rPr>
          <w:rFonts w:asciiTheme="minorHAnsi" w:eastAsiaTheme="minorEastAsia" w:hAnsiTheme="minorHAnsi" w:cstheme="minorBidi"/>
          <w:szCs w:val="22"/>
          <w:lang w:val="en-AU" w:eastAsia="en-AU"/>
        </w:rPr>
      </w:pPr>
      <w:hyperlink w:anchor="_Toc435700167" w:history="1">
        <w:r w:rsidR="00061954" w:rsidRPr="009152A0">
          <w:rPr>
            <w:rStyle w:val="Hyperlink"/>
          </w:rPr>
          <w:t>4.2</w:t>
        </w:r>
        <w:r w:rsidR="00061954">
          <w:rPr>
            <w:rFonts w:asciiTheme="minorHAnsi" w:eastAsiaTheme="minorEastAsia" w:hAnsiTheme="minorHAnsi" w:cstheme="minorBidi"/>
            <w:szCs w:val="22"/>
            <w:lang w:val="en-AU" w:eastAsia="en-AU"/>
          </w:rPr>
          <w:tab/>
        </w:r>
        <w:r w:rsidR="00061954" w:rsidRPr="009152A0">
          <w:rPr>
            <w:rStyle w:val="Hyperlink"/>
          </w:rPr>
          <w:t>Arrangements in the ACT</w:t>
        </w:r>
        <w:r w:rsidR="00061954">
          <w:rPr>
            <w:webHidden/>
          </w:rPr>
          <w:tab/>
        </w:r>
        <w:r>
          <w:rPr>
            <w:webHidden/>
          </w:rPr>
          <w:fldChar w:fldCharType="begin"/>
        </w:r>
        <w:r w:rsidR="00061954">
          <w:rPr>
            <w:webHidden/>
          </w:rPr>
          <w:instrText xml:space="preserve"> PAGEREF _Toc435700167 \h </w:instrText>
        </w:r>
        <w:r>
          <w:rPr>
            <w:webHidden/>
          </w:rPr>
        </w:r>
        <w:r>
          <w:rPr>
            <w:webHidden/>
          </w:rPr>
          <w:fldChar w:fldCharType="separate"/>
        </w:r>
        <w:r w:rsidR="00E43227">
          <w:rPr>
            <w:webHidden/>
          </w:rPr>
          <w:t>47</w:t>
        </w:r>
        <w:r>
          <w:rPr>
            <w:webHidden/>
          </w:rPr>
          <w:fldChar w:fldCharType="end"/>
        </w:r>
      </w:hyperlink>
    </w:p>
    <w:p w:rsidR="00061954" w:rsidRDefault="00A7215E">
      <w:pPr>
        <w:pStyle w:val="TOC2"/>
        <w:rPr>
          <w:rFonts w:asciiTheme="minorHAnsi" w:eastAsiaTheme="minorEastAsia" w:hAnsiTheme="minorHAnsi" w:cstheme="minorBidi"/>
          <w:szCs w:val="22"/>
          <w:lang w:val="en-AU" w:eastAsia="en-AU"/>
        </w:rPr>
      </w:pPr>
      <w:hyperlink w:anchor="_Toc435700168" w:history="1">
        <w:r w:rsidR="00061954" w:rsidRPr="009152A0">
          <w:rPr>
            <w:rStyle w:val="Hyperlink"/>
          </w:rPr>
          <w:t>4.3</w:t>
        </w:r>
        <w:r w:rsidR="00061954">
          <w:rPr>
            <w:rFonts w:asciiTheme="minorHAnsi" w:eastAsiaTheme="minorEastAsia" w:hAnsiTheme="minorHAnsi" w:cstheme="minorBidi"/>
            <w:szCs w:val="22"/>
            <w:lang w:val="en-AU" w:eastAsia="en-AU"/>
          </w:rPr>
          <w:tab/>
        </w:r>
        <w:r w:rsidR="00061954" w:rsidRPr="009152A0">
          <w:rPr>
            <w:rStyle w:val="Hyperlink"/>
          </w:rPr>
          <w:t>Arrangements in other jurisdictions</w:t>
        </w:r>
        <w:r w:rsidR="00061954">
          <w:rPr>
            <w:webHidden/>
          </w:rPr>
          <w:tab/>
        </w:r>
        <w:r>
          <w:rPr>
            <w:webHidden/>
          </w:rPr>
          <w:fldChar w:fldCharType="begin"/>
        </w:r>
        <w:r w:rsidR="00061954">
          <w:rPr>
            <w:webHidden/>
          </w:rPr>
          <w:instrText xml:space="preserve"> PAGEREF _Toc435700168 \h </w:instrText>
        </w:r>
        <w:r>
          <w:rPr>
            <w:webHidden/>
          </w:rPr>
        </w:r>
        <w:r>
          <w:rPr>
            <w:webHidden/>
          </w:rPr>
          <w:fldChar w:fldCharType="separate"/>
        </w:r>
        <w:r w:rsidR="00E43227">
          <w:rPr>
            <w:webHidden/>
          </w:rPr>
          <w:t>49</w:t>
        </w:r>
        <w:r>
          <w:rPr>
            <w:webHidden/>
          </w:rPr>
          <w:fldChar w:fldCharType="end"/>
        </w:r>
      </w:hyperlink>
    </w:p>
    <w:p w:rsidR="00061954" w:rsidRDefault="00A7215E">
      <w:pPr>
        <w:pStyle w:val="TOC2"/>
        <w:rPr>
          <w:rFonts w:asciiTheme="minorHAnsi" w:eastAsiaTheme="minorEastAsia" w:hAnsiTheme="minorHAnsi" w:cstheme="minorBidi"/>
          <w:szCs w:val="22"/>
          <w:lang w:val="en-AU" w:eastAsia="en-AU"/>
        </w:rPr>
      </w:pPr>
      <w:hyperlink w:anchor="_Toc435700169" w:history="1">
        <w:r w:rsidR="00061954" w:rsidRPr="009152A0">
          <w:rPr>
            <w:rStyle w:val="Hyperlink"/>
          </w:rPr>
          <w:t>4.4</w:t>
        </w:r>
        <w:r w:rsidR="00061954">
          <w:rPr>
            <w:rFonts w:asciiTheme="minorHAnsi" w:eastAsiaTheme="minorEastAsia" w:hAnsiTheme="minorHAnsi" w:cstheme="minorBidi"/>
            <w:szCs w:val="22"/>
            <w:lang w:val="en-AU" w:eastAsia="en-AU"/>
          </w:rPr>
          <w:tab/>
        </w:r>
        <w:r w:rsidR="00061954" w:rsidRPr="009152A0">
          <w:rPr>
            <w:rStyle w:val="Hyperlink"/>
          </w:rPr>
          <w:t>The market for water in the ACT</w:t>
        </w:r>
        <w:r w:rsidR="00061954">
          <w:rPr>
            <w:webHidden/>
          </w:rPr>
          <w:tab/>
        </w:r>
        <w:r>
          <w:rPr>
            <w:webHidden/>
          </w:rPr>
          <w:fldChar w:fldCharType="begin"/>
        </w:r>
        <w:r w:rsidR="00061954">
          <w:rPr>
            <w:webHidden/>
          </w:rPr>
          <w:instrText xml:space="preserve"> PAGEREF _Toc435700169 \h </w:instrText>
        </w:r>
        <w:r>
          <w:rPr>
            <w:webHidden/>
          </w:rPr>
        </w:r>
        <w:r>
          <w:rPr>
            <w:webHidden/>
          </w:rPr>
          <w:fldChar w:fldCharType="separate"/>
        </w:r>
        <w:r w:rsidR="00E43227">
          <w:rPr>
            <w:webHidden/>
          </w:rPr>
          <w:t>51</w:t>
        </w:r>
        <w:r>
          <w:rPr>
            <w:webHidden/>
          </w:rPr>
          <w:fldChar w:fldCharType="end"/>
        </w:r>
      </w:hyperlink>
    </w:p>
    <w:p w:rsidR="00061954" w:rsidRDefault="00A7215E">
      <w:pPr>
        <w:pStyle w:val="TOC2"/>
        <w:rPr>
          <w:rFonts w:asciiTheme="minorHAnsi" w:eastAsiaTheme="minorEastAsia" w:hAnsiTheme="minorHAnsi" w:cstheme="minorBidi"/>
          <w:szCs w:val="22"/>
          <w:lang w:val="en-AU" w:eastAsia="en-AU"/>
        </w:rPr>
      </w:pPr>
      <w:hyperlink w:anchor="_Toc435700170" w:history="1">
        <w:r w:rsidR="00061954" w:rsidRPr="009152A0">
          <w:rPr>
            <w:rStyle w:val="Hyperlink"/>
          </w:rPr>
          <w:t>4.5</w:t>
        </w:r>
        <w:r w:rsidR="00061954">
          <w:rPr>
            <w:rFonts w:asciiTheme="minorHAnsi" w:eastAsiaTheme="minorEastAsia" w:hAnsiTheme="minorHAnsi" w:cstheme="minorBidi"/>
            <w:szCs w:val="22"/>
            <w:lang w:val="en-AU" w:eastAsia="en-AU"/>
          </w:rPr>
          <w:tab/>
        </w:r>
        <w:r w:rsidR="00061954" w:rsidRPr="009152A0">
          <w:rPr>
            <w:rStyle w:val="Hyperlink"/>
          </w:rPr>
          <w:t>Theoretical and practical issues</w:t>
        </w:r>
        <w:r w:rsidR="00061954">
          <w:rPr>
            <w:webHidden/>
          </w:rPr>
          <w:tab/>
        </w:r>
        <w:r>
          <w:rPr>
            <w:webHidden/>
          </w:rPr>
          <w:fldChar w:fldCharType="begin"/>
        </w:r>
        <w:r w:rsidR="00061954">
          <w:rPr>
            <w:webHidden/>
          </w:rPr>
          <w:instrText xml:space="preserve"> PAGEREF _Toc435700170 \h </w:instrText>
        </w:r>
        <w:r>
          <w:rPr>
            <w:webHidden/>
          </w:rPr>
        </w:r>
        <w:r>
          <w:rPr>
            <w:webHidden/>
          </w:rPr>
          <w:fldChar w:fldCharType="separate"/>
        </w:r>
        <w:r w:rsidR="00E43227">
          <w:rPr>
            <w:webHidden/>
          </w:rPr>
          <w:t>54</w:t>
        </w:r>
        <w:r>
          <w:rPr>
            <w:webHidden/>
          </w:rPr>
          <w:fldChar w:fldCharType="end"/>
        </w:r>
      </w:hyperlink>
    </w:p>
    <w:p w:rsidR="00061954" w:rsidRDefault="00A7215E">
      <w:pPr>
        <w:pStyle w:val="TOC1"/>
        <w:rPr>
          <w:rFonts w:asciiTheme="minorHAnsi" w:eastAsiaTheme="minorEastAsia" w:hAnsiTheme="minorHAnsi" w:cstheme="minorBidi"/>
          <w:b w:val="0"/>
          <w:szCs w:val="22"/>
          <w:lang w:val="en-AU" w:eastAsia="en-AU"/>
        </w:rPr>
      </w:pPr>
      <w:hyperlink w:anchor="_Toc435700171" w:history="1">
        <w:r w:rsidR="00061954" w:rsidRPr="009152A0">
          <w:rPr>
            <w:rStyle w:val="Hyperlink"/>
          </w:rPr>
          <w:t>5</w:t>
        </w:r>
        <w:r w:rsidR="00061954">
          <w:rPr>
            <w:rFonts w:asciiTheme="minorHAnsi" w:eastAsiaTheme="minorEastAsia" w:hAnsiTheme="minorHAnsi" w:cstheme="minorBidi"/>
            <w:b w:val="0"/>
            <w:szCs w:val="22"/>
            <w:lang w:val="en-AU" w:eastAsia="en-AU"/>
          </w:rPr>
          <w:tab/>
        </w:r>
        <w:r w:rsidR="00061954" w:rsidRPr="009152A0">
          <w:rPr>
            <w:rStyle w:val="Hyperlink"/>
          </w:rPr>
          <w:t>Sewerage services pricing</w:t>
        </w:r>
        <w:r w:rsidR="00061954">
          <w:rPr>
            <w:webHidden/>
          </w:rPr>
          <w:tab/>
        </w:r>
        <w:r>
          <w:rPr>
            <w:webHidden/>
          </w:rPr>
          <w:fldChar w:fldCharType="begin"/>
        </w:r>
        <w:r w:rsidR="00061954">
          <w:rPr>
            <w:webHidden/>
          </w:rPr>
          <w:instrText xml:space="preserve"> PAGEREF _Toc435700171 \h </w:instrText>
        </w:r>
        <w:r>
          <w:rPr>
            <w:webHidden/>
          </w:rPr>
        </w:r>
        <w:r>
          <w:rPr>
            <w:webHidden/>
          </w:rPr>
          <w:fldChar w:fldCharType="separate"/>
        </w:r>
        <w:r w:rsidR="00E43227">
          <w:rPr>
            <w:webHidden/>
          </w:rPr>
          <w:t>77</w:t>
        </w:r>
        <w:r>
          <w:rPr>
            <w:webHidden/>
          </w:rPr>
          <w:fldChar w:fldCharType="end"/>
        </w:r>
      </w:hyperlink>
    </w:p>
    <w:p w:rsidR="00061954" w:rsidRDefault="00A7215E">
      <w:pPr>
        <w:pStyle w:val="TOC2"/>
        <w:rPr>
          <w:rFonts w:asciiTheme="minorHAnsi" w:eastAsiaTheme="minorEastAsia" w:hAnsiTheme="minorHAnsi" w:cstheme="minorBidi"/>
          <w:szCs w:val="22"/>
          <w:lang w:val="en-AU" w:eastAsia="en-AU"/>
        </w:rPr>
      </w:pPr>
      <w:hyperlink w:anchor="_Toc435700172" w:history="1">
        <w:r w:rsidR="00061954" w:rsidRPr="009152A0">
          <w:rPr>
            <w:rStyle w:val="Hyperlink"/>
          </w:rPr>
          <w:t>5.1</w:t>
        </w:r>
        <w:r w:rsidR="00061954">
          <w:rPr>
            <w:rFonts w:asciiTheme="minorHAnsi" w:eastAsiaTheme="minorEastAsia" w:hAnsiTheme="minorHAnsi" w:cstheme="minorBidi"/>
            <w:szCs w:val="22"/>
            <w:lang w:val="en-AU" w:eastAsia="en-AU"/>
          </w:rPr>
          <w:tab/>
        </w:r>
        <w:r w:rsidR="00061954" w:rsidRPr="009152A0">
          <w:rPr>
            <w:rStyle w:val="Hyperlink"/>
          </w:rPr>
          <w:t>Introduction</w:t>
        </w:r>
        <w:r w:rsidR="00061954">
          <w:rPr>
            <w:webHidden/>
          </w:rPr>
          <w:tab/>
        </w:r>
        <w:r>
          <w:rPr>
            <w:webHidden/>
          </w:rPr>
          <w:fldChar w:fldCharType="begin"/>
        </w:r>
        <w:r w:rsidR="00061954">
          <w:rPr>
            <w:webHidden/>
          </w:rPr>
          <w:instrText xml:space="preserve"> PAGEREF _Toc435700172 \h </w:instrText>
        </w:r>
        <w:r>
          <w:rPr>
            <w:webHidden/>
          </w:rPr>
        </w:r>
        <w:r>
          <w:rPr>
            <w:webHidden/>
          </w:rPr>
          <w:fldChar w:fldCharType="separate"/>
        </w:r>
        <w:r w:rsidR="00E43227">
          <w:rPr>
            <w:webHidden/>
          </w:rPr>
          <w:t>77</w:t>
        </w:r>
        <w:r>
          <w:rPr>
            <w:webHidden/>
          </w:rPr>
          <w:fldChar w:fldCharType="end"/>
        </w:r>
      </w:hyperlink>
    </w:p>
    <w:p w:rsidR="00061954" w:rsidRDefault="00A7215E">
      <w:pPr>
        <w:pStyle w:val="TOC2"/>
        <w:rPr>
          <w:rFonts w:asciiTheme="minorHAnsi" w:eastAsiaTheme="minorEastAsia" w:hAnsiTheme="minorHAnsi" w:cstheme="minorBidi"/>
          <w:szCs w:val="22"/>
          <w:lang w:val="en-AU" w:eastAsia="en-AU"/>
        </w:rPr>
      </w:pPr>
      <w:hyperlink w:anchor="_Toc435700173" w:history="1">
        <w:r w:rsidR="00061954" w:rsidRPr="009152A0">
          <w:rPr>
            <w:rStyle w:val="Hyperlink"/>
          </w:rPr>
          <w:t>5.2</w:t>
        </w:r>
        <w:r w:rsidR="00061954">
          <w:rPr>
            <w:rFonts w:asciiTheme="minorHAnsi" w:eastAsiaTheme="minorEastAsia" w:hAnsiTheme="minorHAnsi" w:cstheme="minorBidi"/>
            <w:szCs w:val="22"/>
            <w:lang w:val="en-AU" w:eastAsia="en-AU"/>
          </w:rPr>
          <w:tab/>
        </w:r>
        <w:r w:rsidR="00061954" w:rsidRPr="009152A0">
          <w:rPr>
            <w:rStyle w:val="Hyperlink"/>
          </w:rPr>
          <w:t>Arrangements in the ACT</w:t>
        </w:r>
        <w:r w:rsidR="00061954">
          <w:rPr>
            <w:webHidden/>
          </w:rPr>
          <w:tab/>
        </w:r>
        <w:r>
          <w:rPr>
            <w:webHidden/>
          </w:rPr>
          <w:fldChar w:fldCharType="begin"/>
        </w:r>
        <w:r w:rsidR="00061954">
          <w:rPr>
            <w:webHidden/>
          </w:rPr>
          <w:instrText xml:space="preserve"> PAGEREF _Toc435700173 \h </w:instrText>
        </w:r>
        <w:r>
          <w:rPr>
            <w:webHidden/>
          </w:rPr>
        </w:r>
        <w:r>
          <w:rPr>
            <w:webHidden/>
          </w:rPr>
          <w:fldChar w:fldCharType="separate"/>
        </w:r>
        <w:r w:rsidR="00E43227">
          <w:rPr>
            <w:webHidden/>
          </w:rPr>
          <w:t>77</w:t>
        </w:r>
        <w:r>
          <w:rPr>
            <w:webHidden/>
          </w:rPr>
          <w:fldChar w:fldCharType="end"/>
        </w:r>
      </w:hyperlink>
    </w:p>
    <w:p w:rsidR="00061954" w:rsidRDefault="00A7215E">
      <w:pPr>
        <w:pStyle w:val="TOC2"/>
        <w:rPr>
          <w:rFonts w:asciiTheme="minorHAnsi" w:eastAsiaTheme="minorEastAsia" w:hAnsiTheme="minorHAnsi" w:cstheme="minorBidi"/>
          <w:szCs w:val="22"/>
          <w:lang w:val="en-AU" w:eastAsia="en-AU"/>
        </w:rPr>
      </w:pPr>
      <w:hyperlink w:anchor="_Toc435700174" w:history="1">
        <w:r w:rsidR="00061954" w:rsidRPr="009152A0">
          <w:rPr>
            <w:rStyle w:val="Hyperlink"/>
          </w:rPr>
          <w:t>5.3</w:t>
        </w:r>
        <w:r w:rsidR="00061954">
          <w:rPr>
            <w:rFonts w:asciiTheme="minorHAnsi" w:eastAsiaTheme="minorEastAsia" w:hAnsiTheme="minorHAnsi" w:cstheme="minorBidi"/>
            <w:szCs w:val="22"/>
            <w:lang w:val="en-AU" w:eastAsia="en-AU"/>
          </w:rPr>
          <w:tab/>
        </w:r>
        <w:r w:rsidR="00061954" w:rsidRPr="009152A0">
          <w:rPr>
            <w:rStyle w:val="Hyperlink"/>
          </w:rPr>
          <w:t>Arrangements in other jurisdictions</w:t>
        </w:r>
        <w:r w:rsidR="00061954">
          <w:rPr>
            <w:webHidden/>
          </w:rPr>
          <w:tab/>
        </w:r>
        <w:r>
          <w:rPr>
            <w:webHidden/>
          </w:rPr>
          <w:fldChar w:fldCharType="begin"/>
        </w:r>
        <w:r w:rsidR="00061954">
          <w:rPr>
            <w:webHidden/>
          </w:rPr>
          <w:instrText xml:space="preserve"> PAGEREF _Toc435700174 \h </w:instrText>
        </w:r>
        <w:r>
          <w:rPr>
            <w:webHidden/>
          </w:rPr>
        </w:r>
        <w:r>
          <w:rPr>
            <w:webHidden/>
          </w:rPr>
          <w:fldChar w:fldCharType="separate"/>
        </w:r>
        <w:r w:rsidR="00E43227">
          <w:rPr>
            <w:webHidden/>
          </w:rPr>
          <w:t>78</w:t>
        </w:r>
        <w:r>
          <w:rPr>
            <w:webHidden/>
          </w:rPr>
          <w:fldChar w:fldCharType="end"/>
        </w:r>
      </w:hyperlink>
    </w:p>
    <w:p w:rsidR="00061954" w:rsidRDefault="00A7215E">
      <w:pPr>
        <w:pStyle w:val="TOC2"/>
        <w:rPr>
          <w:rFonts w:asciiTheme="minorHAnsi" w:eastAsiaTheme="minorEastAsia" w:hAnsiTheme="minorHAnsi" w:cstheme="minorBidi"/>
          <w:szCs w:val="22"/>
          <w:lang w:val="en-AU" w:eastAsia="en-AU"/>
        </w:rPr>
      </w:pPr>
      <w:hyperlink w:anchor="_Toc435700175" w:history="1">
        <w:r w:rsidR="00061954" w:rsidRPr="009152A0">
          <w:rPr>
            <w:rStyle w:val="Hyperlink"/>
          </w:rPr>
          <w:t>5.4</w:t>
        </w:r>
        <w:r w:rsidR="00061954">
          <w:rPr>
            <w:rFonts w:asciiTheme="minorHAnsi" w:eastAsiaTheme="minorEastAsia" w:hAnsiTheme="minorHAnsi" w:cstheme="minorBidi"/>
            <w:szCs w:val="22"/>
            <w:lang w:val="en-AU" w:eastAsia="en-AU"/>
          </w:rPr>
          <w:tab/>
        </w:r>
        <w:r w:rsidR="00061954" w:rsidRPr="009152A0">
          <w:rPr>
            <w:rStyle w:val="Hyperlink"/>
          </w:rPr>
          <w:t>Theoretical and practical issues</w:t>
        </w:r>
        <w:r w:rsidR="00061954">
          <w:rPr>
            <w:webHidden/>
          </w:rPr>
          <w:tab/>
        </w:r>
        <w:r>
          <w:rPr>
            <w:webHidden/>
          </w:rPr>
          <w:fldChar w:fldCharType="begin"/>
        </w:r>
        <w:r w:rsidR="00061954">
          <w:rPr>
            <w:webHidden/>
          </w:rPr>
          <w:instrText xml:space="preserve"> PAGEREF _Toc435700175 \h </w:instrText>
        </w:r>
        <w:r>
          <w:rPr>
            <w:webHidden/>
          </w:rPr>
        </w:r>
        <w:r>
          <w:rPr>
            <w:webHidden/>
          </w:rPr>
          <w:fldChar w:fldCharType="separate"/>
        </w:r>
        <w:r w:rsidR="00E43227">
          <w:rPr>
            <w:webHidden/>
          </w:rPr>
          <w:t>80</w:t>
        </w:r>
        <w:r>
          <w:rPr>
            <w:webHidden/>
          </w:rPr>
          <w:fldChar w:fldCharType="end"/>
        </w:r>
      </w:hyperlink>
    </w:p>
    <w:p w:rsidR="00061954" w:rsidRDefault="00A7215E">
      <w:pPr>
        <w:pStyle w:val="TOC1"/>
        <w:rPr>
          <w:rFonts w:asciiTheme="minorHAnsi" w:eastAsiaTheme="minorEastAsia" w:hAnsiTheme="minorHAnsi" w:cstheme="minorBidi"/>
          <w:b w:val="0"/>
          <w:szCs w:val="22"/>
          <w:lang w:val="en-AU" w:eastAsia="en-AU"/>
        </w:rPr>
      </w:pPr>
      <w:hyperlink w:anchor="_Toc435700176" w:history="1">
        <w:r w:rsidR="00061954" w:rsidRPr="009152A0">
          <w:rPr>
            <w:rStyle w:val="Hyperlink"/>
          </w:rPr>
          <w:t>6</w:t>
        </w:r>
        <w:r w:rsidR="00061954">
          <w:rPr>
            <w:rFonts w:asciiTheme="minorHAnsi" w:eastAsiaTheme="minorEastAsia" w:hAnsiTheme="minorHAnsi" w:cstheme="minorBidi"/>
            <w:b w:val="0"/>
            <w:szCs w:val="22"/>
            <w:lang w:val="en-AU" w:eastAsia="en-AU"/>
          </w:rPr>
          <w:tab/>
        </w:r>
        <w:r w:rsidR="00061954" w:rsidRPr="009152A0">
          <w:rPr>
            <w:rStyle w:val="Hyperlink"/>
          </w:rPr>
          <w:t>Next steps</w:t>
        </w:r>
        <w:r w:rsidR="00061954">
          <w:rPr>
            <w:webHidden/>
          </w:rPr>
          <w:tab/>
        </w:r>
        <w:r>
          <w:rPr>
            <w:webHidden/>
          </w:rPr>
          <w:fldChar w:fldCharType="begin"/>
        </w:r>
        <w:r w:rsidR="00061954">
          <w:rPr>
            <w:webHidden/>
          </w:rPr>
          <w:instrText xml:space="preserve"> PAGEREF _Toc435700176 \h </w:instrText>
        </w:r>
        <w:r>
          <w:rPr>
            <w:webHidden/>
          </w:rPr>
        </w:r>
        <w:r>
          <w:rPr>
            <w:webHidden/>
          </w:rPr>
          <w:fldChar w:fldCharType="separate"/>
        </w:r>
        <w:r w:rsidR="00E43227">
          <w:rPr>
            <w:webHidden/>
          </w:rPr>
          <w:t>85</w:t>
        </w:r>
        <w:r>
          <w:rPr>
            <w:webHidden/>
          </w:rPr>
          <w:fldChar w:fldCharType="end"/>
        </w:r>
      </w:hyperlink>
    </w:p>
    <w:p w:rsidR="00061954" w:rsidRDefault="00A7215E">
      <w:pPr>
        <w:pStyle w:val="TOC2"/>
        <w:rPr>
          <w:rFonts w:asciiTheme="minorHAnsi" w:eastAsiaTheme="minorEastAsia" w:hAnsiTheme="minorHAnsi" w:cstheme="minorBidi"/>
          <w:szCs w:val="22"/>
          <w:lang w:val="en-AU" w:eastAsia="en-AU"/>
        </w:rPr>
      </w:pPr>
      <w:hyperlink w:anchor="_Toc435700177" w:history="1">
        <w:r w:rsidR="00061954" w:rsidRPr="009152A0">
          <w:rPr>
            <w:rStyle w:val="Hyperlink"/>
          </w:rPr>
          <w:t>6.1</w:t>
        </w:r>
        <w:r w:rsidR="00061954">
          <w:rPr>
            <w:rFonts w:asciiTheme="minorHAnsi" w:eastAsiaTheme="minorEastAsia" w:hAnsiTheme="minorHAnsi" w:cstheme="minorBidi"/>
            <w:szCs w:val="22"/>
            <w:lang w:val="en-AU" w:eastAsia="en-AU"/>
          </w:rPr>
          <w:tab/>
        </w:r>
        <w:r w:rsidR="00061954" w:rsidRPr="009152A0">
          <w:rPr>
            <w:rStyle w:val="Hyperlink"/>
          </w:rPr>
          <w:t>Consultation – key questions</w:t>
        </w:r>
        <w:r w:rsidR="00061954">
          <w:rPr>
            <w:webHidden/>
          </w:rPr>
          <w:tab/>
        </w:r>
        <w:r>
          <w:rPr>
            <w:webHidden/>
          </w:rPr>
          <w:fldChar w:fldCharType="begin"/>
        </w:r>
        <w:r w:rsidR="00061954">
          <w:rPr>
            <w:webHidden/>
          </w:rPr>
          <w:instrText xml:space="preserve"> PAGEREF _Toc435700177 \h </w:instrText>
        </w:r>
        <w:r>
          <w:rPr>
            <w:webHidden/>
          </w:rPr>
        </w:r>
        <w:r>
          <w:rPr>
            <w:webHidden/>
          </w:rPr>
          <w:fldChar w:fldCharType="separate"/>
        </w:r>
        <w:r w:rsidR="00E43227">
          <w:rPr>
            <w:webHidden/>
          </w:rPr>
          <w:t>85</w:t>
        </w:r>
        <w:r>
          <w:rPr>
            <w:webHidden/>
          </w:rPr>
          <w:fldChar w:fldCharType="end"/>
        </w:r>
      </w:hyperlink>
    </w:p>
    <w:p w:rsidR="00061954" w:rsidRDefault="00A7215E">
      <w:pPr>
        <w:pStyle w:val="TOC2"/>
        <w:rPr>
          <w:rFonts w:asciiTheme="minorHAnsi" w:eastAsiaTheme="minorEastAsia" w:hAnsiTheme="minorHAnsi" w:cstheme="minorBidi"/>
          <w:szCs w:val="22"/>
          <w:lang w:val="en-AU" w:eastAsia="en-AU"/>
        </w:rPr>
      </w:pPr>
      <w:hyperlink w:anchor="_Toc435700178" w:history="1">
        <w:r w:rsidR="00061954" w:rsidRPr="009152A0">
          <w:rPr>
            <w:rStyle w:val="Hyperlink"/>
          </w:rPr>
          <w:t>6.2</w:t>
        </w:r>
        <w:r w:rsidR="00061954">
          <w:rPr>
            <w:rFonts w:asciiTheme="minorHAnsi" w:eastAsiaTheme="minorEastAsia" w:hAnsiTheme="minorHAnsi" w:cstheme="minorBidi"/>
            <w:szCs w:val="22"/>
            <w:lang w:val="en-AU" w:eastAsia="en-AU"/>
          </w:rPr>
          <w:tab/>
        </w:r>
        <w:r w:rsidR="00061954" w:rsidRPr="009152A0">
          <w:rPr>
            <w:rStyle w:val="Hyperlink"/>
          </w:rPr>
          <w:t>Timeline</w:t>
        </w:r>
        <w:r w:rsidR="00061954">
          <w:rPr>
            <w:webHidden/>
          </w:rPr>
          <w:tab/>
        </w:r>
        <w:r>
          <w:rPr>
            <w:webHidden/>
          </w:rPr>
          <w:fldChar w:fldCharType="begin"/>
        </w:r>
        <w:r w:rsidR="00061954">
          <w:rPr>
            <w:webHidden/>
          </w:rPr>
          <w:instrText xml:space="preserve"> PAGEREF _Toc435700178 \h </w:instrText>
        </w:r>
        <w:r>
          <w:rPr>
            <w:webHidden/>
          </w:rPr>
        </w:r>
        <w:r>
          <w:rPr>
            <w:webHidden/>
          </w:rPr>
          <w:fldChar w:fldCharType="separate"/>
        </w:r>
        <w:r w:rsidR="00E43227">
          <w:rPr>
            <w:webHidden/>
          </w:rPr>
          <w:t>86</w:t>
        </w:r>
        <w:r>
          <w:rPr>
            <w:webHidden/>
          </w:rPr>
          <w:fldChar w:fldCharType="end"/>
        </w:r>
      </w:hyperlink>
    </w:p>
    <w:p w:rsidR="00061954" w:rsidRDefault="00A7215E">
      <w:pPr>
        <w:pStyle w:val="TOC1"/>
        <w:tabs>
          <w:tab w:val="left" w:pos="1800"/>
        </w:tabs>
        <w:rPr>
          <w:rFonts w:asciiTheme="minorHAnsi" w:eastAsiaTheme="minorEastAsia" w:hAnsiTheme="minorHAnsi" w:cstheme="minorBidi"/>
          <w:b w:val="0"/>
          <w:szCs w:val="22"/>
          <w:lang w:val="en-AU" w:eastAsia="en-AU"/>
        </w:rPr>
      </w:pPr>
      <w:hyperlink w:anchor="_Toc435700179" w:history="1">
        <w:r w:rsidR="00061954" w:rsidRPr="009152A0">
          <w:rPr>
            <w:rStyle w:val="Hyperlink"/>
          </w:rPr>
          <w:t>Appendix 1</w:t>
        </w:r>
        <w:r w:rsidR="00061954">
          <w:rPr>
            <w:rFonts w:asciiTheme="minorHAnsi" w:eastAsiaTheme="minorEastAsia" w:hAnsiTheme="minorHAnsi" w:cstheme="minorBidi"/>
            <w:b w:val="0"/>
            <w:szCs w:val="22"/>
            <w:lang w:val="en-AU" w:eastAsia="en-AU"/>
          </w:rPr>
          <w:tab/>
        </w:r>
        <w:r w:rsidR="00061954" w:rsidRPr="009152A0">
          <w:rPr>
            <w:rStyle w:val="Hyperlink"/>
          </w:rPr>
          <w:t>Determining prices</w:t>
        </w:r>
        <w:r w:rsidR="00061954">
          <w:rPr>
            <w:webHidden/>
          </w:rPr>
          <w:tab/>
        </w:r>
        <w:r>
          <w:rPr>
            <w:webHidden/>
          </w:rPr>
          <w:fldChar w:fldCharType="begin"/>
        </w:r>
        <w:r w:rsidR="00061954">
          <w:rPr>
            <w:webHidden/>
          </w:rPr>
          <w:instrText xml:space="preserve"> PAGEREF _Toc435700179 \h </w:instrText>
        </w:r>
        <w:r>
          <w:rPr>
            <w:webHidden/>
          </w:rPr>
        </w:r>
        <w:r>
          <w:rPr>
            <w:webHidden/>
          </w:rPr>
          <w:fldChar w:fldCharType="separate"/>
        </w:r>
        <w:r w:rsidR="00E43227">
          <w:rPr>
            <w:webHidden/>
          </w:rPr>
          <w:t>87</w:t>
        </w:r>
        <w:r>
          <w:rPr>
            <w:webHidden/>
          </w:rPr>
          <w:fldChar w:fldCharType="end"/>
        </w:r>
      </w:hyperlink>
    </w:p>
    <w:p w:rsidR="00061954" w:rsidRDefault="00A7215E">
      <w:pPr>
        <w:pStyle w:val="TOC1"/>
        <w:rPr>
          <w:rFonts w:asciiTheme="minorHAnsi" w:eastAsiaTheme="minorEastAsia" w:hAnsiTheme="minorHAnsi" w:cstheme="minorBidi"/>
          <w:b w:val="0"/>
          <w:szCs w:val="22"/>
          <w:lang w:val="en-AU" w:eastAsia="en-AU"/>
        </w:rPr>
      </w:pPr>
      <w:hyperlink w:anchor="_Toc435700180" w:history="1">
        <w:r w:rsidR="00061954" w:rsidRPr="009152A0">
          <w:rPr>
            <w:rStyle w:val="Hyperlink"/>
          </w:rPr>
          <w:t>Abbreviations and acronyms</w:t>
        </w:r>
        <w:r w:rsidR="00061954">
          <w:rPr>
            <w:webHidden/>
          </w:rPr>
          <w:tab/>
        </w:r>
        <w:r>
          <w:rPr>
            <w:webHidden/>
          </w:rPr>
          <w:fldChar w:fldCharType="begin"/>
        </w:r>
        <w:r w:rsidR="00061954">
          <w:rPr>
            <w:webHidden/>
          </w:rPr>
          <w:instrText xml:space="preserve"> PAGEREF _Toc435700180 \h </w:instrText>
        </w:r>
        <w:r>
          <w:rPr>
            <w:webHidden/>
          </w:rPr>
        </w:r>
        <w:r>
          <w:rPr>
            <w:webHidden/>
          </w:rPr>
          <w:fldChar w:fldCharType="separate"/>
        </w:r>
        <w:r w:rsidR="00E43227">
          <w:rPr>
            <w:webHidden/>
          </w:rPr>
          <w:t>89</w:t>
        </w:r>
        <w:r>
          <w:rPr>
            <w:webHidden/>
          </w:rPr>
          <w:fldChar w:fldCharType="end"/>
        </w:r>
      </w:hyperlink>
    </w:p>
    <w:p w:rsidR="00061954" w:rsidRDefault="00A7215E">
      <w:pPr>
        <w:pStyle w:val="TOC1"/>
        <w:rPr>
          <w:rFonts w:asciiTheme="minorHAnsi" w:eastAsiaTheme="minorEastAsia" w:hAnsiTheme="minorHAnsi" w:cstheme="minorBidi"/>
          <w:b w:val="0"/>
          <w:szCs w:val="22"/>
          <w:lang w:val="en-AU" w:eastAsia="en-AU"/>
        </w:rPr>
      </w:pPr>
      <w:hyperlink w:anchor="_Toc435700181" w:history="1">
        <w:r w:rsidR="00061954" w:rsidRPr="009152A0">
          <w:rPr>
            <w:rStyle w:val="Hyperlink"/>
          </w:rPr>
          <w:t>References</w:t>
        </w:r>
        <w:r w:rsidR="00061954">
          <w:rPr>
            <w:webHidden/>
          </w:rPr>
          <w:tab/>
        </w:r>
        <w:r>
          <w:rPr>
            <w:webHidden/>
          </w:rPr>
          <w:fldChar w:fldCharType="begin"/>
        </w:r>
        <w:r w:rsidR="00061954">
          <w:rPr>
            <w:webHidden/>
          </w:rPr>
          <w:instrText xml:space="preserve"> PAGEREF _Toc435700181 \h </w:instrText>
        </w:r>
        <w:r>
          <w:rPr>
            <w:webHidden/>
          </w:rPr>
        </w:r>
        <w:r>
          <w:rPr>
            <w:webHidden/>
          </w:rPr>
          <w:fldChar w:fldCharType="separate"/>
        </w:r>
        <w:r w:rsidR="00E43227">
          <w:rPr>
            <w:webHidden/>
          </w:rPr>
          <w:t>91</w:t>
        </w:r>
        <w:r>
          <w:rPr>
            <w:webHidden/>
          </w:rPr>
          <w:fldChar w:fldCharType="end"/>
        </w:r>
      </w:hyperlink>
    </w:p>
    <w:p w:rsidR="00043BCD" w:rsidRDefault="00A7215E" w:rsidP="008A1C91">
      <w:pPr>
        <w:pStyle w:val="References"/>
        <w:rPr>
          <w:b/>
          <w:noProof/>
          <w:lang w:val="en-AU"/>
        </w:rPr>
      </w:pPr>
      <w:r>
        <w:rPr>
          <w:b/>
          <w:szCs w:val="40"/>
          <w:lang w:val="en-AU"/>
        </w:rPr>
        <w:fldChar w:fldCharType="end"/>
      </w:r>
      <w:r w:rsidR="00043BCD">
        <w:rPr>
          <w:b/>
          <w:noProof/>
          <w:lang w:val="en-AU"/>
        </w:rPr>
        <w:br w:type="page"/>
      </w:r>
    </w:p>
    <w:p w:rsidR="00DE3143" w:rsidRPr="001E3780" w:rsidRDefault="00043BCD" w:rsidP="008A1C91">
      <w:pPr>
        <w:pStyle w:val="References"/>
        <w:rPr>
          <w:rFonts w:ascii="Arial" w:hAnsi="Arial" w:cs="Arial"/>
          <w:b/>
          <w:sz w:val="26"/>
          <w:szCs w:val="26"/>
        </w:rPr>
      </w:pPr>
      <w:r w:rsidRPr="001E3780">
        <w:rPr>
          <w:rFonts w:ascii="Arial" w:hAnsi="Arial" w:cs="Arial"/>
          <w:b/>
          <w:sz w:val="26"/>
          <w:szCs w:val="26"/>
        </w:rPr>
        <w:lastRenderedPageBreak/>
        <w:t>List of tables</w:t>
      </w:r>
    </w:p>
    <w:p w:rsidR="00061954" w:rsidRDefault="00A7215E">
      <w:pPr>
        <w:pStyle w:val="TableofFigures"/>
        <w:rPr>
          <w:rFonts w:asciiTheme="minorHAnsi" w:eastAsiaTheme="minorEastAsia" w:hAnsiTheme="minorHAnsi" w:cstheme="minorBidi"/>
          <w:szCs w:val="22"/>
          <w:lang w:val="en-AU" w:eastAsia="en-AU"/>
        </w:rPr>
      </w:pPr>
      <w:r w:rsidRPr="00A7215E">
        <w:rPr>
          <w:lang w:val="en-AU"/>
        </w:rPr>
        <w:fldChar w:fldCharType="begin"/>
      </w:r>
      <w:r w:rsidR="00874740">
        <w:rPr>
          <w:lang w:val="en-AU"/>
        </w:rPr>
        <w:instrText xml:space="preserve"> TOC \h \z \c "Table" </w:instrText>
      </w:r>
      <w:r w:rsidRPr="00A7215E">
        <w:rPr>
          <w:lang w:val="en-AU"/>
        </w:rPr>
        <w:fldChar w:fldCharType="separate"/>
      </w:r>
      <w:hyperlink w:anchor="_Toc435700182" w:history="1">
        <w:r w:rsidR="00061954" w:rsidRPr="00B26B94">
          <w:rPr>
            <w:rStyle w:val="Hyperlink"/>
          </w:rPr>
          <w:t>Table 1.1</w:t>
        </w:r>
        <w:r w:rsidR="00061954">
          <w:rPr>
            <w:rFonts w:asciiTheme="minorHAnsi" w:eastAsiaTheme="minorEastAsia" w:hAnsiTheme="minorHAnsi" w:cstheme="minorBidi"/>
            <w:szCs w:val="22"/>
            <w:lang w:val="en-AU" w:eastAsia="en-AU"/>
          </w:rPr>
          <w:tab/>
        </w:r>
        <w:r w:rsidR="00061954" w:rsidRPr="00B26B94">
          <w:rPr>
            <w:rStyle w:val="Hyperlink"/>
          </w:rPr>
          <w:t>Indicative timeline for the tariff review</w:t>
        </w:r>
        <w:r w:rsidR="00061954">
          <w:rPr>
            <w:webHidden/>
          </w:rPr>
          <w:tab/>
        </w:r>
        <w:r>
          <w:rPr>
            <w:webHidden/>
          </w:rPr>
          <w:fldChar w:fldCharType="begin"/>
        </w:r>
        <w:r w:rsidR="00061954">
          <w:rPr>
            <w:webHidden/>
          </w:rPr>
          <w:instrText xml:space="preserve"> PAGEREF _Toc435700182 \h </w:instrText>
        </w:r>
        <w:r>
          <w:rPr>
            <w:webHidden/>
          </w:rPr>
        </w:r>
        <w:r>
          <w:rPr>
            <w:webHidden/>
          </w:rPr>
          <w:fldChar w:fldCharType="separate"/>
        </w:r>
        <w:r w:rsidR="00E43227">
          <w:rPr>
            <w:webHidden/>
          </w:rPr>
          <w:t>6</w:t>
        </w:r>
        <w:r>
          <w:rPr>
            <w:webHidden/>
          </w:rPr>
          <w:fldChar w:fldCharType="end"/>
        </w:r>
      </w:hyperlink>
    </w:p>
    <w:p w:rsidR="00061954" w:rsidRDefault="00A7215E">
      <w:pPr>
        <w:pStyle w:val="TableofFigures"/>
        <w:rPr>
          <w:rFonts w:asciiTheme="minorHAnsi" w:eastAsiaTheme="minorEastAsia" w:hAnsiTheme="minorHAnsi" w:cstheme="minorBidi"/>
          <w:szCs w:val="22"/>
          <w:lang w:val="en-AU" w:eastAsia="en-AU"/>
        </w:rPr>
      </w:pPr>
      <w:hyperlink w:anchor="_Toc435700183" w:history="1">
        <w:r w:rsidR="00061954" w:rsidRPr="00B26B94">
          <w:rPr>
            <w:rStyle w:val="Hyperlink"/>
          </w:rPr>
          <w:t>Table 2.1</w:t>
        </w:r>
        <w:r w:rsidR="00061954">
          <w:rPr>
            <w:rFonts w:asciiTheme="minorHAnsi" w:eastAsiaTheme="minorEastAsia" w:hAnsiTheme="minorHAnsi" w:cstheme="minorBidi"/>
            <w:szCs w:val="22"/>
            <w:lang w:val="en-AU" w:eastAsia="en-AU"/>
          </w:rPr>
          <w:tab/>
        </w:r>
        <w:r w:rsidR="00061954" w:rsidRPr="00B26B94">
          <w:rPr>
            <w:rStyle w:val="Hyperlink"/>
          </w:rPr>
          <w:t>Essential Services Commission 2013 water review – tariff assessment principles</w:t>
        </w:r>
        <w:r w:rsidR="00061954">
          <w:rPr>
            <w:webHidden/>
          </w:rPr>
          <w:tab/>
        </w:r>
        <w:r>
          <w:rPr>
            <w:webHidden/>
          </w:rPr>
          <w:fldChar w:fldCharType="begin"/>
        </w:r>
        <w:r w:rsidR="00061954">
          <w:rPr>
            <w:webHidden/>
          </w:rPr>
          <w:instrText xml:space="preserve"> PAGEREF _Toc435700183 \h </w:instrText>
        </w:r>
        <w:r>
          <w:rPr>
            <w:webHidden/>
          </w:rPr>
        </w:r>
        <w:r>
          <w:rPr>
            <w:webHidden/>
          </w:rPr>
          <w:fldChar w:fldCharType="separate"/>
        </w:r>
        <w:r w:rsidR="00E43227">
          <w:rPr>
            <w:webHidden/>
          </w:rPr>
          <w:t>29</w:t>
        </w:r>
        <w:r>
          <w:rPr>
            <w:webHidden/>
          </w:rPr>
          <w:fldChar w:fldCharType="end"/>
        </w:r>
      </w:hyperlink>
    </w:p>
    <w:p w:rsidR="00061954" w:rsidRDefault="00A7215E">
      <w:pPr>
        <w:pStyle w:val="TableofFigures"/>
        <w:rPr>
          <w:rFonts w:asciiTheme="minorHAnsi" w:eastAsiaTheme="minorEastAsia" w:hAnsiTheme="minorHAnsi" w:cstheme="minorBidi"/>
          <w:szCs w:val="22"/>
          <w:lang w:val="en-AU" w:eastAsia="en-AU"/>
        </w:rPr>
      </w:pPr>
      <w:hyperlink w:anchor="_Toc435700184" w:history="1">
        <w:r w:rsidR="00061954" w:rsidRPr="00B26B94">
          <w:rPr>
            <w:rStyle w:val="Hyperlink"/>
          </w:rPr>
          <w:t>Table 4.1</w:t>
        </w:r>
        <w:r w:rsidR="00061954">
          <w:rPr>
            <w:rFonts w:asciiTheme="minorHAnsi" w:eastAsiaTheme="minorEastAsia" w:hAnsiTheme="minorHAnsi" w:cstheme="minorBidi"/>
            <w:szCs w:val="22"/>
            <w:lang w:val="en-AU" w:eastAsia="en-AU"/>
          </w:rPr>
          <w:tab/>
        </w:r>
        <w:r w:rsidR="00061954" w:rsidRPr="00B26B94">
          <w:rPr>
            <w:rStyle w:val="Hyperlink"/>
          </w:rPr>
          <w:t>Icon Water’s water tariffs, 1998–99 to 2015–16 ($, current prices)</w:t>
        </w:r>
        <w:r w:rsidR="00061954">
          <w:rPr>
            <w:webHidden/>
          </w:rPr>
          <w:tab/>
        </w:r>
        <w:r>
          <w:rPr>
            <w:webHidden/>
          </w:rPr>
          <w:fldChar w:fldCharType="begin"/>
        </w:r>
        <w:r w:rsidR="00061954">
          <w:rPr>
            <w:webHidden/>
          </w:rPr>
          <w:instrText xml:space="preserve"> PAGEREF _Toc435700184 \h </w:instrText>
        </w:r>
        <w:r>
          <w:rPr>
            <w:webHidden/>
          </w:rPr>
        </w:r>
        <w:r>
          <w:rPr>
            <w:webHidden/>
          </w:rPr>
          <w:fldChar w:fldCharType="separate"/>
        </w:r>
        <w:r w:rsidR="00E43227">
          <w:rPr>
            <w:webHidden/>
          </w:rPr>
          <w:t>48</w:t>
        </w:r>
        <w:r>
          <w:rPr>
            <w:webHidden/>
          </w:rPr>
          <w:fldChar w:fldCharType="end"/>
        </w:r>
      </w:hyperlink>
    </w:p>
    <w:p w:rsidR="00061954" w:rsidRDefault="00A7215E">
      <w:pPr>
        <w:pStyle w:val="TableofFigures"/>
        <w:rPr>
          <w:rFonts w:asciiTheme="minorHAnsi" w:eastAsiaTheme="minorEastAsia" w:hAnsiTheme="minorHAnsi" w:cstheme="minorBidi"/>
          <w:szCs w:val="22"/>
          <w:lang w:val="en-AU" w:eastAsia="en-AU"/>
        </w:rPr>
      </w:pPr>
      <w:hyperlink w:anchor="_Toc435700185" w:history="1">
        <w:r w:rsidR="00061954" w:rsidRPr="00B26B94">
          <w:rPr>
            <w:rStyle w:val="Hyperlink"/>
          </w:rPr>
          <w:t>Table 4.2</w:t>
        </w:r>
        <w:r w:rsidR="00061954">
          <w:rPr>
            <w:rFonts w:asciiTheme="minorHAnsi" w:eastAsiaTheme="minorEastAsia" w:hAnsiTheme="minorHAnsi" w:cstheme="minorBidi"/>
            <w:szCs w:val="22"/>
            <w:lang w:val="en-AU" w:eastAsia="en-AU"/>
          </w:rPr>
          <w:tab/>
        </w:r>
        <w:r w:rsidR="00061954" w:rsidRPr="00B26B94">
          <w:rPr>
            <w:rStyle w:val="Hyperlink"/>
          </w:rPr>
          <w:t>Water tariffs in various jurisdictions, 2015–16</w:t>
        </w:r>
        <w:r w:rsidR="00061954">
          <w:rPr>
            <w:webHidden/>
          </w:rPr>
          <w:tab/>
        </w:r>
        <w:r>
          <w:rPr>
            <w:webHidden/>
          </w:rPr>
          <w:fldChar w:fldCharType="begin"/>
        </w:r>
        <w:r w:rsidR="00061954">
          <w:rPr>
            <w:webHidden/>
          </w:rPr>
          <w:instrText xml:space="preserve"> PAGEREF _Toc435700185 \h </w:instrText>
        </w:r>
        <w:r>
          <w:rPr>
            <w:webHidden/>
          </w:rPr>
        </w:r>
        <w:r>
          <w:rPr>
            <w:webHidden/>
          </w:rPr>
          <w:fldChar w:fldCharType="separate"/>
        </w:r>
        <w:r w:rsidR="00E43227">
          <w:rPr>
            <w:webHidden/>
          </w:rPr>
          <w:t>50</w:t>
        </w:r>
        <w:r>
          <w:rPr>
            <w:webHidden/>
          </w:rPr>
          <w:fldChar w:fldCharType="end"/>
        </w:r>
      </w:hyperlink>
    </w:p>
    <w:p w:rsidR="00061954" w:rsidRDefault="00A7215E">
      <w:pPr>
        <w:pStyle w:val="TableofFigures"/>
        <w:rPr>
          <w:rFonts w:asciiTheme="minorHAnsi" w:eastAsiaTheme="minorEastAsia" w:hAnsiTheme="minorHAnsi" w:cstheme="minorBidi"/>
          <w:szCs w:val="22"/>
          <w:lang w:val="en-AU" w:eastAsia="en-AU"/>
        </w:rPr>
      </w:pPr>
      <w:hyperlink w:anchor="_Toc435700186" w:history="1">
        <w:r w:rsidR="00061954" w:rsidRPr="00B26B94">
          <w:rPr>
            <w:rStyle w:val="Hyperlink"/>
          </w:rPr>
          <w:t>Table 5.1</w:t>
        </w:r>
        <w:r w:rsidR="00061954">
          <w:rPr>
            <w:rFonts w:asciiTheme="minorHAnsi" w:eastAsiaTheme="minorEastAsia" w:hAnsiTheme="minorHAnsi" w:cstheme="minorBidi"/>
            <w:szCs w:val="22"/>
            <w:lang w:val="en-AU" w:eastAsia="en-AU"/>
          </w:rPr>
          <w:tab/>
        </w:r>
        <w:r w:rsidR="00061954" w:rsidRPr="00B26B94">
          <w:rPr>
            <w:rStyle w:val="Hyperlink"/>
          </w:rPr>
          <w:t>Icon Water sewerage services tariffs, 1998–99 to 2015–16 ($, current prices)</w:t>
        </w:r>
        <w:r w:rsidR="00061954">
          <w:rPr>
            <w:webHidden/>
          </w:rPr>
          <w:tab/>
        </w:r>
        <w:r>
          <w:rPr>
            <w:webHidden/>
          </w:rPr>
          <w:fldChar w:fldCharType="begin"/>
        </w:r>
        <w:r w:rsidR="00061954">
          <w:rPr>
            <w:webHidden/>
          </w:rPr>
          <w:instrText xml:space="preserve"> PAGEREF _Toc435700186 \h </w:instrText>
        </w:r>
        <w:r>
          <w:rPr>
            <w:webHidden/>
          </w:rPr>
        </w:r>
        <w:r>
          <w:rPr>
            <w:webHidden/>
          </w:rPr>
          <w:fldChar w:fldCharType="separate"/>
        </w:r>
        <w:r w:rsidR="00E43227">
          <w:rPr>
            <w:webHidden/>
          </w:rPr>
          <w:t>77</w:t>
        </w:r>
        <w:r>
          <w:rPr>
            <w:webHidden/>
          </w:rPr>
          <w:fldChar w:fldCharType="end"/>
        </w:r>
      </w:hyperlink>
    </w:p>
    <w:p w:rsidR="00061954" w:rsidRDefault="00A7215E">
      <w:pPr>
        <w:pStyle w:val="TableofFigures"/>
        <w:rPr>
          <w:rFonts w:asciiTheme="minorHAnsi" w:eastAsiaTheme="minorEastAsia" w:hAnsiTheme="minorHAnsi" w:cstheme="minorBidi"/>
          <w:szCs w:val="22"/>
          <w:lang w:val="en-AU" w:eastAsia="en-AU"/>
        </w:rPr>
      </w:pPr>
      <w:hyperlink w:anchor="_Toc435700187" w:history="1">
        <w:r w:rsidR="00061954" w:rsidRPr="00B26B94">
          <w:rPr>
            <w:rStyle w:val="Hyperlink"/>
          </w:rPr>
          <w:t>Table 5.2</w:t>
        </w:r>
        <w:r w:rsidR="00061954">
          <w:rPr>
            <w:rFonts w:asciiTheme="minorHAnsi" w:eastAsiaTheme="minorEastAsia" w:hAnsiTheme="minorHAnsi" w:cstheme="minorBidi"/>
            <w:szCs w:val="22"/>
            <w:lang w:val="en-AU" w:eastAsia="en-AU"/>
          </w:rPr>
          <w:tab/>
        </w:r>
        <w:r w:rsidR="00061954" w:rsidRPr="00B26B94">
          <w:rPr>
            <w:rStyle w:val="Hyperlink"/>
          </w:rPr>
          <w:t>Sewerage services tariffs in various jurisdictions, 2015–16</w:t>
        </w:r>
        <w:r w:rsidR="00061954">
          <w:rPr>
            <w:webHidden/>
          </w:rPr>
          <w:tab/>
        </w:r>
        <w:r>
          <w:rPr>
            <w:webHidden/>
          </w:rPr>
          <w:fldChar w:fldCharType="begin"/>
        </w:r>
        <w:r w:rsidR="00061954">
          <w:rPr>
            <w:webHidden/>
          </w:rPr>
          <w:instrText xml:space="preserve"> PAGEREF _Toc435700187 \h </w:instrText>
        </w:r>
        <w:r>
          <w:rPr>
            <w:webHidden/>
          </w:rPr>
        </w:r>
        <w:r>
          <w:rPr>
            <w:webHidden/>
          </w:rPr>
          <w:fldChar w:fldCharType="separate"/>
        </w:r>
        <w:r w:rsidR="00E43227">
          <w:rPr>
            <w:webHidden/>
          </w:rPr>
          <w:t>78</w:t>
        </w:r>
        <w:r>
          <w:rPr>
            <w:webHidden/>
          </w:rPr>
          <w:fldChar w:fldCharType="end"/>
        </w:r>
      </w:hyperlink>
    </w:p>
    <w:p w:rsidR="00061954" w:rsidRDefault="00A7215E">
      <w:pPr>
        <w:pStyle w:val="TableofFigures"/>
        <w:rPr>
          <w:rFonts w:asciiTheme="minorHAnsi" w:eastAsiaTheme="minorEastAsia" w:hAnsiTheme="minorHAnsi" w:cstheme="minorBidi"/>
          <w:szCs w:val="22"/>
          <w:lang w:val="en-AU" w:eastAsia="en-AU"/>
        </w:rPr>
      </w:pPr>
      <w:hyperlink w:anchor="_Toc435700188" w:history="1">
        <w:r w:rsidR="00061954" w:rsidRPr="00B26B94">
          <w:rPr>
            <w:rStyle w:val="Hyperlink"/>
          </w:rPr>
          <w:t>Table 6.1</w:t>
        </w:r>
        <w:r w:rsidR="00061954">
          <w:rPr>
            <w:rFonts w:asciiTheme="minorHAnsi" w:eastAsiaTheme="minorEastAsia" w:hAnsiTheme="minorHAnsi" w:cstheme="minorBidi"/>
            <w:szCs w:val="22"/>
            <w:lang w:val="en-AU" w:eastAsia="en-AU"/>
          </w:rPr>
          <w:tab/>
        </w:r>
        <w:r w:rsidR="00061954" w:rsidRPr="00B26B94">
          <w:rPr>
            <w:rStyle w:val="Hyperlink"/>
          </w:rPr>
          <w:t>Indicative timeline for the review</w:t>
        </w:r>
        <w:r w:rsidR="00061954">
          <w:rPr>
            <w:webHidden/>
          </w:rPr>
          <w:tab/>
        </w:r>
        <w:r>
          <w:rPr>
            <w:webHidden/>
          </w:rPr>
          <w:fldChar w:fldCharType="begin"/>
        </w:r>
        <w:r w:rsidR="00061954">
          <w:rPr>
            <w:webHidden/>
          </w:rPr>
          <w:instrText xml:space="preserve"> PAGEREF _Toc435700188 \h </w:instrText>
        </w:r>
        <w:r>
          <w:rPr>
            <w:webHidden/>
          </w:rPr>
        </w:r>
        <w:r>
          <w:rPr>
            <w:webHidden/>
          </w:rPr>
          <w:fldChar w:fldCharType="separate"/>
        </w:r>
        <w:r w:rsidR="00E43227">
          <w:rPr>
            <w:webHidden/>
          </w:rPr>
          <w:t>86</w:t>
        </w:r>
        <w:r>
          <w:rPr>
            <w:webHidden/>
          </w:rPr>
          <w:fldChar w:fldCharType="end"/>
        </w:r>
      </w:hyperlink>
    </w:p>
    <w:p w:rsidR="00050032" w:rsidRDefault="00A7215E" w:rsidP="008A1C91">
      <w:pPr>
        <w:pStyle w:val="References"/>
        <w:rPr>
          <w:lang w:val="en-AU"/>
        </w:rPr>
      </w:pPr>
      <w:r>
        <w:rPr>
          <w:lang w:val="en-AU"/>
        </w:rPr>
        <w:fldChar w:fldCharType="end"/>
      </w:r>
    </w:p>
    <w:p w:rsidR="00050032" w:rsidRDefault="00050032" w:rsidP="008A1C91">
      <w:pPr>
        <w:pStyle w:val="References"/>
        <w:rPr>
          <w:lang w:val="en-AU"/>
        </w:rPr>
      </w:pPr>
      <w:r>
        <w:rPr>
          <w:lang w:val="en-AU"/>
        </w:rPr>
        <w:br w:type="page"/>
      </w:r>
    </w:p>
    <w:p w:rsidR="00043BCD" w:rsidRPr="001E3780" w:rsidRDefault="00043BCD" w:rsidP="008A1C91">
      <w:pPr>
        <w:pStyle w:val="References"/>
        <w:rPr>
          <w:rFonts w:ascii="Arial" w:hAnsi="Arial" w:cs="Arial"/>
          <w:b/>
          <w:sz w:val="26"/>
          <w:szCs w:val="26"/>
        </w:rPr>
      </w:pPr>
      <w:r w:rsidRPr="001E3780">
        <w:rPr>
          <w:rFonts w:ascii="Arial" w:hAnsi="Arial" w:cs="Arial"/>
          <w:b/>
          <w:sz w:val="26"/>
          <w:szCs w:val="26"/>
        </w:rPr>
        <w:lastRenderedPageBreak/>
        <w:t>List of figures</w:t>
      </w:r>
    </w:p>
    <w:p w:rsidR="00061954" w:rsidRDefault="00A7215E">
      <w:pPr>
        <w:pStyle w:val="TableofFigures"/>
        <w:rPr>
          <w:rFonts w:asciiTheme="minorHAnsi" w:eastAsiaTheme="minorEastAsia" w:hAnsiTheme="minorHAnsi" w:cstheme="minorBidi"/>
          <w:szCs w:val="22"/>
          <w:lang w:val="en-AU" w:eastAsia="en-AU"/>
        </w:rPr>
      </w:pPr>
      <w:r w:rsidRPr="00A7215E">
        <w:rPr>
          <w:lang w:val="en-AU"/>
        </w:rPr>
        <w:fldChar w:fldCharType="begin"/>
      </w:r>
      <w:r w:rsidR="005859F1">
        <w:rPr>
          <w:lang w:val="en-AU"/>
        </w:rPr>
        <w:instrText xml:space="preserve"> TOC \h \z \c "Figure" </w:instrText>
      </w:r>
      <w:r w:rsidRPr="00A7215E">
        <w:rPr>
          <w:lang w:val="en-AU"/>
        </w:rPr>
        <w:fldChar w:fldCharType="separate"/>
      </w:r>
      <w:hyperlink w:anchor="_Toc435700189" w:history="1">
        <w:r w:rsidR="00061954" w:rsidRPr="00FE310F">
          <w:rPr>
            <w:rStyle w:val="Hyperlink"/>
          </w:rPr>
          <w:t>Figure 1.1</w:t>
        </w:r>
        <w:r w:rsidR="00061954">
          <w:rPr>
            <w:rFonts w:asciiTheme="minorHAnsi" w:eastAsiaTheme="minorEastAsia" w:hAnsiTheme="minorHAnsi" w:cstheme="minorBidi"/>
            <w:szCs w:val="22"/>
            <w:lang w:val="en-AU" w:eastAsia="en-AU"/>
          </w:rPr>
          <w:tab/>
        </w:r>
        <w:r w:rsidR="00061954" w:rsidRPr="00FE310F">
          <w:rPr>
            <w:rStyle w:val="Hyperlink"/>
          </w:rPr>
          <w:t>Tariff versus prices</w:t>
        </w:r>
        <w:r w:rsidR="00061954">
          <w:rPr>
            <w:webHidden/>
          </w:rPr>
          <w:tab/>
        </w:r>
        <w:r>
          <w:rPr>
            <w:webHidden/>
          </w:rPr>
          <w:fldChar w:fldCharType="begin"/>
        </w:r>
        <w:r w:rsidR="00061954">
          <w:rPr>
            <w:webHidden/>
          </w:rPr>
          <w:instrText xml:space="preserve"> PAGEREF _Toc435700189 \h </w:instrText>
        </w:r>
        <w:r>
          <w:rPr>
            <w:webHidden/>
          </w:rPr>
        </w:r>
        <w:r>
          <w:rPr>
            <w:webHidden/>
          </w:rPr>
          <w:fldChar w:fldCharType="separate"/>
        </w:r>
        <w:r w:rsidR="00E43227">
          <w:rPr>
            <w:webHidden/>
          </w:rPr>
          <w:t>1</w:t>
        </w:r>
        <w:r>
          <w:rPr>
            <w:webHidden/>
          </w:rPr>
          <w:fldChar w:fldCharType="end"/>
        </w:r>
      </w:hyperlink>
    </w:p>
    <w:p w:rsidR="00061954" w:rsidRDefault="00A7215E">
      <w:pPr>
        <w:pStyle w:val="TableofFigures"/>
        <w:rPr>
          <w:rFonts w:asciiTheme="minorHAnsi" w:eastAsiaTheme="minorEastAsia" w:hAnsiTheme="minorHAnsi" w:cstheme="minorBidi"/>
          <w:szCs w:val="22"/>
          <w:lang w:val="en-AU" w:eastAsia="en-AU"/>
        </w:rPr>
      </w:pPr>
      <w:hyperlink w:anchor="_Toc435700190" w:history="1">
        <w:r w:rsidR="00061954" w:rsidRPr="00FE310F">
          <w:rPr>
            <w:rStyle w:val="Hyperlink"/>
          </w:rPr>
          <w:t>Figure 1.2</w:t>
        </w:r>
        <w:r w:rsidR="00061954">
          <w:rPr>
            <w:rFonts w:asciiTheme="minorHAnsi" w:eastAsiaTheme="minorEastAsia" w:hAnsiTheme="minorHAnsi" w:cstheme="minorBidi"/>
            <w:szCs w:val="22"/>
            <w:lang w:val="en-AU" w:eastAsia="en-AU"/>
          </w:rPr>
          <w:tab/>
        </w:r>
        <w:r w:rsidR="00061954" w:rsidRPr="00FE310F">
          <w:rPr>
            <w:rStyle w:val="Hyperlink"/>
          </w:rPr>
          <w:t>Tariff review – possible outcomes</w:t>
        </w:r>
        <w:r w:rsidR="00061954">
          <w:rPr>
            <w:webHidden/>
          </w:rPr>
          <w:tab/>
        </w:r>
        <w:r>
          <w:rPr>
            <w:webHidden/>
          </w:rPr>
          <w:fldChar w:fldCharType="begin"/>
        </w:r>
        <w:r w:rsidR="00061954">
          <w:rPr>
            <w:webHidden/>
          </w:rPr>
          <w:instrText xml:space="preserve"> PAGEREF _Toc435700190 \h </w:instrText>
        </w:r>
        <w:r>
          <w:rPr>
            <w:webHidden/>
          </w:rPr>
        </w:r>
        <w:r>
          <w:rPr>
            <w:webHidden/>
          </w:rPr>
          <w:fldChar w:fldCharType="separate"/>
        </w:r>
        <w:r w:rsidR="00E43227">
          <w:rPr>
            <w:webHidden/>
          </w:rPr>
          <w:t>7</w:t>
        </w:r>
        <w:r>
          <w:rPr>
            <w:webHidden/>
          </w:rPr>
          <w:fldChar w:fldCharType="end"/>
        </w:r>
      </w:hyperlink>
    </w:p>
    <w:p w:rsidR="00061954" w:rsidRDefault="00A7215E">
      <w:pPr>
        <w:pStyle w:val="TableofFigures"/>
        <w:rPr>
          <w:rFonts w:asciiTheme="minorHAnsi" w:eastAsiaTheme="minorEastAsia" w:hAnsiTheme="minorHAnsi" w:cstheme="minorBidi"/>
          <w:szCs w:val="22"/>
          <w:lang w:val="en-AU" w:eastAsia="en-AU"/>
        </w:rPr>
      </w:pPr>
      <w:hyperlink w:anchor="_Toc435700191" w:history="1">
        <w:r w:rsidR="00061954" w:rsidRPr="00FE310F">
          <w:rPr>
            <w:rStyle w:val="Hyperlink"/>
          </w:rPr>
          <w:t>Figure 2.1</w:t>
        </w:r>
        <w:r w:rsidR="00061954">
          <w:rPr>
            <w:rFonts w:asciiTheme="minorHAnsi" w:eastAsiaTheme="minorEastAsia" w:hAnsiTheme="minorHAnsi" w:cstheme="minorBidi"/>
            <w:szCs w:val="22"/>
            <w:lang w:val="en-AU" w:eastAsia="en-AU"/>
          </w:rPr>
          <w:tab/>
        </w:r>
        <w:r w:rsidR="00061954" w:rsidRPr="00FE310F">
          <w:rPr>
            <w:rStyle w:val="Hyperlink"/>
          </w:rPr>
          <w:t>ACT billed water sales, actual and forecast, 1999–2000 to 2017–18</w:t>
        </w:r>
        <w:r w:rsidR="00061954">
          <w:rPr>
            <w:webHidden/>
          </w:rPr>
          <w:tab/>
        </w:r>
        <w:r>
          <w:rPr>
            <w:webHidden/>
          </w:rPr>
          <w:fldChar w:fldCharType="begin"/>
        </w:r>
        <w:r w:rsidR="00061954">
          <w:rPr>
            <w:webHidden/>
          </w:rPr>
          <w:instrText xml:space="preserve"> PAGEREF _Toc435700191 \h </w:instrText>
        </w:r>
        <w:r>
          <w:rPr>
            <w:webHidden/>
          </w:rPr>
        </w:r>
        <w:r>
          <w:rPr>
            <w:webHidden/>
          </w:rPr>
          <w:fldChar w:fldCharType="separate"/>
        </w:r>
        <w:r w:rsidR="00E43227">
          <w:rPr>
            <w:webHidden/>
          </w:rPr>
          <w:t>11</w:t>
        </w:r>
        <w:r>
          <w:rPr>
            <w:webHidden/>
          </w:rPr>
          <w:fldChar w:fldCharType="end"/>
        </w:r>
      </w:hyperlink>
    </w:p>
    <w:p w:rsidR="00061954" w:rsidRDefault="00A7215E">
      <w:pPr>
        <w:pStyle w:val="TableofFigures"/>
        <w:rPr>
          <w:rFonts w:asciiTheme="minorHAnsi" w:eastAsiaTheme="minorEastAsia" w:hAnsiTheme="minorHAnsi" w:cstheme="minorBidi"/>
          <w:szCs w:val="22"/>
          <w:lang w:val="en-AU" w:eastAsia="en-AU"/>
        </w:rPr>
      </w:pPr>
      <w:hyperlink w:anchor="_Toc435700192" w:history="1">
        <w:r w:rsidR="00061954" w:rsidRPr="00FE310F">
          <w:rPr>
            <w:rStyle w:val="Hyperlink"/>
          </w:rPr>
          <w:t>Figure 2.2</w:t>
        </w:r>
        <w:r w:rsidR="00061954">
          <w:rPr>
            <w:rFonts w:asciiTheme="minorHAnsi" w:eastAsiaTheme="minorEastAsia" w:hAnsiTheme="minorHAnsi" w:cstheme="minorBidi"/>
            <w:szCs w:val="22"/>
            <w:lang w:val="en-AU" w:eastAsia="en-AU"/>
          </w:rPr>
          <w:tab/>
        </w:r>
        <w:r w:rsidR="00061954" w:rsidRPr="00FE310F">
          <w:rPr>
            <w:rStyle w:val="Hyperlink"/>
          </w:rPr>
          <w:t>ACT net watercourse take, 1989–90 to 2013–14</w:t>
        </w:r>
        <w:r w:rsidR="00061954">
          <w:rPr>
            <w:webHidden/>
          </w:rPr>
          <w:tab/>
        </w:r>
        <w:r>
          <w:rPr>
            <w:webHidden/>
          </w:rPr>
          <w:fldChar w:fldCharType="begin"/>
        </w:r>
        <w:r w:rsidR="00061954">
          <w:rPr>
            <w:webHidden/>
          </w:rPr>
          <w:instrText xml:space="preserve"> PAGEREF _Toc435700192 \h </w:instrText>
        </w:r>
        <w:r>
          <w:rPr>
            <w:webHidden/>
          </w:rPr>
        </w:r>
        <w:r>
          <w:rPr>
            <w:webHidden/>
          </w:rPr>
          <w:fldChar w:fldCharType="separate"/>
        </w:r>
        <w:r w:rsidR="00E43227">
          <w:rPr>
            <w:webHidden/>
          </w:rPr>
          <w:t>20</w:t>
        </w:r>
        <w:r>
          <w:rPr>
            <w:webHidden/>
          </w:rPr>
          <w:fldChar w:fldCharType="end"/>
        </w:r>
      </w:hyperlink>
    </w:p>
    <w:p w:rsidR="00061954" w:rsidRDefault="00A7215E">
      <w:pPr>
        <w:pStyle w:val="TableofFigures"/>
        <w:rPr>
          <w:rFonts w:asciiTheme="minorHAnsi" w:eastAsiaTheme="minorEastAsia" w:hAnsiTheme="minorHAnsi" w:cstheme="minorBidi"/>
          <w:szCs w:val="22"/>
          <w:lang w:val="en-AU" w:eastAsia="en-AU"/>
        </w:rPr>
      </w:pPr>
      <w:hyperlink w:anchor="_Toc435700193" w:history="1">
        <w:r w:rsidR="00061954" w:rsidRPr="00FE310F">
          <w:rPr>
            <w:rStyle w:val="Hyperlink"/>
          </w:rPr>
          <w:t>Figure 2.3</w:t>
        </w:r>
        <w:r w:rsidR="00061954">
          <w:rPr>
            <w:rFonts w:asciiTheme="minorHAnsi" w:eastAsiaTheme="minorEastAsia" w:hAnsiTheme="minorHAnsi" w:cstheme="minorBidi"/>
            <w:szCs w:val="22"/>
            <w:lang w:val="en-AU" w:eastAsia="en-AU"/>
          </w:rPr>
          <w:tab/>
        </w:r>
        <w:r w:rsidR="00061954" w:rsidRPr="00FE310F">
          <w:rPr>
            <w:rStyle w:val="Hyperlink"/>
          </w:rPr>
          <w:t>ACT and Queanbeyan per capita water consumption, 1998–99 to 2014–15</w:t>
        </w:r>
        <w:r w:rsidR="00061954">
          <w:rPr>
            <w:webHidden/>
          </w:rPr>
          <w:tab/>
        </w:r>
        <w:r>
          <w:rPr>
            <w:webHidden/>
          </w:rPr>
          <w:fldChar w:fldCharType="begin"/>
        </w:r>
        <w:r w:rsidR="00061954">
          <w:rPr>
            <w:webHidden/>
          </w:rPr>
          <w:instrText xml:space="preserve"> PAGEREF _Toc435700193 \h </w:instrText>
        </w:r>
        <w:r>
          <w:rPr>
            <w:webHidden/>
          </w:rPr>
        </w:r>
        <w:r>
          <w:rPr>
            <w:webHidden/>
          </w:rPr>
          <w:fldChar w:fldCharType="separate"/>
        </w:r>
        <w:r w:rsidR="00E43227">
          <w:rPr>
            <w:webHidden/>
          </w:rPr>
          <w:t>31</w:t>
        </w:r>
        <w:r>
          <w:rPr>
            <w:webHidden/>
          </w:rPr>
          <w:fldChar w:fldCharType="end"/>
        </w:r>
      </w:hyperlink>
    </w:p>
    <w:p w:rsidR="00061954" w:rsidRDefault="00A7215E">
      <w:pPr>
        <w:pStyle w:val="TableofFigures"/>
        <w:rPr>
          <w:rFonts w:asciiTheme="minorHAnsi" w:eastAsiaTheme="minorEastAsia" w:hAnsiTheme="minorHAnsi" w:cstheme="minorBidi"/>
          <w:szCs w:val="22"/>
          <w:lang w:val="en-AU" w:eastAsia="en-AU"/>
        </w:rPr>
      </w:pPr>
      <w:hyperlink w:anchor="_Toc435700194" w:history="1">
        <w:r w:rsidR="00061954" w:rsidRPr="00FE310F">
          <w:rPr>
            <w:rStyle w:val="Hyperlink"/>
          </w:rPr>
          <w:t>Figure 2.4</w:t>
        </w:r>
        <w:r w:rsidR="00061954">
          <w:rPr>
            <w:rFonts w:asciiTheme="minorHAnsi" w:eastAsiaTheme="minorEastAsia" w:hAnsiTheme="minorHAnsi" w:cstheme="minorBidi"/>
            <w:szCs w:val="22"/>
            <w:lang w:val="en-AU" w:eastAsia="en-AU"/>
          </w:rPr>
          <w:tab/>
        </w:r>
        <w:r w:rsidR="00061954" w:rsidRPr="00FE310F">
          <w:rPr>
            <w:rStyle w:val="Hyperlink"/>
          </w:rPr>
          <w:t>Observed tier 1 water sales proportion, 2008–09 to 2013–14</w:t>
        </w:r>
        <w:r w:rsidR="00061954">
          <w:rPr>
            <w:webHidden/>
          </w:rPr>
          <w:tab/>
        </w:r>
        <w:r>
          <w:rPr>
            <w:webHidden/>
          </w:rPr>
          <w:fldChar w:fldCharType="begin"/>
        </w:r>
        <w:r w:rsidR="00061954">
          <w:rPr>
            <w:webHidden/>
          </w:rPr>
          <w:instrText xml:space="preserve"> PAGEREF _Toc435700194 \h </w:instrText>
        </w:r>
        <w:r>
          <w:rPr>
            <w:webHidden/>
          </w:rPr>
        </w:r>
        <w:r>
          <w:rPr>
            <w:webHidden/>
          </w:rPr>
          <w:fldChar w:fldCharType="separate"/>
        </w:r>
        <w:r w:rsidR="00E43227">
          <w:rPr>
            <w:webHidden/>
          </w:rPr>
          <w:t>32</w:t>
        </w:r>
        <w:r>
          <w:rPr>
            <w:webHidden/>
          </w:rPr>
          <w:fldChar w:fldCharType="end"/>
        </w:r>
      </w:hyperlink>
    </w:p>
    <w:p w:rsidR="00061954" w:rsidRDefault="00A7215E">
      <w:pPr>
        <w:pStyle w:val="TableofFigures"/>
        <w:rPr>
          <w:rFonts w:asciiTheme="minorHAnsi" w:eastAsiaTheme="minorEastAsia" w:hAnsiTheme="minorHAnsi" w:cstheme="minorBidi"/>
          <w:szCs w:val="22"/>
          <w:lang w:val="en-AU" w:eastAsia="en-AU"/>
        </w:rPr>
      </w:pPr>
      <w:hyperlink w:anchor="_Toc435700195" w:history="1">
        <w:r w:rsidR="00061954" w:rsidRPr="00FE310F">
          <w:rPr>
            <w:rStyle w:val="Hyperlink"/>
          </w:rPr>
          <w:t>Figure 4.1</w:t>
        </w:r>
        <w:r w:rsidR="00061954">
          <w:rPr>
            <w:rFonts w:asciiTheme="minorHAnsi" w:eastAsiaTheme="minorEastAsia" w:hAnsiTheme="minorHAnsi" w:cstheme="minorBidi"/>
            <w:szCs w:val="22"/>
            <w:lang w:val="en-AU" w:eastAsia="en-AU"/>
          </w:rPr>
          <w:tab/>
        </w:r>
        <w:r w:rsidR="00061954" w:rsidRPr="00FE310F">
          <w:rPr>
            <w:rStyle w:val="Hyperlink"/>
          </w:rPr>
          <w:t>ACT water and sewerage network</w:t>
        </w:r>
        <w:r w:rsidR="00061954">
          <w:rPr>
            <w:webHidden/>
          </w:rPr>
          <w:tab/>
        </w:r>
        <w:r>
          <w:rPr>
            <w:webHidden/>
          </w:rPr>
          <w:fldChar w:fldCharType="begin"/>
        </w:r>
        <w:r w:rsidR="00061954">
          <w:rPr>
            <w:webHidden/>
          </w:rPr>
          <w:instrText xml:space="preserve"> PAGEREF _Toc435700195 \h </w:instrText>
        </w:r>
        <w:r>
          <w:rPr>
            <w:webHidden/>
          </w:rPr>
        </w:r>
        <w:r>
          <w:rPr>
            <w:webHidden/>
          </w:rPr>
          <w:fldChar w:fldCharType="separate"/>
        </w:r>
        <w:r w:rsidR="00E43227">
          <w:rPr>
            <w:webHidden/>
          </w:rPr>
          <w:t>52</w:t>
        </w:r>
        <w:r>
          <w:rPr>
            <w:webHidden/>
          </w:rPr>
          <w:fldChar w:fldCharType="end"/>
        </w:r>
      </w:hyperlink>
    </w:p>
    <w:p w:rsidR="00061954" w:rsidRDefault="00A7215E">
      <w:pPr>
        <w:pStyle w:val="TableofFigures"/>
        <w:rPr>
          <w:rFonts w:asciiTheme="minorHAnsi" w:eastAsiaTheme="minorEastAsia" w:hAnsiTheme="minorHAnsi" w:cstheme="minorBidi"/>
          <w:szCs w:val="22"/>
          <w:lang w:val="en-AU" w:eastAsia="en-AU"/>
        </w:rPr>
      </w:pPr>
      <w:hyperlink w:anchor="_Toc435700196" w:history="1">
        <w:r w:rsidR="00061954" w:rsidRPr="00FE310F">
          <w:rPr>
            <w:rStyle w:val="Hyperlink"/>
          </w:rPr>
          <w:t>Figure 4.2</w:t>
        </w:r>
        <w:r w:rsidR="00061954">
          <w:rPr>
            <w:rFonts w:asciiTheme="minorHAnsi" w:eastAsiaTheme="minorEastAsia" w:hAnsiTheme="minorHAnsi" w:cstheme="minorBidi"/>
            <w:szCs w:val="22"/>
            <w:lang w:val="en-AU" w:eastAsia="en-AU"/>
          </w:rPr>
          <w:tab/>
        </w:r>
        <w:r w:rsidR="00061954" w:rsidRPr="00FE310F">
          <w:rPr>
            <w:rStyle w:val="Hyperlink"/>
          </w:rPr>
          <w:t>The socially optimal competitive equilibrium</w:t>
        </w:r>
        <w:r w:rsidR="00061954">
          <w:rPr>
            <w:webHidden/>
          </w:rPr>
          <w:tab/>
        </w:r>
        <w:r>
          <w:rPr>
            <w:webHidden/>
          </w:rPr>
          <w:fldChar w:fldCharType="begin"/>
        </w:r>
        <w:r w:rsidR="00061954">
          <w:rPr>
            <w:webHidden/>
          </w:rPr>
          <w:instrText xml:space="preserve"> PAGEREF _Toc435700196 \h </w:instrText>
        </w:r>
        <w:r>
          <w:rPr>
            <w:webHidden/>
          </w:rPr>
        </w:r>
        <w:r>
          <w:rPr>
            <w:webHidden/>
          </w:rPr>
          <w:fldChar w:fldCharType="separate"/>
        </w:r>
        <w:r w:rsidR="00E43227">
          <w:rPr>
            <w:webHidden/>
          </w:rPr>
          <w:t>56</w:t>
        </w:r>
        <w:r>
          <w:rPr>
            <w:webHidden/>
          </w:rPr>
          <w:fldChar w:fldCharType="end"/>
        </w:r>
      </w:hyperlink>
    </w:p>
    <w:p w:rsidR="00061954" w:rsidRDefault="00A7215E">
      <w:pPr>
        <w:pStyle w:val="TableofFigures"/>
        <w:rPr>
          <w:rFonts w:asciiTheme="minorHAnsi" w:eastAsiaTheme="minorEastAsia" w:hAnsiTheme="minorHAnsi" w:cstheme="minorBidi"/>
          <w:szCs w:val="22"/>
          <w:lang w:val="en-AU" w:eastAsia="en-AU"/>
        </w:rPr>
      </w:pPr>
      <w:hyperlink w:anchor="_Toc435700197" w:history="1">
        <w:r w:rsidR="00061954" w:rsidRPr="00FE310F">
          <w:rPr>
            <w:rStyle w:val="Hyperlink"/>
          </w:rPr>
          <w:t>Figure 4.3</w:t>
        </w:r>
        <w:r w:rsidR="00061954">
          <w:rPr>
            <w:rFonts w:asciiTheme="minorHAnsi" w:eastAsiaTheme="minorEastAsia" w:hAnsiTheme="minorHAnsi" w:cstheme="minorBidi"/>
            <w:szCs w:val="22"/>
            <w:lang w:val="en-AU" w:eastAsia="en-AU"/>
          </w:rPr>
          <w:tab/>
        </w:r>
        <w:r w:rsidR="00061954" w:rsidRPr="00FE310F">
          <w:rPr>
            <w:rStyle w:val="Hyperlink"/>
          </w:rPr>
          <w:t>Deadweight welfare loss under monopoly</w:t>
        </w:r>
        <w:r w:rsidR="00061954">
          <w:rPr>
            <w:webHidden/>
          </w:rPr>
          <w:tab/>
        </w:r>
        <w:r>
          <w:rPr>
            <w:webHidden/>
          </w:rPr>
          <w:fldChar w:fldCharType="begin"/>
        </w:r>
        <w:r w:rsidR="00061954">
          <w:rPr>
            <w:webHidden/>
          </w:rPr>
          <w:instrText xml:space="preserve"> PAGEREF _Toc435700197 \h </w:instrText>
        </w:r>
        <w:r>
          <w:rPr>
            <w:webHidden/>
          </w:rPr>
        </w:r>
        <w:r>
          <w:rPr>
            <w:webHidden/>
          </w:rPr>
          <w:fldChar w:fldCharType="separate"/>
        </w:r>
        <w:r w:rsidR="00E43227">
          <w:rPr>
            <w:webHidden/>
          </w:rPr>
          <w:t>57</w:t>
        </w:r>
        <w:r>
          <w:rPr>
            <w:webHidden/>
          </w:rPr>
          <w:fldChar w:fldCharType="end"/>
        </w:r>
      </w:hyperlink>
    </w:p>
    <w:p w:rsidR="00061954" w:rsidRDefault="00A7215E">
      <w:pPr>
        <w:pStyle w:val="TableofFigures"/>
        <w:rPr>
          <w:rFonts w:asciiTheme="minorHAnsi" w:eastAsiaTheme="minorEastAsia" w:hAnsiTheme="minorHAnsi" w:cstheme="minorBidi"/>
          <w:szCs w:val="22"/>
          <w:lang w:val="en-AU" w:eastAsia="en-AU"/>
        </w:rPr>
      </w:pPr>
      <w:hyperlink w:anchor="_Toc435700198" w:history="1">
        <w:r w:rsidR="00061954" w:rsidRPr="00FE310F">
          <w:rPr>
            <w:rStyle w:val="Hyperlink"/>
          </w:rPr>
          <w:t>Figure 4.4</w:t>
        </w:r>
        <w:r w:rsidR="00061954">
          <w:rPr>
            <w:rFonts w:asciiTheme="minorHAnsi" w:eastAsiaTheme="minorEastAsia" w:hAnsiTheme="minorHAnsi" w:cstheme="minorBidi"/>
            <w:szCs w:val="22"/>
            <w:lang w:val="en-AU" w:eastAsia="en-AU"/>
          </w:rPr>
          <w:tab/>
        </w:r>
        <w:r w:rsidR="00061954" w:rsidRPr="00FE310F">
          <w:rPr>
            <w:rStyle w:val="Hyperlink"/>
          </w:rPr>
          <w:t>Icon Water tier 1 proportion of total water sales, 2008</w:t>
        </w:r>
        <w:r w:rsidR="00061954" w:rsidRPr="00FE310F">
          <w:rPr>
            <w:rStyle w:val="Hyperlink"/>
          </w:rPr>
          <w:sym w:font="Symbol" w:char="F02D"/>
        </w:r>
        <w:r w:rsidR="00061954" w:rsidRPr="00FE310F">
          <w:rPr>
            <w:rStyle w:val="Hyperlink"/>
          </w:rPr>
          <w:t>09 to 2013</w:t>
        </w:r>
        <w:r w:rsidR="00061954" w:rsidRPr="00FE310F">
          <w:rPr>
            <w:rStyle w:val="Hyperlink"/>
          </w:rPr>
          <w:sym w:font="Symbol" w:char="F02D"/>
        </w:r>
        <w:r w:rsidR="00061954" w:rsidRPr="00FE310F">
          <w:rPr>
            <w:rStyle w:val="Hyperlink"/>
          </w:rPr>
          <w:t>14</w:t>
        </w:r>
        <w:r w:rsidR="00061954">
          <w:rPr>
            <w:webHidden/>
          </w:rPr>
          <w:tab/>
        </w:r>
        <w:r>
          <w:rPr>
            <w:webHidden/>
          </w:rPr>
          <w:fldChar w:fldCharType="begin"/>
        </w:r>
        <w:r w:rsidR="00061954">
          <w:rPr>
            <w:webHidden/>
          </w:rPr>
          <w:instrText xml:space="preserve"> PAGEREF _Toc435700198 \h </w:instrText>
        </w:r>
        <w:r>
          <w:rPr>
            <w:webHidden/>
          </w:rPr>
        </w:r>
        <w:r>
          <w:rPr>
            <w:webHidden/>
          </w:rPr>
          <w:fldChar w:fldCharType="separate"/>
        </w:r>
        <w:r w:rsidR="00E43227">
          <w:rPr>
            <w:webHidden/>
          </w:rPr>
          <w:t>66</w:t>
        </w:r>
        <w:r>
          <w:rPr>
            <w:webHidden/>
          </w:rPr>
          <w:fldChar w:fldCharType="end"/>
        </w:r>
      </w:hyperlink>
    </w:p>
    <w:p w:rsidR="00061954" w:rsidRDefault="00A7215E">
      <w:pPr>
        <w:pStyle w:val="TableofFigures"/>
        <w:rPr>
          <w:rFonts w:asciiTheme="minorHAnsi" w:eastAsiaTheme="minorEastAsia" w:hAnsiTheme="minorHAnsi" w:cstheme="minorBidi"/>
          <w:szCs w:val="22"/>
          <w:lang w:val="en-AU" w:eastAsia="en-AU"/>
        </w:rPr>
      </w:pPr>
      <w:hyperlink w:anchor="_Toc435700199" w:history="1">
        <w:r w:rsidR="00061954" w:rsidRPr="00FE310F">
          <w:rPr>
            <w:rStyle w:val="Hyperlink"/>
          </w:rPr>
          <w:t>Figure 4.5</w:t>
        </w:r>
        <w:r w:rsidR="00061954">
          <w:rPr>
            <w:rFonts w:asciiTheme="minorHAnsi" w:eastAsiaTheme="minorEastAsia" w:hAnsiTheme="minorHAnsi" w:cstheme="minorBidi"/>
            <w:szCs w:val="22"/>
            <w:lang w:val="en-AU" w:eastAsia="en-AU"/>
          </w:rPr>
          <w:tab/>
        </w:r>
        <w:r w:rsidR="00061954" w:rsidRPr="00FE310F">
          <w:rPr>
            <w:rStyle w:val="Hyperlink"/>
          </w:rPr>
          <w:t>Monthly Icon Water dam releases</w:t>
        </w:r>
        <w:r w:rsidR="00061954">
          <w:rPr>
            <w:webHidden/>
          </w:rPr>
          <w:tab/>
        </w:r>
        <w:r>
          <w:rPr>
            <w:webHidden/>
          </w:rPr>
          <w:fldChar w:fldCharType="begin"/>
        </w:r>
        <w:r w:rsidR="00061954">
          <w:rPr>
            <w:webHidden/>
          </w:rPr>
          <w:instrText xml:space="preserve"> PAGEREF _Toc435700199 \h </w:instrText>
        </w:r>
        <w:r>
          <w:rPr>
            <w:webHidden/>
          </w:rPr>
        </w:r>
        <w:r>
          <w:rPr>
            <w:webHidden/>
          </w:rPr>
          <w:fldChar w:fldCharType="separate"/>
        </w:r>
        <w:r w:rsidR="00E43227">
          <w:rPr>
            <w:webHidden/>
          </w:rPr>
          <w:t>68</w:t>
        </w:r>
        <w:r>
          <w:rPr>
            <w:webHidden/>
          </w:rPr>
          <w:fldChar w:fldCharType="end"/>
        </w:r>
      </w:hyperlink>
    </w:p>
    <w:p w:rsidR="00050032" w:rsidRDefault="00A7215E" w:rsidP="008A1C91">
      <w:pPr>
        <w:pStyle w:val="References"/>
        <w:rPr>
          <w:lang w:val="en-AU"/>
        </w:rPr>
      </w:pPr>
      <w:r>
        <w:rPr>
          <w:lang w:val="en-AU"/>
        </w:rPr>
        <w:fldChar w:fldCharType="end"/>
      </w:r>
      <w:bookmarkStart w:id="13" w:name="_Toc118359367"/>
      <w:bookmarkStart w:id="14" w:name="_Toc202785427"/>
      <w:bookmarkStart w:id="15" w:name="_Toc260327869"/>
    </w:p>
    <w:p w:rsidR="00050032" w:rsidRDefault="00050032" w:rsidP="008A1C91">
      <w:pPr>
        <w:pStyle w:val="References"/>
        <w:rPr>
          <w:lang w:val="en-AU"/>
        </w:rPr>
      </w:pPr>
      <w:r>
        <w:rPr>
          <w:lang w:val="en-AU"/>
        </w:rPr>
        <w:br w:type="page"/>
      </w:r>
    </w:p>
    <w:p w:rsidR="006C2D0B" w:rsidRPr="001E3780" w:rsidRDefault="006C2D0B" w:rsidP="008A1C91">
      <w:pPr>
        <w:pStyle w:val="References"/>
        <w:rPr>
          <w:rFonts w:ascii="Arial" w:hAnsi="Arial" w:cs="Arial"/>
          <w:b/>
          <w:sz w:val="26"/>
          <w:szCs w:val="26"/>
        </w:rPr>
      </w:pPr>
      <w:r w:rsidRPr="001E3780">
        <w:rPr>
          <w:rFonts w:ascii="Arial" w:hAnsi="Arial" w:cs="Arial"/>
          <w:b/>
          <w:sz w:val="26"/>
          <w:szCs w:val="26"/>
        </w:rPr>
        <w:lastRenderedPageBreak/>
        <w:t>List of boxes</w:t>
      </w:r>
    </w:p>
    <w:p w:rsidR="00061954" w:rsidRDefault="00A7215E">
      <w:pPr>
        <w:pStyle w:val="TableofFigures"/>
        <w:rPr>
          <w:rFonts w:asciiTheme="minorHAnsi" w:eastAsiaTheme="minorEastAsia" w:hAnsiTheme="minorHAnsi" w:cstheme="minorBidi"/>
          <w:szCs w:val="22"/>
          <w:lang w:val="en-AU" w:eastAsia="en-AU"/>
        </w:rPr>
      </w:pPr>
      <w:r w:rsidRPr="00A7215E">
        <w:rPr>
          <w:lang w:val="en-AU"/>
        </w:rPr>
        <w:fldChar w:fldCharType="begin"/>
      </w:r>
      <w:r w:rsidR="006C2D0B">
        <w:rPr>
          <w:lang w:val="en-AU"/>
        </w:rPr>
        <w:instrText xml:space="preserve"> TOC \h \z \c "Box" </w:instrText>
      </w:r>
      <w:r w:rsidRPr="00A7215E">
        <w:rPr>
          <w:lang w:val="en-AU"/>
        </w:rPr>
        <w:fldChar w:fldCharType="separate"/>
      </w:r>
      <w:hyperlink w:anchor="_Toc435700200" w:history="1">
        <w:r w:rsidR="00061954" w:rsidRPr="00496FD9">
          <w:rPr>
            <w:rStyle w:val="Hyperlink"/>
          </w:rPr>
          <w:t>Box 1.1</w:t>
        </w:r>
        <w:r w:rsidR="00061954">
          <w:rPr>
            <w:rFonts w:asciiTheme="minorHAnsi" w:eastAsiaTheme="minorEastAsia" w:hAnsiTheme="minorHAnsi" w:cstheme="minorBidi"/>
            <w:szCs w:val="22"/>
            <w:lang w:val="en-AU" w:eastAsia="en-AU"/>
          </w:rPr>
          <w:tab/>
        </w:r>
        <w:r w:rsidR="00061954" w:rsidRPr="00496FD9">
          <w:rPr>
            <w:rStyle w:val="Hyperlink"/>
          </w:rPr>
          <w:t>Clause 11 substitute price direction extract</w:t>
        </w:r>
        <w:r w:rsidR="00061954">
          <w:rPr>
            <w:webHidden/>
          </w:rPr>
          <w:tab/>
        </w:r>
        <w:r>
          <w:rPr>
            <w:webHidden/>
          </w:rPr>
          <w:fldChar w:fldCharType="begin"/>
        </w:r>
        <w:r w:rsidR="00061954">
          <w:rPr>
            <w:webHidden/>
          </w:rPr>
          <w:instrText xml:space="preserve"> PAGEREF _Toc435700200 \h </w:instrText>
        </w:r>
        <w:r>
          <w:rPr>
            <w:webHidden/>
          </w:rPr>
        </w:r>
        <w:r>
          <w:rPr>
            <w:webHidden/>
          </w:rPr>
          <w:fldChar w:fldCharType="separate"/>
        </w:r>
        <w:r w:rsidR="00E43227">
          <w:rPr>
            <w:webHidden/>
          </w:rPr>
          <w:t>3</w:t>
        </w:r>
        <w:r>
          <w:rPr>
            <w:webHidden/>
          </w:rPr>
          <w:fldChar w:fldCharType="end"/>
        </w:r>
      </w:hyperlink>
    </w:p>
    <w:p w:rsidR="00061954" w:rsidRDefault="00A7215E">
      <w:pPr>
        <w:pStyle w:val="TableofFigures"/>
        <w:rPr>
          <w:rFonts w:asciiTheme="minorHAnsi" w:eastAsiaTheme="minorEastAsia" w:hAnsiTheme="minorHAnsi" w:cstheme="minorBidi"/>
          <w:szCs w:val="22"/>
          <w:lang w:val="en-AU" w:eastAsia="en-AU"/>
        </w:rPr>
      </w:pPr>
      <w:hyperlink w:anchor="_Toc435700201" w:history="1">
        <w:r w:rsidR="00061954" w:rsidRPr="00496FD9">
          <w:rPr>
            <w:rStyle w:val="Hyperlink"/>
          </w:rPr>
          <w:t>Box 1.2</w:t>
        </w:r>
        <w:r w:rsidR="00061954">
          <w:rPr>
            <w:rFonts w:asciiTheme="minorHAnsi" w:eastAsiaTheme="minorEastAsia" w:hAnsiTheme="minorHAnsi" w:cstheme="minorBidi"/>
            <w:szCs w:val="22"/>
            <w:lang w:val="en-AU" w:eastAsia="en-AU"/>
          </w:rPr>
          <w:tab/>
        </w:r>
        <w:r w:rsidR="00061954" w:rsidRPr="00496FD9">
          <w:rPr>
            <w:rStyle w:val="Hyperlink"/>
          </w:rPr>
          <w:t>Clause 10 substitute price direction extract</w:t>
        </w:r>
        <w:r w:rsidR="00061954">
          <w:rPr>
            <w:webHidden/>
          </w:rPr>
          <w:tab/>
        </w:r>
        <w:r>
          <w:rPr>
            <w:webHidden/>
          </w:rPr>
          <w:fldChar w:fldCharType="begin"/>
        </w:r>
        <w:r w:rsidR="00061954">
          <w:rPr>
            <w:webHidden/>
          </w:rPr>
          <w:instrText xml:space="preserve"> PAGEREF _Toc435700201 \h </w:instrText>
        </w:r>
        <w:r>
          <w:rPr>
            <w:webHidden/>
          </w:rPr>
        </w:r>
        <w:r>
          <w:rPr>
            <w:webHidden/>
          </w:rPr>
          <w:fldChar w:fldCharType="separate"/>
        </w:r>
        <w:r w:rsidR="00E43227">
          <w:rPr>
            <w:webHidden/>
          </w:rPr>
          <w:t>4</w:t>
        </w:r>
        <w:r>
          <w:rPr>
            <w:webHidden/>
          </w:rPr>
          <w:fldChar w:fldCharType="end"/>
        </w:r>
      </w:hyperlink>
    </w:p>
    <w:p w:rsidR="00061954" w:rsidRDefault="00A7215E">
      <w:pPr>
        <w:pStyle w:val="TableofFigures"/>
        <w:rPr>
          <w:rFonts w:asciiTheme="minorHAnsi" w:eastAsiaTheme="minorEastAsia" w:hAnsiTheme="minorHAnsi" w:cstheme="minorBidi"/>
          <w:szCs w:val="22"/>
          <w:lang w:val="en-AU" w:eastAsia="en-AU"/>
        </w:rPr>
      </w:pPr>
      <w:hyperlink w:anchor="_Toc435700202" w:history="1">
        <w:r w:rsidR="00061954" w:rsidRPr="00496FD9">
          <w:rPr>
            <w:rStyle w:val="Hyperlink"/>
          </w:rPr>
          <w:t>Box 2.1</w:t>
        </w:r>
        <w:r w:rsidR="00061954">
          <w:rPr>
            <w:rFonts w:asciiTheme="minorHAnsi" w:eastAsiaTheme="minorEastAsia" w:hAnsiTheme="minorHAnsi" w:cstheme="minorBidi"/>
            <w:szCs w:val="22"/>
            <w:lang w:val="en-AU" w:eastAsia="en-AU"/>
          </w:rPr>
          <w:tab/>
        </w:r>
        <w:r w:rsidR="00061954" w:rsidRPr="00496FD9">
          <w:rPr>
            <w:rStyle w:val="Hyperlink"/>
          </w:rPr>
          <w:t>ACT water strategy Outcome 2</w:t>
        </w:r>
        <w:r w:rsidR="00061954">
          <w:rPr>
            <w:webHidden/>
          </w:rPr>
          <w:tab/>
        </w:r>
        <w:r>
          <w:rPr>
            <w:webHidden/>
          </w:rPr>
          <w:fldChar w:fldCharType="begin"/>
        </w:r>
        <w:r w:rsidR="00061954">
          <w:rPr>
            <w:webHidden/>
          </w:rPr>
          <w:instrText xml:space="preserve"> PAGEREF _Toc435700202 \h </w:instrText>
        </w:r>
        <w:r>
          <w:rPr>
            <w:webHidden/>
          </w:rPr>
        </w:r>
        <w:r>
          <w:rPr>
            <w:webHidden/>
          </w:rPr>
          <w:fldChar w:fldCharType="separate"/>
        </w:r>
        <w:r w:rsidR="00E43227">
          <w:rPr>
            <w:webHidden/>
          </w:rPr>
          <w:t>14</w:t>
        </w:r>
        <w:r>
          <w:rPr>
            <w:webHidden/>
          </w:rPr>
          <w:fldChar w:fldCharType="end"/>
        </w:r>
      </w:hyperlink>
    </w:p>
    <w:p w:rsidR="00061954" w:rsidRDefault="00A7215E">
      <w:pPr>
        <w:pStyle w:val="TableofFigures"/>
        <w:rPr>
          <w:rFonts w:asciiTheme="minorHAnsi" w:eastAsiaTheme="minorEastAsia" w:hAnsiTheme="minorHAnsi" w:cstheme="minorBidi"/>
          <w:szCs w:val="22"/>
          <w:lang w:val="en-AU" w:eastAsia="en-AU"/>
        </w:rPr>
      </w:pPr>
      <w:hyperlink w:anchor="_Toc435700203" w:history="1">
        <w:r w:rsidR="00061954" w:rsidRPr="00496FD9">
          <w:rPr>
            <w:rStyle w:val="Hyperlink"/>
          </w:rPr>
          <w:t>Box 2.2</w:t>
        </w:r>
        <w:r w:rsidR="00061954">
          <w:rPr>
            <w:rFonts w:asciiTheme="minorHAnsi" w:eastAsiaTheme="minorEastAsia" w:hAnsiTheme="minorHAnsi" w:cstheme="minorBidi"/>
            <w:szCs w:val="22"/>
            <w:lang w:val="en-AU" w:eastAsia="en-AU"/>
          </w:rPr>
          <w:tab/>
        </w:r>
        <w:r w:rsidR="00061954" w:rsidRPr="00496FD9">
          <w:rPr>
            <w:rStyle w:val="Hyperlink"/>
          </w:rPr>
          <w:t>ACT water strategy water efficiency targets</w:t>
        </w:r>
        <w:r w:rsidR="00061954">
          <w:rPr>
            <w:webHidden/>
          </w:rPr>
          <w:tab/>
        </w:r>
        <w:r>
          <w:rPr>
            <w:webHidden/>
          </w:rPr>
          <w:fldChar w:fldCharType="begin"/>
        </w:r>
        <w:r w:rsidR="00061954">
          <w:rPr>
            <w:webHidden/>
          </w:rPr>
          <w:instrText xml:space="preserve"> PAGEREF _Toc435700203 \h </w:instrText>
        </w:r>
        <w:r>
          <w:rPr>
            <w:webHidden/>
          </w:rPr>
        </w:r>
        <w:r>
          <w:rPr>
            <w:webHidden/>
          </w:rPr>
          <w:fldChar w:fldCharType="separate"/>
        </w:r>
        <w:r w:rsidR="00E43227">
          <w:rPr>
            <w:webHidden/>
          </w:rPr>
          <w:t>15</w:t>
        </w:r>
        <w:r>
          <w:rPr>
            <w:webHidden/>
          </w:rPr>
          <w:fldChar w:fldCharType="end"/>
        </w:r>
      </w:hyperlink>
    </w:p>
    <w:p w:rsidR="00061954" w:rsidRDefault="00A7215E">
      <w:pPr>
        <w:pStyle w:val="TableofFigures"/>
        <w:rPr>
          <w:rFonts w:asciiTheme="minorHAnsi" w:eastAsiaTheme="minorEastAsia" w:hAnsiTheme="minorHAnsi" w:cstheme="minorBidi"/>
          <w:szCs w:val="22"/>
          <w:lang w:val="en-AU" w:eastAsia="en-AU"/>
        </w:rPr>
      </w:pPr>
      <w:hyperlink w:anchor="_Toc435700204" w:history="1">
        <w:r w:rsidR="00061954" w:rsidRPr="00496FD9">
          <w:rPr>
            <w:rStyle w:val="Hyperlink"/>
          </w:rPr>
          <w:t>Box 2.3</w:t>
        </w:r>
        <w:r w:rsidR="00061954">
          <w:rPr>
            <w:rFonts w:asciiTheme="minorHAnsi" w:eastAsiaTheme="minorEastAsia" w:hAnsiTheme="minorHAnsi" w:cstheme="minorBidi"/>
            <w:szCs w:val="22"/>
            <w:lang w:val="en-AU" w:eastAsia="en-AU"/>
          </w:rPr>
          <w:tab/>
        </w:r>
        <w:r w:rsidR="00061954" w:rsidRPr="00496FD9">
          <w:rPr>
            <w:rStyle w:val="Hyperlink"/>
          </w:rPr>
          <w:t>ACT water strategy sub-actions</w:t>
        </w:r>
        <w:r w:rsidR="00061954">
          <w:rPr>
            <w:webHidden/>
          </w:rPr>
          <w:tab/>
        </w:r>
        <w:r>
          <w:rPr>
            <w:webHidden/>
          </w:rPr>
          <w:fldChar w:fldCharType="begin"/>
        </w:r>
        <w:r w:rsidR="00061954">
          <w:rPr>
            <w:webHidden/>
          </w:rPr>
          <w:instrText xml:space="preserve"> PAGEREF _Toc435700204 \h </w:instrText>
        </w:r>
        <w:r>
          <w:rPr>
            <w:webHidden/>
          </w:rPr>
        </w:r>
        <w:r>
          <w:rPr>
            <w:webHidden/>
          </w:rPr>
          <w:fldChar w:fldCharType="separate"/>
        </w:r>
        <w:r w:rsidR="00E43227">
          <w:rPr>
            <w:webHidden/>
          </w:rPr>
          <w:t>15</w:t>
        </w:r>
        <w:r>
          <w:rPr>
            <w:webHidden/>
          </w:rPr>
          <w:fldChar w:fldCharType="end"/>
        </w:r>
      </w:hyperlink>
    </w:p>
    <w:p w:rsidR="00061954" w:rsidRDefault="00A7215E">
      <w:pPr>
        <w:pStyle w:val="TableofFigures"/>
        <w:rPr>
          <w:rFonts w:asciiTheme="minorHAnsi" w:eastAsiaTheme="minorEastAsia" w:hAnsiTheme="minorHAnsi" w:cstheme="minorBidi"/>
          <w:szCs w:val="22"/>
          <w:lang w:val="en-AU" w:eastAsia="en-AU"/>
        </w:rPr>
      </w:pPr>
      <w:hyperlink w:anchor="_Toc435700205" w:history="1">
        <w:r w:rsidR="00061954" w:rsidRPr="00496FD9">
          <w:rPr>
            <w:rStyle w:val="Hyperlink"/>
          </w:rPr>
          <w:t>Box 2.4</w:t>
        </w:r>
        <w:r w:rsidR="00061954">
          <w:rPr>
            <w:rFonts w:asciiTheme="minorHAnsi" w:eastAsiaTheme="minorEastAsia" w:hAnsiTheme="minorHAnsi" w:cstheme="minorBidi"/>
            <w:szCs w:val="22"/>
            <w:lang w:val="en-AU" w:eastAsia="en-AU"/>
          </w:rPr>
          <w:tab/>
        </w:r>
        <w:r w:rsidR="00061954" w:rsidRPr="00496FD9">
          <w:rPr>
            <w:rStyle w:val="Hyperlink"/>
          </w:rPr>
          <w:t>Secondary water initiative examples</w:t>
        </w:r>
        <w:r w:rsidR="00061954">
          <w:rPr>
            <w:webHidden/>
          </w:rPr>
          <w:tab/>
        </w:r>
        <w:r>
          <w:rPr>
            <w:webHidden/>
          </w:rPr>
          <w:fldChar w:fldCharType="begin"/>
        </w:r>
        <w:r w:rsidR="00061954">
          <w:rPr>
            <w:webHidden/>
          </w:rPr>
          <w:instrText xml:space="preserve"> PAGEREF _Toc435700205 \h </w:instrText>
        </w:r>
        <w:r>
          <w:rPr>
            <w:webHidden/>
          </w:rPr>
        </w:r>
        <w:r>
          <w:rPr>
            <w:webHidden/>
          </w:rPr>
          <w:fldChar w:fldCharType="separate"/>
        </w:r>
        <w:r w:rsidR="00E43227">
          <w:rPr>
            <w:webHidden/>
          </w:rPr>
          <w:t>18</w:t>
        </w:r>
        <w:r>
          <w:rPr>
            <w:webHidden/>
          </w:rPr>
          <w:fldChar w:fldCharType="end"/>
        </w:r>
      </w:hyperlink>
    </w:p>
    <w:p w:rsidR="00061954" w:rsidRDefault="00A7215E">
      <w:pPr>
        <w:pStyle w:val="TableofFigures"/>
        <w:rPr>
          <w:rFonts w:asciiTheme="minorHAnsi" w:eastAsiaTheme="minorEastAsia" w:hAnsiTheme="minorHAnsi" w:cstheme="minorBidi"/>
          <w:szCs w:val="22"/>
          <w:lang w:val="en-AU" w:eastAsia="en-AU"/>
        </w:rPr>
      </w:pPr>
      <w:hyperlink w:anchor="_Toc435700206" w:history="1">
        <w:r w:rsidR="00061954" w:rsidRPr="00496FD9">
          <w:rPr>
            <w:rStyle w:val="Hyperlink"/>
          </w:rPr>
          <w:t>Box 2.5</w:t>
        </w:r>
        <w:r w:rsidR="00061954">
          <w:rPr>
            <w:rFonts w:asciiTheme="minorHAnsi" w:eastAsiaTheme="minorEastAsia" w:hAnsiTheme="minorHAnsi" w:cstheme="minorBidi"/>
            <w:szCs w:val="22"/>
            <w:lang w:val="en-AU" w:eastAsia="en-AU"/>
          </w:rPr>
          <w:tab/>
        </w:r>
        <w:r w:rsidR="00061954" w:rsidRPr="00496FD9">
          <w:rPr>
            <w:rStyle w:val="Hyperlink"/>
          </w:rPr>
          <w:t>National Water Initiative best practice pricing outcomes</w:t>
        </w:r>
        <w:r w:rsidR="00061954">
          <w:rPr>
            <w:webHidden/>
          </w:rPr>
          <w:tab/>
        </w:r>
        <w:r>
          <w:rPr>
            <w:webHidden/>
          </w:rPr>
          <w:fldChar w:fldCharType="begin"/>
        </w:r>
        <w:r w:rsidR="00061954">
          <w:rPr>
            <w:webHidden/>
          </w:rPr>
          <w:instrText xml:space="preserve"> PAGEREF _Toc435700206 \h </w:instrText>
        </w:r>
        <w:r>
          <w:rPr>
            <w:webHidden/>
          </w:rPr>
        </w:r>
        <w:r>
          <w:rPr>
            <w:webHidden/>
          </w:rPr>
          <w:fldChar w:fldCharType="separate"/>
        </w:r>
        <w:r w:rsidR="00E43227">
          <w:rPr>
            <w:webHidden/>
          </w:rPr>
          <w:t>21</w:t>
        </w:r>
        <w:r>
          <w:rPr>
            <w:webHidden/>
          </w:rPr>
          <w:fldChar w:fldCharType="end"/>
        </w:r>
      </w:hyperlink>
    </w:p>
    <w:p w:rsidR="00061954" w:rsidRDefault="00A7215E">
      <w:pPr>
        <w:pStyle w:val="TableofFigures"/>
        <w:rPr>
          <w:rFonts w:asciiTheme="minorHAnsi" w:eastAsiaTheme="minorEastAsia" w:hAnsiTheme="minorHAnsi" w:cstheme="minorBidi"/>
          <w:szCs w:val="22"/>
          <w:lang w:val="en-AU" w:eastAsia="en-AU"/>
        </w:rPr>
      </w:pPr>
      <w:hyperlink w:anchor="_Toc435700207" w:history="1">
        <w:r w:rsidR="00061954" w:rsidRPr="00496FD9">
          <w:rPr>
            <w:rStyle w:val="Hyperlink"/>
          </w:rPr>
          <w:t>Box 2.6</w:t>
        </w:r>
        <w:r w:rsidR="00061954">
          <w:rPr>
            <w:rFonts w:asciiTheme="minorHAnsi" w:eastAsiaTheme="minorEastAsia" w:hAnsiTheme="minorHAnsi" w:cstheme="minorBidi"/>
            <w:szCs w:val="22"/>
            <w:lang w:val="en-AU" w:eastAsia="en-AU"/>
          </w:rPr>
          <w:tab/>
        </w:r>
        <w:r w:rsidR="00061954" w:rsidRPr="00496FD9">
          <w:rPr>
            <w:rStyle w:val="Hyperlink"/>
          </w:rPr>
          <w:t>National Water Initiative best practice pricing actions</w:t>
        </w:r>
        <w:r w:rsidR="00061954">
          <w:rPr>
            <w:webHidden/>
          </w:rPr>
          <w:tab/>
        </w:r>
        <w:r>
          <w:rPr>
            <w:webHidden/>
          </w:rPr>
          <w:fldChar w:fldCharType="begin"/>
        </w:r>
        <w:r w:rsidR="00061954">
          <w:rPr>
            <w:webHidden/>
          </w:rPr>
          <w:instrText xml:space="preserve"> PAGEREF _Toc435700207 \h </w:instrText>
        </w:r>
        <w:r>
          <w:rPr>
            <w:webHidden/>
          </w:rPr>
        </w:r>
        <w:r>
          <w:rPr>
            <w:webHidden/>
          </w:rPr>
          <w:fldChar w:fldCharType="separate"/>
        </w:r>
        <w:r w:rsidR="00E43227">
          <w:rPr>
            <w:webHidden/>
          </w:rPr>
          <w:t>22</w:t>
        </w:r>
        <w:r>
          <w:rPr>
            <w:webHidden/>
          </w:rPr>
          <w:fldChar w:fldCharType="end"/>
        </w:r>
      </w:hyperlink>
    </w:p>
    <w:p w:rsidR="00061954" w:rsidRDefault="00A7215E">
      <w:pPr>
        <w:pStyle w:val="TableofFigures"/>
        <w:rPr>
          <w:rFonts w:asciiTheme="minorHAnsi" w:eastAsiaTheme="minorEastAsia" w:hAnsiTheme="minorHAnsi" w:cstheme="minorBidi"/>
          <w:szCs w:val="22"/>
          <w:lang w:val="en-AU" w:eastAsia="en-AU"/>
        </w:rPr>
      </w:pPr>
      <w:hyperlink w:anchor="_Toc435700208" w:history="1">
        <w:r w:rsidR="00061954" w:rsidRPr="00496FD9">
          <w:rPr>
            <w:rStyle w:val="Hyperlink"/>
          </w:rPr>
          <w:t>Box 2.7</w:t>
        </w:r>
        <w:r w:rsidR="00061954">
          <w:rPr>
            <w:rFonts w:asciiTheme="minorHAnsi" w:eastAsiaTheme="minorEastAsia" w:hAnsiTheme="minorHAnsi" w:cstheme="minorBidi"/>
            <w:szCs w:val="22"/>
            <w:lang w:val="en-AU" w:eastAsia="en-AU"/>
          </w:rPr>
          <w:tab/>
        </w:r>
        <w:r w:rsidR="00061954" w:rsidRPr="00496FD9">
          <w:rPr>
            <w:rStyle w:val="Hyperlink"/>
          </w:rPr>
          <w:t>National Water Initiative urban water price-setting principles</w:t>
        </w:r>
        <w:r w:rsidR="00061954">
          <w:rPr>
            <w:webHidden/>
          </w:rPr>
          <w:tab/>
        </w:r>
        <w:r>
          <w:rPr>
            <w:webHidden/>
          </w:rPr>
          <w:fldChar w:fldCharType="begin"/>
        </w:r>
        <w:r w:rsidR="00061954">
          <w:rPr>
            <w:webHidden/>
          </w:rPr>
          <w:instrText xml:space="preserve"> PAGEREF _Toc435700208 \h </w:instrText>
        </w:r>
        <w:r>
          <w:rPr>
            <w:webHidden/>
          </w:rPr>
        </w:r>
        <w:r>
          <w:rPr>
            <w:webHidden/>
          </w:rPr>
          <w:fldChar w:fldCharType="separate"/>
        </w:r>
        <w:r w:rsidR="00E43227">
          <w:rPr>
            <w:webHidden/>
          </w:rPr>
          <w:t>23</w:t>
        </w:r>
        <w:r>
          <w:rPr>
            <w:webHidden/>
          </w:rPr>
          <w:fldChar w:fldCharType="end"/>
        </w:r>
      </w:hyperlink>
    </w:p>
    <w:p w:rsidR="00061954" w:rsidRDefault="00A7215E">
      <w:pPr>
        <w:pStyle w:val="TableofFigures"/>
        <w:rPr>
          <w:rFonts w:asciiTheme="minorHAnsi" w:eastAsiaTheme="minorEastAsia" w:hAnsiTheme="minorHAnsi" w:cstheme="minorBidi"/>
          <w:szCs w:val="22"/>
          <w:lang w:val="en-AU" w:eastAsia="en-AU"/>
        </w:rPr>
      </w:pPr>
      <w:hyperlink w:anchor="_Toc435700209" w:history="1">
        <w:r w:rsidR="00061954" w:rsidRPr="00496FD9">
          <w:rPr>
            <w:rStyle w:val="Hyperlink"/>
          </w:rPr>
          <w:t>Box 2.8</w:t>
        </w:r>
        <w:r w:rsidR="00061954">
          <w:rPr>
            <w:rFonts w:asciiTheme="minorHAnsi" w:eastAsiaTheme="minorEastAsia" w:hAnsiTheme="minorHAnsi" w:cstheme="minorBidi"/>
            <w:szCs w:val="22"/>
            <w:lang w:val="en-AU" w:eastAsia="en-AU"/>
          </w:rPr>
          <w:tab/>
        </w:r>
        <w:r w:rsidR="00061954" w:rsidRPr="00496FD9">
          <w:rPr>
            <w:rStyle w:val="Hyperlink"/>
          </w:rPr>
          <w:t>IPART’s principles for price structure for metropolitan water utilities</w:t>
        </w:r>
        <w:r w:rsidR="00061954">
          <w:rPr>
            <w:webHidden/>
          </w:rPr>
          <w:tab/>
        </w:r>
        <w:r>
          <w:rPr>
            <w:webHidden/>
          </w:rPr>
          <w:fldChar w:fldCharType="begin"/>
        </w:r>
        <w:r w:rsidR="00061954">
          <w:rPr>
            <w:webHidden/>
          </w:rPr>
          <w:instrText xml:space="preserve"> PAGEREF _Toc435700209 \h </w:instrText>
        </w:r>
        <w:r>
          <w:rPr>
            <w:webHidden/>
          </w:rPr>
        </w:r>
        <w:r>
          <w:rPr>
            <w:webHidden/>
          </w:rPr>
          <w:fldChar w:fldCharType="separate"/>
        </w:r>
        <w:r w:rsidR="00E43227">
          <w:rPr>
            <w:webHidden/>
          </w:rPr>
          <w:t>28</w:t>
        </w:r>
        <w:r>
          <w:rPr>
            <w:webHidden/>
          </w:rPr>
          <w:fldChar w:fldCharType="end"/>
        </w:r>
      </w:hyperlink>
    </w:p>
    <w:p w:rsidR="00061954" w:rsidRDefault="00A7215E">
      <w:pPr>
        <w:pStyle w:val="TableofFigures"/>
        <w:rPr>
          <w:rFonts w:asciiTheme="minorHAnsi" w:eastAsiaTheme="minorEastAsia" w:hAnsiTheme="minorHAnsi" w:cstheme="minorBidi"/>
          <w:szCs w:val="22"/>
          <w:lang w:val="en-AU" w:eastAsia="en-AU"/>
        </w:rPr>
      </w:pPr>
      <w:hyperlink w:anchor="_Toc435700210" w:history="1">
        <w:r w:rsidR="00061954" w:rsidRPr="00496FD9">
          <w:rPr>
            <w:rStyle w:val="Hyperlink"/>
          </w:rPr>
          <w:t>Box 2.9</w:t>
        </w:r>
        <w:r w:rsidR="00061954">
          <w:rPr>
            <w:rFonts w:asciiTheme="minorHAnsi" w:eastAsiaTheme="minorEastAsia" w:hAnsiTheme="minorHAnsi" w:cstheme="minorBidi"/>
            <w:szCs w:val="22"/>
            <w:lang w:val="en-AU" w:eastAsia="en-AU"/>
          </w:rPr>
          <w:tab/>
        </w:r>
        <w:r w:rsidR="00061954" w:rsidRPr="00496FD9">
          <w:rPr>
            <w:rStyle w:val="Hyperlink"/>
          </w:rPr>
          <w:t>Electricity Distribution Network Pricing Arrangements Rule 2014 summary</w:t>
        </w:r>
        <w:r w:rsidR="00061954">
          <w:rPr>
            <w:webHidden/>
          </w:rPr>
          <w:tab/>
        </w:r>
        <w:r>
          <w:rPr>
            <w:webHidden/>
          </w:rPr>
          <w:fldChar w:fldCharType="begin"/>
        </w:r>
        <w:r w:rsidR="00061954">
          <w:rPr>
            <w:webHidden/>
          </w:rPr>
          <w:instrText xml:space="preserve"> PAGEREF _Toc435700210 \h </w:instrText>
        </w:r>
        <w:r>
          <w:rPr>
            <w:webHidden/>
          </w:rPr>
        </w:r>
        <w:r>
          <w:rPr>
            <w:webHidden/>
          </w:rPr>
          <w:fldChar w:fldCharType="separate"/>
        </w:r>
        <w:r w:rsidR="00E43227">
          <w:rPr>
            <w:webHidden/>
          </w:rPr>
          <w:t>30</w:t>
        </w:r>
        <w:r>
          <w:rPr>
            <w:webHidden/>
          </w:rPr>
          <w:fldChar w:fldCharType="end"/>
        </w:r>
      </w:hyperlink>
    </w:p>
    <w:p w:rsidR="00061954" w:rsidRDefault="00A7215E">
      <w:pPr>
        <w:pStyle w:val="TableofFigures"/>
        <w:rPr>
          <w:rFonts w:asciiTheme="minorHAnsi" w:eastAsiaTheme="minorEastAsia" w:hAnsiTheme="minorHAnsi" w:cstheme="minorBidi"/>
          <w:szCs w:val="22"/>
          <w:lang w:val="en-AU" w:eastAsia="en-AU"/>
        </w:rPr>
      </w:pPr>
      <w:hyperlink w:anchor="_Toc435700211" w:history="1">
        <w:r w:rsidR="00061954" w:rsidRPr="00496FD9">
          <w:rPr>
            <w:rStyle w:val="Hyperlink"/>
          </w:rPr>
          <w:t>Box 3.1</w:t>
        </w:r>
        <w:r w:rsidR="00061954">
          <w:rPr>
            <w:rFonts w:asciiTheme="minorHAnsi" w:eastAsiaTheme="minorEastAsia" w:hAnsiTheme="minorHAnsi" w:cstheme="minorBidi"/>
            <w:szCs w:val="22"/>
            <w:lang w:val="en-AU" w:eastAsia="en-AU"/>
          </w:rPr>
          <w:tab/>
        </w:r>
        <w:r w:rsidR="00061954" w:rsidRPr="00496FD9">
          <w:rPr>
            <w:rStyle w:val="Hyperlink"/>
          </w:rPr>
          <w:t>National Electricity Objective</w:t>
        </w:r>
        <w:r w:rsidR="00061954">
          <w:rPr>
            <w:webHidden/>
          </w:rPr>
          <w:tab/>
        </w:r>
        <w:r>
          <w:rPr>
            <w:webHidden/>
          </w:rPr>
          <w:fldChar w:fldCharType="begin"/>
        </w:r>
        <w:r w:rsidR="00061954">
          <w:rPr>
            <w:webHidden/>
          </w:rPr>
          <w:instrText xml:space="preserve"> PAGEREF _Toc435700211 \h </w:instrText>
        </w:r>
        <w:r>
          <w:rPr>
            <w:webHidden/>
          </w:rPr>
        </w:r>
        <w:r>
          <w:rPr>
            <w:webHidden/>
          </w:rPr>
          <w:fldChar w:fldCharType="separate"/>
        </w:r>
        <w:r w:rsidR="00E43227">
          <w:rPr>
            <w:webHidden/>
          </w:rPr>
          <w:t>36</w:t>
        </w:r>
        <w:r>
          <w:rPr>
            <w:webHidden/>
          </w:rPr>
          <w:fldChar w:fldCharType="end"/>
        </w:r>
      </w:hyperlink>
    </w:p>
    <w:p w:rsidR="00061954" w:rsidRDefault="00A7215E">
      <w:pPr>
        <w:pStyle w:val="TableofFigures"/>
        <w:rPr>
          <w:rFonts w:asciiTheme="minorHAnsi" w:eastAsiaTheme="minorEastAsia" w:hAnsiTheme="minorHAnsi" w:cstheme="minorBidi"/>
          <w:szCs w:val="22"/>
          <w:lang w:val="en-AU" w:eastAsia="en-AU"/>
        </w:rPr>
      </w:pPr>
      <w:hyperlink w:anchor="_Toc435700212" w:history="1">
        <w:r w:rsidR="00061954" w:rsidRPr="00496FD9">
          <w:rPr>
            <w:rStyle w:val="Hyperlink"/>
          </w:rPr>
          <w:t>Box 3.2</w:t>
        </w:r>
        <w:r w:rsidR="00061954">
          <w:rPr>
            <w:rFonts w:asciiTheme="minorHAnsi" w:eastAsiaTheme="minorEastAsia" w:hAnsiTheme="minorHAnsi" w:cstheme="minorBidi"/>
            <w:szCs w:val="22"/>
            <w:lang w:val="en-AU" w:eastAsia="en-AU"/>
          </w:rPr>
          <w:tab/>
        </w:r>
        <w:r w:rsidR="00061954" w:rsidRPr="00496FD9">
          <w:rPr>
            <w:rStyle w:val="Hyperlink"/>
          </w:rPr>
          <w:t>Commission’s proposed economic regulation objective and pricing principles</w:t>
        </w:r>
        <w:r w:rsidR="00061954">
          <w:rPr>
            <w:webHidden/>
          </w:rPr>
          <w:tab/>
        </w:r>
        <w:r>
          <w:rPr>
            <w:webHidden/>
          </w:rPr>
          <w:fldChar w:fldCharType="begin"/>
        </w:r>
        <w:r w:rsidR="00061954">
          <w:rPr>
            <w:webHidden/>
          </w:rPr>
          <w:instrText xml:space="preserve"> PAGEREF _Toc435700212 \h </w:instrText>
        </w:r>
        <w:r>
          <w:rPr>
            <w:webHidden/>
          </w:rPr>
        </w:r>
        <w:r>
          <w:rPr>
            <w:webHidden/>
          </w:rPr>
          <w:fldChar w:fldCharType="separate"/>
        </w:r>
        <w:r w:rsidR="00E43227">
          <w:rPr>
            <w:webHidden/>
          </w:rPr>
          <w:t>46</w:t>
        </w:r>
        <w:r>
          <w:rPr>
            <w:webHidden/>
          </w:rPr>
          <w:fldChar w:fldCharType="end"/>
        </w:r>
      </w:hyperlink>
    </w:p>
    <w:p w:rsidR="00061954" w:rsidRDefault="00A7215E">
      <w:pPr>
        <w:pStyle w:val="TableofFigures"/>
        <w:rPr>
          <w:rFonts w:asciiTheme="minorHAnsi" w:eastAsiaTheme="minorEastAsia" w:hAnsiTheme="minorHAnsi" w:cstheme="minorBidi"/>
          <w:szCs w:val="22"/>
          <w:lang w:val="en-AU" w:eastAsia="en-AU"/>
        </w:rPr>
      </w:pPr>
      <w:hyperlink w:anchor="_Toc435700213" w:history="1">
        <w:r w:rsidR="00061954" w:rsidRPr="00496FD9">
          <w:rPr>
            <w:rStyle w:val="Hyperlink"/>
          </w:rPr>
          <w:t>Box 4.1</w:t>
        </w:r>
        <w:r w:rsidR="00061954">
          <w:rPr>
            <w:rFonts w:asciiTheme="minorHAnsi" w:eastAsiaTheme="minorEastAsia" w:hAnsiTheme="minorHAnsi" w:cstheme="minorBidi"/>
            <w:szCs w:val="22"/>
            <w:lang w:val="en-AU" w:eastAsia="en-AU"/>
          </w:rPr>
          <w:tab/>
        </w:r>
        <w:r w:rsidR="00061954" w:rsidRPr="00496FD9">
          <w:rPr>
            <w:rStyle w:val="Hyperlink"/>
          </w:rPr>
          <w:t>ACT water abstraction charge</w:t>
        </w:r>
        <w:r w:rsidR="00061954">
          <w:rPr>
            <w:webHidden/>
          </w:rPr>
          <w:tab/>
        </w:r>
        <w:r>
          <w:rPr>
            <w:webHidden/>
          </w:rPr>
          <w:fldChar w:fldCharType="begin"/>
        </w:r>
        <w:r w:rsidR="00061954">
          <w:rPr>
            <w:webHidden/>
          </w:rPr>
          <w:instrText xml:space="preserve"> PAGEREF _Toc435700213 \h </w:instrText>
        </w:r>
        <w:r>
          <w:rPr>
            <w:webHidden/>
          </w:rPr>
        </w:r>
        <w:r>
          <w:rPr>
            <w:webHidden/>
          </w:rPr>
          <w:fldChar w:fldCharType="separate"/>
        </w:r>
        <w:r w:rsidR="00E43227">
          <w:rPr>
            <w:webHidden/>
          </w:rPr>
          <w:t>70</w:t>
        </w:r>
        <w:r>
          <w:rPr>
            <w:webHidden/>
          </w:rPr>
          <w:fldChar w:fldCharType="end"/>
        </w:r>
      </w:hyperlink>
    </w:p>
    <w:p w:rsidR="00061954" w:rsidRDefault="00A7215E">
      <w:pPr>
        <w:pStyle w:val="TableofFigures"/>
        <w:rPr>
          <w:rFonts w:asciiTheme="minorHAnsi" w:eastAsiaTheme="minorEastAsia" w:hAnsiTheme="minorHAnsi" w:cstheme="minorBidi"/>
          <w:szCs w:val="22"/>
          <w:lang w:val="en-AU" w:eastAsia="en-AU"/>
        </w:rPr>
      </w:pPr>
      <w:hyperlink w:anchor="_Toc435700214" w:history="1">
        <w:r w:rsidR="00061954" w:rsidRPr="00496FD9">
          <w:rPr>
            <w:rStyle w:val="Hyperlink"/>
          </w:rPr>
          <w:t>Box 5.1</w:t>
        </w:r>
        <w:r w:rsidR="00061954">
          <w:rPr>
            <w:rFonts w:asciiTheme="minorHAnsi" w:eastAsiaTheme="minorEastAsia" w:hAnsiTheme="minorHAnsi" w:cstheme="minorBidi"/>
            <w:szCs w:val="22"/>
            <w:lang w:val="en-AU" w:eastAsia="en-AU"/>
          </w:rPr>
          <w:tab/>
        </w:r>
        <w:r w:rsidR="00061954" w:rsidRPr="00496FD9">
          <w:rPr>
            <w:rStyle w:val="Hyperlink"/>
          </w:rPr>
          <w:t>City West Water sewage volume calculation</w:t>
        </w:r>
        <w:r w:rsidR="00061954">
          <w:rPr>
            <w:webHidden/>
          </w:rPr>
          <w:tab/>
        </w:r>
        <w:r>
          <w:rPr>
            <w:webHidden/>
          </w:rPr>
          <w:fldChar w:fldCharType="begin"/>
        </w:r>
        <w:r w:rsidR="00061954">
          <w:rPr>
            <w:webHidden/>
          </w:rPr>
          <w:instrText xml:space="preserve"> PAGEREF _Toc435700214 \h </w:instrText>
        </w:r>
        <w:r>
          <w:rPr>
            <w:webHidden/>
          </w:rPr>
        </w:r>
        <w:r>
          <w:rPr>
            <w:webHidden/>
          </w:rPr>
          <w:fldChar w:fldCharType="separate"/>
        </w:r>
        <w:r w:rsidR="00E43227">
          <w:rPr>
            <w:webHidden/>
          </w:rPr>
          <w:t>80</w:t>
        </w:r>
        <w:r>
          <w:rPr>
            <w:webHidden/>
          </w:rPr>
          <w:fldChar w:fldCharType="end"/>
        </w:r>
      </w:hyperlink>
    </w:p>
    <w:p w:rsidR="00B1692C" w:rsidRDefault="00A7215E" w:rsidP="008A1C91">
      <w:pPr>
        <w:pStyle w:val="References"/>
      </w:pPr>
      <w:r>
        <w:rPr>
          <w:lang w:val="en-AU"/>
        </w:rPr>
        <w:fldChar w:fldCharType="end"/>
      </w:r>
    </w:p>
    <w:p w:rsidR="00B1692C" w:rsidRDefault="00B1692C" w:rsidP="008A1C91">
      <w:pPr>
        <w:pStyle w:val="References"/>
        <w:sectPr w:rsidR="00B1692C" w:rsidSect="00174668">
          <w:headerReference w:type="even" r:id="rId26"/>
          <w:headerReference w:type="default" r:id="rId27"/>
          <w:endnotePr>
            <w:numFmt w:val="decimal"/>
          </w:endnotePr>
          <w:type w:val="continuous"/>
          <w:pgSz w:w="11907" w:h="16840" w:code="9"/>
          <w:pgMar w:top="2268" w:right="2098" w:bottom="1701" w:left="2098" w:header="578" w:footer="578" w:gutter="0"/>
          <w:pgNumType w:fmt="lowerRoman"/>
          <w:cols w:space="720"/>
          <w:docGrid w:linePitch="299"/>
        </w:sectPr>
      </w:pPr>
    </w:p>
    <w:p w:rsidR="00E2786A" w:rsidRDefault="00DC784F" w:rsidP="00B76065">
      <w:pPr>
        <w:pStyle w:val="Heading1"/>
      </w:pPr>
      <w:bookmarkStart w:id="16" w:name="Chap1"/>
      <w:bookmarkStart w:id="17" w:name="_Ref364695177"/>
      <w:bookmarkStart w:id="18" w:name="_Toc200251148"/>
      <w:bookmarkStart w:id="19" w:name="_Toc264971521"/>
      <w:bookmarkStart w:id="20" w:name="_Toc435700145"/>
      <w:bookmarkEnd w:id="12"/>
      <w:bookmarkEnd w:id="13"/>
      <w:bookmarkEnd w:id="14"/>
      <w:bookmarkEnd w:id="15"/>
      <w:bookmarkEnd w:id="16"/>
      <w:r>
        <w:lastRenderedPageBreak/>
        <w:t>Introduction</w:t>
      </w:r>
      <w:bookmarkStart w:id="21" w:name="_Ref349552218"/>
      <w:bookmarkStart w:id="22" w:name="_Toc349563150"/>
      <w:bookmarkStart w:id="23" w:name="_Toc349563312"/>
      <w:bookmarkStart w:id="24" w:name="_Toc349563390"/>
      <w:bookmarkStart w:id="25" w:name="_Toc349571506"/>
      <w:bookmarkEnd w:id="17"/>
      <w:bookmarkEnd w:id="18"/>
      <w:bookmarkEnd w:id="19"/>
      <w:bookmarkEnd w:id="20"/>
    </w:p>
    <w:p w:rsidR="00E2786A" w:rsidRDefault="00E2786A" w:rsidP="008A1C91">
      <w:pPr>
        <w:pStyle w:val="References"/>
        <w:sectPr w:rsidR="00E2786A" w:rsidSect="00FD0141">
          <w:headerReference w:type="even" r:id="rId28"/>
          <w:headerReference w:type="default" r:id="rId29"/>
          <w:endnotePr>
            <w:numFmt w:val="decimal"/>
          </w:endnotePr>
          <w:type w:val="oddPage"/>
          <w:pgSz w:w="11907" w:h="16840" w:code="9"/>
          <w:pgMar w:top="2268" w:right="2098" w:bottom="1701" w:left="2098" w:header="578" w:footer="578" w:gutter="0"/>
          <w:pgNumType w:start="1"/>
          <w:cols w:space="720"/>
          <w:docGrid w:linePitch="299"/>
        </w:sectPr>
      </w:pPr>
    </w:p>
    <w:p w:rsidR="00FD5BFB" w:rsidRDefault="00FD5BFB" w:rsidP="00FD5BFB">
      <w:pPr>
        <w:pStyle w:val="Heading2"/>
      </w:pPr>
      <w:bookmarkStart w:id="26" w:name="Tariffs_vs_prices"/>
      <w:bookmarkStart w:id="27" w:name="_Toc435700146"/>
      <w:bookmarkStart w:id="28" w:name="_Toc368572032"/>
      <w:bookmarkStart w:id="29" w:name="_Ref429400976"/>
      <w:bookmarkStart w:id="30" w:name="_Toc378334065"/>
      <w:bookmarkStart w:id="31" w:name="_Toc389642362"/>
      <w:bookmarkEnd w:id="21"/>
      <w:bookmarkEnd w:id="22"/>
      <w:bookmarkEnd w:id="23"/>
      <w:bookmarkEnd w:id="24"/>
      <w:bookmarkEnd w:id="25"/>
      <w:bookmarkEnd w:id="26"/>
      <w:r>
        <w:lastRenderedPageBreak/>
        <w:t>How are tariffs different to prices?</w:t>
      </w:r>
      <w:bookmarkEnd w:id="27"/>
    </w:p>
    <w:p w:rsidR="00FD5BFB" w:rsidRDefault="00FD5BFB" w:rsidP="00FD5BFB">
      <w:r w:rsidRPr="00256588">
        <w:t>A price (or charge) is the monetary value of a good or service that a business levies on its customers for the provision of a good or service. Price</w:t>
      </w:r>
      <w:r>
        <w:t>s</w:t>
      </w:r>
      <w:r w:rsidRPr="007606D9">
        <w:t xml:space="preserve"> are often </w:t>
      </w:r>
      <w:r w:rsidRPr="00256588">
        <w:t xml:space="preserve">expressed per unit, such as </w:t>
      </w:r>
      <w:r w:rsidR="00ED236A" w:rsidRPr="00ED236A">
        <w:rPr>
          <w:i/>
        </w:rPr>
        <w:t>x</w:t>
      </w:r>
      <w:r w:rsidRPr="00256588">
        <w:t xml:space="preserve"> dollars per litre or </w:t>
      </w:r>
      <w:r w:rsidR="00ED236A" w:rsidRPr="00ED236A">
        <w:rPr>
          <w:i/>
        </w:rPr>
        <w:t>y</w:t>
      </w:r>
      <w:r w:rsidRPr="00256588">
        <w:t xml:space="preserve"> dollars per kilogram. Alternatively, a price can be expressed as fixed amount for a particular service, such as </w:t>
      </w:r>
      <w:r w:rsidR="00ED236A" w:rsidRPr="00ED236A">
        <w:rPr>
          <w:i/>
        </w:rPr>
        <w:t>z</w:t>
      </w:r>
      <w:r w:rsidRPr="00256588">
        <w:t xml:space="preserve"> dollars for a year’s worth of sewerage services.</w:t>
      </w:r>
    </w:p>
    <w:p w:rsidR="00FD5BFB" w:rsidRDefault="00FD5BFB" w:rsidP="00FD5BFB">
      <w:r>
        <w:t>In contrast, a tariff is a collection</w:t>
      </w:r>
      <w:r w:rsidDel="0023361C">
        <w:t xml:space="preserve"> </w:t>
      </w:r>
      <w:r>
        <w:t xml:space="preserve">of individual prices. The </w:t>
      </w:r>
      <w:r w:rsidRPr="00291174">
        <w:t xml:space="preserve">tariff schedule </w:t>
      </w:r>
      <w:r>
        <w:t>for any particular tariff describes:</w:t>
      </w:r>
    </w:p>
    <w:p w:rsidR="00FD5BFB" w:rsidRDefault="00FD5BFB" w:rsidP="00FD5BFB">
      <w:pPr>
        <w:pStyle w:val="Bullet"/>
      </w:pPr>
      <w:r>
        <w:t>the structure and level of the individual prices or charges; and</w:t>
      </w:r>
    </w:p>
    <w:p w:rsidR="00FD5BFB" w:rsidRDefault="00FD5BFB" w:rsidP="00FD5BFB">
      <w:pPr>
        <w:pStyle w:val="BulletLast"/>
      </w:pPr>
      <w:r>
        <w:t xml:space="preserve">any </w:t>
      </w:r>
      <w:r w:rsidRPr="00291174">
        <w:t xml:space="preserve">customer </w:t>
      </w:r>
      <w:r>
        <w:t>pricing differentiation, such as</w:t>
      </w:r>
      <w:r w:rsidRPr="00291174">
        <w:t xml:space="preserve"> </w:t>
      </w:r>
      <w:r>
        <w:t xml:space="preserve">different prices that may apply to </w:t>
      </w:r>
      <w:r w:rsidRPr="00291174">
        <w:t xml:space="preserve">residential </w:t>
      </w:r>
      <w:r>
        <w:t xml:space="preserve">and </w:t>
      </w:r>
      <w:r w:rsidRPr="00291174">
        <w:t>non-residential</w:t>
      </w:r>
      <w:r>
        <w:t xml:space="preserve"> customers</w:t>
      </w:r>
      <w:r w:rsidR="00DC1ED9">
        <w:t>.</w:t>
      </w:r>
    </w:p>
    <w:p w:rsidR="00FD5BFB" w:rsidRDefault="00FD5BFB" w:rsidP="00FD5BFB">
      <w:r w:rsidRPr="00291174">
        <w:t>The bill the consumer has to pay is determined by multiplication and addition – the number and types of products selected multip</w:t>
      </w:r>
      <w:r>
        <w:t>lied by their respective price</w:t>
      </w:r>
      <w:r w:rsidR="007142AC">
        <w:t xml:space="preserve"> (see </w:t>
      </w:r>
      <w:r w:rsidR="00A7215E">
        <w:fldChar w:fldCharType="begin"/>
      </w:r>
      <w:r w:rsidR="007142AC">
        <w:instrText xml:space="preserve"> REF _Ref433809538 \h </w:instrText>
      </w:r>
      <w:r w:rsidR="00A7215E">
        <w:fldChar w:fldCharType="separate"/>
      </w:r>
      <w:r w:rsidR="00E43227" w:rsidRPr="00DB3C19">
        <w:t xml:space="preserve">Figure </w:t>
      </w:r>
      <w:r w:rsidR="00E43227">
        <w:rPr>
          <w:noProof/>
        </w:rPr>
        <w:t>1</w:t>
      </w:r>
      <w:r w:rsidR="00E43227" w:rsidRPr="00180624">
        <w:t>.</w:t>
      </w:r>
      <w:r w:rsidR="00E43227">
        <w:rPr>
          <w:noProof/>
        </w:rPr>
        <w:t>1</w:t>
      </w:r>
      <w:r w:rsidR="00A7215E">
        <w:fldChar w:fldCharType="end"/>
      </w:r>
      <w:r w:rsidR="007142AC">
        <w:t>)</w:t>
      </w:r>
      <w:r>
        <w:t>.</w:t>
      </w:r>
    </w:p>
    <w:p w:rsidR="00FD5BFB" w:rsidRPr="00180624" w:rsidRDefault="00FD5BFB" w:rsidP="00FD5BFB">
      <w:pPr>
        <w:pStyle w:val="FigureName"/>
      </w:pPr>
      <w:bookmarkStart w:id="32" w:name="_Ref433809538"/>
      <w:bookmarkStart w:id="33" w:name="_Toc435700189"/>
      <w:r w:rsidRPr="00DB3C19">
        <w:t xml:space="preserve">Figure </w:t>
      </w:r>
      <w:r w:rsidR="00A7215E">
        <w:fldChar w:fldCharType="begin"/>
      </w:r>
      <w:r>
        <w:instrText xml:space="preserve"> STYLEREF 1 \s </w:instrText>
      </w:r>
      <w:r w:rsidR="00A7215E">
        <w:fldChar w:fldCharType="separate"/>
      </w:r>
      <w:r w:rsidR="00E43227">
        <w:rPr>
          <w:noProof/>
        </w:rPr>
        <w:t>1</w:t>
      </w:r>
      <w:r w:rsidR="00A7215E">
        <w:fldChar w:fldCharType="end"/>
      </w:r>
      <w:r w:rsidRPr="00180624">
        <w:t>.</w:t>
      </w:r>
      <w:r w:rsidR="00A7215E">
        <w:fldChar w:fldCharType="begin"/>
      </w:r>
      <w:r>
        <w:instrText xml:space="preserve"> SEQ Figure \* ARABIC \s 1 </w:instrText>
      </w:r>
      <w:r w:rsidR="00A7215E">
        <w:fldChar w:fldCharType="separate"/>
      </w:r>
      <w:r w:rsidR="00E43227">
        <w:rPr>
          <w:noProof/>
        </w:rPr>
        <w:t>1</w:t>
      </w:r>
      <w:r w:rsidR="00A7215E">
        <w:fldChar w:fldCharType="end"/>
      </w:r>
      <w:bookmarkEnd w:id="32"/>
      <w:r w:rsidRPr="00180624">
        <w:tab/>
      </w:r>
      <w:r>
        <w:t>Tariff versus prices</w:t>
      </w:r>
      <w:bookmarkEnd w:id="33"/>
    </w:p>
    <w:p w:rsidR="00FD5BFB" w:rsidRPr="00180624" w:rsidRDefault="00FD5BFB" w:rsidP="00FD5BFB">
      <w:pPr>
        <w:pStyle w:val="References"/>
      </w:pPr>
      <w:r>
        <w:rPr>
          <w:noProof/>
          <w:lang w:val="en-AU" w:eastAsia="en-AU"/>
        </w:rPr>
        <w:drawing>
          <wp:inline distT="0" distB="0" distL="0" distR="0">
            <wp:extent cx="4896485" cy="2425440"/>
            <wp:effectExtent l="19050" t="19050" r="18415" b="1296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896485" cy="2425440"/>
                    </a:xfrm>
                    <a:prstGeom prst="rect">
                      <a:avLst/>
                    </a:prstGeom>
                    <a:noFill/>
                    <a:ln w="9525">
                      <a:solidFill>
                        <a:schemeClr val="bg1">
                          <a:lumMod val="50000"/>
                        </a:schemeClr>
                      </a:solidFill>
                      <a:miter lim="800000"/>
                      <a:headEnd/>
                      <a:tailEnd/>
                    </a:ln>
                  </pic:spPr>
                </pic:pic>
              </a:graphicData>
            </a:graphic>
          </wp:inline>
        </w:drawing>
      </w:r>
    </w:p>
    <w:p w:rsidR="00FD5BFB" w:rsidRDefault="00FD5BFB" w:rsidP="00FD5BFB">
      <w:r>
        <w:t>In the water and energy industries, a tariff generally comprises a fixed annual charge and a separate volumetric price for usage of the commodity</w:t>
      </w:r>
      <w:r w:rsidR="001F051B">
        <w:t>,</w:t>
      </w:r>
      <w:r>
        <w:t xml:space="preserve"> be it water</w:t>
      </w:r>
      <w:r w:rsidR="001F051B">
        <w:t>,</w:t>
      </w:r>
      <w:r>
        <w:t xml:space="preserve"> electricity or gas. </w:t>
      </w:r>
      <w:r w:rsidRPr="007606D9">
        <w:t xml:space="preserve">Charges </w:t>
      </w:r>
      <w:r w:rsidR="001F051B">
        <w:t>that</w:t>
      </w:r>
      <w:r w:rsidRPr="007606D9">
        <w:t xml:space="preserve"> are set on a per unit basis can vary such that the unit price increases as consumption increases (</w:t>
      </w:r>
      <w:r>
        <w:t xml:space="preserve">known as an </w:t>
      </w:r>
      <w:r w:rsidRPr="007606D9">
        <w:t>inclining block) or decreases as consumption increases (declining block). The unit price can also vary with the time of day or the season.</w:t>
      </w:r>
      <w:r>
        <w:t xml:space="preserve"> In the sewerage business, the tariff structure often comprises only a fixed charge, although a number of utilities also have a volumetric price component.</w:t>
      </w:r>
    </w:p>
    <w:p w:rsidR="00FD5BFB" w:rsidRDefault="00FD5BFB" w:rsidP="00FD5BFB">
      <w:r>
        <w:lastRenderedPageBreak/>
        <w:t>The current ACT water tariff structure is reasonably straightforward compared with, for example, some mobile phone plans. There is only one customer class. There is a fixed charge and a volumetric charge with a lower price for the first 200 kilolitres (kL) of water use and a higher water price f</w:t>
      </w:r>
      <w:r w:rsidR="001F051B">
        <w:t>or water used above that level.</w:t>
      </w:r>
    </w:p>
    <w:p w:rsidR="00FD5BFB" w:rsidRDefault="00FD5BFB" w:rsidP="00FD5BFB">
      <w:r>
        <w:t>In regulated industries such as that for water and sewerage services, the tariff is designed to recover the efficient costs of providing the service from customers. In the case of water, the costs primarily relate to the expenditure required to store, treat and deliver water to customers through the water network, rather than the intrinsic cost of the water itself.</w:t>
      </w:r>
    </w:p>
    <w:p w:rsidR="00FD5BFB" w:rsidRDefault="00FD5BFB" w:rsidP="00FD5BFB">
      <w:r>
        <w:t>Another important point to note at this juncture is that the tariff review will focus on the structure of tariffs and the relationship between the component prices rather than the level of prices. The level of prices is determined as part of a price investigation leading up to a new regulatory period.</w:t>
      </w:r>
    </w:p>
    <w:p w:rsidR="00FD5BFB" w:rsidRPr="007D4436" w:rsidRDefault="00FD5BFB" w:rsidP="00FD5BFB">
      <w:r>
        <w:t>Essentially, the tariff review will examine the best way of apportioning the recovery of Icon Water’s reven</w:t>
      </w:r>
      <w:r w:rsidR="001F051B">
        <w:t>ue allowance among Icon Water’</w:t>
      </w:r>
      <w:r>
        <w:t xml:space="preserve">s customers. It is for this reason that a move from the current to any new tariff structure may result in winners and losers. For example, should the </w:t>
      </w:r>
      <w:r w:rsidR="00AF3895">
        <w:t xml:space="preserve">Independent Competition and Regulatory Commission (the </w:t>
      </w:r>
      <w:r>
        <w:t>Commission</w:t>
      </w:r>
      <w:r w:rsidR="00AF3895">
        <w:t>)</w:t>
      </w:r>
      <w:r>
        <w:t xml:space="preserve"> recommend changing the water tariff structure to a single volumetric price from the current two</w:t>
      </w:r>
      <w:r w:rsidR="00AF3895">
        <w:t>-</w:t>
      </w:r>
      <w:r>
        <w:t>tier structure, the resulting single price will be somewhere between the first</w:t>
      </w:r>
      <w:r w:rsidR="00AF3895">
        <w:t>-</w:t>
      </w:r>
      <w:r>
        <w:t xml:space="preserve"> and second</w:t>
      </w:r>
      <w:r w:rsidR="00AF3895">
        <w:t>-</w:t>
      </w:r>
      <w:r>
        <w:t>tier price. Such a change is likely to benefit the large</w:t>
      </w:r>
      <w:r w:rsidR="00AF3895">
        <w:t>-</w:t>
      </w:r>
      <w:r>
        <w:t>volume water user while low</w:t>
      </w:r>
      <w:r w:rsidR="00AF3895">
        <w:t>-</w:t>
      </w:r>
      <w:r>
        <w:t>volume customers may pay more.</w:t>
      </w:r>
      <w:r>
        <w:rPr>
          <w:rStyle w:val="FootnoteReference"/>
        </w:rPr>
        <w:footnoteReference w:id="2"/>
      </w:r>
    </w:p>
    <w:p w:rsidR="00FD5BFB" w:rsidRDefault="00FD5BFB" w:rsidP="00FD5BFB">
      <w:pPr>
        <w:pStyle w:val="Heading2"/>
      </w:pPr>
      <w:bookmarkStart w:id="34" w:name="Why_review"/>
      <w:bookmarkStart w:id="35" w:name="_Ref429468860"/>
      <w:bookmarkStart w:id="36" w:name="_Toc435700147"/>
      <w:bookmarkEnd w:id="34"/>
      <w:r>
        <w:t xml:space="preserve">Why is the Commission conducting a tariff </w:t>
      </w:r>
      <w:bookmarkEnd w:id="28"/>
      <w:r>
        <w:t>review?</w:t>
      </w:r>
      <w:bookmarkEnd w:id="29"/>
      <w:bookmarkEnd w:id="35"/>
      <w:bookmarkEnd w:id="36"/>
    </w:p>
    <w:p w:rsidR="00FD5BFB" w:rsidRDefault="00FD5BFB" w:rsidP="00FD5BFB">
      <w:r>
        <w:t xml:space="preserve">The current structure of Icon Water’s water and sewerage services tariffs has served the ACT community well over the last 15 or so years. Nonetheless, in recent years a number of questions have been raised about whether improvements could be made to the way tariffs are structured. In the 2013 price investigation process, the Commission received a number of submissions from stakeholders </w:t>
      </w:r>
      <w:r w:rsidR="00AF3895">
        <w:t>in this regard. For example, Dr </w:t>
      </w:r>
      <w:r>
        <w:t>Terry Dwyer suggested that volumetric prices should be based on short-run marginal cost and fixed costs recovered through land rates.</w:t>
      </w:r>
      <w:r>
        <w:rPr>
          <w:rStyle w:val="FootnoteReference"/>
        </w:rPr>
        <w:footnoteReference w:id="3"/>
      </w:r>
    </w:p>
    <w:p w:rsidR="00FD5BFB" w:rsidRDefault="00FD5BFB" w:rsidP="00FD5BFB">
      <w:r>
        <w:t>The primary purpose of the review, therefore, is to determine whether the current water and sewerage services tariff structure will continue to deliver the best outcome for the ACT community, or whether changes are required.</w:t>
      </w:r>
    </w:p>
    <w:p w:rsidR="00FD5BFB" w:rsidRDefault="00FD5BFB" w:rsidP="00FD5BFB">
      <w:r w:rsidRPr="00EB23F3">
        <w:t>In its 2013 determination, the</w:t>
      </w:r>
      <w:r>
        <w:t xml:space="preserve"> </w:t>
      </w:r>
      <w:r w:rsidRPr="00EB23F3">
        <w:t xml:space="preserve">Commission </w:t>
      </w:r>
      <w:r>
        <w:t xml:space="preserve">chose </w:t>
      </w:r>
      <w:r w:rsidRPr="00EB23F3">
        <w:t xml:space="preserve">to maintain the existing tariff structures for water and sewerage services for the regulatory period commencing 1 July </w:t>
      </w:r>
      <w:r w:rsidRPr="00EB23F3">
        <w:lastRenderedPageBreak/>
        <w:t>2013 (the current regulatory period).</w:t>
      </w:r>
      <w:r>
        <w:rPr>
          <w:rStyle w:val="FootnoteReference"/>
        </w:rPr>
        <w:footnoteReference w:id="4"/>
      </w:r>
      <w:r w:rsidR="00DC1ED9">
        <w:t xml:space="preserve"> </w:t>
      </w:r>
      <w:r>
        <w:t>Notwithstanding this decision, the</w:t>
      </w:r>
      <w:r w:rsidRPr="00EB23F3">
        <w:t xml:space="preserve"> Commission </w:t>
      </w:r>
      <w:r>
        <w:t xml:space="preserve">stated that it </w:t>
      </w:r>
      <w:r w:rsidRPr="00EB23F3">
        <w:t>recognise</w:t>
      </w:r>
      <w:r>
        <w:t>d</w:t>
      </w:r>
      <w:r w:rsidRPr="00EB23F3">
        <w:t xml:space="preserve"> the value in further reviewing alternative price structures and price-setting arrangements over the course of th</w:t>
      </w:r>
      <w:r>
        <w:t xml:space="preserve">e current regulatory </w:t>
      </w:r>
      <w:r w:rsidRPr="00EB23F3">
        <w:t>period.</w:t>
      </w:r>
    </w:p>
    <w:p w:rsidR="00FD5BFB" w:rsidRDefault="00FD5BFB" w:rsidP="00FD5BFB">
      <w:r>
        <w:t>This view was</w:t>
      </w:r>
      <w:r w:rsidRPr="00EB23F3">
        <w:t xml:space="preserve"> reflected as a future reset principle in the </w:t>
      </w:r>
      <w:r w:rsidRPr="009611D0">
        <w:rPr>
          <w:rStyle w:val="Italic"/>
        </w:rPr>
        <w:t xml:space="preserve">Price Direction: Regulated Water and Sewerage Services </w:t>
      </w:r>
      <w:r w:rsidR="00351E32">
        <w:rPr>
          <w:rStyle w:val="Italic"/>
        </w:rPr>
        <w:t xml:space="preserve">– </w:t>
      </w:r>
      <w:r w:rsidRPr="009611D0">
        <w:rPr>
          <w:rStyle w:val="Italic"/>
        </w:rPr>
        <w:t>1 July 2013 to 30 June 2019</w:t>
      </w:r>
      <w:r>
        <w:rPr>
          <w:rStyle w:val="Italic"/>
        </w:rPr>
        <w:t xml:space="preserve"> </w:t>
      </w:r>
      <w:r w:rsidRPr="00AF0076">
        <w:t>(the price direction)</w:t>
      </w:r>
      <w:r>
        <w:rPr>
          <w:rStyle w:val="FootnoteReference"/>
        </w:rPr>
        <w:footnoteReference w:id="5"/>
      </w:r>
      <w:r w:rsidRPr="00EB23F3">
        <w:t xml:space="preserve"> </w:t>
      </w:r>
      <w:r w:rsidR="007142AC">
        <w:t xml:space="preserve">(see extract in Box 1.1). </w:t>
      </w:r>
      <w:r>
        <w:t xml:space="preserve">Clause 11(b) of the </w:t>
      </w:r>
      <w:r w:rsidRPr="002E7857">
        <w:rPr>
          <w:i/>
        </w:rPr>
        <w:t xml:space="preserve">Substituted Price Direction: Regulated Water and Sewerage Services </w:t>
      </w:r>
      <w:r w:rsidR="00351E32">
        <w:rPr>
          <w:i/>
        </w:rPr>
        <w:t xml:space="preserve">– </w:t>
      </w:r>
      <w:r w:rsidRPr="002E7857">
        <w:rPr>
          <w:i/>
        </w:rPr>
        <w:t>1 July 2013 to 30 June 2018</w:t>
      </w:r>
      <w:r>
        <w:t xml:space="preserve"> (the substitute price direction) maintained this reset principle requiring the Commission to undertake a review of Icon Water’s water and sewerage services tariff structures (the tariff review) during the current regulatory period.</w:t>
      </w:r>
      <w:r>
        <w:rPr>
          <w:rStyle w:val="FootnoteReference"/>
        </w:rPr>
        <w:footnoteReference w:id="6"/>
      </w:r>
    </w:p>
    <w:p w:rsidR="00FD5BFB" w:rsidRPr="00AB7DE3" w:rsidRDefault="00FD5BFB" w:rsidP="00FD5BFB">
      <w:pPr>
        <w:pStyle w:val="FigureName"/>
      </w:pPr>
      <w:bookmarkStart w:id="37" w:name="_Ref367090935"/>
      <w:bookmarkStart w:id="38" w:name="_Toc435700200"/>
      <w:r>
        <w:t xml:space="preserve">Box </w:t>
      </w:r>
      <w:r w:rsidR="00A7215E">
        <w:fldChar w:fldCharType="begin"/>
      </w:r>
      <w:r>
        <w:instrText xml:space="preserve"> STYLEREF 1 \s </w:instrText>
      </w:r>
      <w:r w:rsidR="00A7215E">
        <w:fldChar w:fldCharType="separate"/>
      </w:r>
      <w:r w:rsidR="00E43227">
        <w:rPr>
          <w:noProof/>
        </w:rPr>
        <w:t>1</w:t>
      </w:r>
      <w:r w:rsidR="00A7215E">
        <w:fldChar w:fldCharType="end"/>
      </w:r>
      <w:r w:rsidRPr="00AB7DE3">
        <w:t>.</w:t>
      </w:r>
      <w:r w:rsidR="00A7215E">
        <w:fldChar w:fldCharType="begin"/>
      </w:r>
      <w:r>
        <w:instrText xml:space="preserve"> SEQ Box \* ARABIC \s 1 </w:instrText>
      </w:r>
      <w:r w:rsidR="00A7215E">
        <w:fldChar w:fldCharType="separate"/>
      </w:r>
      <w:r w:rsidR="00E43227">
        <w:rPr>
          <w:noProof/>
        </w:rPr>
        <w:t>1</w:t>
      </w:r>
      <w:r w:rsidR="00A7215E">
        <w:fldChar w:fldCharType="end"/>
      </w:r>
      <w:bookmarkEnd w:id="37"/>
      <w:r w:rsidRPr="00AB7DE3">
        <w:tab/>
      </w:r>
      <w:r>
        <w:t>Clause 11 substitute price direction extract</w:t>
      </w:r>
      <w:bookmarkEnd w:id="38"/>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shd w:val="clear" w:color="auto" w:fill="DBE5F1"/>
        <w:tblLook w:val="04A0"/>
      </w:tblPr>
      <w:tblGrid>
        <w:gridCol w:w="7927"/>
      </w:tblGrid>
      <w:tr w:rsidR="00FD5BFB" w:rsidTr="00BC5669">
        <w:trPr>
          <w:cantSplit/>
          <w:trHeight w:val="3395"/>
        </w:trPr>
        <w:tc>
          <w:tcPr>
            <w:tcW w:w="7927" w:type="dxa"/>
            <w:shd w:val="clear" w:color="auto" w:fill="DBE5F1"/>
          </w:tcPr>
          <w:p w:rsidR="00FD5BFB" w:rsidRPr="0021438F" w:rsidRDefault="00FD5BFB" w:rsidP="00BC5669">
            <w:pPr>
              <w:pStyle w:val="References"/>
              <w:rPr>
                <w:rStyle w:val="Bold"/>
              </w:rPr>
            </w:pPr>
            <w:r w:rsidRPr="0021438F">
              <w:rPr>
                <w:rStyle w:val="Bold"/>
              </w:rPr>
              <w:t>11 Future reset principles</w:t>
            </w:r>
          </w:p>
          <w:p w:rsidR="00FD5BFB" w:rsidRDefault="00FD5BFB" w:rsidP="00BC5669">
            <w:r w:rsidRPr="0021438F">
              <w:t>Pursuant to section 20B of the Act, the future reset principles are as follows:</w:t>
            </w:r>
          </w:p>
          <w:p w:rsidR="00FD5BFB" w:rsidRPr="00493F53" w:rsidRDefault="00FD5BFB" w:rsidP="00BC5669">
            <w:r w:rsidRPr="0021438F">
              <w:t>(b) During the regulatory period, the Commission must conduct a review of the tariff structures for the regulated water and sewerage services of Icon Water. At the conclusion of the review, the Commission must set out in a report its decision on whether amendments should be made to the tariff structures in place. The Commission may recommend that amendments either be made during the regulatory period set out in clause 2 or be considered as part of the investigation for the next regulatory period beginning 1 July 2018. The Commission may also recommend that no changes be made to the tariff structure in place. As part of the review, the Commission must call for submissions from interested parties and post its final report and decision on the Commission’s website.</w:t>
            </w:r>
          </w:p>
        </w:tc>
      </w:tr>
    </w:tbl>
    <w:p w:rsidR="00FD5BFB" w:rsidRPr="00AB7DE3" w:rsidRDefault="00FD5BFB" w:rsidP="00FD5BFB">
      <w:pPr>
        <w:pStyle w:val="TableNotesLast"/>
      </w:pPr>
      <w:r>
        <w:t>Source:</w:t>
      </w:r>
      <w:r>
        <w:tab/>
      </w:r>
      <w:r>
        <w:rPr>
          <w:noProof/>
        </w:rPr>
        <w:t>Industry Panel (2015b)</w:t>
      </w:r>
      <w:r w:rsidRPr="00AB7DE3">
        <w:t>.</w:t>
      </w:r>
    </w:p>
    <w:p w:rsidR="00FD5BFB" w:rsidRDefault="00FD5BFB" w:rsidP="00FD5BFB">
      <w:r>
        <w:t>As far as process is concerned, the substitute price direction requires the Commission to set out its conclusions in a final report which is to be posted on the Commission’s website. The Commission is also required to call for submissions from interested parties as part of the review.</w:t>
      </w:r>
    </w:p>
    <w:p w:rsidR="00FD5BFB" w:rsidRDefault="00FD5BFB" w:rsidP="00FD5BFB">
      <w:r>
        <w:t xml:space="preserve">Should, at the conclusion of the tariff review, the Commission recommend that changes be made to the current tariff structures, the substitute price direction provides discretion to implement the changes either during the current regulatory period or during the next period commencing 1 July 2018. Clause 10(f) of the substitute price direction provides a trigger event for the former to allow the Commission to vary the </w:t>
      </w:r>
      <w:r>
        <w:lastRenderedPageBreak/>
        <w:t>substitute price direction to implement the tariff changes during this regulatory period (see Box 1.2).</w:t>
      </w:r>
    </w:p>
    <w:p w:rsidR="00FD5BFB" w:rsidRPr="00AB7DE3" w:rsidRDefault="00FD5BFB" w:rsidP="00FD5BFB">
      <w:pPr>
        <w:pStyle w:val="FigureName"/>
        <w:keepNext/>
      </w:pPr>
      <w:bookmarkStart w:id="39" w:name="_Toc435700201"/>
      <w:r>
        <w:t xml:space="preserve">Box </w:t>
      </w:r>
      <w:r w:rsidR="00A7215E">
        <w:fldChar w:fldCharType="begin"/>
      </w:r>
      <w:r>
        <w:instrText xml:space="preserve"> STYLEREF 1 \s </w:instrText>
      </w:r>
      <w:r w:rsidR="00A7215E">
        <w:fldChar w:fldCharType="separate"/>
      </w:r>
      <w:r w:rsidR="00E43227">
        <w:rPr>
          <w:noProof/>
        </w:rPr>
        <w:t>1</w:t>
      </w:r>
      <w:r w:rsidR="00A7215E">
        <w:fldChar w:fldCharType="end"/>
      </w:r>
      <w:r w:rsidRPr="00AB7DE3">
        <w:t>.</w:t>
      </w:r>
      <w:r w:rsidR="00A7215E">
        <w:fldChar w:fldCharType="begin"/>
      </w:r>
      <w:r>
        <w:instrText xml:space="preserve"> SEQ Box \* ARABIC \s 1 </w:instrText>
      </w:r>
      <w:r w:rsidR="00A7215E">
        <w:fldChar w:fldCharType="separate"/>
      </w:r>
      <w:r w:rsidR="00E43227">
        <w:rPr>
          <w:noProof/>
        </w:rPr>
        <w:t>2</w:t>
      </w:r>
      <w:r w:rsidR="00A7215E">
        <w:fldChar w:fldCharType="end"/>
      </w:r>
      <w:r w:rsidRPr="00AB7DE3">
        <w:tab/>
      </w:r>
      <w:r>
        <w:t>Clause 10 substitute price direction extract</w:t>
      </w:r>
      <w:bookmarkEnd w:id="39"/>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shd w:val="clear" w:color="auto" w:fill="DBE5F1"/>
        <w:tblLook w:val="04A0"/>
      </w:tblPr>
      <w:tblGrid>
        <w:gridCol w:w="7927"/>
      </w:tblGrid>
      <w:tr w:rsidR="00FD5BFB" w:rsidTr="00BC5669">
        <w:trPr>
          <w:cantSplit/>
          <w:trHeight w:val="2069"/>
        </w:trPr>
        <w:tc>
          <w:tcPr>
            <w:tcW w:w="7927" w:type="dxa"/>
            <w:shd w:val="clear" w:color="auto" w:fill="DBE5F1"/>
          </w:tcPr>
          <w:p w:rsidR="00FD5BFB" w:rsidRDefault="00FD5BFB" w:rsidP="00BC5669">
            <w:pPr>
              <w:keepNext/>
              <w:rPr>
                <w:rStyle w:val="Bold"/>
                <w:rFonts w:ascii="Arial Narrow" w:hAnsi="Arial Narrow"/>
                <w:b w:val="0"/>
                <w:sz w:val="20"/>
              </w:rPr>
            </w:pPr>
            <w:r w:rsidRPr="00EA7076">
              <w:rPr>
                <w:rStyle w:val="Bold"/>
              </w:rPr>
              <w:t>10 Price Direction variation trigger events</w:t>
            </w:r>
          </w:p>
          <w:p w:rsidR="00FD5BFB" w:rsidRPr="00351E32" w:rsidRDefault="00FD5BFB" w:rsidP="00BC5669">
            <w:pPr>
              <w:keepNext/>
            </w:pPr>
            <w:r w:rsidRPr="00EA7076">
              <w:t>Pursuant to sections 20A(3)(c) and 24F(2) of the Act, the following events are price variation trigger events, the occurrence of which allows the Commission to initiate a reference for the variation of the Price Direction:</w:t>
            </w:r>
          </w:p>
          <w:p w:rsidR="00FD5BFB" w:rsidRDefault="00FD5BFB" w:rsidP="00BC5669">
            <w:pPr>
              <w:keepNext/>
              <w:rPr>
                <w:rStyle w:val="Bold"/>
                <w:rFonts w:ascii="Arial Narrow" w:hAnsi="Arial Narrow"/>
                <w:b w:val="0"/>
                <w:sz w:val="20"/>
              </w:rPr>
            </w:pPr>
            <w:r>
              <w:t>...........</w:t>
            </w:r>
          </w:p>
          <w:p w:rsidR="00FD5BFB" w:rsidRDefault="00FD5BFB" w:rsidP="00BC5669">
            <w:pPr>
              <w:keepNext/>
            </w:pPr>
            <w:r w:rsidRPr="00EA7076">
              <w:t>(f) a decision by the Commission under clause 11(b) that the tariff structure must be amended during the regulatory period.</w:t>
            </w:r>
          </w:p>
        </w:tc>
      </w:tr>
    </w:tbl>
    <w:p w:rsidR="00FD5BFB" w:rsidRDefault="00FD5BFB" w:rsidP="00FD5BFB">
      <w:pPr>
        <w:pStyle w:val="TableNotesLast"/>
        <w:keepNext/>
      </w:pPr>
      <w:r>
        <w:t>Source:</w:t>
      </w:r>
      <w:r>
        <w:tab/>
      </w:r>
      <w:r>
        <w:rPr>
          <w:noProof/>
        </w:rPr>
        <w:t>Industry Panel (2015b)</w:t>
      </w:r>
      <w:r>
        <w:t>.</w:t>
      </w:r>
    </w:p>
    <w:p w:rsidR="00FD5BFB" w:rsidRDefault="00FD5BFB" w:rsidP="00FD5BFB">
      <w:r>
        <w:t xml:space="preserve">In addition to the legislative basis for conducting the tariff review discussed above, the Commission’s view is that it is timely to undertake </w:t>
      </w:r>
      <w:r w:rsidR="001F051B">
        <w:t>a review for two other reasons.</w:t>
      </w:r>
    </w:p>
    <w:p w:rsidR="00FD5BFB" w:rsidRDefault="00FD5BFB" w:rsidP="00FD5BFB">
      <w:r>
        <w:t>The first is that it is some time since the last substantive review of Icon Water’s water and sewerage tariff structures was undertaken in 2007 as part of the 2008</w:t>
      </w:r>
      <w:r>
        <w:sym w:font="Symbol" w:char="F02D"/>
      </w:r>
      <w:r>
        <w:t>13 price investigation process.</w:t>
      </w:r>
    </w:p>
    <w:p w:rsidR="00FD5BFB" w:rsidRDefault="00FD5BFB" w:rsidP="00FD5BFB">
      <w:r w:rsidRPr="00BF60B1">
        <w:t>The second is that there is a sharp contrast between the ACT’s water s</w:t>
      </w:r>
      <w:r>
        <w:t xml:space="preserve">ecurity </w:t>
      </w:r>
      <w:r w:rsidRPr="00BF60B1">
        <w:t>situation then and now</w:t>
      </w:r>
      <w:r>
        <w:t>, due to the breaking of the Millennium Drought, significant increases in water storage capacity and substantial reductions in water demand</w:t>
      </w:r>
      <w:r w:rsidRPr="00BF60B1">
        <w:t xml:space="preserve">. </w:t>
      </w:r>
      <w:r>
        <w:t xml:space="preserve">While some of these elements were known during </w:t>
      </w:r>
      <w:r w:rsidR="00A43F2B">
        <w:t xml:space="preserve">the </w:t>
      </w:r>
      <w:r>
        <w:t xml:space="preserve">2013 price investigation, the Commission has a better understanding now of the outlook for the ACT’s water security than it did back then. The ACT water security context is explained in more detail in section </w:t>
      </w:r>
      <w:r w:rsidR="00A7215E">
        <w:fldChar w:fldCharType="begin"/>
      </w:r>
      <w:r>
        <w:instrText xml:space="preserve"> REF _Ref434490050 \r \h </w:instrText>
      </w:r>
      <w:r w:rsidR="00A7215E">
        <w:fldChar w:fldCharType="separate"/>
      </w:r>
      <w:r w:rsidR="00E43227">
        <w:t>2.6</w:t>
      </w:r>
      <w:r w:rsidR="00A7215E">
        <w:fldChar w:fldCharType="end"/>
      </w:r>
      <w:r>
        <w:t>.</w:t>
      </w:r>
    </w:p>
    <w:p w:rsidR="00FD5BFB" w:rsidRDefault="00FD5BFB" w:rsidP="00FD5BFB">
      <w:pPr>
        <w:pStyle w:val="Heading2"/>
      </w:pPr>
      <w:bookmarkStart w:id="40" w:name="_Toc368572033"/>
      <w:bookmarkStart w:id="41" w:name="_Toc435700148"/>
      <w:r>
        <w:t>Purpose of the issues paper</w:t>
      </w:r>
      <w:bookmarkEnd w:id="40"/>
      <w:bookmarkEnd w:id="41"/>
    </w:p>
    <w:p w:rsidR="00FD5BFB" w:rsidRDefault="00FD5BFB" w:rsidP="00FD5BFB">
      <w:r w:rsidRPr="00AE2809">
        <w:t xml:space="preserve">The </w:t>
      </w:r>
      <w:r>
        <w:t>purpose</w:t>
      </w:r>
      <w:r w:rsidRPr="00AE2809">
        <w:t xml:space="preserve"> </w:t>
      </w:r>
      <w:r>
        <w:t>of th</w:t>
      </w:r>
      <w:r w:rsidR="00A43F2B">
        <w:t>is</w:t>
      </w:r>
      <w:r>
        <w:t xml:space="preserve"> </w:t>
      </w:r>
      <w:r w:rsidRPr="00AE2809">
        <w:t xml:space="preserve">issues paper </w:t>
      </w:r>
      <w:r>
        <w:t>is twofold. The first is to alert stakeholders that the Commission is commencing a review of Icon Water’s water and sewerage services tariff structures and will be seeking stakeholder input on any issues they consider relevant.</w:t>
      </w:r>
    </w:p>
    <w:p w:rsidR="00FD5BFB" w:rsidRDefault="00FD5BFB" w:rsidP="00FD5BFB">
      <w:r>
        <w:t>The second purpose is to inform stakeholders of those issues that the Commission has identified as relevant to the review at this early stage in the process. These include issues arising from the scope of the review, theoretical and practical pricing matters and experience of utili</w:t>
      </w:r>
      <w:r w:rsidR="001F051B">
        <w:t>ties in other jurisdictions.</w:t>
      </w:r>
    </w:p>
    <w:p w:rsidR="00FD5BFB" w:rsidRDefault="00FD5BFB" w:rsidP="00FD5BFB">
      <w:r>
        <w:t xml:space="preserve">The Commission, through submissions in response to the issues paper (and subsequent technical papers), is keen to get a thorough understanding of the issues that </w:t>
      </w:r>
      <w:r>
        <w:lastRenderedPageBreak/>
        <w:t>stakeholders consider important. Stakeholder input will inform the Commission’s development of the draft report, scheduled for release in late 2016.</w:t>
      </w:r>
    </w:p>
    <w:p w:rsidR="00FD5BFB" w:rsidRDefault="00FD5BFB" w:rsidP="00FD5BFB">
      <w:r>
        <w:t xml:space="preserve">It is important to note that the issues paper does not define the agenda for the tariff review. The ACT community and other stakeholders are free to put forward any matters they consider are relevant to the review for </w:t>
      </w:r>
      <w:r w:rsidR="001F051B">
        <w:t>the Commission’s consideration.</w:t>
      </w:r>
    </w:p>
    <w:p w:rsidR="00FD5BFB" w:rsidRDefault="00FD5BFB" w:rsidP="00FD5BFB">
      <w:pPr>
        <w:pStyle w:val="Heading2"/>
      </w:pPr>
      <w:bookmarkStart w:id="42" w:name="Scope"/>
      <w:bookmarkStart w:id="43" w:name="_Toc368572034"/>
      <w:bookmarkStart w:id="44" w:name="_Ref429488352"/>
      <w:bookmarkStart w:id="45" w:name="_Toc435700149"/>
      <w:bookmarkEnd w:id="42"/>
      <w:r>
        <w:t xml:space="preserve">Scope of the </w:t>
      </w:r>
      <w:bookmarkEnd w:id="43"/>
      <w:r>
        <w:t>review</w:t>
      </w:r>
      <w:bookmarkEnd w:id="44"/>
      <w:bookmarkEnd w:id="45"/>
    </w:p>
    <w:p w:rsidR="00FD5BFB" w:rsidRPr="00C3089A" w:rsidRDefault="00FD5BFB" w:rsidP="00FD5BFB">
      <w:r w:rsidRPr="00C3089A">
        <w:t xml:space="preserve">In the absence of detailed terms of reference for the tariff review, the Commission has been guided by the provisions of the </w:t>
      </w:r>
      <w:r>
        <w:t xml:space="preserve">substitute </w:t>
      </w:r>
      <w:r w:rsidRPr="00C3089A">
        <w:t>price direction as discussed in section</w:t>
      </w:r>
      <w:r w:rsidR="007222EC">
        <w:t> </w:t>
      </w:r>
      <w:r w:rsidR="00A7215E">
        <w:fldChar w:fldCharType="begin"/>
      </w:r>
      <w:r>
        <w:instrText xml:space="preserve"> REF _Ref429468860 \r \h </w:instrText>
      </w:r>
      <w:r w:rsidR="00A7215E">
        <w:fldChar w:fldCharType="separate"/>
      </w:r>
      <w:r w:rsidR="00E43227">
        <w:t>1.2</w:t>
      </w:r>
      <w:r w:rsidR="00A7215E">
        <w:fldChar w:fldCharType="end"/>
      </w:r>
      <w:r>
        <w:t>, relevant provisions of the ICRC Act and its general approach to determining prices</w:t>
      </w:r>
      <w:r w:rsidRPr="00C3089A">
        <w:t>.</w:t>
      </w:r>
    </w:p>
    <w:p w:rsidR="00FD5BFB" w:rsidRPr="00C3089A" w:rsidRDefault="00FD5BFB" w:rsidP="00FD5BFB">
      <w:r>
        <w:t>In simple terms, w</w:t>
      </w:r>
      <w:r w:rsidRPr="00C3089A">
        <w:t>hen determining prices for Icon Water’s regulated water and sewerage services</w:t>
      </w:r>
      <w:r>
        <w:t xml:space="preserve"> over a particular regulatory period</w:t>
      </w:r>
      <w:r w:rsidRPr="00C3089A">
        <w:t>, the Commission employs a three</w:t>
      </w:r>
      <w:r w:rsidR="007142AC">
        <w:t>-</w:t>
      </w:r>
      <w:r w:rsidRPr="00C3089A">
        <w:t>step process.</w:t>
      </w:r>
      <w:r>
        <w:rPr>
          <w:rStyle w:val="FootnoteReference"/>
        </w:rPr>
        <w:footnoteReference w:id="7"/>
      </w:r>
    </w:p>
    <w:p w:rsidR="00FD5BFB" w:rsidRDefault="00FD5BFB" w:rsidP="00FD5BFB">
      <w:r w:rsidRPr="00C3089A">
        <w:t>Step one involves</w:t>
      </w:r>
      <w:r>
        <w:t xml:space="preserve"> determining the prudent and </w:t>
      </w:r>
      <w:r w:rsidRPr="00C3089A">
        <w:t>efficient cost of providing the services based on an assessment of the</w:t>
      </w:r>
      <w:r>
        <w:t xml:space="preserve"> </w:t>
      </w:r>
      <w:r w:rsidRPr="00C3089A">
        <w:t>appropriate return on capital, return of capital and level of operating expenditure</w:t>
      </w:r>
      <w:r>
        <w:t>. The total c</w:t>
      </w:r>
      <w:r w:rsidR="001F051B">
        <w:t>ost is also known as Icon Water’</w:t>
      </w:r>
      <w:r>
        <w:t>s total revenue requirement.</w:t>
      </w:r>
    </w:p>
    <w:p w:rsidR="00FD5BFB" w:rsidRDefault="00FD5BFB" w:rsidP="00FD5BFB">
      <w:r>
        <w:t xml:space="preserve">The second step entails determining the net revenue requirement. This is calculated by subtracting any revenue earned by Icon Water from sources other than its regulated water tariffs from the total revenue requirement. Revenue from bulk water sales to Queanbeyan </w:t>
      </w:r>
      <w:r w:rsidR="00DC1ED9">
        <w:t>City Council is one example.</w:t>
      </w:r>
    </w:p>
    <w:p w:rsidR="00FD5BFB" w:rsidRDefault="00FD5BFB" w:rsidP="00FD5BFB">
      <w:r>
        <w:t xml:space="preserve">Step three involves first forecasting the level of demand for the services, in this case water consumption and the number of water and sewerage services customers. Second, the Commission determines a tariff structure and set of prices to enable Icon Water to recover </w:t>
      </w:r>
      <w:r w:rsidR="007142AC">
        <w:t xml:space="preserve">from its customers </w:t>
      </w:r>
      <w:r>
        <w:t xml:space="preserve">the net revenue requirement calculated </w:t>
      </w:r>
      <w:r w:rsidR="00DC1ED9">
        <w:t>in step two.</w:t>
      </w:r>
    </w:p>
    <w:p w:rsidR="00FD5BFB" w:rsidRDefault="00FD5BFB" w:rsidP="00FD5BFB">
      <w:r>
        <w:t>In conducting this review, t</w:t>
      </w:r>
      <w:r w:rsidRPr="008B22A3">
        <w:t xml:space="preserve">he Commission </w:t>
      </w:r>
      <w:r>
        <w:t xml:space="preserve">will follow the relevant </w:t>
      </w:r>
      <w:r w:rsidRPr="008B22A3">
        <w:t xml:space="preserve">requirements under the </w:t>
      </w:r>
      <w:r w:rsidRPr="008B22A3">
        <w:rPr>
          <w:rStyle w:val="Italic"/>
        </w:rPr>
        <w:t>Independent Competition and Regulatory Commission Act 1997</w:t>
      </w:r>
      <w:r>
        <w:t xml:space="preserve"> (the ICRC Act), such as having regard to the objectives in section 7 and the </w:t>
      </w:r>
      <w:r w:rsidRPr="008B22A3">
        <w:t>section 20(2)</w:t>
      </w:r>
      <w:r>
        <w:t xml:space="preserve"> requirements.</w:t>
      </w:r>
      <w:r>
        <w:rPr>
          <w:rStyle w:val="FootnoteReference"/>
        </w:rPr>
        <w:footnoteReference w:id="8"/>
      </w:r>
    </w:p>
    <w:p w:rsidR="00FD5BFB" w:rsidRDefault="00FD5BFB" w:rsidP="00FD5BFB">
      <w:pPr>
        <w:pStyle w:val="Heading2"/>
      </w:pPr>
      <w:bookmarkStart w:id="46" w:name="Timeline"/>
      <w:bookmarkStart w:id="47" w:name="_Toc368572036"/>
      <w:bookmarkStart w:id="48" w:name="_Toc435700150"/>
      <w:bookmarkEnd w:id="46"/>
      <w:r>
        <w:lastRenderedPageBreak/>
        <w:t>Review timeline</w:t>
      </w:r>
      <w:bookmarkEnd w:id="47"/>
      <w:r>
        <w:t xml:space="preserve"> and consultation approach</w:t>
      </w:r>
      <w:bookmarkEnd w:id="48"/>
    </w:p>
    <w:p w:rsidR="00FD5BFB" w:rsidRPr="00AE2809" w:rsidRDefault="00FD5BFB" w:rsidP="00FD5BFB">
      <w:r w:rsidRPr="00AE2809">
        <w:t xml:space="preserve">The Commission proposes to adopt the </w:t>
      </w:r>
      <w:r>
        <w:t xml:space="preserve">indicative </w:t>
      </w:r>
      <w:r w:rsidRPr="00AE2809">
        <w:t xml:space="preserve">timeline </w:t>
      </w:r>
      <w:r>
        <w:t xml:space="preserve">set out in </w:t>
      </w:r>
      <w:fldSimple w:instr=" REF _Ref366755611 \h  \* MERGEFORMAT ">
        <w:r w:rsidR="00E43227" w:rsidRPr="003C3AEA">
          <w:t>Table</w:t>
        </w:r>
        <w:r w:rsidR="00E43227">
          <w:t xml:space="preserve"> </w:t>
        </w:r>
        <w:r w:rsidR="00E43227">
          <w:rPr>
            <w:noProof/>
          </w:rPr>
          <w:t>1.1</w:t>
        </w:r>
      </w:fldSimple>
      <w:r>
        <w:t xml:space="preserve"> </w:t>
      </w:r>
      <w:r w:rsidRPr="00AE2809">
        <w:t xml:space="preserve">for </w:t>
      </w:r>
      <w:r>
        <w:t>the review</w:t>
      </w:r>
      <w:r w:rsidRPr="00AE2809">
        <w:t>.</w:t>
      </w:r>
    </w:p>
    <w:p w:rsidR="00FD5BFB" w:rsidRDefault="00FD5BFB" w:rsidP="00FD5BFB">
      <w:pPr>
        <w:pStyle w:val="FigureName"/>
      </w:pPr>
      <w:bookmarkStart w:id="49" w:name="_Ref366755611"/>
      <w:bookmarkStart w:id="50" w:name="_Toc367181957"/>
      <w:bookmarkStart w:id="51" w:name="_Toc368572051"/>
      <w:bookmarkStart w:id="52" w:name="_Toc435700182"/>
      <w:r w:rsidRPr="003C3AEA">
        <w:t>Table</w:t>
      </w:r>
      <w:r>
        <w:t xml:space="preserve"> </w:t>
      </w:r>
      <w:r w:rsidR="00A7215E">
        <w:fldChar w:fldCharType="begin"/>
      </w:r>
      <w:r>
        <w:instrText xml:space="preserve"> STYLEREF 1 \s </w:instrText>
      </w:r>
      <w:r w:rsidR="00A7215E">
        <w:fldChar w:fldCharType="separate"/>
      </w:r>
      <w:r w:rsidR="00E43227">
        <w:rPr>
          <w:noProof/>
        </w:rPr>
        <w:t>1</w:t>
      </w:r>
      <w:r w:rsidR="00A7215E">
        <w:fldChar w:fldCharType="end"/>
      </w:r>
      <w:r>
        <w:t>.</w:t>
      </w:r>
      <w:r w:rsidR="00A7215E">
        <w:fldChar w:fldCharType="begin"/>
      </w:r>
      <w:r>
        <w:instrText xml:space="preserve"> SEQ Table \* ARABIC \s 1 </w:instrText>
      </w:r>
      <w:r w:rsidR="00A7215E">
        <w:fldChar w:fldCharType="separate"/>
      </w:r>
      <w:r w:rsidR="00E43227">
        <w:rPr>
          <w:noProof/>
        </w:rPr>
        <w:t>1</w:t>
      </w:r>
      <w:r w:rsidR="00A7215E">
        <w:fldChar w:fldCharType="end"/>
      </w:r>
      <w:bookmarkEnd w:id="49"/>
      <w:r>
        <w:tab/>
        <w:t xml:space="preserve">Indicative timeline for the </w:t>
      </w:r>
      <w:bookmarkEnd w:id="50"/>
      <w:bookmarkEnd w:id="51"/>
      <w:r>
        <w:t>tariff review</w:t>
      </w:r>
      <w:bookmarkEnd w:id="52"/>
    </w:p>
    <w:tbl>
      <w:tblPr>
        <w:tblW w:w="3716" w:type="pct"/>
        <w:tblBorders>
          <w:top w:val="single" w:sz="12" w:space="0" w:color="333399"/>
          <w:bottom w:val="single" w:sz="12" w:space="0" w:color="333399"/>
        </w:tblBorders>
        <w:tblCellMar>
          <w:left w:w="115" w:type="dxa"/>
          <w:right w:w="115" w:type="dxa"/>
        </w:tblCellMar>
        <w:tblLook w:val="0000"/>
      </w:tblPr>
      <w:tblGrid>
        <w:gridCol w:w="3891"/>
        <w:gridCol w:w="2011"/>
      </w:tblGrid>
      <w:tr w:rsidR="00FD5BFB" w:rsidRPr="00144F8C" w:rsidTr="00BA3142">
        <w:trPr>
          <w:cantSplit/>
        </w:trPr>
        <w:tc>
          <w:tcPr>
            <w:tcW w:w="3296"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FD5BFB" w:rsidRPr="00347ADB" w:rsidRDefault="00FD5BFB" w:rsidP="00BC5669">
            <w:pPr>
              <w:pStyle w:val="TableHeadingLeft"/>
            </w:pPr>
            <w:r w:rsidRPr="00901DA4">
              <w:t>Task</w:t>
            </w:r>
          </w:p>
        </w:tc>
        <w:tc>
          <w:tcPr>
            <w:tcW w:w="1704"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FD5BFB" w:rsidRPr="00347ADB" w:rsidRDefault="00FD5BFB" w:rsidP="00BC5669">
            <w:pPr>
              <w:pStyle w:val="TableHeadingLeft"/>
            </w:pPr>
            <w:r w:rsidRPr="00901DA4">
              <w:t>Date</w:t>
            </w:r>
          </w:p>
        </w:tc>
      </w:tr>
      <w:tr w:rsidR="00FD5BFB" w:rsidRPr="00144F8C" w:rsidTr="00BA3142">
        <w:trPr>
          <w:cantSplit/>
        </w:trPr>
        <w:tc>
          <w:tcPr>
            <w:tcW w:w="3296" w:type="pct"/>
            <w:tcBorders>
              <w:top w:val="nil"/>
              <w:left w:val="nil"/>
              <w:bottom w:val="nil"/>
              <w:right w:val="nil"/>
            </w:tcBorders>
          </w:tcPr>
          <w:p w:rsidR="00FD5BFB" w:rsidRPr="00DD58D7" w:rsidRDefault="00FD5BFB" w:rsidP="00BC5669">
            <w:pPr>
              <w:pStyle w:val="TableTextLeft"/>
            </w:pPr>
            <w:r>
              <w:t>Release of i</w:t>
            </w:r>
            <w:r w:rsidRPr="00DD58D7">
              <w:t>ssues paper</w:t>
            </w:r>
          </w:p>
        </w:tc>
        <w:tc>
          <w:tcPr>
            <w:tcW w:w="1704" w:type="pct"/>
            <w:tcBorders>
              <w:top w:val="nil"/>
              <w:left w:val="nil"/>
              <w:bottom w:val="nil"/>
              <w:right w:val="nil"/>
            </w:tcBorders>
          </w:tcPr>
          <w:p w:rsidR="00FD5BFB" w:rsidRPr="00DD58D7" w:rsidRDefault="00CD4CDD" w:rsidP="002D12AC">
            <w:pPr>
              <w:pStyle w:val="TableTextLeft"/>
            </w:pPr>
            <w:r>
              <w:t>2</w:t>
            </w:r>
            <w:r w:rsidR="002D12AC">
              <w:t>3</w:t>
            </w:r>
            <w:r w:rsidR="00FD5BFB">
              <w:t xml:space="preserve"> </w:t>
            </w:r>
            <w:r w:rsidR="00FD5BFB" w:rsidRPr="00DD58D7">
              <w:t>Nov</w:t>
            </w:r>
            <w:r w:rsidR="00FD5BFB">
              <w:t>ember</w:t>
            </w:r>
            <w:r w:rsidR="00FD5BFB" w:rsidRPr="00DD58D7">
              <w:t xml:space="preserve"> 2015</w:t>
            </w:r>
          </w:p>
        </w:tc>
      </w:tr>
      <w:tr w:rsidR="00FD5BFB" w:rsidRPr="00144F8C" w:rsidTr="00BA3142">
        <w:trPr>
          <w:cantSplit/>
        </w:trPr>
        <w:tc>
          <w:tcPr>
            <w:tcW w:w="3296" w:type="pct"/>
            <w:tcBorders>
              <w:top w:val="nil"/>
              <w:left w:val="nil"/>
              <w:bottom w:val="nil"/>
              <w:right w:val="nil"/>
            </w:tcBorders>
          </w:tcPr>
          <w:p w:rsidR="00FD5BFB" w:rsidRPr="00DD58D7" w:rsidRDefault="00FD5BFB" w:rsidP="00BC5669">
            <w:pPr>
              <w:pStyle w:val="TableTextLeft"/>
            </w:pPr>
            <w:r>
              <w:t xml:space="preserve">Release of </w:t>
            </w:r>
            <w:r w:rsidR="00E33B83">
              <w:t>t</w:t>
            </w:r>
            <w:r w:rsidRPr="00DD58D7">
              <w:t>echnical paper 1</w:t>
            </w:r>
            <w:r>
              <w:t>: Water demand elasticity</w:t>
            </w:r>
          </w:p>
        </w:tc>
        <w:tc>
          <w:tcPr>
            <w:tcW w:w="1704" w:type="pct"/>
            <w:tcBorders>
              <w:top w:val="nil"/>
              <w:left w:val="nil"/>
              <w:bottom w:val="nil"/>
              <w:right w:val="nil"/>
            </w:tcBorders>
          </w:tcPr>
          <w:p w:rsidR="00FD5BFB" w:rsidRPr="00DD58D7" w:rsidRDefault="00FD5BFB" w:rsidP="00BC5669">
            <w:pPr>
              <w:pStyle w:val="TableTextLeft"/>
            </w:pPr>
            <w:r w:rsidRPr="00DD58D7">
              <w:t>Feb</w:t>
            </w:r>
            <w:r>
              <w:t>ruary</w:t>
            </w:r>
            <w:r w:rsidRPr="00DD58D7">
              <w:t xml:space="preserve"> 2016</w:t>
            </w:r>
          </w:p>
        </w:tc>
      </w:tr>
      <w:tr w:rsidR="00FD5BFB" w:rsidRPr="00144F8C" w:rsidTr="00BA3142">
        <w:trPr>
          <w:cantSplit/>
        </w:trPr>
        <w:tc>
          <w:tcPr>
            <w:tcW w:w="3296" w:type="pct"/>
            <w:tcBorders>
              <w:top w:val="nil"/>
              <w:left w:val="nil"/>
              <w:bottom w:val="nil"/>
              <w:right w:val="nil"/>
            </w:tcBorders>
          </w:tcPr>
          <w:p w:rsidR="00FD5BFB" w:rsidRPr="00DD58D7" w:rsidRDefault="00FD5BFB" w:rsidP="00BC5669">
            <w:pPr>
              <w:pStyle w:val="TableTextLeft"/>
            </w:pPr>
            <w:r>
              <w:t xml:space="preserve">Release of </w:t>
            </w:r>
            <w:r w:rsidR="00E33B83">
              <w:t>t</w:t>
            </w:r>
            <w:r w:rsidRPr="00DD58D7">
              <w:t>echnical paper 2</w:t>
            </w:r>
            <w:r>
              <w:t>: Marginal cost pricing</w:t>
            </w:r>
          </w:p>
        </w:tc>
        <w:tc>
          <w:tcPr>
            <w:tcW w:w="1704" w:type="pct"/>
            <w:tcBorders>
              <w:top w:val="nil"/>
              <w:left w:val="nil"/>
              <w:bottom w:val="nil"/>
              <w:right w:val="nil"/>
            </w:tcBorders>
          </w:tcPr>
          <w:p w:rsidR="00FD5BFB" w:rsidRPr="00DD58D7" w:rsidRDefault="00FD5BFB" w:rsidP="00BC5669">
            <w:pPr>
              <w:pStyle w:val="TableTextLeft"/>
            </w:pPr>
            <w:r w:rsidRPr="00DD58D7">
              <w:t>Apr</w:t>
            </w:r>
            <w:r>
              <w:t>il</w:t>
            </w:r>
            <w:r w:rsidRPr="00DD58D7">
              <w:t xml:space="preserve"> 2016</w:t>
            </w:r>
          </w:p>
        </w:tc>
      </w:tr>
      <w:tr w:rsidR="00FD5BFB" w:rsidRPr="00144F8C" w:rsidTr="00BA3142">
        <w:trPr>
          <w:cantSplit/>
        </w:trPr>
        <w:tc>
          <w:tcPr>
            <w:tcW w:w="3296" w:type="pct"/>
            <w:tcBorders>
              <w:top w:val="nil"/>
              <w:left w:val="nil"/>
              <w:bottom w:val="nil"/>
              <w:right w:val="nil"/>
            </w:tcBorders>
          </w:tcPr>
          <w:p w:rsidR="00FD5BFB" w:rsidRPr="00DD58D7" w:rsidRDefault="00FD5BFB" w:rsidP="00BC5669">
            <w:pPr>
              <w:pStyle w:val="TableTextLeft"/>
            </w:pPr>
            <w:r>
              <w:t xml:space="preserve">Release of </w:t>
            </w:r>
            <w:r w:rsidR="00E33B83">
              <w:t>t</w:t>
            </w:r>
            <w:r w:rsidRPr="00DD58D7">
              <w:t>echnical paper 3</w:t>
            </w:r>
            <w:r>
              <w:t>: Trade waste pricing</w:t>
            </w:r>
          </w:p>
        </w:tc>
        <w:tc>
          <w:tcPr>
            <w:tcW w:w="1704" w:type="pct"/>
            <w:tcBorders>
              <w:top w:val="nil"/>
              <w:left w:val="nil"/>
              <w:bottom w:val="nil"/>
              <w:right w:val="nil"/>
            </w:tcBorders>
          </w:tcPr>
          <w:p w:rsidR="00FD5BFB" w:rsidRPr="00DD58D7" w:rsidRDefault="00FD5BFB" w:rsidP="00BC5669">
            <w:pPr>
              <w:pStyle w:val="TableTextLeft"/>
            </w:pPr>
            <w:r w:rsidRPr="00DD58D7">
              <w:t>May 2016</w:t>
            </w:r>
          </w:p>
        </w:tc>
      </w:tr>
      <w:tr w:rsidR="00FD5BFB" w:rsidRPr="00144F8C" w:rsidTr="00BA3142">
        <w:trPr>
          <w:cantSplit/>
          <w:trHeight w:val="318"/>
        </w:trPr>
        <w:tc>
          <w:tcPr>
            <w:tcW w:w="3296" w:type="pct"/>
            <w:tcBorders>
              <w:top w:val="nil"/>
              <w:left w:val="nil"/>
              <w:bottom w:val="nil"/>
              <w:right w:val="nil"/>
            </w:tcBorders>
          </w:tcPr>
          <w:p w:rsidR="00FD5BFB" w:rsidRDefault="00FD5BFB" w:rsidP="00BC5669">
            <w:pPr>
              <w:pStyle w:val="TableTextLeft"/>
            </w:pPr>
            <w:r>
              <w:t>Submissions on is</w:t>
            </w:r>
            <w:r w:rsidR="00E33B83">
              <w:t>sues and technical papers close</w:t>
            </w:r>
          </w:p>
        </w:tc>
        <w:tc>
          <w:tcPr>
            <w:tcW w:w="1704" w:type="pct"/>
            <w:tcBorders>
              <w:top w:val="nil"/>
              <w:left w:val="nil"/>
              <w:bottom w:val="nil"/>
              <w:right w:val="nil"/>
            </w:tcBorders>
          </w:tcPr>
          <w:p w:rsidR="00FD5BFB" w:rsidRPr="00A40501" w:rsidRDefault="00FD5BFB" w:rsidP="00BC5669">
            <w:pPr>
              <w:pStyle w:val="TableTextLeft"/>
            </w:pPr>
            <w:r>
              <w:t xml:space="preserve">1 </w:t>
            </w:r>
            <w:r w:rsidRPr="00A40501">
              <w:t>Ju</w:t>
            </w:r>
            <w:r>
              <w:t>ly</w:t>
            </w:r>
            <w:r w:rsidRPr="00A40501">
              <w:t xml:space="preserve"> 2016</w:t>
            </w:r>
          </w:p>
        </w:tc>
      </w:tr>
      <w:tr w:rsidR="00FD5BFB" w:rsidRPr="00144F8C" w:rsidTr="00BA3142">
        <w:trPr>
          <w:cantSplit/>
          <w:trHeight w:val="318"/>
        </w:trPr>
        <w:tc>
          <w:tcPr>
            <w:tcW w:w="3296" w:type="pct"/>
            <w:tcBorders>
              <w:top w:val="nil"/>
              <w:left w:val="nil"/>
              <w:bottom w:val="nil"/>
              <w:right w:val="nil"/>
            </w:tcBorders>
          </w:tcPr>
          <w:p w:rsidR="00FD5BFB" w:rsidRPr="00A40501" w:rsidRDefault="00FD5BFB" w:rsidP="00BC5669">
            <w:pPr>
              <w:pStyle w:val="TableTextLeft"/>
            </w:pPr>
            <w:r>
              <w:t>Release of d</w:t>
            </w:r>
            <w:r w:rsidRPr="00A40501">
              <w:t>raft report</w:t>
            </w:r>
          </w:p>
        </w:tc>
        <w:tc>
          <w:tcPr>
            <w:tcW w:w="1704" w:type="pct"/>
            <w:tcBorders>
              <w:top w:val="nil"/>
              <w:left w:val="nil"/>
              <w:bottom w:val="nil"/>
              <w:right w:val="nil"/>
            </w:tcBorders>
          </w:tcPr>
          <w:p w:rsidR="00FD5BFB" w:rsidRPr="00A40501" w:rsidRDefault="00FD5BFB" w:rsidP="00BC5669">
            <w:pPr>
              <w:pStyle w:val="TableTextLeft"/>
            </w:pPr>
            <w:r>
              <w:t>August</w:t>
            </w:r>
            <w:r w:rsidRPr="00A40501">
              <w:t xml:space="preserve"> 2016</w:t>
            </w:r>
          </w:p>
        </w:tc>
      </w:tr>
      <w:tr w:rsidR="00FD5BFB" w:rsidRPr="00144F8C" w:rsidTr="00BA3142">
        <w:trPr>
          <w:cantSplit/>
          <w:trHeight w:val="200"/>
        </w:trPr>
        <w:tc>
          <w:tcPr>
            <w:tcW w:w="3296" w:type="pct"/>
            <w:tcBorders>
              <w:top w:val="nil"/>
              <w:left w:val="nil"/>
              <w:bottom w:val="nil"/>
              <w:right w:val="nil"/>
            </w:tcBorders>
          </w:tcPr>
          <w:p w:rsidR="00FD5BFB" w:rsidRPr="00A40501" w:rsidRDefault="00FD5BFB" w:rsidP="00BC5669">
            <w:pPr>
              <w:pStyle w:val="TableTextLeft"/>
            </w:pPr>
            <w:r w:rsidRPr="00DD58D7">
              <w:t>Public forum</w:t>
            </w:r>
          </w:p>
        </w:tc>
        <w:tc>
          <w:tcPr>
            <w:tcW w:w="1704" w:type="pct"/>
            <w:tcBorders>
              <w:top w:val="nil"/>
              <w:left w:val="nil"/>
              <w:bottom w:val="nil"/>
              <w:right w:val="nil"/>
            </w:tcBorders>
          </w:tcPr>
          <w:p w:rsidR="00FD5BFB" w:rsidRPr="00A40501" w:rsidRDefault="00FD5BFB" w:rsidP="00BC5669">
            <w:pPr>
              <w:pStyle w:val="TableTextLeft"/>
            </w:pPr>
            <w:r w:rsidRPr="00DD58D7">
              <w:t>Sep</w:t>
            </w:r>
            <w:r w:rsidRPr="00A40501">
              <w:t>tember 2016</w:t>
            </w:r>
          </w:p>
        </w:tc>
      </w:tr>
      <w:tr w:rsidR="00FD5BFB" w:rsidRPr="00144F8C" w:rsidTr="00BA3142">
        <w:trPr>
          <w:cantSplit/>
          <w:trHeight w:val="200"/>
        </w:trPr>
        <w:tc>
          <w:tcPr>
            <w:tcW w:w="3296" w:type="pct"/>
            <w:tcBorders>
              <w:top w:val="nil"/>
              <w:left w:val="nil"/>
              <w:bottom w:val="nil"/>
              <w:right w:val="nil"/>
            </w:tcBorders>
          </w:tcPr>
          <w:p w:rsidR="00FD5BFB" w:rsidRPr="00A40501" w:rsidRDefault="00FD5BFB" w:rsidP="00BC5669">
            <w:pPr>
              <w:pStyle w:val="TableTextLeft"/>
            </w:pPr>
            <w:r w:rsidRPr="00DD58D7">
              <w:t>Workshops</w:t>
            </w:r>
          </w:p>
        </w:tc>
        <w:tc>
          <w:tcPr>
            <w:tcW w:w="1704" w:type="pct"/>
            <w:tcBorders>
              <w:top w:val="nil"/>
              <w:left w:val="nil"/>
              <w:bottom w:val="nil"/>
              <w:right w:val="nil"/>
            </w:tcBorders>
          </w:tcPr>
          <w:p w:rsidR="00FD5BFB" w:rsidRPr="00A40501" w:rsidRDefault="00FD5BFB" w:rsidP="00BC5669">
            <w:pPr>
              <w:pStyle w:val="TableTextLeft"/>
            </w:pPr>
            <w:r w:rsidRPr="00DD58D7">
              <w:t>Sep</w:t>
            </w:r>
            <w:r w:rsidRPr="00A40501">
              <w:t>tember 2016</w:t>
            </w:r>
          </w:p>
        </w:tc>
      </w:tr>
      <w:tr w:rsidR="00FD5BFB" w:rsidRPr="00144F8C" w:rsidTr="00BA3142">
        <w:trPr>
          <w:cantSplit/>
        </w:trPr>
        <w:tc>
          <w:tcPr>
            <w:tcW w:w="3296" w:type="pct"/>
            <w:tcBorders>
              <w:top w:val="nil"/>
              <w:left w:val="nil"/>
              <w:bottom w:val="nil"/>
              <w:right w:val="nil"/>
            </w:tcBorders>
          </w:tcPr>
          <w:p w:rsidR="00FD5BFB" w:rsidRPr="00A40501" w:rsidRDefault="00FD5BFB" w:rsidP="00BC5669">
            <w:pPr>
              <w:pStyle w:val="TableTextLeft"/>
            </w:pPr>
            <w:r>
              <w:t>Submissions on draft report close</w:t>
            </w:r>
          </w:p>
        </w:tc>
        <w:tc>
          <w:tcPr>
            <w:tcW w:w="1704" w:type="pct"/>
            <w:tcBorders>
              <w:top w:val="nil"/>
              <w:left w:val="nil"/>
              <w:bottom w:val="nil"/>
              <w:right w:val="nil"/>
            </w:tcBorders>
          </w:tcPr>
          <w:p w:rsidR="00FD5BFB" w:rsidRPr="00A40501" w:rsidRDefault="00BA3142" w:rsidP="0024128C">
            <w:pPr>
              <w:pStyle w:val="TableTextLeft"/>
            </w:pPr>
            <w:r>
              <w:t>September</w:t>
            </w:r>
            <w:r w:rsidR="0024128C">
              <w:t xml:space="preserve"> 2016</w:t>
            </w:r>
          </w:p>
        </w:tc>
      </w:tr>
      <w:tr w:rsidR="00FD5BFB" w:rsidRPr="00144F8C" w:rsidTr="00BA3142">
        <w:trPr>
          <w:cantSplit/>
        </w:trPr>
        <w:tc>
          <w:tcPr>
            <w:tcW w:w="3296" w:type="pct"/>
            <w:tcBorders>
              <w:top w:val="nil"/>
              <w:left w:val="nil"/>
              <w:bottom w:val="single" w:sz="12" w:space="0" w:color="1F497D" w:themeColor="text2"/>
              <w:right w:val="nil"/>
            </w:tcBorders>
          </w:tcPr>
          <w:p w:rsidR="00FD5BFB" w:rsidRPr="00A40501" w:rsidRDefault="00FD5BFB" w:rsidP="00BC5669">
            <w:pPr>
              <w:pStyle w:val="TableTextLeft"/>
            </w:pPr>
            <w:r w:rsidRPr="00DD58D7">
              <w:t>Final report</w:t>
            </w:r>
          </w:p>
        </w:tc>
        <w:tc>
          <w:tcPr>
            <w:tcW w:w="1704" w:type="pct"/>
            <w:tcBorders>
              <w:top w:val="nil"/>
              <w:left w:val="nil"/>
              <w:bottom w:val="single" w:sz="12" w:space="0" w:color="1F497D" w:themeColor="text2"/>
              <w:right w:val="nil"/>
            </w:tcBorders>
          </w:tcPr>
          <w:p w:rsidR="00FD5BFB" w:rsidRPr="00A40501" w:rsidRDefault="00FD5BFB" w:rsidP="00BC5669">
            <w:pPr>
              <w:pStyle w:val="TableTextLeft"/>
            </w:pPr>
            <w:r w:rsidRPr="00DD58D7">
              <w:t>Nov</w:t>
            </w:r>
            <w:r w:rsidRPr="00A40501">
              <w:t>ember 2016</w:t>
            </w:r>
          </w:p>
        </w:tc>
      </w:tr>
    </w:tbl>
    <w:p w:rsidR="00FD5BFB" w:rsidRDefault="00FD5BFB" w:rsidP="00FD5BFB"/>
    <w:p w:rsidR="00FD5BFB" w:rsidRDefault="00FD5BFB" w:rsidP="00FD5BFB">
      <w:r>
        <w:t xml:space="preserve">Subsequent to the issues paper, the Commission proposes to publish three technical papers on specific pricing matters: water demand elasticity, marginal cost pricing and trade waste pricing. The technical papers will cover detailed economic and technical issues that may attract a more limited audience </w:t>
      </w:r>
      <w:r w:rsidRPr="0000019F">
        <w:t xml:space="preserve">than expected for </w:t>
      </w:r>
      <w:r>
        <w:t xml:space="preserve">the </w:t>
      </w:r>
      <w:r w:rsidRPr="0000019F">
        <w:t>draft report</w:t>
      </w:r>
      <w:r>
        <w:t>. At the same time, the papers will enable the Commission to publish a less technically dense draft report than would otherwise be the case.</w:t>
      </w:r>
    </w:p>
    <w:p w:rsidR="00FD5BFB" w:rsidRDefault="00FD5BFB" w:rsidP="00FD5BFB">
      <w:r w:rsidRPr="00AE2910">
        <w:t xml:space="preserve">The Commission intends taking a three-pronged approach to consultation </w:t>
      </w:r>
      <w:r>
        <w:t xml:space="preserve">on </w:t>
      </w:r>
      <w:r w:rsidRPr="00AE2910">
        <w:t>the tariff review.</w:t>
      </w:r>
    </w:p>
    <w:p w:rsidR="00FD5BFB" w:rsidRDefault="00FD5BFB" w:rsidP="00FD5BFB">
      <w:r w:rsidRPr="00AE2910">
        <w:t xml:space="preserve">First, </w:t>
      </w:r>
      <w:r>
        <w:t xml:space="preserve">the Commission will </w:t>
      </w:r>
      <w:r w:rsidRPr="00AE2910">
        <w:t>call for written submissions on the issues paper</w:t>
      </w:r>
      <w:r>
        <w:t xml:space="preserve"> and </w:t>
      </w:r>
      <w:r w:rsidRPr="00AE2910">
        <w:t>technical papers.</w:t>
      </w:r>
      <w:r>
        <w:t xml:space="preserve"> Details on how to make a submission are shown in the </w:t>
      </w:r>
      <w:r w:rsidRPr="00096F84">
        <w:rPr>
          <w:rStyle w:val="Bold"/>
        </w:rPr>
        <w:t>How to make a submission</w:t>
      </w:r>
      <w:r>
        <w:t xml:space="preserve"> section at the front of this paper. The closing date for submissions on all of the abovementioned papers is </w:t>
      </w:r>
      <w:r w:rsidRPr="005D0250">
        <w:rPr>
          <w:rStyle w:val="Bold"/>
        </w:rPr>
        <w:t>1 July 2016</w:t>
      </w:r>
      <w:r>
        <w:t>. Stakeholders are free to make submissions on any of the papers at any time before the closing date and may make multiple submissions if so desired. Written submissions received by the closing date will be considered in the development of the draft report. A separate submission process will be undertaken to allow stakeholders to respond to the draft report. Details on this submission period will be provided at the time the draft report is published.</w:t>
      </w:r>
    </w:p>
    <w:p w:rsidR="00FD5BFB" w:rsidRDefault="00FD5BFB" w:rsidP="00FD5BFB">
      <w:r w:rsidRPr="00AE2910">
        <w:t xml:space="preserve">Second, a public forum </w:t>
      </w:r>
      <w:r>
        <w:t xml:space="preserve">will </w:t>
      </w:r>
      <w:r w:rsidRPr="00AE2910">
        <w:t>be held after the release of the draft report.</w:t>
      </w:r>
      <w:r>
        <w:t xml:space="preserve"> Stakeholders will be invited to attend through advertisements in the media.</w:t>
      </w:r>
    </w:p>
    <w:p w:rsidR="00FD5BFB" w:rsidRDefault="00FD5BFB" w:rsidP="00FD5BFB">
      <w:r>
        <w:t xml:space="preserve">Third, </w:t>
      </w:r>
      <w:r w:rsidRPr="00AE2910">
        <w:t xml:space="preserve">a more specific set of workshops with customer groups or a range of customers around a specific issue </w:t>
      </w:r>
      <w:r>
        <w:t>will be considered by the Commission if there is sufficient interest</w:t>
      </w:r>
      <w:r w:rsidRPr="00AE2910">
        <w:t xml:space="preserve">. This would involve directly inviting selected participants and having </w:t>
      </w:r>
      <w:r>
        <w:t xml:space="preserve">a </w:t>
      </w:r>
      <w:r w:rsidRPr="00AE2910">
        <w:t>more in</w:t>
      </w:r>
      <w:r w:rsidR="00E33B83">
        <w:t>-</w:t>
      </w:r>
      <w:r w:rsidRPr="00AE2910">
        <w:t>depth, targeted discussion about particular issues of interest.</w:t>
      </w:r>
    </w:p>
    <w:p w:rsidR="00FD5BFB" w:rsidRPr="00AE2910" w:rsidRDefault="00FD5BFB" w:rsidP="00FD5BFB">
      <w:r>
        <w:lastRenderedPageBreak/>
        <w:t xml:space="preserve">In terms of media, </w:t>
      </w:r>
      <w:r w:rsidR="00FC4230">
        <w:t xml:space="preserve">the Commission will </w:t>
      </w:r>
      <w:r>
        <w:t>utilis</w:t>
      </w:r>
      <w:r w:rsidR="00FC4230">
        <w:t>e</w:t>
      </w:r>
      <w:r>
        <w:t xml:space="preserve"> its website for consultation purposes</w:t>
      </w:r>
      <w:r w:rsidR="00FC4230">
        <w:t>.</w:t>
      </w:r>
      <w:r w:rsidR="00FC4230">
        <w:rPr>
          <w:rStyle w:val="FootnoteReference"/>
        </w:rPr>
        <w:footnoteReference w:id="9"/>
      </w:r>
    </w:p>
    <w:p w:rsidR="00FD5BFB" w:rsidRDefault="00FD5BFB" w:rsidP="00FD5BFB">
      <w:pPr>
        <w:pStyle w:val="Heading2"/>
      </w:pPr>
      <w:bookmarkStart w:id="53" w:name="What_happens_next"/>
      <w:bookmarkStart w:id="54" w:name="_Toc435700151"/>
      <w:bookmarkEnd w:id="53"/>
      <w:r>
        <w:t>What happens after the review?</w:t>
      </w:r>
      <w:bookmarkEnd w:id="54"/>
    </w:p>
    <w:p w:rsidR="00FD5BFB" w:rsidRDefault="00FD5BFB" w:rsidP="00FD5BFB">
      <w:r>
        <w:t>What happens after the review concludes towards the end of 2016 will depend on two things. The first is whether the Commission concludes that a change in the current tariff structures is desirable.</w:t>
      </w:r>
    </w:p>
    <w:p w:rsidR="00FD5BFB" w:rsidRDefault="00FD5BFB" w:rsidP="00FD5BFB">
      <w:r>
        <w:t xml:space="preserve">If the Commission recommends a change, the second thing is a decision on when to implement the changes. There are two alternatives. The first is to apply the new tariff structures </w:t>
      </w:r>
      <w:r w:rsidR="00D70503">
        <w:t xml:space="preserve">in </w:t>
      </w:r>
      <w:r>
        <w:t xml:space="preserve">this regulatory period, which, given the timing of the final tariff review report, would mean from 1 July 2017. As discussed in section </w:t>
      </w:r>
      <w:fldSimple w:instr=" REF _Ref429468860 \r \h  \* MERGEFORMAT ">
        <w:r w:rsidR="00E43227">
          <w:t>1.2</w:t>
        </w:r>
      </w:fldSimple>
      <w:r>
        <w:t>, this would entail a variation of the substitute price direction. The second option would be to apply the new tariff structures from the start of the next regulatory period, that is from 1 July 2018, under a new price direction.</w:t>
      </w:r>
      <w:r>
        <w:rPr>
          <w:rStyle w:val="FootnoteReference"/>
        </w:rPr>
        <w:footnoteReference w:id="10"/>
      </w:r>
    </w:p>
    <w:p w:rsidR="00FD5BFB" w:rsidRPr="003F27C4" w:rsidRDefault="00FD5BFB" w:rsidP="00FD5BFB">
      <w:r>
        <w:t xml:space="preserve">The possible outcomes following the tariff review are shown in schematic form in </w:t>
      </w:r>
      <w:fldSimple w:instr=" REF _Ref418684061 \h  \* MERGEFORMAT ">
        <w:r w:rsidR="00E43227" w:rsidRPr="00DB3C19">
          <w:t xml:space="preserve">Figure </w:t>
        </w:r>
        <w:r w:rsidR="00E43227">
          <w:rPr>
            <w:noProof/>
          </w:rPr>
          <w:t>1</w:t>
        </w:r>
        <w:r w:rsidR="00E43227" w:rsidRPr="00180624">
          <w:rPr>
            <w:noProof/>
          </w:rPr>
          <w:t>.</w:t>
        </w:r>
        <w:r w:rsidR="00E43227">
          <w:rPr>
            <w:noProof/>
          </w:rPr>
          <w:t>2</w:t>
        </w:r>
      </w:fldSimple>
      <w:r>
        <w:t>.</w:t>
      </w:r>
    </w:p>
    <w:p w:rsidR="00FD5BFB" w:rsidRPr="00180624" w:rsidRDefault="00FD5BFB" w:rsidP="003D7A08">
      <w:pPr>
        <w:pStyle w:val="FigureName"/>
      </w:pPr>
      <w:bookmarkStart w:id="55" w:name="_Ref418684061"/>
      <w:bookmarkStart w:id="56" w:name="_Toc421180790"/>
      <w:bookmarkStart w:id="57" w:name="_Toc435700190"/>
      <w:r w:rsidRPr="00DB3C19">
        <w:t xml:space="preserve">Figure </w:t>
      </w:r>
      <w:r w:rsidR="00A7215E">
        <w:fldChar w:fldCharType="begin"/>
      </w:r>
      <w:r>
        <w:instrText xml:space="preserve"> STYLEREF 1 \s </w:instrText>
      </w:r>
      <w:r w:rsidR="00A7215E">
        <w:fldChar w:fldCharType="separate"/>
      </w:r>
      <w:r w:rsidR="00E43227">
        <w:rPr>
          <w:noProof/>
        </w:rPr>
        <w:t>1</w:t>
      </w:r>
      <w:r w:rsidR="00A7215E">
        <w:fldChar w:fldCharType="end"/>
      </w:r>
      <w:r w:rsidRPr="00180624">
        <w:t>.</w:t>
      </w:r>
      <w:r w:rsidR="00A7215E">
        <w:fldChar w:fldCharType="begin"/>
      </w:r>
      <w:r>
        <w:instrText xml:space="preserve"> SEQ Figure \* ARABIC \s 1 </w:instrText>
      </w:r>
      <w:r w:rsidR="00A7215E">
        <w:fldChar w:fldCharType="separate"/>
      </w:r>
      <w:r w:rsidR="00E43227">
        <w:rPr>
          <w:noProof/>
        </w:rPr>
        <w:t>2</w:t>
      </w:r>
      <w:r w:rsidR="00A7215E">
        <w:fldChar w:fldCharType="end"/>
      </w:r>
      <w:bookmarkEnd w:id="55"/>
      <w:r w:rsidRPr="00180624">
        <w:tab/>
      </w:r>
      <w:bookmarkEnd w:id="56"/>
      <w:r>
        <w:t xml:space="preserve">Tariff </w:t>
      </w:r>
      <w:r w:rsidR="00D70503">
        <w:t>review – possible outcomes</w:t>
      </w:r>
      <w:bookmarkEnd w:id="57"/>
    </w:p>
    <w:p w:rsidR="00FD5BFB" w:rsidRPr="00180624" w:rsidRDefault="00FD5BFB" w:rsidP="003D7A08">
      <w:pPr>
        <w:pStyle w:val="References"/>
      </w:pPr>
      <w:r w:rsidRPr="00593BCE">
        <w:rPr>
          <w:noProof/>
          <w:lang w:val="en-AU" w:eastAsia="en-AU"/>
        </w:rPr>
        <w:drawing>
          <wp:inline distT="0" distB="0" distL="0" distR="0">
            <wp:extent cx="3860097" cy="3650742"/>
            <wp:effectExtent l="19050" t="19050" r="26103" b="25908"/>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3856389" cy="3647235"/>
                    </a:xfrm>
                    <a:prstGeom prst="rect">
                      <a:avLst/>
                    </a:prstGeom>
                    <a:noFill/>
                    <a:ln w="9525">
                      <a:solidFill>
                        <a:schemeClr val="bg1">
                          <a:lumMod val="50000"/>
                        </a:schemeClr>
                      </a:solidFill>
                      <a:miter lim="800000"/>
                      <a:headEnd/>
                      <a:tailEnd/>
                    </a:ln>
                  </pic:spPr>
                </pic:pic>
              </a:graphicData>
            </a:graphic>
          </wp:inline>
        </w:drawing>
      </w:r>
    </w:p>
    <w:p w:rsidR="00FD5BFB" w:rsidRDefault="00FD5BFB" w:rsidP="00FD5BFB">
      <w:pPr>
        <w:pStyle w:val="Heading2"/>
      </w:pPr>
      <w:bookmarkStart w:id="58" w:name="_Toc368572035"/>
      <w:bookmarkStart w:id="59" w:name="_Toc435700152"/>
      <w:r w:rsidRPr="00AE2910">
        <w:lastRenderedPageBreak/>
        <w:t>Structure of the issues paper</w:t>
      </w:r>
      <w:bookmarkEnd w:id="58"/>
      <w:bookmarkEnd w:id="59"/>
    </w:p>
    <w:p w:rsidR="00FD5BFB" w:rsidRPr="00AE2910" w:rsidRDefault="00FD5BFB" w:rsidP="00FD5BFB">
      <w:r w:rsidRPr="00AE2910">
        <w:t>The remainder of the issues paper is structured as follows:</w:t>
      </w:r>
    </w:p>
    <w:p w:rsidR="00FD5BFB" w:rsidRPr="00AE2910" w:rsidRDefault="00FD5BFB" w:rsidP="00FD5BFB">
      <w:pPr>
        <w:pStyle w:val="Bullet"/>
      </w:pPr>
      <w:r w:rsidRPr="00AE2910">
        <w:t xml:space="preserve">Chapter </w:t>
      </w:r>
      <w:fldSimple w:instr=" REF _Ref429472550 \r \h  \* MERGEFORMAT ">
        <w:r w:rsidR="00E43227">
          <w:t>2</w:t>
        </w:r>
      </w:fldSimple>
      <w:r>
        <w:t xml:space="preserve"> provides relevant water security, legislative, policy and regulatory context for the tariff review</w:t>
      </w:r>
      <w:r w:rsidRPr="00AE2910">
        <w:t>.</w:t>
      </w:r>
    </w:p>
    <w:p w:rsidR="00FD5BFB" w:rsidRPr="00AE2910" w:rsidRDefault="00FD5BFB" w:rsidP="00FD5BFB">
      <w:pPr>
        <w:pStyle w:val="Bullet"/>
      </w:pPr>
      <w:r w:rsidRPr="00AE2910">
        <w:t xml:space="preserve">Chapter </w:t>
      </w:r>
      <w:fldSimple w:instr=" REF _Ref429472647 \r \h  \* MERGEFORMAT ">
        <w:r w:rsidR="00E43227">
          <w:t>3</w:t>
        </w:r>
      </w:fldSimple>
      <w:r>
        <w:t xml:space="preserve"> presents a proposed objective for economic regulation and </w:t>
      </w:r>
      <w:r w:rsidR="00D70503">
        <w:t xml:space="preserve">a </w:t>
      </w:r>
      <w:r>
        <w:t>set of pricing principles intended to guide the Commission’s decision-making throughout the review</w:t>
      </w:r>
      <w:r w:rsidRPr="00AE2910">
        <w:t>.</w:t>
      </w:r>
    </w:p>
    <w:p w:rsidR="00FD5BFB" w:rsidRDefault="00FD5BFB" w:rsidP="00FD5BFB">
      <w:pPr>
        <w:pStyle w:val="Bullet"/>
      </w:pPr>
      <w:r w:rsidRPr="00AE2910">
        <w:t xml:space="preserve">Chapter </w:t>
      </w:r>
      <w:fldSimple w:instr=" REF _Ref429472738 \r \h  \* MERGEFORMAT ">
        <w:r w:rsidR="00E43227">
          <w:t>4</w:t>
        </w:r>
      </w:fldSimple>
      <w:r>
        <w:t xml:space="preserve"> details a range of specific issues related to water pricing</w:t>
      </w:r>
      <w:r w:rsidRPr="00AE2910">
        <w:t>.</w:t>
      </w:r>
    </w:p>
    <w:p w:rsidR="00FD5BFB" w:rsidRPr="00757402" w:rsidRDefault="00FD5BFB" w:rsidP="00FD5BFB">
      <w:pPr>
        <w:pStyle w:val="Bullet"/>
      </w:pPr>
      <w:r w:rsidRPr="00757402">
        <w:t xml:space="preserve">Chapter </w:t>
      </w:r>
      <w:fldSimple w:instr=" REF _Ref429472781 \r \h  \* MERGEFORMAT ">
        <w:r w:rsidR="00E43227">
          <w:t>5</w:t>
        </w:r>
      </w:fldSimple>
      <w:r w:rsidRPr="00757402">
        <w:t xml:space="preserve"> details a range of </w:t>
      </w:r>
      <w:r>
        <w:t xml:space="preserve">specific </w:t>
      </w:r>
      <w:r w:rsidRPr="00757402">
        <w:t>issues related to</w:t>
      </w:r>
      <w:r>
        <w:t xml:space="preserve"> the </w:t>
      </w:r>
      <w:r w:rsidRPr="00757402">
        <w:t>pricing</w:t>
      </w:r>
      <w:r>
        <w:t xml:space="preserve"> of sewerage services</w:t>
      </w:r>
      <w:r w:rsidRPr="00757402">
        <w:t>.</w:t>
      </w:r>
    </w:p>
    <w:p w:rsidR="00FD5BFB" w:rsidRPr="00757402" w:rsidRDefault="00FD5BFB" w:rsidP="00FD5BFB">
      <w:pPr>
        <w:pStyle w:val="Bullet"/>
      </w:pPr>
      <w:r w:rsidRPr="00757402">
        <w:t xml:space="preserve">Chapter </w:t>
      </w:r>
      <w:fldSimple w:instr=" REF _Ref415046290 \r \h  \* MERGEFORMAT ">
        <w:r w:rsidR="00E43227">
          <w:t>6</w:t>
        </w:r>
      </w:fldSimple>
      <w:r w:rsidRPr="00757402">
        <w:t xml:space="preserve"> </w:t>
      </w:r>
      <w:r>
        <w:t>sets out the next steps in the tariff review process.</w:t>
      </w:r>
    </w:p>
    <w:p w:rsidR="00FD5BFB" w:rsidRPr="00DD5071" w:rsidRDefault="00A7215E" w:rsidP="00FD5BFB">
      <w:pPr>
        <w:pStyle w:val="BulletLast"/>
      </w:pPr>
      <w:fldSimple w:instr=" REF _Ref429486194 \r \h  \* MERGEFORMAT ">
        <w:r w:rsidR="00E43227">
          <w:t>Appendix 1</w:t>
        </w:r>
      </w:fldSimple>
      <w:r w:rsidR="003A2647">
        <w:t xml:space="preserve"> </w:t>
      </w:r>
      <w:r w:rsidR="00FD5BFB">
        <w:t>contain</w:t>
      </w:r>
      <w:r w:rsidR="003A2647">
        <w:t>s a schematic of the Commission’</w:t>
      </w:r>
      <w:r w:rsidR="00FD5BFB">
        <w:t>s price</w:t>
      </w:r>
      <w:r w:rsidR="003A2647">
        <w:t>-setting process.</w:t>
      </w:r>
    </w:p>
    <w:bookmarkEnd w:id="30"/>
    <w:bookmarkEnd w:id="31"/>
    <w:p w:rsidR="00E12A27" w:rsidRPr="007B1397" w:rsidRDefault="00E12A27" w:rsidP="008A1C91">
      <w:pPr>
        <w:pStyle w:val="References"/>
      </w:pPr>
    </w:p>
    <w:p w:rsidR="007B1397" w:rsidRPr="007B1397" w:rsidRDefault="007B1397" w:rsidP="008A1C91">
      <w:pPr>
        <w:pStyle w:val="References"/>
        <w:sectPr w:rsidR="007B1397" w:rsidRPr="007B1397" w:rsidSect="00E2786A">
          <w:headerReference w:type="even" r:id="rId32"/>
          <w:headerReference w:type="default" r:id="rId33"/>
          <w:endnotePr>
            <w:numFmt w:val="decimal"/>
          </w:endnotePr>
          <w:type w:val="continuous"/>
          <w:pgSz w:w="11907" w:h="16840" w:code="9"/>
          <w:pgMar w:top="2268" w:right="2098" w:bottom="1701" w:left="2098" w:header="578" w:footer="578" w:gutter="0"/>
          <w:pgNumType w:start="1"/>
          <w:cols w:space="720"/>
          <w:docGrid w:linePitch="299"/>
        </w:sectPr>
      </w:pPr>
    </w:p>
    <w:p w:rsidR="00E2786A" w:rsidRDefault="00872F38" w:rsidP="00F35280">
      <w:pPr>
        <w:pStyle w:val="Heading1"/>
      </w:pPr>
      <w:bookmarkStart w:id="60" w:name="Chap2"/>
      <w:bookmarkStart w:id="61" w:name="_Ref415046117"/>
      <w:bookmarkStart w:id="62" w:name="_Ref429472550"/>
      <w:bookmarkStart w:id="63" w:name="_Toc435700153"/>
      <w:bookmarkEnd w:id="60"/>
      <w:r>
        <w:lastRenderedPageBreak/>
        <w:t xml:space="preserve">Context </w:t>
      </w:r>
      <w:bookmarkEnd w:id="61"/>
      <w:r>
        <w:t>for the review</w:t>
      </w:r>
      <w:bookmarkEnd w:id="62"/>
      <w:bookmarkEnd w:id="63"/>
    </w:p>
    <w:p w:rsidR="00E12A27" w:rsidRDefault="00E12A27" w:rsidP="008A1C91">
      <w:pPr>
        <w:pStyle w:val="References"/>
        <w:sectPr w:rsidR="00E12A27" w:rsidSect="00E12A27">
          <w:headerReference w:type="even" r:id="rId34"/>
          <w:headerReference w:type="default" r:id="rId35"/>
          <w:endnotePr>
            <w:numFmt w:val="decimal"/>
          </w:endnotePr>
          <w:type w:val="oddPage"/>
          <w:pgSz w:w="11907" w:h="16840" w:code="9"/>
          <w:pgMar w:top="2268" w:right="2098" w:bottom="1701" w:left="2098" w:header="578" w:footer="578" w:gutter="0"/>
          <w:cols w:space="720"/>
          <w:docGrid w:linePitch="299"/>
        </w:sectPr>
      </w:pPr>
    </w:p>
    <w:p w:rsidR="00FD5BFB" w:rsidRDefault="00FD5BFB" w:rsidP="00FD5BFB">
      <w:pPr>
        <w:pStyle w:val="Heading2"/>
      </w:pPr>
      <w:bookmarkStart w:id="64" w:name="_Toc435700154"/>
      <w:bookmarkStart w:id="65" w:name="_Ref429637090"/>
      <w:bookmarkStart w:id="66" w:name="_Ref429470714"/>
      <w:r>
        <w:lastRenderedPageBreak/>
        <w:t>Why is context important?</w:t>
      </w:r>
      <w:bookmarkEnd w:id="64"/>
    </w:p>
    <w:p w:rsidR="00FD5BFB" w:rsidRDefault="00FD5BFB" w:rsidP="00FD5BFB">
      <w:r>
        <w:t>At the start of any review process, it is necessary to document and consider a range of issues that have a bearing on the subject matter that will be debated during the review. This is particularly important for any particular issue that has changed substantially since the last tariff review. The contextual discussion phase is important to properly inform final conclusions.</w:t>
      </w:r>
    </w:p>
    <w:p w:rsidR="00FD5BFB" w:rsidRDefault="00FD5BFB" w:rsidP="00FD5BFB">
      <w:r>
        <w:t>This chapter introduces a number of contextual issues that the Commission considers relevant to this review of water and sewerage service tariffs for a regulated business. These include:</w:t>
      </w:r>
    </w:p>
    <w:p w:rsidR="00FD5BFB" w:rsidRPr="00524C2F" w:rsidRDefault="00FD5BFB" w:rsidP="00FD5BFB">
      <w:pPr>
        <w:pStyle w:val="Bullet"/>
      </w:pPr>
      <w:r>
        <w:t>Regula</w:t>
      </w:r>
      <w:r w:rsidRPr="00524C2F">
        <w:t xml:space="preserve">tory context </w:t>
      </w:r>
      <w:r w:rsidRPr="00524C2F">
        <w:sym w:font="Symbol" w:char="F02D"/>
      </w:r>
      <w:r w:rsidRPr="00524C2F">
        <w:t xml:space="preserve"> the determination of tariff</w:t>
      </w:r>
      <w:r w:rsidRPr="00256588">
        <w:t xml:space="preserve"> structures is but one part of the broader regulatory framework under which the Commission regulates Icon Water’s regulated water</w:t>
      </w:r>
      <w:r w:rsidR="00DC1ED9">
        <w:t xml:space="preserve"> and sewerage services prices.</w:t>
      </w:r>
    </w:p>
    <w:p w:rsidR="00FD5BFB" w:rsidRPr="00524C2F" w:rsidRDefault="00FD5BFB" w:rsidP="00FD5BFB">
      <w:pPr>
        <w:pStyle w:val="Bullet"/>
      </w:pPr>
      <w:r w:rsidRPr="00256588">
        <w:t xml:space="preserve">Legislative requirements </w:t>
      </w:r>
      <w:r w:rsidRPr="00524C2F">
        <w:sym w:font="Symbol" w:char="F02D"/>
      </w:r>
      <w:r w:rsidRPr="00524C2F">
        <w:t xml:space="preserve"> in making regulatory decisions, such as on tariff structures, </w:t>
      </w:r>
      <w:r w:rsidRPr="00256588">
        <w:t>the Commission is guided by the objectives and othe</w:t>
      </w:r>
      <w:r w:rsidR="00DC1ED9">
        <w:t>r requirements of the ICRC Act.</w:t>
      </w:r>
    </w:p>
    <w:p w:rsidR="00FD5BFB" w:rsidRPr="00524C2F" w:rsidRDefault="00FD5BFB" w:rsidP="00FD5BFB">
      <w:pPr>
        <w:pStyle w:val="Bullet"/>
      </w:pPr>
      <w:r w:rsidRPr="00256588">
        <w:t xml:space="preserve">Government policy implications </w:t>
      </w:r>
      <w:r w:rsidRPr="00524C2F">
        <w:sym w:font="Symbol" w:char="F02D"/>
      </w:r>
      <w:r w:rsidRPr="00524C2F">
        <w:t xml:space="preserve"> there are a number of ACT Government water policies and programs and national commitments that have direct implications for water </w:t>
      </w:r>
      <w:r w:rsidR="00DC1ED9">
        <w:t>and sewerage services pricing.</w:t>
      </w:r>
    </w:p>
    <w:p w:rsidR="00FD5BFB" w:rsidRDefault="00FD5BFB" w:rsidP="00FD5BFB">
      <w:pPr>
        <w:pStyle w:val="Bullet"/>
      </w:pPr>
      <w:r w:rsidRPr="00256588">
        <w:t xml:space="preserve">Recent public debate on economic pricing issues </w:t>
      </w:r>
      <w:r w:rsidRPr="00524C2F">
        <w:sym w:font="Symbol" w:char="F02D"/>
      </w:r>
      <w:r w:rsidRPr="00524C2F">
        <w:t xml:space="preserve"> there has been a range of review</w:t>
      </w:r>
      <w:r>
        <w:t>s and publications since the Commission’s last tariff review that serve to inform the tariff debate.</w:t>
      </w:r>
    </w:p>
    <w:p w:rsidR="00FD5BFB" w:rsidRDefault="00FD5BFB" w:rsidP="00FD5BFB">
      <w:pPr>
        <w:pStyle w:val="BulletLast"/>
      </w:pPr>
      <w:r>
        <w:t xml:space="preserve">Water supply and demand situation </w:t>
      </w:r>
      <w:r>
        <w:sym w:font="Symbol" w:char="F02D"/>
      </w:r>
      <w:r>
        <w:t xml:space="preserve"> a key debate in the tariff review will be about the role of water pricing as means to </w:t>
      </w:r>
      <w:r w:rsidRPr="003800AB">
        <w:t xml:space="preserve">efficiently balance </w:t>
      </w:r>
      <w:r>
        <w:t>water s</w:t>
      </w:r>
      <w:r w:rsidRPr="003800AB">
        <w:t>upply and demand</w:t>
      </w:r>
      <w:r>
        <w:t>.</w:t>
      </w:r>
      <w:bookmarkStart w:id="67" w:name="_Toc433807737"/>
      <w:bookmarkStart w:id="68" w:name="_Toc433810095"/>
      <w:bookmarkStart w:id="69" w:name="_Toc433876931"/>
      <w:bookmarkStart w:id="70" w:name="_Toc434221718"/>
      <w:bookmarkStart w:id="71" w:name="_Toc434231734"/>
      <w:bookmarkStart w:id="72" w:name="_Toc434327226"/>
      <w:bookmarkStart w:id="73" w:name="_Toc434390734"/>
      <w:bookmarkStart w:id="74" w:name="_Toc434396176"/>
      <w:bookmarkStart w:id="75" w:name="_Toc434485343"/>
      <w:bookmarkEnd w:id="65"/>
      <w:bookmarkEnd w:id="67"/>
      <w:bookmarkEnd w:id="68"/>
      <w:bookmarkEnd w:id="69"/>
      <w:bookmarkEnd w:id="70"/>
      <w:bookmarkEnd w:id="71"/>
      <w:bookmarkEnd w:id="72"/>
      <w:bookmarkEnd w:id="73"/>
      <w:bookmarkEnd w:id="74"/>
      <w:bookmarkEnd w:id="75"/>
    </w:p>
    <w:p w:rsidR="00FD5BFB" w:rsidRDefault="00FD5BFB" w:rsidP="00FD5BFB">
      <w:pPr>
        <w:pStyle w:val="Heading2"/>
      </w:pPr>
      <w:bookmarkStart w:id="76" w:name="Reg_context"/>
      <w:bookmarkStart w:id="77" w:name="_Toc435700155"/>
      <w:bookmarkEnd w:id="76"/>
      <w:r>
        <w:t>Regulatory context</w:t>
      </w:r>
      <w:bookmarkEnd w:id="77"/>
    </w:p>
    <w:p w:rsidR="00FD5BFB" w:rsidRDefault="00FD5BFB" w:rsidP="00FD5BFB">
      <w:r>
        <w:t>There are two regulatory issues that are pertinent to the tariff review: the method of controlling prices and the implications of the current price direction for any changes to the water tariff</w:t>
      </w:r>
      <w:r w:rsidR="00CE3F60">
        <w:t xml:space="preserve"> in the next regulatory period.</w:t>
      </w:r>
    </w:p>
    <w:p w:rsidR="00FD5BFB" w:rsidRDefault="00FD5BFB" w:rsidP="00101ADB">
      <w:pPr>
        <w:pStyle w:val="Heading3"/>
      </w:pPr>
      <w:bookmarkStart w:id="78" w:name="_Ref434312394"/>
      <w:r>
        <w:t>Form of price control</w:t>
      </w:r>
      <w:bookmarkEnd w:id="78"/>
    </w:p>
    <w:p w:rsidR="00FD5BFB" w:rsidRDefault="00FD5BFB" w:rsidP="00FD5BFB">
      <w:r>
        <w:t xml:space="preserve">Regulators can apply a range of different approaches to controlling regulated utility prices. Two of the most common are the price </w:t>
      </w:r>
      <w:r w:rsidR="00D70503">
        <w:t>cap and revenue cap approaches.</w:t>
      </w:r>
    </w:p>
    <w:p w:rsidR="00FD5BFB" w:rsidRPr="005E6E20" w:rsidRDefault="00FD5BFB" w:rsidP="00FD5BFB">
      <w:r w:rsidRPr="005E6E20">
        <w:t xml:space="preserve">Price cap regulation </w:t>
      </w:r>
      <w:r>
        <w:t xml:space="preserve">involves the regulator determining or approving the </w:t>
      </w:r>
      <w:r w:rsidRPr="005E6E20">
        <w:t>maximum prices</w:t>
      </w:r>
      <w:r>
        <w:t xml:space="preserve"> for each regulated service that the utility provides</w:t>
      </w:r>
      <w:r w:rsidRPr="005E6E20">
        <w:t>.</w:t>
      </w:r>
      <w:r>
        <w:t xml:space="preserve"> This generally involves the </w:t>
      </w:r>
      <w:r>
        <w:lastRenderedPageBreak/>
        <w:t>regulator being responsible for setting the tariff structures and calculating the level of prices to be applied</w:t>
      </w:r>
      <w:r w:rsidR="00CE3F60">
        <w:t xml:space="preserve"> by the utility. The Commission’</w:t>
      </w:r>
      <w:r>
        <w:t>s approach in its 2013 price direction could be characterised as a price cap approach.</w:t>
      </w:r>
    </w:p>
    <w:p w:rsidR="00FD5BFB" w:rsidRPr="005E6E20" w:rsidRDefault="00FD5BFB" w:rsidP="00FD5BFB">
      <w:r>
        <w:t>R</w:t>
      </w:r>
      <w:r w:rsidRPr="005E6E20">
        <w:t>evenue cap regulation</w:t>
      </w:r>
      <w:r>
        <w:t xml:space="preserve"> entails </w:t>
      </w:r>
      <w:r w:rsidRPr="005E6E20">
        <w:t xml:space="preserve">the regulator determining or approving a maximum revenue amount that can be earned by the utility. </w:t>
      </w:r>
      <w:r>
        <w:t>In contrast to price cap regulation, t</w:t>
      </w:r>
      <w:r w:rsidRPr="005E6E20">
        <w:t>he utility is generally given the task of setting tariffs and prices</w:t>
      </w:r>
      <w:r w:rsidR="00CE3F60">
        <w:t>. The regulator’</w:t>
      </w:r>
      <w:r>
        <w:t>s involvement in tariffs and prices is often restricted to determining a set of pricing principles to be applied by the utility and then confirming that proposed p</w:t>
      </w:r>
      <w:r w:rsidR="00CE3F60">
        <w:t>rices do not breach the utility’</w:t>
      </w:r>
      <w:r>
        <w:t>s revenue cap. An example of this approach is the way in which the Australian Energy Regulator regulates elect</w:t>
      </w:r>
      <w:r w:rsidR="00DC1ED9">
        <w:t>ricity distribution businesses.</w:t>
      </w:r>
    </w:p>
    <w:p w:rsidR="00FD5BFB" w:rsidRDefault="00FD5BFB" w:rsidP="00FD5BFB">
      <w:r>
        <w:t xml:space="preserve">As noted in section </w:t>
      </w:r>
      <w:fldSimple w:instr=" REF _Ref429468860 \r \h  \* MERGEFORMAT ">
        <w:r w:rsidR="00E43227">
          <w:t>1.2</w:t>
        </w:r>
      </w:fldSimple>
      <w:r>
        <w:t>, Icon Water is currently operating under the substitute price direction. The form of regulation under this price direction has been characterised as a hybrid price and revenue cap with:</w:t>
      </w:r>
    </w:p>
    <w:p w:rsidR="00FD5BFB" w:rsidRDefault="00FD5BFB" w:rsidP="00FD5BFB">
      <w:pPr>
        <w:pStyle w:val="Quote"/>
      </w:pPr>
      <w:r w:rsidRPr="002E276D">
        <w:t>individual price caps set for water and sewerage charges and a demand volatility adjustment mechanism used to account for deviations between actual and forecast volumetric water sales revenue (i.e., revenue from tier 1 and tier 2 water sales) in excess of a 6% deadband over the full fi</w:t>
      </w:r>
      <w:r w:rsidR="00DC1ED9">
        <w:t>ve-year regulatory period (2013–14 to 2017–</w:t>
      </w:r>
      <w:r w:rsidRPr="002E276D">
        <w:t>18).</w:t>
      </w:r>
      <w:r>
        <w:rPr>
          <w:rStyle w:val="FootnoteReference"/>
        </w:rPr>
        <w:footnoteReference w:id="11"/>
      </w:r>
    </w:p>
    <w:p w:rsidR="00FD5BFB" w:rsidRDefault="00FD5BFB" w:rsidP="00FD5BFB">
      <w:r>
        <w:t>The form of price control that will apply to Icon Water during the next regulatory period will be determined as part of the broader price investigation process subsequent to the completion of the tariff review. While it seems likely that the Commission will set prices for the next regulatory period, the conclusions of this review will be useful for whoever is responsible for setting prices.</w:t>
      </w:r>
    </w:p>
    <w:p w:rsidR="00FD5BFB" w:rsidRDefault="00FD5BFB" w:rsidP="00FD5BFB">
      <w:r>
        <w:t>Generally speaking, decisions on the form of price control can be separated from decisions on the structure of tariffs. The exception is the relationship between the price control approach and the level of revenue risk for the utility associated with the regulator having to forecast water sales volumes in advance of the regulatory year.</w:t>
      </w:r>
    </w:p>
    <w:p w:rsidR="00FD5BFB" w:rsidRDefault="00FD5BFB" w:rsidP="00FD5BFB">
      <w:r>
        <w:t xml:space="preserve">For example, the hybrid price and revenue cap under which Icon Water is currently operating provides some insulation from the sales volume uncertainty. This contrasts with the pure price cap approach where the utility </w:t>
      </w:r>
      <w:r>
        <w:sym w:font="Symbol" w:char="F02D"/>
      </w:r>
      <w:r>
        <w:t xml:space="preserve"> and ultimately the ACT taxpayer in the case of a wholly government-owned entity such as Icon Water </w:t>
      </w:r>
      <w:r>
        <w:sym w:font="Symbol" w:char="F02D"/>
      </w:r>
      <w:r w:rsidR="00DC1ED9">
        <w:t xml:space="preserve"> bears the volume risk.</w:t>
      </w:r>
      <w:r>
        <w:t xml:space="preserve"> Under the former price control approach</w:t>
      </w:r>
      <w:r w:rsidR="00D07FE3">
        <w:t>,</w:t>
      </w:r>
      <w:r>
        <w:t xml:space="preserve"> there may be less emphasis on revenue recovery in the tariff design than would be the</w:t>
      </w:r>
      <w:r w:rsidR="00DC1ED9">
        <w:t xml:space="preserve"> case under the latter.</w:t>
      </w:r>
    </w:p>
    <w:p w:rsidR="00FD5BFB" w:rsidRPr="00D8152D" w:rsidRDefault="00FD5BFB" w:rsidP="00FD5BFB">
      <w:r>
        <w:t>The Commission will consider the interaction above during the course of the tariff review.</w:t>
      </w:r>
    </w:p>
    <w:p w:rsidR="00FD5BFB" w:rsidRDefault="00FD5BFB" w:rsidP="00101ADB">
      <w:pPr>
        <w:pStyle w:val="Heading3"/>
      </w:pPr>
      <w:r>
        <w:lastRenderedPageBreak/>
        <w:t>Current price direction arrangements</w:t>
      </w:r>
    </w:p>
    <w:p w:rsidR="00FD5BFB" w:rsidRDefault="00FD5BFB" w:rsidP="00FD5BFB">
      <w:r>
        <w:t xml:space="preserve">The substitute price direction was determined by the Industry Panel in May 2015 and has effect from 19 May 2015 </w:t>
      </w:r>
      <w:r w:rsidRPr="00E455B3">
        <w:t xml:space="preserve">until </w:t>
      </w:r>
      <w:r>
        <w:t xml:space="preserve">the end of the current regulatory period on </w:t>
      </w:r>
      <w:r w:rsidRPr="00E455B3">
        <w:t>30</w:t>
      </w:r>
      <w:r>
        <w:t> </w:t>
      </w:r>
      <w:r w:rsidRPr="00E455B3">
        <w:t>June</w:t>
      </w:r>
      <w:r>
        <w:t> </w:t>
      </w:r>
      <w:r w:rsidRPr="00E455B3">
        <w:t>2018</w:t>
      </w:r>
      <w:r>
        <w:t>.</w:t>
      </w:r>
    </w:p>
    <w:p w:rsidR="00FD5BFB" w:rsidRDefault="00FD5BFB" w:rsidP="00FD5BFB">
      <w:r>
        <w:t>In its May 2015</w:t>
      </w:r>
      <w:r w:rsidR="00CE3F60">
        <w:t xml:space="preserve"> response to the Industry Panel’</w:t>
      </w:r>
      <w:r>
        <w:t xml:space="preserve">s final decision, the Commission noted that </w:t>
      </w:r>
      <w:r w:rsidRPr="00AE1251">
        <w:t xml:space="preserve">the </w:t>
      </w:r>
      <w:r>
        <w:t xml:space="preserve">Industry </w:t>
      </w:r>
      <w:r w:rsidRPr="00AE1251">
        <w:t>Panel</w:t>
      </w:r>
      <w:r>
        <w:t xml:space="preserve"> had </w:t>
      </w:r>
      <w:r w:rsidRPr="00AE1251">
        <w:t>adopt</w:t>
      </w:r>
      <w:r>
        <w:t>ed</w:t>
      </w:r>
      <w:r w:rsidRPr="00AE1251">
        <w:t xml:space="preserve"> a </w:t>
      </w:r>
      <w:r>
        <w:t xml:space="preserve">very </w:t>
      </w:r>
      <w:r w:rsidRPr="00AE1251">
        <w:t>different approach to forecasting water sales than any previously used by the Commission or Icon Water, producing forecasts well above any recently suggested by either of those entities.</w:t>
      </w:r>
      <w:r>
        <w:rPr>
          <w:rStyle w:val="FootnoteReference"/>
        </w:rPr>
        <w:footnoteReference w:id="12"/>
      </w:r>
    </w:p>
    <w:p w:rsidR="00FD5BFB" w:rsidRDefault="00FD5BFB" w:rsidP="00FD5BFB">
      <w:r>
        <w:t>T</w:t>
      </w:r>
      <w:r w:rsidRPr="00AE1251">
        <w:t xml:space="preserve">he </w:t>
      </w:r>
      <w:r w:rsidR="001F051B">
        <w:t>Industry Panel’</w:t>
      </w:r>
      <w:r>
        <w:t xml:space="preserve">s </w:t>
      </w:r>
      <w:r w:rsidRPr="00AE1251">
        <w:t xml:space="preserve">final report forecast water sales of 43.15 </w:t>
      </w:r>
      <w:r w:rsidR="00D07FE3">
        <w:t>gigalitres (</w:t>
      </w:r>
      <w:r w:rsidRPr="00AE1251">
        <w:t>GL</w:t>
      </w:r>
      <w:r w:rsidR="00D07FE3">
        <w:t>)</w:t>
      </w:r>
      <w:r w:rsidRPr="00AE1251">
        <w:t xml:space="preserve"> for 2014</w:t>
      </w:r>
      <w:r w:rsidRPr="00AE1251">
        <w:sym w:font="Symbol" w:char="F02D"/>
      </w:r>
      <w:r w:rsidRPr="00AE1251">
        <w:t xml:space="preserve">15 with sales in subsequent years rising </w:t>
      </w:r>
      <w:r>
        <w:t xml:space="preserve">by </w:t>
      </w:r>
      <w:r w:rsidRPr="00AE1251">
        <w:t xml:space="preserve">about half a gigalitre per year. </w:t>
      </w:r>
      <w:r>
        <w:t xml:space="preserve">This compared to </w:t>
      </w:r>
      <w:r w:rsidRPr="00B273FD">
        <w:t>Icon Water</w:t>
      </w:r>
      <w:r w:rsidR="001F051B">
        <w:t>’</w:t>
      </w:r>
      <w:r>
        <w:t>s</w:t>
      </w:r>
      <w:r w:rsidRPr="00B273FD">
        <w:t xml:space="preserve"> estimate </w:t>
      </w:r>
      <w:r>
        <w:t xml:space="preserve">of </w:t>
      </w:r>
      <w:r w:rsidRPr="00B273FD">
        <w:t xml:space="preserve">39.5 GL </w:t>
      </w:r>
      <w:r>
        <w:t>b</w:t>
      </w:r>
      <w:r w:rsidRPr="00AE1251">
        <w:t>ased on data for the first eight months of 2014</w:t>
      </w:r>
      <w:r w:rsidRPr="00AE1251">
        <w:sym w:font="Symbol" w:char="F02D"/>
      </w:r>
      <w:r w:rsidRPr="00AE1251">
        <w:t>15, which includ</w:t>
      </w:r>
      <w:r>
        <w:t>ed</w:t>
      </w:r>
      <w:r w:rsidRPr="00AE1251">
        <w:t xml:space="preserve"> the months of heaviest water consumption</w:t>
      </w:r>
      <w:r>
        <w:t xml:space="preserve">. </w:t>
      </w:r>
      <w:r w:rsidRPr="00AE1251">
        <w:t>The most recent work of the Commission</w:t>
      </w:r>
      <w:r>
        <w:t xml:space="preserve"> at the time</w:t>
      </w:r>
      <w:r w:rsidRPr="00AE1251">
        <w:t xml:space="preserve">, using monthly billed </w:t>
      </w:r>
      <w:r>
        <w:t xml:space="preserve">sales </w:t>
      </w:r>
      <w:r w:rsidRPr="00AE1251">
        <w:t>data through to March</w:t>
      </w:r>
      <w:r>
        <w:t> </w:t>
      </w:r>
      <w:r w:rsidRPr="00AE1251">
        <w:t xml:space="preserve">2015 and daily dam releases data through to 31 March 2015, produced a similar figure. </w:t>
      </w:r>
      <w:r>
        <w:t>The actual water sales for 2014</w:t>
      </w:r>
      <w:r>
        <w:sym w:font="Symbol" w:char="F02D"/>
      </w:r>
      <w:r>
        <w:t xml:space="preserve">15 are now available, and, at 39.2 GL, are about 9 per cent lower than the Panel’s forecast (see </w:t>
      </w:r>
      <w:fldSimple w:instr=" REF _Ref429647008 \h  \* MERGEFORMAT ">
        <w:r w:rsidR="00E43227" w:rsidRPr="00DB3C19">
          <w:t xml:space="preserve">Figure </w:t>
        </w:r>
        <w:r w:rsidR="00E43227">
          <w:rPr>
            <w:noProof/>
          </w:rPr>
          <w:t>2</w:t>
        </w:r>
        <w:r w:rsidR="00E43227" w:rsidRPr="002B3037">
          <w:rPr>
            <w:noProof/>
          </w:rPr>
          <w:t>.</w:t>
        </w:r>
        <w:r w:rsidR="00E43227">
          <w:rPr>
            <w:noProof/>
          </w:rPr>
          <w:t>1</w:t>
        </w:r>
      </w:fldSimple>
      <w:r>
        <w:t>).</w:t>
      </w:r>
    </w:p>
    <w:p w:rsidR="00FD5BFB" w:rsidRPr="002B3037" w:rsidRDefault="00FD5BFB" w:rsidP="00FD5BFB">
      <w:pPr>
        <w:pStyle w:val="FigureName"/>
      </w:pPr>
      <w:bookmarkStart w:id="79" w:name="_Ref429647008"/>
      <w:bookmarkStart w:id="80" w:name="_Toc435700191"/>
      <w:r w:rsidRPr="00DB3C19">
        <w:t xml:space="preserve">Figure </w:t>
      </w:r>
      <w:r w:rsidR="00A7215E">
        <w:fldChar w:fldCharType="begin"/>
      </w:r>
      <w:r>
        <w:instrText xml:space="preserve"> STYLEREF 1 \s </w:instrText>
      </w:r>
      <w:r w:rsidR="00A7215E">
        <w:fldChar w:fldCharType="separate"/>
      </w:r>
      <w:r w:rsidR="00E43227">
        <w:rPr>
          <w:noProof/>
        </w:rPr>
        <w:t>2</w:t>
      </w:r>
      <w:r w:rsidR="00A7215E">
        <w:fldChar w:fldCharType="end"/>
      </w:r>
      <w:r w:rsidRPr="002B3037">
        <w:t>.</w:t>
      </w:r>
      <w:r w:rsidR="00A7215E">
        <w:fldChar w:fldCharType="begin"/>
      </w:r>
      <w:r>
        <w:instrText xml:space="preserve"> SEQ Figure \* ARABIC \s 1 </w:instrText>
      </w:r>
      <w:r w:rsidR="00A7215E">
        <w:fldChar w:fldCharType="separate"/>
      </w:r>
      <w:r w:rsidR="00E43227">
        <w:rPr>
          <w:noProof/>
        </w:rPr>
        <w:t>1</w:t>
      </w:r>
      <w:r w:rsidR="00A7215E">
        <w:fldChar w:fldCharType="end"/>
      </w:r>
      <w:bookmarkEnd w:id="79"/>
      <w:r w:rsidRPr="002B3037">
        <w:tab/>
        <w:t xml:space="preserve">ACT </w:t>
      </w:r>
      <w:r>
        <w:t>billed water sales</w:t>
      </w:r>
      <w:r w:rsidR="00D07FE3">
        <w:t xml:space="preserve">, </w:t>
      </w:r>
      <w:r w:rsidR="00087AE5">
        <w:t xml:space="preserve">actual and forecast, </w:t>
      </w:r>
      <w:r w:rsidR="00D07FE3">
        <w:t>1999–2000 to 2017–18</w:t>
      </w:r>
      <w:bookmarkEnd w:id="80"/>
    </w:p>
    <w:p w:rsidR="00FD5BFB" w:rsidRPr="002B3037" w:rsidRDefault="00FD5BFB" w:rsidP="00FD5BFB">
      <w:pPr>
        <w:pStyle w:val="References"/>
      </w:pPr>
      <w:r w:rsidRPr="003B314C">
        <w:rPr>
          <w:noProof/>
          <w:lang w:val="en-AU" w:eastAsia="en-AU"/>
        </w:rPr>
        <w:drawing>
          <wp:inline distT="0" distB="0" distL="0" distR="0">
            <wp:extent cx="4896485" cy="2642846"/>
            <wp:effectExtent l="19050" t="0" r="18415" b="5104"/>
            <wp:docPr id="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D5BFB" w:rsidRPr="002B3037" w:rsidRDefault="00FD5BFB" w:rsidP="00FD5BFB">
      <w:pPr>
        <w:pStyle w:val="TableNotesLast"/>
      </w:pPr>
      <w:r>
        <w:t>Source:</w:t>
      </w:r>
      <w:r>
        <w:tab/>
        <w:t>Icon Water</w:t>
      </w:r>
      <w:r w:rsidRPr="002B3037">
        <w:t xml:space="preserve"> </w:t>
      </w:r>
      <w:r>
        <w:t xml:space="preserve">billed water sales </w:t>
      </w:r>
      <w:r w:rsidRPr="002B3037">
        <w:t>data;</w:t>
      </w:r>
      <w:r>
        <w:t xml:space="preserve"> </w:t>
      </w:r>
      <w:r>
        <w:rPr>
          <w:noProof/>
        </w:rPr>
        <w:t>Industry Panel (2015a)</w:t>
      </w:r>
      <w:r>
        <w:t>.</w:t>
      </w:r>
    </w:p>
    <w:p w:rsidR="00FD5BFB" w:rsidRDefault="00FD5BFB" w:rsidP="00FD5BFB">
      <w:r>
        <w:t>With Icon Water already down by about 4 GL of sales in 2014</w:t>
      </w:r>
      <w:r w:rsidRPr="00D10A7A">
        <w:sym w:font="Symbol" w:char="F02D"/>
      </w:r>
      <w:r>
        <w:t xml:space="preserve">15, </w:t>
      </w:r>
      <w:r w:rsidRPr="00AE1251">
        <w:t xml:space="preserve">the </w:t>
      </w:r>
      <w:r w:rsidR="00CE3F60">
        <w:t>likelihood of the Panel’</w:t>
      </w:r>
      <w:r>
        <w:t xml:space="preserve">s </w:t>
      </w:r>
      <w:r w:rsidRPr="00AE1251">
        <w:t>projected bounce</w:t>
      </w:r>
      <w:r w:rsidR="00D07FE3">
        <w:t>-</w:t>
      </w:r>
      <w:r w:rsidRPr="00AE1251">
        <w:t xml:space="preserve">back </w:t>
      </w:r>
      <w:r>
        <w:t>in water sales over the rest of the current regulatory period is called into question. Should there be a return to water forecasts that reflect more recent outcomes</w:t>
      </w:r>
      <w:r w:rsidRPr="00B20FED">
        <w:t xml:space="preserve"> </w:t>
      </w:r>
      <w:r w:rsidRPr="00516951">
        <w:t>at the beginning of the next regulatory period</w:t>
      </w:r>
      <w:r>
        <w:t xml:space="preserve">, this is likely to put upward pressure on water </w:t>
      </w:r>
      <w:r w:rsidRPr="00516951">
        <w:t>prices.</w:t>
      </w:r>
      <w:r>
        <w:t xml:space="preserve"> </w:t>
      </w:r>
      <w:r w:rsidRPr="00516951">
        <w:t xml:space="preserve">In addition, </w:t>
      </w:r>
      <w:r>
        <w:t xml:space="preserve">if actual water sales are low enough </w:t>
      </w:r>
      <w:r>
        <w:lastRenderedPageBreak/>
        <w:t>to trigger the deadband,</w:t>
      </w:r>
      <w:r w:rsidRPr="00516951">
        <w:t xml:space="preserve"> </w:t>
      </w:r>
      <w:r>
        <w:t>it will be necessary</w:t>
      </w:r>
      <w:r w:rsidRPr="00516951">
        <w:t xml:space="preserve"> </w:t>
      </w:r>
      <w:r>
        <w:t xml:space="preserve">to </w:t>
      </w:r>
      <w:r w:rsidRPr="00516951">
        <w:t xml:space="preserve">increase prices further to recover that portion of </w:t>
      </w:r>
      <w:r>
        <w:t xml:space="preserve">water </w:t>
      </w:r>
      <w:r w:rsidRPr="00516951">
        <w:t>revenue lost by Icon Water in the current period that lies outside the deadband established under the substitute price direction.</w:t>
      </w:r>
      <w:r>
        <w:rPr>
          <w:rStyle w:val="FootnoteReference"/>
        </w:rPr>
        <w:footnoteReference w:id="13"/>
      </w:r>
      <w:r>
        <w:t xml:space="preserve"> </w:t>
      </w:r>
      <w:r w:rsidRPr="00516951">
        <w:t xml:space="preserve">The Commission </w:t>
      </w:r>
      <w:r>
        <w:t xml:space="preserve">therefore </w:t>
      </w:r>
      <w:r w:rsidRPr="00516951">
        <w:t xml:space="preserve">considers </w:t>
      </w:r>
      <w:r>
        <w:t xml:space="preserve">that there is a possibility </w:t>
      </w:r>
      <w:r w:rsidRPr="00516951">
        <w:t xml:space="preserve">that the next regulatory period </w:t>
      </w:r>
      <w:r>
        <w:t xml:space="preserve">may </w:t>
      </w:r>
      <w:r w:rsidRPr="00516951">
        <w:t xml:space="preserve">begin with a </w:t>
      </w:r>
      <w:r>
        <w:t xml:space="preserve">water </w:t>
      </w:r>
      <w:r w:rsidRPr="00516951">
        <w:t>price shock.</w:t>
      </w:r>
    </w:p>
    <w:p w:rsidR="00FD5BFB" w:rsidRPr="00516951" w:rsidRDefault="00FD5BFB" w:rsidP="00FD5BFB">
      <w:r>
        <w:t>Looking ahead, should the Commission recommend a change in the water tariff structure, its introduction may provide flexibility to minimise the impacts of any rise in the general level of water prices. On the other hand, any gains and losses among customer groups are likely to be amplified by any general i</w:t>
      </w:r>
      <w:r w:rsidR="00995B92">
        <w:t>ncrease in the level of prices.</w:t>
      </w:r>
    </w:p>
    <w:p w:rsidR="00FD5BFB" w:rsidRDefault="00FD5BFB" w:rsidP="00FD5BFB">
      <w:pPr>
        <w:pStyle w:val="Heading2"/>
      </w:pPr>
      <w:bookmarkStart w:id="81" w:name="Leg_context"/>
      <w:bookmarkStart w:id="82" w:name="_Ref430588840"/>
      <w:bookmarkStart w:id="83" w:name="_Toc435700156"/>
      <w:bookmarkEnd w:id="81"/>
      <w:r>
        <w:t xml:space="preserve">Legislative </w:t>
      </w:r>
      <w:bookmarkEnd w:id="66"/>
      <w:r>
        <w:t>context</w:t>
      </w:r>
      <w:bookmarkEnd w:id="82"/>
      <w:bookmarkEnd w:id="83"/>
    </w:p>
    <w:p w:rsidR="00FD5BFB" w:rsidRDefault="00FD5BFB" w:rsidP="00FD5BFB">
      <w:r>
        <w:t>In addition to being instructed by the substitute price direction, in conducting this review the Commission is also subject to the broader provisions of the ICRC Act.</w:t>
      </w:r>
    </w:p>
    <w:p w:rsidR="00FD5BFB" w:rsidRDefault="00FD5BFB" w:rsidP="00FD5BFB">
      <w:r>
        <w:t xml:space="preserve">In carrying out its functions under the ICRC Act, the </w:t>
      </w:r>
      <w:r w:rsidRPr="00A50EA4">
        <w:t>Commission has the following objectives set out in section 7:</w:t>
      </w:r>
    </w:p>
    <w:p w:rsidR="00FD5BFB" w:rsidRPr="00425FF6" w:rsidRDefault="00FD5BFB" w:rsidP="00FD5BFB">
      <w:pPr>
        <w:pStyle w:val="LetteredList"/>
        <w:rPr>
          <w:lang w:val="en-AU" w:eastAsia="en-AU"/>
        </w:rPr>
      </w:pPr>
      <w:r w:rsidRPr="00425FF6">
        <w:rPr>
          <w:lang w:val="en-AU" w:eastAsia="en-AU"/>
        </w:rPr>
        <w:t>to promote effective competition in the interests of consumers;</w:t>
      </w:r>
    </w:p>
    <w:p w:rsidR="00FD5BFB" w:rsidRPr="00425FF6" w:rsidRDefault="00FD5BFB" w:rsidP="00FD5BFB">
      <w:pPr>
        <w:pStyle w:val="LetteredList"/>
        <w:rPr>
          <w:lang w:val="en-AU" w:eastAsia="en-AU"/>
        </w:rPr>
      </w:pPr>
      <w:r w:rsidRPr="00425FF6">
        <w:rPr>
          <w:lang w:val="en-AU" w:eastAsia="en-AU"/>
        </w:rPr>
        <w:t>to facilitate an appropriate balance between efficiency and environmental and social considerations;</w:t>
      </w:r>
    </w:p>
    <w:p w:rsidR="00FD5BFB" w:rsidRPr="00425FF6" w:rsidRDefault="00FD5BFB" w:rsidP="00FD5BFB">
      <w:pPr>
        <w:pStyle w:val="LetteredList"/>
        <w:rPr>
          <w:lang w:val="en-AU" w:eastAsia="en-AU"/>
        </w:rPr>
      </w:pPr>
      <w:r w:rsidRPr="00425FF6">
        <w:rPr>
          <w:lang w:val="en-AU" w:eastAsia="en-AU"/>
        </w:rPr>
        <w:t>to ensure non-discriminatory access to monopoly and near-monopoly infrastructure.</w:t>
      </w:r>
      <w:r>
        <w:rPr>
          <w:rStyle w:val="FootnoteReference"/>
          <w:lang w:val="en-AU" w:eastAsia="en-AU"/>
        </w:rPr>
        <w:footnoteReference w:id="14"/>
      </w:r>
    </w:p>
    <w:p w:rsidR="00FD5BFB" w:rsidRPr="00F523C4" w:rsidRDefault="00FD5BFB" w:rsidP="00FD5BFB">
      <w:r>
        <w:t xml:space="preserve">In making a price direction, the Commission is required to have regard to the provisions set out in </w:t>
      </w:r>
      <w:r w:rsidRPr="00F523C4">
        <w:t>section 20</w:t>
      </w:r>
      <w:r>
        <w:t>(2)</w:t>
      </w:r>
      <w:r w:rsidRPr="00F523C4">
        <w:t>:</w:t>
      </w:r>
    </w:p>
    <w:p w:rsidR="00FD5BFB" w:rsidRPr="001A5777" w:rsidRDefault="00FD5BFB" w:rsidP="00FD5BFB">
      <w:pPr>
        <w:pStyle w:val="LetteredList"/>
        <w:numPr>
          <w:ilvl w:val="0"/>
          <w:numId w:val="11"/>
        </w:numPr>
        <w:rPr>
          <w:lang w:val="en-AU" w:eastAsia="en-AU"/>
        </w:rPr>
      </w:pPr>
      <w:r w:rsidRPr="001A5777">
        <w:rPr>
          <w:lang w:val="en-AU" w:eastAsia="en-AU"/>
        </w:rPr>
        <w:t>the protection of consumers from abuses of monopoly power in terms of prices, pricing policies (including policies relating to the level or structure of prices for services) and standard of regulated services; and</w:t>
      </w:r>
    </w:p>
    <w:p w:rsidR="00FD5BFB" w:rsidRPr="001236BF" w:rsidRDefault="00FD5BFB" w:rsidP="00FD5BFB">
      <w:pPr>
        <w:pStyle w:val="LetteredList"/>
        <w:rPr>
          <w:lang w:val="en-AU" w:eastAsia="en-AU"/>
        </w:rPr>
      </w:pPr>
      <w:r w:rsidRPr="001236BF">
        <w:rPr>
          <w:lang w:val="en-AU" w:eastAsia="en-AU"/>
        </w:rPr>
        <w:t>standards of quality, reliability and safety of the regulated services; and</w:t>
      </w:r>
    </w:p>
    <w:p w:rsidR="00FD5BFB" w:rsidRPr="001236BF" w:rsidRDefault="00FD5BFB" w:rsidP="00FD5BFB">
      <w:pPr>
        <w:pStyle w:val="LetteredList"/>
        <w:rPr>
          <w:lang w:val="en-AU" w:eastAsia="en-AU"/>
        </w:rPr>
      </w:pPr>
      <w:r w:rsidRPr="001236BF">
        <w:rPr>
          <w:lang w:val="en-AU" w:eastAsia="en-AU"/>
        </w:rPr>
        <w:t>the need for greater efficiency in the provision of regulated services to reduce costs to consumers and taxpayers; and</w:t>
      </w:r>
    </w:p>
    <w:p w:rsidR="00FD5BFB" w:rsidRDefault="00FD5BFB" w:rsidP="00FD5BFB">
      <w:pPr>
        <w:pStyle w:val="LetteredList"/>
      </w:pPr>
      <w:r w:rsidRPr="001236BF">
        <w:rPr>
          <w:lang w:val="en-AU" w:eastAsia="en-AU"/>
        </w:rPr>
        <w:t>an appropriate rate of return on any investment in the regul</w:t>
      </w:r>
      <w:r w:rsidR="005C05C1">
        <w:rPr>
          <w:lang w:val="en-AU" w:eastAsia="en-AU"/>
        </w:rPr>
        <w:t>ated industry; and</w:t>
      </w:r>
    </w:p>
    <w:p w:rsidR="00FD5BFB" w:rsidRPr="001236BF" w:rsidRDefault="00FD5BFB" w:rsidP="00FD5BFB">
      <w:pPr>
        <w:pStyle w:val="LetteredList"/>
        <w:rPr>
          <w:lang w:val="en-AU" w:eastAsia="en-AU"/>
        </w:rPr>
      </w:pPr>
      <w:r w:rsidRPr="001236BF">
        <w:rPr>
          <w:lang w:val="en-AU" w:eastAsia="en-AU"/>
        </w:rPr>
        <w:t>the cost of providing the regulated services; and</w:t>
      </w:r>
    </w:p>
    <w:p w:rsidR="00FD5BFB" w:rsidRPr="001236BF" w:rsidRDefault="00FD5BFB" w:rsidP="00FD5BFB">
      <w:pPr>
        <w:pStyle w:val="LetteredList"/>
        <w:rPr>
          <w:lang w:val="en-AU" w:eastAsia="en-AU"/>
        </w:rPr>
      </w:pPr>
      <w:r w:rsidRPr="001236BF">
        <w:rPr>
          <w:lang w:val="en-AU" w:eastAsia="en-AU"/>
        </w:rPr>
        <w:t>the principles of ecologically sustainable developme</w:t>
      </w:r>
      <w:r w:rsidR="005C05C1">
        <w:rPr>
          <w:lang w:val="en-AU" w:eastAsia="en-AU"/>
        </w:rPr>
        <w:t>nt mentioned in subsection (5);</w:t>
      </w:r>
    </w:p>
    <w:p w:rsidR="00FD5BFB" w:rsidRPr="001236BF" w:rsidRDefault="00FD5BFB" w:rsidP="00FD5BFB">
      <w:pPr>
        <w:pStyle w:val="LetteredList"/>
        <w:rPr>
          <w:lang w:val="en-AU" w:eastAsia="en-AU"/>
        </w:rPr>
      </w:pPr>
      <w:r w:rsidRPr="001236BF">
        <w:rPr>
          <w:lang w:val="en-AU" w:eastAsia="en-AU"/>
        </w:rPr>
        <w:lastRenderedPageBreak/>
        <w:t>the social impacts of the decision; and</w:t>
      </w:r>
    </w:p>
    <w:p w:rsidR="00FD5BFB" w:rsidRPr="001236BF" w:rsidRDefault="00FD5BFB" w:rsidP="00FD5BFB">
      <w:pPr>
        <w:pStyle w:val="LetteredList"/>
        <w:rPr>
          <w:lang w:val="en-AU" w:eastAsia="en-AU"/>
        </w:rPr>
      </w:pPr>
      <w:r w:rsidRPr="001236BF">
        <w:rPr>
          <w:lang w:val="en-AU" w:eastAsia="en-AU"/>
        </w:rPr>
        <w:t>considerations of demand management and least cost planning; and</w:t>
      </w:r>
    </w:p>
    <w:p w:rsidR="00FD5BFB" w:rsidRPr="001236BF" w:rsidRDefault="00FD5BFB" w:rsidP="00FD5BFB">
      <w:pPr>
        <w:pStyle w:val="LetteredList"/>
        <w:rPr>
          <w:lang w:val="en-AU" w:eastAsia="en-AU"/>
        </w:rPr>
      </w:pPr>
      <w:r w:rsidRPr="001236BF">
        <w:rPr>
          <w:lang w:val="en-AU" w:eastAsia="en-AU"/>
        </w:rPr>
        <w:t>the borrowing, capital and cash flow requirements of people providing regulated services and the need to renew or increase relevant assets in the regulated industry; and</w:t>
      </w:r>
    </w:p>
    <w:p w:rsidR="00FD5BFB" w:rsidRDefault="00FD5BFB" w:rsidP="00FD5BFB">
      <w:pPr>
        <w:pStyle w:val="LetteredList"/>
      </w:pPr>
      <w:r w:rsidRPr="001236BF">
        <w:rPr>
          <w:lang w:val="en-AU" w:eastAsia="en-AU"/>
        </w:rPr>
        <w:t>the effect on general price inflation over the medium term; and</w:t>
      </w:r>
    </w:p>
    <w:p w:rsidR="00FD5BFB" w:rsidRDefault="00FD5BFB" w:rsidP="00FD5BFB">
      <w:pPr>
        <w:pStyle w:val="LetteredList"/>
      </w:pPr>
      <w:r w:rsidRPr="001236BF">
        <w:rPr>
          <w:lang w:val="en-AU" w:eastAsia="en-AU"/>
        </w:rPr>
        <w:t>any arrangements that a person providing regulated services has entered into for the exercise of its functions by some other person.</w:t>
      </w:r>
      <w:r>
        <w:rPr>
          <w:rStyle w:val="FootnoteReference"/>
          <w:lang w:val="en-AU" w:eastAsia="en-AU"/>
        </w:rPr>
        <w:footnoteReference w:id="15"/>
      </w:r>
    </w:p>
    <w:p w:rsidR="00FD5BFB" w:rsidRPr="00B97A5F" w:rsidRDefault="00FD5BFB" w:rsidP="00FD5BFB">
      <w:r>
        <w:t>Although not strictly required to follow section 20(2) for the purposes of the tariff review, the Commission proposes to have regard to these requirements as if it were conducting a price investigation.</w:t>
      </w:r>
    </w:p>
    <w:p w:rsidR="00FD5BFB" w:rsidRDefault="00FD5BFB" w:rsidP="00FD5BFB">
      <w:pPr>
        <w:pStyle w:val="Heading2"/>
      </w:pPr>
      <w:bookmarkStart w:id="84" w:name="_Government_policy_context"/>
      <w:bookmarkStart w:id="85" w:name="Govt_context"/>
      <w:bookmarkStart w:id="86" w:name="_Toc435700157"/>
      <w:bookmarkEnd w:id="84"/>
      <w:bookmarkEnd w:id="85"/>
      <w:r>
        <w:t>Government policy context</w:t>
      </w:r>
      <w:bookmarkEnd w:id="86"/>
    </w:p>
    <w:p w:rsidR="00FD5BFB" w:rsidRDefault="00FD5BFB" w:rsidP="00FD5BFB">
      <w:r>
        <w:t>When undertaking a price investigation, the Com</w:t>
      </w:r>
      <w:r w:rsidR="00DC1ED9">
        <w:t xml:space="preserve">mission is often instructed by </w:t>
      </w:r>
      <w:r>
        <w:t xml:space="preserve">a terms of reference to take into consideration the </w:t>
      </w:r>
      <w:r w:rsidRPr="00235F5C">
        <w:t>policies of the ACT Government as they relate to water security and the</w:t>
      </w:r>
      <w:r>
        <w:t xml:space="preserve"> </w:t>
      </w:r>
      <w:r w:rsidRPr="00235F5C">
        <w:t>use of water</w:t>
      </w:r>
      <w:r>
        <w:t xml:space="preserve"> and </w:t>
      </w:r>
      <w:r w:rsidRPr="00235F5C">
        <w:t>national water initiatives, policies and agreements</w:t>
      </w:r>
      <w:r w:rsidR="00CE3F60">
        <w:t>. In line with the Commission’</w:t>
      </w:r>
      <w:r>
        <w:t>s decision on the section 20(2) requirements, the Commission will take into account ACT Government and national policies relevant to tariff design and pricing in conducting th</w:t>
      </w:r>
      <w:r w:rsidR="00DC1ED9">
        <w:t>e tariff review.</w:t>
      </w:r>
    </w:p>
    <w:p w:rsidR="00FD5BFB" w:rsidRDefault="00FD5BFB" w:rsidP="00101ADB">
      <w:pPr>
        <w:pStyle w:val="Heading3"/>
      </w:pPr>
      <w:bookmarkStart w:id="87" w:name="_Ref431892917"/>
      <w:r>
        <w:t>ACT</w:t>
      </w:r>
      <w:bookmarkEnd w:id="87"/>
      <w:r w:rsidR="005C05C1">
        <w:t xml:space="preserve"> Government policies, arrangements and projects</w:t>
      </w:r>
    </w:p>
    <w:p w:rsidR="00FD5BFB" w:rsidRDefault="00FD5BFB" w:rsidP="00FD5BFB">
      <w:r>
        <w:t>The Commission has identified a number of ACT Government policies, administrative arrangements and projects, discussed below, that are relevant to tariff review.</w:t>
      </w:r>
    </w:p>
    <w:p w:rsidR="00FD5BFB" w:rsidRDefault="00FD5BFB" w:rsidP="00FD5BFB">
      <w:pPr>
        <w:pStyle w:val="Heading4"/>
      </w:pPr>
      <w:r>
        <w:t>The ACT Water Strategy 2014</w:t>
      </w:r>
      <w:r>
        <w:sym w:font="Symbol" w:char="F02D"/>
      </w:r>
      <w:r>
        <w:t>44</w:t>
      </w:r>
    </w:p>
    <w:p w:rsidR="00FD5BFB" w:rsidRDefault="00FD5BFB" w:rsidP="00FD5BFB">
      <w:r>
        <w:t xml:space="preserve">The </w:t>
      </w:r>
      <w:r w:rsidRPr="00A74EE0">
        <w:rPr>
          <w:rStyle w:val="Italic"/>
        </w:rPr>
        <w:t>ACT Water Strategy 2014</w:t>
      </w:r>
      <w:r w:rsidRPr="00A74EE0">
        <w:rPr>
          <w:rStyle w:val="Italic"/>
        </w:rPr>
        <w:sym w:font="Symbol" w:char="F02D"/>
      </w:r>
      <w:r w:rsidRPr="00A74EE0">
        <w:rPr>
          <w:rStyle w:val="Italic"/>
        </w:rPr>
        <w:t>44: Striking the Balance</w:t>
      </w:r>
      <w:r>
        <w:t xml:space="preserve"> (the ACT water strate</w:t>
      </w:r>
      <w:r w:rsidR="00CE3F60">
        <w:t>gy) sets out the ACT Government’</w:t>
      </w:r>
      <w:r>
        <w:t xml:space="preserve">s overarching </w:t>
      </w:r>
      <w:r w:rsidRPr="00A436F5">
        <w:t>long</w:t>
      </w:r>
      <w:r w:rsidR="005C05C1">
        <w:t>-</w:t>
      </w:r>
      <w:r w:rsidRPr="00A436F5">
        <w:t xml:space="preserve">term water resources </w:t>
      </w:r>
      <w:r>
        <w:t xml:space="preserve">management policy. The strategy is intended to achieve three outcomes, the second of which </w:t>
      </w:r>
      <w:r>
        <w:sym w:font="Symbol" w:char="F02D"/>
      </w:r>
      <w:r>
        <w:t xml:space="preserve"> a sustainable water supply used efficiently </w:t>
      </w:r>
      <w:r>
        <w:sym w:font="Symbol" w:char="F02D"/>
      </w:r>
      <w:r>
        <w:t xml:space="preserve"> is of primary interest for the tariff review. Strategy 5</w:t>
      </w:r>
      <w:r w:rsidR="005C05C1">
        <w:t>,</w:t>
      </w:r>
      <w:r>
        <w:t xml:space="preserve"> directed to this outcome</w:t>
      </w:r>
      <w:r w:rsidR="005C05C1">
        <w:t>,</w:t>
      </w:r>
      <w:r>
        <w:t xml:space="preserve"> is to manage and promote the sustainable use of water. Action 15 under this strategy is to encourage water users to conserve and use water wisely</w:t>
      </w:r>
      <w:r w:rsidR="005C05C1">
        <w:t xml:space="preserve"> (see Box 2.1)</w:t>
      </w:r>
      <w:r>
        <w:t>.</w:t>
      </w:r>
    </w:p>
    <w:p w:rsidR="00FD5BFB" w:rsidRPr="002F6E22" w:rsidRDefault="00FD5BFB" w:rsidP="00FD5BFB">
      <w:pPr>
        <w:pStyle w:val="FigureName"/>
        <w:keepNext/>
      </w:pPr>
      <w:bookmarkStart w:id="88" w:name="_Toc435700202"/>
      <w:r>
        <w:lastRenderedPageBreak/>
        <w:t xml:space="preserve">Box </w:t>
      </w:r>
      <w:r w:rsidR="00A7215E">
        <w:fldChar w:fldCharType="begin"/>
      </w:r>
      <w:r>
        <w:instrText xml:space="preserve"> STYLEREF 1 \s </w:instrText>
      </w:r>
      <w:r w:rsidR="00A7215E">
        <w:fldChar w:fldCharType="separate"/>
      </w:r>
      <w:r w:rsidR="00E43227">
        <w:rPr>
          <w:noProof/>
        </w:rPr>
        <w:t>2</w:t>
      </w:r>
      <w:r w:rsidR="00A7215E">
        <w:fldChar w:fldCharType="end"/>
      </w:r>
      <w:r w:rsidRPr="002F6E22">
        <w:t>.</w:t>
      </w:r>
      <w:r w:rsidR="00A7215E">
        <w:fldChar w:fldCharType="begin"/>
      </w:r>
      <w:r>
        <w:instrText xml:space="preserve"> SEQ Box \* ARABIC \s 1 </w:instrText>
      </w:r>
      <w:r w:rsidR="00A7215E">
        <w:fldChar w:fldCharType="separate"/>
      </w:r>
      <w:r w:rsidR="00E43227">
        <w:rPr>
          <w:noProof/>
        </w:rPr>
        <w:t>1</w:t>
      </w:r>
      <w:r w:rsidR="00A7215E">
        <w:fldChar w:fldCharType="end"/>
      </w:r>
      <w:r w:rsidRPr="002F6E22">
        <w:tab/>
      </w:r>
      <w:r>
        <w:t>ACT water strategy Outcome 2</w:t>
      </w:r>
      <w:bookmarkEnd w:id="88"/>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shd w:val="clear" w:color="auto" w:fill="DBE5F1"/>
        <w:tblLook w:val="04A0"/>
      </w:tblPr>
      <w:tblGrid>
        <w:gridCol w:w="7927"/>
      </w:tblGrid>
      <w:tr w:rsidR="00FD5BFB" w:rsidTr="00BC5669">
        <w:trPr>
          <w:cantSplit/>
          <w:trHeight w:val="2069"/>
        </w:trPr>
        <w:tc>
          <w:tcPr>
            <w:tcW w:w="7927" w:type="dxa"/>
            <w:shd w:val="clear" w:color="auto" w:fill="DBE5F1"/>
          </w:tcPr>
          <w:p w:rsidR="00FD5BFB" w:rsidRDefault="00FD5BFB" w:rsidP="00BC5669">
            <w:pPr>
              <w:keepNext/>
              <w:rPr>
                <w:rStyle w:val="Bold"/>
                <w:rFonts w:ascii="Arial Narrow" w:hAnsi="Arial Narrow"/>
                <w:b w:val="0"/>
                <w:sz w:val="20"/>
              </w:rPr>
            </w:pPr>
            <w:r w:rsidRPr="00F367CB">
              <w:rPr>
                <w:rStyle w:val="Bold"/>
              </w:rPr>
              <w:t>OUTCOME 2: A sustainabl</w:t>
            </w:r>
            <w:r w:rsidR="005C05C1">
              <w:rPr>
                <w:rStyle w:val="Bold"/>
              </w:rPr>
              <w:t>e water supply used efficiently</w:t>
            </w:r>
          </w:p>
          <w:p w:rsidR="00FD5BFB" w:rsidRDefault="00FD5BFB" w:rsidP="00BC5669">
            <w:pPr>
              <w:keepNext/>
              <w:rPr>
                <w:rStyle w:val="Italic"/>
                <w:rFonts w:ascii="Arial Narrow" w:hAnsi="Arial Narrow"/>
                <w:b/>
                <w:sz w:val="20"/>
              </w:rPr>
            </w:pPr>
            <w:r w:rsidRPr="00F367CB">
              <w:rPr>
                <w:rStyle w:val="Italic"/>
              </w:rPr>
              <w:t>An integrated and efficient water supply system that provides for the optimal mix of supply options, encourages efficient use of water, and is resilient to climate variability, and supports the social, economic and environmen</w:t>
            </w:r>
            <w:r w:rsidR="005C05C1">
              <w:rPr>
                <w:rStyle w:val="Italic"/>
              </w:rPr>
              <w:t>tal needs of the ACT community.</w:t>
            </w:r>
          </w:p>
          <w:p w:rsidR="00FD5BFB" w:rsidRDefault="00FD5BFB" w:rsidP="00BC5669">
            <w:pPr>
              <w:keepNext/>
              <w:rPr>
                <w:rStyle w:val="Bold"/>
                <w:rFonts w:ascii="Arial Narrow" w:hAnsi="Arial Narrow"/>
                <w:b w:val="0"/>
                <w:sz w:val="20"/>
              </w:rPr>
            </w:pPr>
            <w:r w:rsidRPr="00F367CB">
              <w:rPr>
                <w:rStyle w:val="Bold"/>
              </w:rPr>
              <w:t xml:space="preserve">STRATEGY 5: Manage and promote </w:t>
            </w:r>
            <w:r w:rsidR="005C05C1">
              <w:rPr>
                <w:rStyle w:val="Bold"/>
              </w:rPr>
              <w:t>the</w:t>
            </w:r>
            <w:r w:rsidRPr="00F367CB">
              <w:rPr>
                <w:rStyle w:val="Bold"/>
              </w:rPr>
              <w:t xml:space="preserve"> sustainable use of water</w:t>
            </w:r>
          </w:p>
          <w:p w:rsidR="00FD5BFB" w:rsidRDefault="00FD5BFB" w:rsidP="00BC5669">
            <w:pPr>
              <w:keepNext/>
            </w:pPr>
            <w:r w:rsidRPr="00F367CB">
              <w:t>Actions 14 Improve and monitor provision of water services</w:t>
            </w:r>
          </w:p>
          <w:p w:rsidR="00FD5BFB" w:rsidRDefault="00FD5BFB" w:rsidP="00BC5669">
            <w:pPr>
              <w:keepNext/>
            </w:pPr>
            <w:r>
              <w:t xml:space="preserve">              </w:t>
            </w:r>
            <w:r w:rsidRPr="00F367CB">
              <w:t>15 Encourage water users to conserve and use water wisely</w:t>
            </w:r>
          </w:p>
        </w:tc>
      </w:tr>
    </w:tbl>
    <w:p w:rsidR="00FD5BFB" w:rsidRDefault="00FD5BFB" w:rsidP="00FD5BFB">
      <w:pPr>
        <w:pStyle w:val="TableNotesLast"/>
        <w:keepNext/>
      </w:pPr>
      <w:r>
        <w:t>Source:</w:t>
      </w:r>
      <w:r>
        <w:tab/>
      </w:r>
      <w:r>
        <w:rPr>
          <w:noProof/>
        </w:rPr>
        <w:t>ACT Government (2014c)</w:t>
      </w:r>
      <w:r>
        <w:t>.</w:t>
      </w:r>
    </w:p>
    <w:p w:rsidR="00FD5BFB" w:rsidRDefault="00FD5BFB" w:rsidP="00FD5BFB">
      <w:r>
        <w:t xml:space="preserve">The ACT water strategy notes the progress in reducing per capita water consumption since the introduction of the previous water strategy </w:t>
      </w:r>
      <w:r w:rsidRPr="00390CC8">
        <w:rPr>
          <w:rStyle w:val="Italic"/>
        </w:rPr>
        <w:t>Think water</w:t>
      </w:r>
      <w:r w:rsidR="00277C50">
        <w:rPr>
          <w:rStyle w:val="Italic"/>
        </w:rPr>
        <w:t>,</w:t>
      </w:r>
      <w:r w:rsidRPr="00390CC8">
        <w:rPr>
          <w:rStyle w:val="Italic"/>
        </w:rPr>
        <w:t xml:space="preserve"> Act water</w:t>
      </w:r>
      <w:r>
        <w:t xml:space="preserve"> in 2004, stating that the </w:t>
      </w:r>
      <w:r w:rsidR="00A74EE0">
        <w:t>previous strategy’s</w:t>
      </w:r>
      <w:r>
        <w:t xml:space="preserve"> target has already been met:</w:t>
      </w:r>
    </w:p>
    <w:p w:rsidR="00FD5BFB" w:rsidRDefault="00FD5BFB" w:rsidP="00FD5BFB">
      <w:pPr>
        <w:pStyle w:val="Quote"/>
      </w:pPr>
      <w:r w:rsidRPr="00762370">
        <w:t>The ACT Government has made significant investments in actions to reduce demand from the ACT’s primary water supply system, and has already achieved its water efficiency targets set under TWAW (25% reduction in mains water compared with 2003 levels).</w:t>
      </w:r>
      <w:r>
        <w:rPr>
          <w:rStyle w:val="FootnoteReference"/>
        </w:rPr>
        <w:footnoteReference w:id="16"/>
      </w:r>
    </w:p>
    <w:p w:rsidR="00FD5BFB" w:rsidRPr="001D115F" w:rsidRDefault="00FD5BFB" w:rsidP="00FD5BFB">
      <w:pPr>
        <w:rPr>
          <w:lang w:val="en-AU" w:eastAsia="en-AU"/>
        </w:rPr>
      </w:pPr>
      <w:r>
        <w:t>It also proposes exploring the following approaches in an effort to identify further cost</w:t>
      </w:r>
      <w:r w:rsidR="00A74EE0">
        <w:t>-</w:t>
      </w:r>
      <w:r>
        <w:t>effective water efficiency measures:</w:t>
      </w:r>
    </w:p>
    <w:p w:rsidR="00FD5BFB" w:rsidRPr="001D115F" w:rsidRDefault="00FD5BFB" w:rsidP="00FD5BFB">
      <w:pPr>
        <w:pStyle w:val="Bullet"/>
      </w:pPr>
      <w:r w:rsidRPr="001D115F">
        <w:t>Investigate the use of scarcity pricing in p</w:t>
      </w:r>
      <w:r w:rsidR="00DC1ED9">
        <w:t>romoting water use efficien</w:t>
      </w:r>
      <w:r w:rsidR="00ED418B">
        <w:t>c</w:t>
      </w:r>
      <w:r w:rsidR="00DC1ED9">
        <w:t>y.</w:t>
      </w:r>
    </w:p>
    <w:p w:rsidR="00FD5BFB" w:rsidRPr="001D115F" w:rsidRDefault="00FD5BFB" w:rsidP="00FD5BFB">
      <w:pPr>
        <w:pStyle w:val="Bullet"/>
      </w:pPr>
      <w:r w:rsidRPr="001D115F">
        <w:t>Further improve the efficiency of non-residential water use through the Perma</w:t>
      </w:r>
      <w:r w:rsidR="005C05C1">
        <w:t>nent Water Conservation Scheme.</w:t>
      </w:r>
    </w:p>
    <w:p w:rsidR="00FD5BFB" w:rsidRPr="001D115F" w:rsidRDefault="00FD5BFB" w:rsidP="00FD5BFB">
      <w:pPr>
        <w:pStyle w:val="Bullet"/>
      </w:pPr>
      <w:r w:rsidRPr="001D115F">
        <w:t>Improve alignment of the Permanent Water Conservation Scheme with temporary water restrictions to increase the chance of short</w:t>
      </w:r>
      <w:r w:rsidR="005C05C1">
        <w:t>-</w:t>
      </w:r>
      <w:r w:rsidRPr="001D115F">
        <w:t>term efficiencies being maintained over the long</w:t>
      </w:r>
      <w:r w:rsidR="005C05C1">
        <w:t xml:space="preserve"> term.</w:t>
      </w:r>
    </w:p>
    <w:p w:rsidR="00FD5BFB" w:rsidRDefault="00FD5BFB" w:rsidP="00FD5BFB">
      <w:pPr>
        <w:pStyle w:val="BulletLast"/>
      </w:pPr>
      <w:r w:rsidRPr="001D115F">
        <w:t>Continue to implement well</w:t>
      </w:r>
      <w:r w:rsidR="004819FB">
        <w:t>-</w:t>
      </w:r>
      <w:r w:rsidRPr="001D115F">
        <w:t>designed and targeted public education and awareness campaigns on efficient water use over the long</w:t>
      </w:r>
      <w:r w:rsidR="004819FB">
        <w:t xml:space="preserve"> </w:t>
      </w:r>
      <w:r w:rsidRPr="001D115F">
        <w:t>term.</w:t>
      </w:r>
      <w:r>
        <w:rPr>
          <w:rStyle w:val="FootnoteReference"/>
        </w:rPr>
        <w:footnoteReference w:id="17"/>
      </w:r>
    </w:p>
    <w:p w:rsidR="00FD5BFB" w:rsidRDefault="00FD5BFB" w:rsidP="00FD5BFB">
      <w:r>
        <w:t>The ACT water strategy also sets out a number of water efficiency targets</w:t>
      </w:r>
      <w:r w:rsidR="004819FB">
        <w:t>,</w:t>
      </w:r>
      <w:r>
        <w:t xml:space="preserve"> as shown in Box 2.2.</w:t>
      </w:r>
    </w:p>
    <w:p w:rsidR="00FD5BFB" w:rsidRPr="002F6E22" w:rsidRDefault="00FD5BFB" w:rsidP="00FD5BFB">
      <w:pPr>
        <w:pStyle w:val="FigureName"/>
        <w:keepNext/>
      </w:pPr>
      <w:bookmarkStart w:id="89" w:name="_Toc435700203"/>
      <w:r>
        <w:lastRenderedPageBreak/>
        <w:t xml:space="preserve">Box </w:t>
      </w:r>
      <w:r w:rsidR="00A7215E">
        <w:fldChar w:fldCharType="begin"/>
      </w:r>
      <w:r>
        <w:instrText xml:space="preserve"> STYLEREF 1 \s </w:instrText>
      </w:r>
      <w:r w:rsidR="00A7215E">
        <w:fldChar w:fldCharType="separate"/>
      </w:r>
      <w:r w:rsidR="00E43227">
        <w:rPr>
          <w:noProof/>
        </w:rPr>
        <w:t>2</w:t>
      </w:r>
      <w:r w:rsidR="00A7215E">
        <w:fldChar w:fldCharType="end"/>
      </w:r>
      <w:r w:rsidRPr="002F6E22">
        <w:t>.</w:t>
      </w:r>
      <w:r w:rsidR="00A7215E">
        <w:fldChar w:fldCharType="begin"/>
      </w:r>
      <w:r>
        <w:instrText xml:space="preserve"> SEQ Box \* ARABIC \s 1 </w:instrText>
      </w:r>
      <w:r w:rsidR="00A7215E">
        <w:fldChar w:fldCharType="separate"/>
      </w:r>
      <w:r w:rsidR="00E43227">
        <w:rPr>
          <w:noProof/>
        </w:rPr>
        <w:t>2</w:t>
      </w:r>
      <w:r w:rsidR="00A7215E">
        <w:fldChar w:fldCharType="end"/>
      </w:r>
      <w:r w:rsidRPr="002F6E22">
        <w:tab/>
      </w:r>
      <w:r>
        <w:t>ACT water strategy water efficiency targets</w:t>
      </w:r>
      <w:bookmarkEnd w:id="89"/>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shd w:val="clear" w:color="auto" w:fill="DBE5F1"/>
        <w:tblLook w:val="04A0"/>
      </w:tblPr>
      <w:tblGrid>
        <w:gridCol w:w="7927"/>
      </w:tblGrid>
      <w:tr w:rsidR="00FD5BFB" w:rsidTr="00BC5669">
        <w:trPr>
          <w:cantSplit/>
          <w:trHeight w:val="2069"/>
        </w:trPr>
        <w:tc>
          <w:tcPr>
            <w:tcW w:w="7927" w:type="dxa"/>
            <w:shd w:val="clear" w:color="auto" w:fill="DBE5F1"/>
          </w:tcPr>
          <w:p w:rsidR="00FD5BFB" w:rsidRPr="002F6E22" w:rsidRDefault="00FD5BFB" w:rsidP="00BC5669">
            <w:pPr>
              <w:pStyle w:val="Quote"/>
              <w:rPr>
                <w:rStyle w:val="Bold"/>
              </w:rPr>
            </w:pPr>
            <w:r w:rsidRPr="002F6E22">
              <w:rPr>
                <w:rStyle w:val="Bold"/>
              </w:rPr>
              <w:t>Targets related to Outcome 2 – A sustainabl</w:t>
            </w:r>
            <w:r w:rsidR="00A74EE0">
              <w:rPr>
                <w:rStyle w:val="Bold"/>
              </w:rPr>
              <w:t>e water supply used efficiently</w:t>
            </w:r>
          </w:p>
          <w:p w:rsidR="00FD5BFB" w:rsidRPr="002F6E22" w:rsidRDefault="00FD5BFB" w:rsidP="00BC5669">
            <w:pPr>
              <w:pStyle w:val="Quote"/>
              <w:rPr>
                <w:rStyle w:val="Bold"/>
              </w:rPr>
            </w:pPr>
            <w:r w:rsidRPr="002F6E22">
              <w:rPr>
                <w:rStyle w:val="Bold"/>
              </w:rPr>
              <w:t xml:space="preserve">2. Live within the </w:t>
            </w:r>
            <w:r w:rsidR="00C7433B">
              <w:rPr>
                <w:rStyle w:val="Bold"/>
              </w:rPr>
              <w:t>sustainable diversion limit</w:t>
            </w:r>
            <w:r w:rsidRPr="002F6E22">
              <w:rPr>
                <w:rStyle w:val="Bold"/>
              </w:rPr>
              <w:t xml:space="preserve"> set for the ACT (30</w:t>
            </w:r>
            <w:r w:rsidR="00A74EE0">
              <w:rPr>
                <w:rStyle w:val="Bold"/>
              </w:rPr>
              <w:t>-year target)</w:t>
            </w:r>
          </w:p>
          <w:p w:rsidR="00FD5BFB" w:rsidRPr="002F6E22" w:rsidRDefault="00A74EE0" w:rsidP="00BC5669">
            <w:pPr>
              <w:pStyle w:val="Quote"/>
              <w:rPr>
                <w:rStyle w:val="Bold"/>
              </w:rPr>
            </w:pPr>
            <w:r>
              <w:rPr>
                <w:rStyle w:val="Bold"/>
              </w:rPr>
              <w:t>Indicators</w:t>
            </w:r>
          </w:p>
          <w:p w:rsidR="00FD5BFB" w:rsidRPr="002F6E22" w:rsidRDefault="00FD5BFB" w:rsidP="00BC5669">
            <w:pPr>
              <w:pStyle w:val="QuoteBullet"/>
            </w:pPr>
            <w:r w:rsidRPr="002F6E22">
              <w:t xml:space="preserve">Meeting the </w:t>
            </w:r>
            <w:r w:rsidR="00ED236A" w:rsidRPr="00ED236A">
              <w:rPr>
                <w:i/>
              </w:rPr>
              <w:t>Think water, act water</w:t>
            </w:r>
            <w:r w:rsidRPr="002F6E22">
              <w:t xml:space="preserve"> (2004) 25% reduction in mains water u</w:t>
            </w:r>
            <w:r w:rsidR="00A74EE0">
              <w:t>sage per capita target by 2023.</w:t>
            </w:r>
          </w:p>
          <w:p w:rsidR="00FD5BFB" w:rsidRPr="002F6E22" w:rsidRDefault="00FD5BFB" w:rsidP="00BC5669">
            <w:pPr>
              <w:pStyle w:val="QuoteBullet"/>
            </w:pPr>
            <w:r w:rsidRPr="002F6E22">
              <w:t>Meeting the 40% target under the W</w:t>
            </w:r>
            <w:r w:rsidR="00C7433B">
              <w:t xml:space="preserve">ater </w:t>
            </w:r>
            <w:r w:rsidRPr="002F6E22">
              <w:t>S</w:t>
            </w:r>
            <w:r w:rsidR="00C7433B">
              <w:t xml:space="preserve">ensitive </w:t>
            </w:r>
            <w:r w:rsidRPr="002F6E22">
              <w:t>U</w:t>
            </w:r>
            <w:r w:rsidR="00C7433B">
              <w:t xml:space="preserve">rban </w:t>
            </w:r>
            <w:r w:rsidRPr="002F6E22">
              <w:t>D</w:t>
            </w:r>
            <w:r w:rsidR="00C7433B">
              <w:t>esign</w:t>
            </w:r>
            <w:r w:rsidR="004C3798">
              <w:t xml:space="preserve"> C</w:t>
            </w:r>
            <w:r w:rsidRPr="002F6E22">
              <w:t>ode for reducing mains water usage in new developments,</w:t>
            </w:r>
            <w:r w:rsidR="00A74EE0">
              <w:t xml:space="preserve"> extensions and refurbishments.</w:t>
            </w:r>
          </w:p>
          <w:p w:rsidR="00FD5BFB" w:rsidRPr="002F6E22" w:rsidRDefault="00FD5BFB" w:rsidP="00BC5669">
            <w:pPr>
              <w:pStyle w:val="QuoteBullet"/>
            </w:pPr>
            <w:r w:rsidRPr="002F6E22">
              <w:t>Maintaining the measures set under the Permanent Water Conservation Scheme and investigate any poss</w:t>
            </w:r>
            <w:r w:rsidR="00C7433B">
              <w:t>ible extension of the measures.</w:t>
            </w:r>
          </w:p>
          <w:p w:rsidR="00FD5BFB" w:rsidRPr="002F6E22" w:rsidRDefault="00FD5BFB" w:rsidP="00BC5669">
            <w:pPr>
              <w:pStyle w:val="Quote"/>
              <w:rPr>
                <w:rStyle w:val="Bold"/>
              </w:rPr>
            </w:pPr>
            <w:r w:rsidRPr="002F6E22">
              <w:rPr>
                <w:rStyle w:val="Bold"/>
              </w:rPr>
              <w:t>2a. (Interim target) Measurable reduction in mains consumption for non-residential water use (five</w:t>
            </w:r>
            <w:r w:rsidR="00A74EE0">
              <w:rPr>
                <w:rStyle w:val="Bold"/>
              </w:rPr>
              <w:t>-year target, 2019)</w:t>
            </w:r>
          </w:p>
          <w:p w:rsidR="00FD5BFB" w:rsidRPr="002F6E22" w:rsidRDefault="00A74EE0" w:rsidP="00BC5669">
            <w:pPr>
              <w:pStyle w:val="Quote"/>
              <w:rPr>
                <w:rStyle w:val="Bold"/>
              </w:rPr>
            </w:pPr>
            <w:r>
              <w:rPr>
                <w:rStyle w:val="Bold"/>
              </w:rPr>
              <w:t>Indicators</w:t>
            </w:r>
          </w:p>
          <w:p w:rsidR="00FD5BFB" w:rsidRPr="002F6E22" w:rsidRDefault="00FD5BFB" w:rsidP="00BC5669">
            <w:pPr>
              <w:pStyle w:val="QuoteBullet"/>
            </w:pPr>
            <w:r w:rsidRPr="002F6E22">
              <w:t>Measurable reduction in mains consumption for non-residential water use (against 2013 levels) (five</w:t>
            </w:r>
            <w:r w:rsidR="00A74EE0">
              <w:t>-year target, 2019).</w:t>
            </w:r>
          </w:p>
          <w:p w:rsidR="00FD5BFB" w:rsidRPr="002F6E22" w:rsidRDefault="00FD5BFB" w:rsidP="00BC5669">
            <w:pPr>
              <w:pStyle w:val="QuoteBullet"/>
            </w:pPr>
            <w:r w:rsidRPr="002F6E22">
              <w:t>Reduction in water use through schools (overall water use, litres per student per annum water use) through the A</w:t>
            </w:r>
            <w:r w:rsidR="00FF4E09">
              <w:t>cts</w:t>
            </w:r>
            <w:r w:rsidRPr="002F6E22">
              <w:t xml:space="preserve">mart Schools </w:t>
            </w:r>
            <w:r w:rsidR="00FF4E09">
              <w:t>p</w:t>
            </w:r>
            <w:r w:rsidRPr="002F6E22">
              <w:t>rogram.</w:t>
            </w:r>
          </w:p>
        </w:tc>
      </w:tr>
    </w:tbl>
    <w:p w:rsidR="00FD5BFB" w:rsidRDefault="00FD5BFB" w:rsidP="00FD5BFB">
      <w:pPr>
        <w:pStyle w:val="TableNotesLast"/>
      </w:pPr>
      <w:r>
        <w:t>Source:</w:t>
      </w:r>
      <w:r>
        <w:tab/>
      </w:r>
      <w:r>
        <w:rPr>
          <w:noProof/>
        </w:rPr>
        <w:t>ACT Government (2014c)</w:t>
      </w:r>
      <w:r>
        <w:t>.</w:t>
      </w:r>
    </w:p>
    <w:p w:rsidR="00FD5BFB" w:rsidRDefault="00FD5BFB" w:rsidP="00FD5BFB">
      <w:r>
        <w:t xml:space="preserve">Along with the </w:t>
      </w:r>
      <w:r w:rsidR="00FF4E09">
        <w:t xml:space="preserve">water </w:t>
      </w:r>
      <w:r>
        <w:t>strategy, the ACT Government also published an implementation plan for the first four years of its 30</w:t>
      </w:r>
      <w:r w:rsidR="00A74EE0">
        <w:t>-</w:t>
      </w:r>
      <w:r>
        <w:t>year planning horizon. This includes a number of sub-actions to encouraging water users to conserve and use wat</w:t>
      </w:r>
      <w:r w:rsidR="00A74EE0">
        <w:t>er wisely, as shown in Box 2.3.</w:t>
      </w:r>
    </w:p>
    <w:p w:rsidR="00FD5BFB" w:rsidRPr="002F6E22" w:rsidRDefault="00FD5BFB" w:rsidP="00FD5BFB">
      <w:pPr>
        <w:pStyle w:val="FigureName"/>
      </w:pPr>
      <w:bookmarkStart w:id="90" w:name="_Toc435700204"/>
      <w:r>
        <w:t xml:space="preserve">Box </w:t>
      </w:r>
      <w:r w:rsidR="00A7215E">
        <w:fldChar w:fldCharType="begin"/>
      </w:r>
      <w:r>
        <w:instrText xml:space="preserve"> STYLEREF 1 \s </w:instrText>
      </w:r>
      <w:r w:rsidR="00A7215E">
        <w:fldChar w:fldCharType="separate"/>
      </w:r>
      <w:r w:rsidR="00E43227">
        <w:rPr>
          <w:noProof/>
        </w:rPr>
        <w:t>2</w:t>
      </w:r>
      <w:r w:rsidR="00A7215E">
        <w:fldChar w:fldCharType="end"/>
      </w:r>
      <w:r w:rsidRPr="002F6E22">
        <w:t>.</w:t>
      </w:r>
      <w:r w:rsidR="00A7215E">
        <w:fldChar w:fldCharType="begin"/>
      </w:r>
      <w:r>
        <w:instrText xml:space="preserve"> SEQ Box \* ARABIC \s 1 </w:instrText>
      </w:r>
      <w:r w:rsidR="00A7215E">
        <w:fldChar w:fldCharType="separate"/>
      </w:r>
      <w:r w:rsidR="00E43227">
        <w:rPr>
          <w:noProof/>
        </w:rPr>
        <w:t>3</w:t>
      </w:r>
      <w:r w:rsidR="00A7215E">
        <w:fldChar w:fldCharType="end"/>
      </w:r>
      <w:r w:rsidRPr="002F6E22">
        <w:tab/>
      </w:r>
      <w:r>
        <w:t>ACT water strategy sub-actions</w:t>
      </w:r>
      <w:bookmarkEnd w:id="90"/>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shd w:val="clear" w:color="auto" w:fill="DBE5F1"/>
        <w:tblLook w:val="04A0"/>
      </w:tblPr>
      <w:tblGrid>
        <w:gridCol w:w="7927"/>
      </w:tblGrid>
      <w:tr w:rsidR="00FD5BFB" w:rsidTr="00BC5669">
        <w:trPr>
          <w:cantSplit/>
          <w:trHeight w:val="2069"/>
        </w:trPr>
        <w:tc>
          <w:tcPr>
            <w:tcW w:w="7927" w:type="dxa"/>
            <w:shd w:val="clear" w:color="auto" w:fill="DBE5F1"/>
          </w:tcPr>
          <w:p w:rsidR="00FD5BFB" w:rsidRPr="00930048" w:rsidRDefault="00FD5BFB" w:rsidP="00BC5669">
            <w:pPr>
              <w:pStyle w:val="Quote"/>
              <w:rPr>
                <w:rStyle w:val="Bold"/>
              </w:rPr>
            </w:pPr>
            <w:r w:rsidRPr="00930048">
              <w:rPr>
                <w:rStyle w:val="Bold"/>
              </w:rPr>
              <w:t>Action 15</w:t>
            </w:r>
            <w:r w:rsidR="00FF4E09">
              <w:rPr>
                <w:rStyle w:val="Bold"/>
              </w:rPr>
              <w:t>:</w:t>
            </w:r>
            <w:r w:rsidRPr="00930048">
              <w:rPr>
                <w:rStyle w:val="Bold"/>
              </w:rPr>
              <w:t xml:space="preserve"> Encourage water users to conserve and use water wisely</w:t>
            </w:r>
          </w:p>
          <w:p w:rsidR="00FD5BFB" w:rsidRDefault="00FD5BFB" w:rsidP="00BC5669">
            <w:pPr>
              <w:pStyle w:val="Quote"/>
            </w:pPr>
            <w:r w:rsidRPr="00930048">
              <w:t>15.1 Explore the effectiveness of water pricing in promoting water use efficiency (2016).</w:t>
            </w:r>
          </w:p>
          <w:p w:rsidR="00FD5BFB" w:rsidRDefault="00FD5BFB" w:rsidP="00BC5669">
            <w:pPr>
              <w:pStyle w:val="Quote"/>
            </w:pPr>
            <w:r w:rsidRPr="00930048">
              <w:t>15.2 Improve efficiency of non-residential water use:</w:t>
            </w:r>
            <w:r>
              <w:t xml:space="preserve"> </w:t>
            </w:r>
            <w:r w:rsidRPr="00930048">
              <w:t>develop a Permanent Water Conservation Scheme for non</w:t>
            </w:r>
            <w:r>
              <w:t>-</w:t>
            </w:r>
            <w:r w:rsidRPr="00930048">
              <w:t>residential water users in consultation with industry (2014).</w:t>
            </w:r>
          </w:p>
          <w:p w:rsidR="00FD5BFB" w:rsidRPr="002F6E22" w:rsidRDefault="00FD5BFB" w:rsidP="00BC5669">
            <w:pPr>
              <w:pStyle w:val="Quote"/>
            </w:pPr>
            <w:r w:rsidRPr="00930048">
              <w:t>15.3 Deliver water efficiency programs and education to ACT residents, schools and businesses through A</w:t>
            </w:r>
            <w:r w:rsidR="008821BE">
              <w:t>cts</w:t>
            </w:r>
            <w:r w:rsidRPr="00930048">
              <w:t xml:space="preserve">mart </w:t>
            </w:r>
            <w:r w:rsidR="008821BE">
              <w:t>p</w:t>
            </w:r>
            <w:r w:rsidRPr="00930048">
              <w:t>rograms.</w:t>
            </w:r>
          </w:p>
        </w:tc>
      </w:tr>
    </w:tbl>
    <w:p w:rsidR="00FD5BFB" w:rsidRDefault="00FD5BFB" w:rsidP="00FD5BFB">
      <w:pPr>
        <w:pStyle w:val="TableNotesLast"/>
      </w:pPr>
      <w:r>
        <w:t>Source:</w:t>
      </w:r>
      <w:r>
        <w:tab/>
      </w:r>
      <w:r>
        <w:rPr>
          <w:noProof/>
        </w:rPr>
        <w:t>ACT Government (2014d)</w:t>
      </w:r>
      <w:r>
        <w:t>.</w:t>
      </w:r>
    </w:p>
    <w:p w:rsidR="00FD5BFB" w:rsidRDefault="00FD5BFB" w:rsidP="00FD5BFB">
      <w:pPr>
        <w:pStyle w:val="Heading4"/>
      </w:pPr>
      <w:r>
        <w:lastRenderedPageBreak/>
        <w:t>Permanent water conservation measures a</w:t>
      </w:r>
      <w:r w:rsidR="002C221F">
        <w:t>nd temporary water restrictions</w:t>
      </w:r>
    </w:p>
    <w:p w:rsidR="00FD5BFB" w:rsidRDefault="00FD5BFB" w:rsidP="00FD5BFB">
      <w:r w:rsidRPr="00AB3928">
        <w:t xml:space="preserve">The ACT has recourse to two administrative schemes, administered by </w:t>
      </w:r>
      <w:r>
        <w:t xml:space="preserve">Icon Water </w:t>
      </w:r>
      <w:r w:rsidRPr="00AB3928">
        <w:t xml:space="preserve">and approved under the </w:t>
      </w:r>
      <w:r w:rsidR="008D1124" w:rsidRPr="00277C50">
        <w:rPr>
          <w:rStyle w:val="Italic"/>
        </w:rPr>
        <w:t>Utilities (Water Conservat</w:t>
      </w:r>
      <w:r w:rsidR="00ED236A">
        <w:rPr>
          <w:rStyle w:val="Italic"/>
        </w:rPr>
        <w:t>ion) Regulation 2006</w:t>
      </w:r>
      <w:r w:rsidRPr="00AB3928">
        <w:t>, to reduce water use by ACT and Queanbeyan residents, and therefore extend supply: permanent water conservation measures and a temporary water restrictions scheme.</w:t>
      </w:r>
    </w:p>
    <w:p w:rsidR="00FD5BFB" w:rsidRPr="0037568B" w:rsidRDefault="00FD5BFB" w:rsidP="00FD5BFB">
      <w:pPr>
        <w:rPr>
          <w:lang w:val="en-AU" w:eastAsia="en-AU"/>
        </w:rPr>
      </w:pPr>
      <w:r w:rsidRPr="0037568B">
        <w:rPr>
          <w:lang w:val="en-AU" w:eastAsia="en-AU"/>
        </w:rPr>
        <w:t>P</w:t>
      </w:r>
      <w:r w:rsidR="002C221F">
        <w:rPr>
          <w:lang w:val="en-AU" w:eastAsia="en-AU"/>
        </w:rPr>
        <w:t>ermanent water conservation measures</w:t>
      </w:r>
      <w:r w:rsidRPr="0037568B">
        <w:rPr>
          <w:lang w:val="en-AU" w:eastAsia="en-AU"/>
        </w:rPr>
        <w:t xml:space="preserve"> are</w:t>
      </w:r>
      <w:r>
        <w:t xml:space="preserve"> </w:t>
      </w:r>
      <w:r w:rsidRPr="0037568B">
        <w:rPr>
          <w:lang w:val="en-AU" w:eastAsia="en-AU"/>
        </w:rPr>
        <w:t>intended to conserve water on a permanent basis.</w:t>
      </w:r>
      <w:r w:rsidRPr="00A55944">
        <w:rPr>
          <w:rStyle w:val="FootnoteReference"/>
        </w:rPr>
        <w:footnoteReference w:id="18"/>
      </w:r>
      <w:r w:rsidRPr="0037568B">
        <w:rPr>
          <w:lang w:val="en-AU" w:eastAsia="en-AU"/>
        </w:rPr>
        <w:t xml:space="preserve"> This is achieved by imposing requirements such as the use of hand-held hoses, prohibitions on watering gardens at designated times</w:t>
      </w:r>
      <w:r w:rsidR="002C221F">
        <w:rPr>
          <w:lang w:val="en-AU" w:eastAsia="en-AU"/>
        </w:rPr>
        <w:t xml:space="preserve"> and other restrictions on use.</w:t>
      </w:r>
    </w:p>
    <w:p w:rsidR="00FD5BFB" w:rsidRDefault="00FD5BFB" w:rsidP="00FD5BFB">
      <w:r w:rsidRPr="0037568B">
        <w:rPr>
          <w:lang w:val="en-AU" w:eastAsia="en-AU"/>
        </w:rPr>
        <w:t xml:space="preserve">The temporary water restrictions scheme is imposed in times of acute water shortage and is intended to restrict </w:t>
      </w:r>
      <w:r>
        <w:rPr>
          <w:lang w:val="en-AU" w:eastAsia="en-AU"/>
        </w:rPr>
        <w:t xml:space="preserve">water use </w:t>
      </w:r>
      <w:r w:rsidRPr="0037568B">
        <w:rPr>
          <w:lang w:val="en-AU" w:eastAsia="en-AU"/>
        </w:rPr>
        <w:t>rather than conserve water.</w:t>
      </w:r>
      <w:r>
        <w:rPr>
          <w:rStyle w:val="FootnoteReference"/>
          <w:lang w:val="en-AU" w:eastAsia="en-AU"/>
        </w:rPr>
        <w:footnoteReference w:id="19"/>
      </w:r>
      <w:r w:rsidRPr="0037568B">
        <w:rPr>
          <w:lang w:val="en-AU" w:eastAsia="en-AU"/>
        </w:rPr>
        <w:t xml:space="preserve"> Temporary water restrictions are applied through a four-stage scheme of progressively higher levels of restrictions based on water scarcity.</w:t>
      </w:r>
    </w:p>
    <w:p w:rsidR="00FD5BFB" w:rsidRDefault="00FD5BFB" w:rsidP="00FD5BFB">
      <w:r>
        <w:t xml:space="preserve">The ACT has been under </w:t>
      </w:r>
      <w:r w:rsidR="002C221F">
        <w:t>permanent water conservation measures</w:t>
      </w:r>
      <w:r>
        <w:t xml:space="preserve"> since Stage 2 temporary restrictions were revoked on 31 October 2010.</w:t>
      </w:r>
      <w:r>
        <w:rPr>
          <w:rStyle w:val="FootnoteReference"/>
        </w:rPr>
        <w:footnoteReference w:id="20"/>
      </w:r>
    </w:p>
    <w:p w:rsidR="00FD5BFB" w:rsidRDefault="00FD5BFB" w:rsidP="00FD5BFB">
      <w:pPr>
        <w:pStyle w:val="Heading4"/>
      </w:pPr>
      <w:r>
        <w:t>Water sensitive urban design</w:t>
      </w:r>
    </w:p>
    <w:p w:rsidR="00FD5BFB" w:rsidRDefault="00CE3F60" w:rsidP="00FD5BFB">
      <w:r>
        <w:t>The ACT Government’</w:t>
      </w:r>
      <w:r w:rsidR="00FD5BFB">
        <w:t xml:space="preserve">s overarching planning act, the Territory Plan, includes the </w:t>
      </w:r>
      <w:r w:rsidR="00FD5BFB" w:rsidRPr="00B718A7">
        <w:rPr>
          <w:rStyle w:val="Italic"/>
        </w:rPr>
        <w:t>Waterways</w:t>
      </w:r>
      <w:r w:rsidR="00FD5BFB">
        <w:rPr>
          <w:rStyle w:val="Italic"/>
        </w:rPr>
        <w:t>:</w:t>
      </w:r>
      <w:r w:rsidR="00FD5BFB" w:rsidRPr="00B718A7">
        <w:rPr>
          <w:rStyle w:val="Italic"/>
        </w:rPr>
        <w:t xml:space="preserve"> Water Sensitive Urban Design General Code</w:t>
      </w:r>
      <w:r w:rsidR="00C7433B">
        <w:t>,</w:t>
      </w:r>
      <w:r w:rsidR="00FD5BFB" w:rsidRPr="00B718A7">
        <w:t xml:space="preserve"> </w:t>
      </w:r>
      <w:r w:rsidR="00FD5BFB">
        <w:t>which places mandatory water efficiency requirements on developers in the ACT.</w:t>
      </w:r>
      <w:r w:rsidR="00FD5BFB">
        <w:rPr>
          <w:rStyle w:val="FootnoteReference"/>
        </w:rPr>
        <w:footnoteReference w:id="21"/>
      </w:r>
      <w:r w:rsidR="00FD5BFB">
        <w:t xml:space="preserve"> The code also places a number of water quality requirements on developers relating to the control of stormwater and run</w:t>
      </w:r>
      <w:r w:rsidR="00435689">
        <w:t>-</w:t>
      </w:r>
      <w:r w:rsidR="00FD5BFB">
        <w:t>off.</w:t>
      </w:r>
    </w:p>
    <w:p w:rsidR="00FD5BFB" w:rsidRDefault="00FD5BFB" w:rsidP="00FD5BFB">
      <w:r w:rsidRPr="00E50A74">
        <w:t>The W</w:t>
      </w:r>
      <w:r w:rsidR="00C7433B">
        <w:t xml:space="preserve">ater </w:t>
      </w:r>
      <w:r w:rsidRPr="00E50A74">
        <w:t>S</w:t>
      </w:r>
      <w:r w:rsidR="00C7433B">
        <w:t xml:space="preserve">ensitive </w:t>
      </w:r>
      <w:r w:rsidRPr="00E50A74">
        <w:t>U</w:t>
      </w:r>
      <w:r w:rsidR="00C7433B">
        <w:t xml:space="preserve">rban </w:t>
      </w:r>
      <w:r w:rsidRPr="00E50A74">
        <w:t>D</w:t>
      </w:r>
      <w:r w:rsidR="00C7433B">
        <w:t>esign</w:t>
      </w:r>
      <w:r w:rsidRPr="00E50A74">
        <w:t xml:space="preserve"> Code</w:t>
      </w:r>
      <w:r>
        <w:t xml:space="preserve">, introduced in 2009, </w:t>
      </w:r>
      <w:r w:rsidRPr="00E50A74">
        <w:t>requires new building developments and redevelopments in the ACT to comply with a primary water use reduction target of 40</w:t>
      </w:r>
      <w:r>
        <w:t> per cent</w:t>
      </w:r>
      <w:r w:rsidRPr="00E50A74">
        <w:t xml:space="preserve"> on 2003 levels. The installation of rainwater tanks (of various sizes depending on block size) connected to the toilet, laundry and external taps is listed in the code as an acceptable solution to meet the 40</w:t>
      </w:r>
      <w:r>
        <w:t xml:space="preserve"> per cent</w:t>
      </w:r>
      <w:r w:rsidRPr="00E50A74">
        <w:t xml:space="preserve"> target on single residential blocks.</w:t>
      </w:r>
      <w:r>
        <w:rPr>
          <w:rStyle w:val="FootnoteReference"/>
        </w:rPr>
        <w:footnoteReference w:id="22"/>
      </w:r>
    </w:p>
    <w:p w:rsidR="00FD5BFB" w:rsidRDefault="00FD5BFB" w:rsidP="00FD5BFB">
      <w:r>
        <w:t>The W</w:t>
      </w:r>
      <w:r w:rsidR="00EE72BC">
        <w:t xml:space="preserve">ater </w:t>
      </w:r>
      <w:r>
        <w:t>S</w:t>
      </w:r>
      <w:r w:rsidR="00EE72BC">
        <w:t xml:space="preserve">ensitive </w:t>
      </w:r>
      <w:r>
        <w:t>U</w:t>
      </w:r>
      <w:r w:rsidR="00EE72BC">
        <w:t xml:space="preserve">rban </w:t>
      </w:r>
      <w:r>
        <w:t>D</w:t>
      </w:r>
      <w:r w:rsidR="00EE72BC">
        <w:t>esign</w:t>
      </w:r>
      <w:r>
        <w:t xml:space="preserve"> Code has been re</w:t>
      </w:r>
      <w:r w:rsidR="00CE3F60">
        <w:t>viewed following the Commission’</w:t>
      </w:r>
      <w:r>
        <w:t>s recommendations</w:t>
      </w:r>
      <w:r w:rsidR="00435689">
        <w:t>,</w:t>
      </w:r>
      <w:r>
        <w:t xml:space="preserve"> in its 2012 final report on secondary water use in the ACT</w:t>
      </w:r>
      <w:r w:rsidR="00435689">
        <w:t>,</w:t>
      </w:r>
      <w:r>
        <w:t xml:space="preserve"> that the ACT Government review the code and in particular the merits of the mandatory water efficiency requirements.</w:t>
      </w:r>
      <w:r>
        <w:rPr>
          <w:rStyle w:val="FootnoteReference"/>
        </w:rPr>
        <w:footnoteReference w:id="23"/>
      </w:r>
      <w:r>
        <w:t xml:space="preserve"> At the outset of the review process, the </w:t>
      </w:r>
      <w:r>
        <w:lastRenderedPageBreak/>
        <w:t xml:space="preserve">ACT Government announced </w:t>
      </w:r>
      <w:r w:rsidR="00435689">
        <w:t xml:space="preserve">that </w:t>
      </w:r>
      <w:r>
        <w:t>it would not change the 40 per cent mains water use reduction target:</w:t>
      </w:r>
    </w:p>
    <w:p w:rsidR="00FD5BFB" w:rsidRDefault="00FD5BFB" w:rsidP="00FD5BFB">
      <w:pPr>
        <w:pStyle w:val="Quote"/>
      </w:pPr>
      <w:r w:rsidRPr="00F2610D">
        <w:t>The ACT Government has decided that this target will not be changed as part of this review.</w:t>
      </w:r>
      <w:r>
        <w:rPr>
          <w:rStyle w:val="FootnoteReference"/>
        </w:rPr>
        <w:footnoteReference w:id="24"/>
      </w:r>
    </w:p>
    <w:p w:rsidR="00FD5BFB" w:rsidRDefault="00FD5BFB" w:rsidP="00FD5BFB">
      <w:r>
        <w:t>The review was completed in August 2014.</w:t>
      </w:r>
      <w:r>
        <w:rPr>
          <w:rStyle w:val="FootnoteReference"/>
        </w:rPr>
        <w:footnoteReference w:id="25"/>
      </w:r>
      <w:r>
        <w:t xml:space="preserve"> Not surprisingly, the review focused on the water quality aspects of the W</w:t>
      </w:r>
      <w:r w:rsidR="00EE72BC">
        <w:t xml:space="preserve">ater </w:t>
      </w:r>
      <w:r>
        <w:t>S</w:t>
      </w:r>
      <w:r w:rsidR="00EE72BC">
        <w:t xml:space="preserve">ensitive </w:t>
      </w:r>
      <w:r>
        <w:t>U</w:t>
      </w:r>
      <w:r w:rsidR="00EE72BC">
        <w:t xml:space="preserve">rban </w:t>
      </w:r>
      <w:r>
        <w:t>D</w:t>
      </w:r>
      <w:r w:rsidR="00EE72BC">
        <w:t>esign</w:t>
      </w:r>
      <w:r>
        <w:t xml:space="preserve"> Code and makes no recommendations regarding the water efficiency requirements. As such, for the purposes of the tariff review, the Commission will assume that the mandatory 40 per </w:t>
      </w:r>
      <w:r w:rsidR="00435689">
        <w:t xml:space="preserve">cent </w:t>
      </w:r>
      <w:r>
        <w:t xml:space="preserve">water reduction target will remain in </w:t>
      </w:r>
      <w:r w:rsidR="00DC1ED9">
        <w:t xml:space="preserve">place as </w:t>
      </w:r>
      <w:r w:rsidR="00435689">
        <w:t xml:space="preserve">a </w:t>
      </w:r>
      <w:r w:rsidR="00DC1ED9">
        <w:t>demand measure.</w:t>
      </w:r>
    </w:p>
    <w:p w:rsidR="00FD5BFB" w:rsidRDefault="00FD5BFB" w:rsidP="00FD5BFB">
      <w:pPr>
        <w:pStyle w:val="Heading4"/>
      </w:pPr>
      <w:r>
        <w:t>Secondary water initiatives</w:t>
      </w:r>
    </w:p>
    <w:p w:rsidR="00FD5BFB" w:rsidRDefault="00FD5BFB" w:rsidP="00FD5BFB">
      <w:r>
        <w:t>There are a number of public and privately</w:t>
      </w:r>
      <w:r w:rsidR="00435689">
        <w:t xml:space="preserve"> </w:t>
      </w:r>
      <w:r>
        <w:t>funded secondary water initiatives in the ACT (see Box 2.4). Public initiat</w:t>
      </w:r>
      <w:r w:rsidR="00DC1ED9">
        <w:t>ives include the ACT Government’</w:t>
      </w:r>
      <w:r>
        <w:t xml:space="preserve">s Canberra Integrated Urban Waterways Project. Private initiatives range from household greywater recycling and rainwater tanks to </w:t>
      </w:r>
      <w:r w:rsidR="00435689">
        <w:t xml:space="preserve">the </w:t>
      </w:r>
      <w:r>
        <w:t>Royal Canberra Golf Club drawing irrigation water from Lake</w:t>
      </w:r>
      <w:r w:rsidR="00DC1ED9">
        <w:t xml:space="preserve"> Burley Griffin. The Commission’</w:t>
      </w:r>
      <w:r>
        <w:t>s 2012 investigation into secondary water use in the ACT provides more detailed information on these various initiatives.</w:t>
      </w:r>
      <w:r>
        <w:rPr>
          <w:rStyle w:val="FootnoteReference"/>
        </w:rPr>
        <w:footnoteReference w:id="26"/>
      </w:r>
    </w:p>
    <w:p w:rsidR="00FD5BFB" w:rsidRDefault="00FD5BFB" w:rsidP="00FD5BFB">
      <w:r>
        <w:t>In the context of the tariff review, secondary water initiatives are significant because they provide a substitute for the primary water supply provided by Icon Water through its distribution network</w:t>
      </w:r>
      <w:r w:rsidRPr="00370C62">
        <w:t xml:space="preserve"> </w:t>
      </w:r>
      <w:r w:rsidR="00DC1ED9">
        <w:t>in non-potable applications.</w:t>
      </w:r>
    </w:p>
    <w:p w:rsidR="00FD5BFB" w:rsidRPr="0000567C" w:rsidRDefault="00FD5BFB" w:rsidP="00FD5BFB">
      <w:pPr>
        <w:pStyle w:val="FigureName"/>
        <w:keepNext/>
      </w:pPr>
      <w:bookmarkStart w:id="91" w:name="_Toc435700205"/>
      <w:r w:rsidRPr="0000567C">
        <w:lastRenderedPageBreak/>
        <w:t xml:space="preserve">Box </w:t>
      </w:r>
      <w:r w:rsidR="00A7215E">
        <w:fldChar w:fldCharType="begin"/>
      </w:r>
      <w:r>
        <w:instrText xml:space="preserve"> STYLEREF 1 \s </w:instrText>
      </w:r>
      <w:r w:rsidR="00A7215E">
        <w:fldChar w:fldCharType="separate"/>
      </w:r>
      <w:r w:rsidR="00E43227">
        <w:rPr>
          <w:noProof/>
        </w:rPr>
        <w:t>2</w:t>
      </w:r>
      <w:r w:rsidR="00A7215E">
        <w:fldChar w:fldCharType="end"/>
      </w:r>
      <w:r w:rsidRPr="0000567C">
        <w:t>.</w:t>
      </w:r>
      <w:r w:rsidR="00A7215E">
        <w:fldChar w:fldCharType="begin"/>
      </w:r>
      <w:r>
        <w:instrText xml:space="preserve"> SEQ Box \* ARABIC \s 1 </w:instrText>
      </w:r>
      <w:r w:rsidR="00A7215E">
        <w:fldChar w:fldCharType="separate"/>
      </w:r>
      <w:r w:rsidR="00E43227">
        <w:rPr>
          <w:noProof/>
        </w:rPr>
        <w:t>4</w:t>
      </w:r>
      <w:r w:rsidR="00A7215E">
        <w:fldChar w:fldCharType="end"/>
      </w:r>
      <w:r w:rsidRPr="0000567C">
        <w:tab/>
      </w:r>
      <w:r>
        <w:t>Secondary water initiative examples</w:t>
      </w:r>
      <w:bookmarkEnd w:id="91"/>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shd w:val="clear" w:color="auto" w:fill="DBE5F1"/>
        <w:tblLook w:val="04A0"/>
      </w:tblPr>
      <w:tblGrid>
        <w:gridCol w:w="7927"/>
      </w:tblGrid>
      <w:tr w:rsidR="00FD5BFB" w:rsidTr="00BC5669">
        <w:trPr>
          <w:cantSplit/>
          <w:trHeight w:val="2069"/>
        </w:trPr>
        <w:tc>
          <w:tcPr>
            <w:tcW w:w="7927" w:type="dxa"/>
            <w:shd w:val="clear" w:color="auto" w:fill="DBE5F1"/>
          </w:tcPr>
          <w:p w:rsidR="00FD5BFB" w:rsidRDefault="00FB54E7" w:rsidP="00BC5669">
            <w:pPr>
              <w:keepNext/>
              <w:rPr>
                <w:rStyle w:val="Bold"/>
                <w:rFonts w:ascii="Arial Narrow" w:hAnsi="Arial Narrow"/>
                <w:b w:val="0"/>
                <w:sz w:val="20"/>
              </w:rPr>
            </w:pPr>
            <w:r>
              <w:rPr>
                <w:rStyle w:val="Bold"/>
              </w:rPr>
              <w:t>Harvesting precipitation</w:t>
            </w:r>
          </w:p>
          <w:p w:rsidR="00FD5BFB" w:rsidRDefault="00FD5BFB" w:rsidP="00BC5669">
            <w:pPr>
              <w:pStyle w:val="Bullet"/>
              <w:keepNext/>
            </w:pPr>
            <w:r w:rsidRPr="0000567C">
              <w:t>Public</w:t>
            </w:r>
            <w:r>
              <w:t xml:space="preserve"> </w:t>
            </w:r>
            <w:r>
              <w:sym w:font="Symbol" w:char="F02D"/>
            </w:r>
            <w:r>
              <w:t xml:space="preserve"> c</w:t>
            </w:r>
            <w:r w:rsidRPr="0000567C">
              <w:t>ollecting stormwater from rain events in urban ponds and lake</w:t>
            </w:r>
            <w:r w:rsidR="00C3310E">
              <w:t xml:space="preserve">s for irrigating sports fields – </w:t>
            </w:r>
            <w:r w:rsidRPr="0000567C">
              <w:t>the ACT Government’s Canberra Inte</w:t>
            </w:r>
            <w:r w:rsidR="00C3310E">
              <w:t>grated Urban Waterways Project.</w:t>
            </w:r>
          </w:p>
          <w:p w:rsidR="00FD5BFB" w:rsidRDefault="00FD5BFB" w:rsidP="00BC5669">
            <w:pPr>
              <w:pStyle w:val="BulletLast"/>
              <w:keepNext/>
            </w:pPr>
            <w:r w:rsidRPr="0000567C">
              <w:t>Private</w:t>
            </w:r>
            <w:r>
              <w:t xml:space="preserve"> </w:t>
            </w:r>
            <w:r>
              <w:sym w:font="Symbol" w:char="F02D"/>
            </w:r>
            <w:r>
              <w:t xml:space="preserve"> c</w:t>
            </w:r>
            <w:r w:rsidRPr="0000567C">
              <w:t>ollecting rainfall roof run-off in rainwater tanks fo</w:t>
            </w:r>
            <w:r w:rsidR="00C3310E">
              <w:t xml:space="preserve">r household irrigation purposes – </w:t>
            </w:r>
            <w:r w:rsidRPr="0000567C">
              <w:t>pr</w:t>
            </w:r>
            <w:r w:rsidR="00C3310E">
              <w:t>imarily a household initiative.</w:t>
            </w:r>
          </w:p>
          <w:p w:rsidR="00FD5BFB" w:rsidRDefault="004C3798" w:rsidP="00BC5669">
            <w:pPr>
              <w:keepNext/>
              <w:rPr>
                <w:rStyle w:val="Bold"/>
                <w:rFonts w:ascii="Arial Narrow" w:hAnsi="Arial Narrow"/>
                <w:b w:val="0"/>
                <w:sz w:val="20"/>
              </w:rPr>
            </w:pPr>
            <w:r>
              <w:rPr>
                <w:rStyle w:val="Bold"/>
              </w:rPr>
              <w:t>Wastewater recycling</w:t>
            </w:r>
          </w:p>
          <w:p w:rsidR="00FD5BFB" w:rsidRDefault="00FD5BFB" w:rsidP="00BC5669">
            <w:pPr>
              <w:pStyle w:val="Bullet"/>
              <w:keepNext/>
            </w:pPr>
            <w:r w:rsidRPr="0000567C">
              <w:t>Public</w:t>
            </w:r>
            <w:r>
              <w:t xml:space="preserve"> </w:t>
            </w:r>
            <w:r>
              <w:sym w:font="Symbol" w:char="F02D"/>
            </w:r>
            <w:r>
              <w:t xml:space="preserve"> Icon Water’s </w:t>
            </w:r>
            <w:r w:rsidRPr="0000567C">
              <w:t>Lower Molonglo Water Quality Control Centre supplies treated sewage effluent to nearby vineyards (100 hectares) a</w:t>
            </w:r>
            <w:r w:rsidR="00C3310E">
              <w:t>nd a golf course (30 hectares).</w:t>
            </w:r>
          </w:p>
          <w:p w:rsidR="00FD5BFB" w:rsidRDefault="00FD5BFB" w:rsidP="00BC5669">
            <w:pPr>
              <w:pStyle w:val="Bullet"/>
              <w:keepNext/>
            </w:pPr>
            <w:r w:rsidRPr="0000567C">
              <w:t>Public</w:t>
            </w:r>
            <w:r>
              <w:t xml:space="preserve"> </w:t>
            </w:r>
            <w:r>
              <w:sym w:font="Symbol" w:char="F02D"/>
            </w:r>
            <w:r>
              <w:t xml:space="preserve"> Icon Water’s </w:t>
            </w:r>
            <w:r w:rsidRPr="0000567C">
              <w:t>North Canberra Water Reuse Scheme provides treated sewage effluent to 70 hectares of ovals and ope</w:t>
            </w:r>
            <w:r w:rsidR="00C3310E">
              <w:t>n spaces across North Canberra.</w:t>
            </w:r>
          </w:p>
          <w:p w:rsidR="00FD5BFB" w:rsidRDefault="00FD5BFB" w:rsidP="00BC5669">
            <w:pPr>
              <w:pStyle w:val="Bullet"/>
              <w:keepNext/>
            </w:pPr>
            <w:r w:rsidRPr="0000567C">
              <w:t>Public</w:t>
            </w:r>
            <w:r>
              <w:t xml:space="preserve"> </w:t>
            </w:r>
            <w:r>
              <w:sym w:font="Symbol" w:char="F02D"/>
            </w:r>
            <w:r>
              <w:t xml:space="preserve"> Icon Water’s </w:t>
            </w:r>
            <w:r w:rsidRPr="0000567C">
              <w:t>Southwell Park Watermining Project (now decommissioned) was a sewer mining scheme where a small treatment plant supplied treated sewage effluent to 10 hectares of playing ov</w:t>
            </w:r>
            <w:r w:rsidR="00C3310E">
              <w:t>als.</w:t>
            </w:r>
          </w:p>
          <w:p w:rsidR="00FD5BFB" w:rsidRDefault="00FD5BFB" w:rsidP="00BC5669">
            <w:pPr>
              <w:pStyle w:val="Bullet"/>
              <w:keepNext/>
            </w:pPr>
            <w:r w:rsidRPr="0000567C">
              <w:t>Private</w:t>
            </w:r>
            <w:r>
              <w:t xml:space="preserve"> </w:t>
            </w:r>
            <w:r>
              <w:sym w:font="Symbol" w:char="F02D"/>
            </w:r>
            <w:r>
              <w:t xml:space="preserve"> g</w:t>
            </w:r>
            <w:r w:rsidRPr="0000567C">
              <w:t>reywater from bathrooms and laundries can be used to water gardens through a gra</w:t>
            </w:r>
            <w:r w:rsidR="00C3310E">
              <w:t>vity-fed hose from the laundry.</w:t>
            </w:r>
          </w:p>
          <w:p w:rsidR="00FD5BFB" w:rsidRDefault="00FD5BFB" w:rsidP="00BC5669">
            <w:pPr>
              <w:pStyle w:val="Bullet"/>
              <w:keepNext/>
            </w:pPr>
            <w:r w:rsidRPr="0000567C">
              <w:t>Private</w:t>
            </w:r>
            <w:r>
              <w:t xml:space="preserve"> </w:t>
            </w:r>
            <w:r>
              <w:sym w:font="Symbol" w:char="F02D"/>
            </w:r>
            <w:r>
              <w:t xml:space="preserve"> g</w:t>
            </w:r>
            <w:r w:rsidRPr="0000567C">
              <w:t xml:space="preserve">reywater storage, treatment and pumping systems allow recycling of wastewater from bathrooms and laundries for irrigation or internal </w:t>
            </w:r>
            <w:r w:rsidR="00C3310E">
              <w:t>reuse in toilets and laundries.</w:t>
            </w:r>
          </w:p>
          <w:p w:rsidR="00FD5BFB" w:rsidRDefault="00FD5BFB" w:rsidP="00BC5669">
            <w:pPr>
              <w:pStyle w:val="BulletLast"/>
              <w:keepNext/>
            </w:pPr>
            <w:r w:rsidRPr="0000567C">
              <w:t>Private</w:t>
            </w:r>
            <w:r>
              <w:t xml:space="preserve"> </w:t>
            </w:r>
            <w:r>
              <w:sym w:font="Symbol" w:char="F02D"/>
            </w:r>
            <w:r>
              <w:t xml:space="preserve"> r</w:t>
            </w:r>
            <w:r w:rsidRPr="0000567C">
              <w:t>esidential third</w:t>
            </w:r>
            <w:r w:rsidR="00FB54E7">
              <w:t>-</w:t>
            </w:r>
            <w:r w:rsidRPr="0000567C">
              <w:t>pipe systems (using greywater or treated sewage effluent) can be used for toi</w:t>
            </w:r>
            <w:r w:rsidR="00C3310E">
              <w:t xml:space="preserve">let flushing or garden watering – </w:t>
            </w:r>
            <w:r w:rsidRPr="0000567C">
              <w:t>a third</w:t>
            </w:r>
            <w:r w:rsidR="00FB54E7">
              <w:t>-</w:t>
            </w:r>
            <w:r w:rsidRPr="0000567C">
              <w:t>pipe system was considered for the Molonglo Valley resident</w:t>
            </w:r>
            <w:r w:rsidR="00C3310E">
              <w:t>ial development.</w:t>
            </w:r>
          </w:p>
        </w:tc>
      </w:tr>
    </w:tbl>
    <w:p w:rsidR="00FD5BFB" w:rsidRDefault="00FD5BFB" w:rsidP="00FD5BFB">
      <w:pPr>
        <w:pStyle w:val="TableNotesLast"/>
        <w:keepNext/>
      </w:pPr>
      <w:r w:rsidRPr="0000567C">
        <w:t>Source:</w:t>
      </w:r>
      <w:r w:rsidRPr="0000567C">
        <w:tab/>
      </w:r>
      <w:r>
        <w:t xml:space="preserve">Updated from </w:t>
      </w:r>
      <w:r>
        <w:rPr>
          <w:noProof/>
        </w:rPr>
        <w:t>ICRC (2012)</w:t>
      </w:r>
      <w:r w:rsidRPr="0000567C">
        <w:t>.</w:t>
      </w:r>
    </w:p>
    <w:p w:rsidR="00FD5BFB" w:rsidRDefault="00FD5BFB" w:rsidP="00101ADB">
      <w:pPr>
        <w:pStyle w:val="Heading3"/>
      </w:pPr>
      <w:r>
        <w:t>National</w:t>
      </w:r>
      <w:r w:rsidR="00FB54E7">
        <w:t xml:space="preserve"> agreements and initiatives</w:t>
      </w:r>
    </w:p>
    <w:p w:rsidR="00FD5BFB" w:rsidRDefault="00D2715C" w:rsidP="00FD5BFB">
      <w:pPr>
        <w:pStyle w:val="Heading4"/>
      </w:pPr>
      <w:r>
        <w:t>The Murray–</w:t>
      </w:r>
      <w:r w:rsidR="00FD5BFB">
        <w:t>Darling Basin</w:t>
      </w:r>
    </w:p>
    <w:p w:rsidR="00FD5BFB" w:rsidRPr="00E80F43" w:rsidRDefault="00FD5BFB" w:rsidP="00FD5BFB">
      <w:r w:rsidRPr="00E80F43">
        <w:t xml:space="preserve">The ACT is a signatory to the Murray–Darling Basin Agreement, an intergovernmental agreement between Basin jurisdictions. The </w:t>
      </w:r>
      <w:r w:rsidR="008B1DBE">
        <w:t>a</w:t>
      </w:r>
      <w:r w:rsidRPr="00E80F43">
        <w:t>greement, among oth</w:t>
      </w:r>
      <w:r w:rsidR="00C3310E">
        <w:t>er things, set</w:t>
      </w:r>
      <w:r w:rsidR="008634EF">
        <w:t>s</w:t>
      </w:r>
      <w:r w:rsidR="00C3310E">
        <w:t xml:space="preserve"> a long-term cap – or upper limit – </w:t>
      </w:r>
      <w:r w:rsidRPr="00E80F43">
        <w:t>on surface water diversions</w:t>
      </w:r>
      <w:r>
        <w:t xml:space="preserve">. This </w:t>
      </w:r>
      <w:r w:rsidRPr="00203866">
        <w:t>allows the ACT to take out of the ACT watercourses (dams and rivers) a long-term average of 40 GL net per year for consumptive u</w:t>
      </w:r>
      <w:r>
        <w:t>se.</w:t>
      </w:r>
      <w:r>
        <w:rPr>
          <w:rStyle w:val="FootnoteReference"/>
        </w:rPr>
        <w:footnoteReference w:id="27"/>
      </w:r>
    </w:p>
    <w:p w:rsidR="00FD5BFB" w:rsidRDefault="00FD5BFB" w:rsidP="00FD5BFB">
      <w:r>
        <w:t>The M</w:t>
      </w:r>
      <w:r w:rsidR="008B1DBE">
        <w:t>urray–</w:t>
      </w:r>
      <w:r>
        <w:t>D</w:t>
      </w:r>
      <w:r w:rsidR="008B1DBE">
        <w:t xml:space="preserve">arling </w:t>
      </w:r>
      <w:r>
        <w:t>B</w:t>
      </w:r>
      <w:r w:rsidR="008B1DBE">
        <w:t>asin</w:t>
      </w:r>
      <w:r>
        <w:t xml:space="preserve"> Agreement ha</w:t>
      </w:r>
      <w:r w:rsidR="008B1DBE">
        <w:t>s been superseded by the Murray–</w:t>
      </w:r>
      <w:r>
        <w:t xml:space="preserve">Darling Basin Plan, made </w:t>
      </w:r>
      <w:r w:rsidR="008634EF">
        <w:t xml:space="preserve">in 2012 </w:t>
      </w:r>
      <w:r>
        <w:t xml:space="preserve">under the Commonwealth </w:t>
      </w:r>
      <w:r w:rsidRPr="00482DCC">
        <w:rPr>
          <w:rStyle w:val="Italic"/>
        </w:rPr>
        <w:t>Water Act 2007</w:t>
      </w:r>
      <w:r w:rsidR="008634EF">
        <w:t>.</w:t>
      </w:r>
      <w:r>
        <w:t xml:space="preserve"> </w:t>
      </w:r>
      <w:r w:rsidR="008634EF">
        <w:t>The Basin Plan</w:t>
      </w:r>
      <w:r>
        <w:t xml:space="preserve"> </w:t>
      </w:r>
      <w:r>
        <w:lastRenderedPageBreak/>
        <w:t>provides a coordinated water resource management approach a</w:t>
      </w:r>
      <w:r w:rsidR="00C7433B">
        <w:t>cross the Basin’</w:t>
      </w:r>
      <w:r>
        <w:t>s four states (</w:t>
      </w:r>
      <w:r w:rsidR="00277C50">
        <w:t xml:space="preserve">New South Wales, Victoria, </w:t>
      </w:r>
      <w:r>
        <w:t>Queensland and South Australia) and the ACT.</w:t>
      </w:r>
      <w:r>
        <w:rPr>
          <w:rStyle w:val="FootnoteReference"/>
        </w:rPr>
        <w:footnoteReference w:id="28"/>
      </w:r>
      <w:r>
        <w:t xml:space="preserve"> Among many other things, from 2019 the Basin Plan will replace the </w:t>
      </w:r>
      <w:r w:rsidR="008634EF">
        <w:t>c</w:t>
      </w:r>
      <w:r>
        <w:t xml:space="preserve">ap with </w:t>
      </w:r>
      <w:r w:rsidR="008634EF">
        <w:t>s</w:t>
      </w:r>
      <w:r w:rsidRPr="004A448E">
        <w:t xml:space="preserve">ustainable </w:t>
      </w:r>
      <w:r w:rsidR="008634EF">
        <w:t>d</w:t>
      </w:r>
      <w:r w:rsidRPr="004A448E">
        <w:t xml:space="preserve">iversion </w:t>
      </w:r>
      <w:r w:rsidR="008634EF">
        <w:t>l</w:t>
      </w:r>
      <w:r w:rsidRPr="004A448E">
        <w:t>imits</w:t>
      </w:r>
      <w:r>
        <w:t xml:space="preserve"> </w:t>
      </w:r>
      <w:r w:rsidRPr="009046CD">
        <w:t>for both surface water and groundwater resources</w:t>
      </w:r>
      <w:r>
        <w:t xml:space="preserve"> for each catchment and aquifer in the Basin</w:t>
      </w:r>
      <w:r w:rsidRPr="009046CD">
        <w:t>.</w:t>
      </w:r>
    </w:p>
    <w:p w:rsidR="00FD5BFB" w:rsidRDefault="00FD5BFB" w:rsidP="00FD5BFB">
      <w:r>
        <w:t>The ACT</w:t>
      </w:r>
      <w:r w:rsidR="00C7433B">
        <w:t>’</w:t>
      </w:r>
      <w:r>
        <w:t xml:space="preserve">s </w:t>
      </w:r>
      <w:r w:rsidR="00D804D5">
        <w:t>sustainable diversion limit</w:t>
      </w:r>
      <w:r>
        <w:t xml:space="preserve"> for surface water will be 50.5 GL per year, comprising:</w:t>
      </w:r>
      <w:r w:rsidRPr="005124AE">
        <w:rPr>
          <w:rStyle w:val="FootnoteReference"/>
        </w:rPr>
        <w:footnoteReference w:id="29"/>
      </w:r>
    </w:p>
    <w:p w:rsidR="00FD5BFB" w:rsidRDefault="00FD5BFB" w:rsidP="00FD5BFB">
      <w:pPr>
        <w:pStyle w:val="Bullet"/>
      </w:pPr>
      <w:r>
        <w:t>40.5 GL per year taken from watercourses;</w:t>
      </w:r>
    </w:p>
    <w:p w:rsidR="00FD5BFB" w:rsidRDefault="00FD5BFB" w:rsidP="00FD5BFB">
      <w:pPr>
        <w:pStyle w:val="Bullet"/>
      </w:pPr>
      <w:r>
        <w:t>1 GL per year taken by run</w:t>
      </w:r>
      <w:r w:rsidR="00435689">
        <w:t>-</w:t>
      </w:r>
      <w:r>
        <w:t>off dams; and</w:t>
      </w:r>
    </w:p>
    <w:p w:rsidR="00FD5BFB" w:rsidRDefault="00FD5BFB" w:rsidP="00FD5BFB">
      <w:pPr>
        <w:pStyle w:val="BulletLast"/>
      </w:pPr>
      <w:r>
        <w:t>11 GL per year take by commercial forestry plantations.</w:t>
      </w:r>
    </w:p>
    <w:p w:rsidR="00FD5BFB" w:rsidRDefault="00FD5BFB" w:rsidP="00FD5BFB">
      <w:r>
        <w:t xml:space="preserve">From a water security context, it is the ACT’s watercourse </w:t>
      </w:r>
      <w:r w:rsidR="00D804D5">
        <w:t>sustainable diversion limit</w:t>
      </w:r>
      <w:r>
        <w:t xml:space="preserve"> component that is of primary interest. Importantly, th</w:t>
      </w:r>
      <w:r w:rsidR="00D804D5">
        <w:t>is</w:t>
      </w:r>
      <w:r>
        <w:t xml:space="preserve"> component is measured on a net basis.</w:t>
      </w:r>
      <w:r w:rsidRPr="00603E32">
        <w:t xml:space="preserve"> That is, the measured volume of treated sewage effluent from the Lower Molonglo Water Quality Control Centre and Queanbeyan Sewage Treatment Plant returned to the river system after use is subtracted </w:t>
      </w:r>
      <w:r>
        <w:t xml:space="preserve">from the gross volume of water taken </w:t>
      </w:r>
      <w:r w:rsidRPr="00603E32">
        <w:t>from ACT water resources.</w:t>
      </w:r>
    </w:p>
    <w:p w:rsidR="00FD5BFB" w:rsidRDefault="00A7215E" w:rsidP="00FD5BFB">
      <w:fldSimple w:instr=" REF _Ref430245034 \h  \* MERGEFORMAT ">
        <w:r w:rsidR="00E43227" w:rsidRPr="00DB3C19">
          <w:t xml:space="preserve">Figure </w:t>
        </w:r>
        <w:r w:rsidR="00E43227">
          <w:rPr>
            <w:noProof/>
          </w:rPr>
          <w:t>2</w:t>
        </w:r>
        <w:r w:rsidR="00E43227" w:rsidRPr="002B3037">
          <w:rPr>
            <w:noProof/>
          </w:rPr>
          <w:t>.</w:t>
        </w:r>
        <w:r w:rsidR="00E43227">
          <w:rPr>
            <w:noProof/>
          </w:rPr>
          <w:t>2</w:t>
        </w:r>
      </w:fldSimple>
      <w:r w:rsidR="00FD5BFB">
        <w:t xml:space="preserve"> shows the net watercourse take over the last 25 years. Total watercourse extractions, which include Icon Water dam releases, private irrigator diversions, and from 2012</w:t>
      </w:r>
      <w:r w:rsidR="00FD5BFB">
        <w:sym w:font="Symbol" w:char="F02D"/>
      </w:r>
      <w:r w:rsidR="00FD5BFB">
        <w:t>13, Commonwealth Government diversions from Lake Burley Griffin, have fallen substantially over this period from highs of over 80 GL per year to about 50 GL in 2013</w:t>
      </w:r>
      <w:r w:rsidR="00FD5BFB">
        <w:sym w:font="Symbol" w:char="F02D"/>
      </w:r>
      <w:r w:rsidR="00FD5BFB">
        <w:t>14. At the same time, returns to the river system from the sewage treatment plants have fallen less sharply to about 32 GL per year in recent years.</w:t>
      </w:r>
    </w:p>
    <w:p w:rsidR="00FD5BFB" w:rsidRPr="002B3037" w:rsidRDefault="00FD5BFB" w:rsidP="004802DC">
      <w:pPr>
        <w:pStyle w:val="FigureName"/>
        <w:keepNext/>
      </w:pPr>
      <w:bookmarkStart w:id="92" w:name="_Ref430245034"/>
      <w:bookmarkStart w:id="93" w:name="_Toc435700192"/>
      <w:r w:rsidRPr="00DB3C19">
        <w:lastRenderedPageBreak/>
        <w:t xml:space="preserve">Figure </w:t>
      </w:r>
      <w:r w:rsidR="00A7215E">
        <w:fldChar w:fldCharType="begin"/>
      </w:r>
      <w:r>
        <w:instrText xml:space="preserve"> STYLEREF 1 \s </w:instrText>
      </w:r>
      <w:r w:rsidR="00A7215E">
        <w:fldChar w:fldCharType="separate"/>
      </w:r>
      <w:r w:rsidR="00E43227">
        <w:rPr>
          <w:noProof/>
        </w:rPr>
        <w:t>2</w:t>
      </w:r>
      <w:r w:rsidR="00A7215E">
        <w:fldChar w:fldCharType="end"/>
      </w:r>
      <w:r w:rsidRPr="002B3037">
        <w:t>.</w:t>
      </w:r>
      <w:r w:rsidR="00A7215E">
        <w:fldChar w:fldCharType="begin"/>
      </w:r>
      <w:r>
        <w:instrText xml:space="preserve"> SEQ Figure \* ARABIC \s 1 </w:instrText>
      </w:r>
      <w:r w:rsidR="00A7215E">
        <w:fldChar w:fldCharType="separate"/>
      </w:r>
      <w:r w:rsidR="00E43227">
        <w:rPr>
          <w:noProof/>
        </w:rPr>
        <w:t>2</w:t>
      </w:r>
      <w:r w:rsidR="00A7215E">
        <w:fldChar w:fldCharType="end"/>
      </w:r>
      <w:bookmarkEnd w:id="92"/>
      <w:r w:rsidRPr="002B3037">
        <w:tab/>
        <w:t xml:space="preserve">ACT </w:t>
      </w:r>
      <w:r>
        <w:t>net watercourse take, 19</w:t>
      </w:r>
      <w:r w:rsidR="00896730">
        <w:t>89–</w:t>
      </w:r>
      <w:r>
        <w:t>90 to 20</w:t>
      </w:r>
      <w:r w:rsidR="00896730">
        <w:t>13–</w:t>
      </w:r>
      <w:r>
        <w:t>14</w:t>
      </w:r>
      <w:bookmarkEnd w:id="93"/>
    </w:p>
    <w:p w:rsidR="00FD5BFB" w:rsidRPr="002B3037" w:rsidRDefault="00025D26" w:rsidP="004802DC">
      <w:pPr>
        <w:keepNext/>
      </w:pPr>
      <w:r w:rsidRPr="00025D26">
        <w:rPr>
          <w:noProof/>
          <w:lang w:val="en-AU" w:eastAsia="en-AU"/>
        </w:rPr>
        <w:drawing>
          <wp:inline distT="0" distB="0" distL="0" distR="0">
            <wp:extent cx="4883455" cy="2275028"/>
            <wp:effectExtent l="19050" t="0" r="12395"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D5BFB" w:rsidRPr="002B3037" w:rsidRDefault="00FD5BFB" w:rsidP="004802DC">
      <w:pPr>
        <w:pStyle w:val="TableNotesLast"/>
        <w:keepNext/>
      </w:pPr>
      <w:r>
        <w:t>Source:</w:t>
      </w:r>
      <w:r>
        <w:tab/>
        <w:t>Icon Water</w:t>
      </w:r>
      <w:r w:rsidRPr="002B3037">
        <w:t xml:space="preserve"> </w:t>
      </w:r>
      <w:r>
        <w:t xml:space="preserve">dam releases </w:t>
      </w:r>
      <w:r w:rsidRPr="002B3037">
        <w:t>data;</w:t>
      </w:r>
      <w:r>
        <w:t xml:space="preserve"> Environment and Planning Directo</w:t>
      </w:r>
      <w:r w:rsidR="00896730">
        <w:t>rate diversion and return data.</w:t>
      </w:r>
    </w:p>
    <w:p w:rsidR="00FD5BFB" w:rsidRPr="008255C8" w:rsidRDefault="00FD5BFB" w:rsidP="00FD5BFB">
      <w:r>
        <w:t xml:space="preserve">As a consequence, net take (the green bars in </w:t>
      </w:r>
      <w:fldSimple w:instr=" REF _Ref430245034 \h  \* MERGEFORMAT ">
        <w:r w:rsidR="00E43227" w:rsidRPr="00DB3C19">
          <w:t xml:space="preserve">Figure </w:t>
        </w:r>
        <w:r w:rsidR="00E43227">
          <w:rPr>
            <w:noProof/>
          </w:rPr>
          <w:t>2</w:t>
        </w:r>
        <w:r w:rsidR="00E43227" w:rsidRPr="002B3037">
          <w:rPr>
            <w:noProof/>
          </w:rPr>
          <w:t>.</w:t>
        </w:r>
        <w:r w:rsidR="00E43227">
          <w:rPr>
            <w:noProof/>
          </w:rPr>
          <w:t>2</w:t>
        </w:r>
      </w:fldSimple>
      <w:r>
        <w:t xml:space="preserve">) has fallen significantly to </w:t>
      </w:r>
      <w:r w:rsidR="00896730">
        <w:t>remain at or below</w:t>
      </w:r>
      <w:r>
        <w:t xml:space="preserve"> 20 GL per year </w:t>
      </w:r>
      <w:r w:rsidR="00896730">
        <w:t>from</w:t>
      </w:r>
      <w:r>
        <w:t xml:space="preserve"> 2007</w:t>
      </w:r>
      <w:r w:rsidRPr="007A2A5D">
        <w:sym w:font="Symbol" w:char="F02D"/>
      </w:r>
      <w:r w:rsidR="00896730">
        <w:t>08. This is well below the c</w:t>
      </w:r>
      <w:r>
        <w:t xml:space="preserve">ap and the watercourse </w:t>
      </w:r>
      <w:r w:rsidR="00D804D5">
        <w:t>sustainable diversion limit</w:t>
      </w:r>
      <w:r>
        <w:t xml:space="preserve">. Given this, and </w:t>
      </w:r>
      <w:r w:rsidRPr="00613863">
        <w:t xml:space="preserve">the </w:t>
      </w:r>
      <w:r>
        <w:t>much lower levels of per capita water consumption discussed</w:t>
      </w:r>
      <w:r w:rsidRPr="00613863">
        <w:t xml:space="preserve"> </w:t>
      </w:r>
      <w:r>
        <w:t>earlier</w:t>
      </w:r>
      <w:r w:rsidRPr="00613863">
        <w:t>,</w:t>
      </w:r>
      <w:r>
        <w:t xml:space="preserve"> </w:t>
      </w:r>
      <w:r w:rsidRPr="00613863">
        <w:t xml:space="preserve">it </w:t>
      </w:r>
      <w:r>
        <w:t xml:space="preserve">is likely to </w:t>
      </w:r>
      <w:r w:rsidR="00C7433B">
        <w:t xml:space="preserve">be </w:t>
      </w:r>
      <w:r w:rsidRPr="00613863">
        <w:t xml:space="preserve">some time before the ACT </w:t>
      </w:r>
      <w:r>
        <w:t xml:space="preserve">watercourse </w:t>
      </w:r>
      <w:r w:rsidR="00D804D5">
        <w:t>sustainable diversion limit</w:t>
      </w:r>
      <w:r w:rsidRPr="00613863">
        <w:t xml:space="preserve"> becomes a </w:t>
      </w:r>
      <w:r>
        <w:t xml:space="preserve">water security </w:t>
      </w:r>
      <w:r w:rsidRPr="00613863">
        <w:t>constraint.</w:t>
      </w:r>
      <w:r>
        <w:rPr>
          <w:rStyle w:val="FootnoteReference"/>
        </w:rPr>
        <w:footnoteReference w:id="30"/>
      </w:r>
    </w:p>
    <w:p w:rsidR="00FD5BFB" w:rsidRDefault="00FD5BFB" w:rsidP="00FD5BFB">
      <w:pPr>
        <w:pStyle w:val="Heading4"/>
      </w:pPr>
      <w:r>
        <w:t>National Water Initiative</w:t>
      </w:r>
    </w:p>
    <w:p w:rsidR="00FD5BFB" w:rsidRDefault="00FD5BFB" w:rsidP="00FD5BFB">
      <w:r>
        <w:t>The 2004 National Water Initiative commits the ACT Government to a number of best practice water pricing and institutional arrangements.</w:t>
      </w:r>
      <w:r>
        <w:rPr>
          <w:rStyle w:val="FootnoteReference"/>
        </w:rPr>
        <w:footnoteReference w:id="31"/>
      </w:r>
      <w:r>
        <w:t xml:space="preserve"> The intended outcomes of the pricing arrange</w:t>
      </w:r>
      <w:r w:rsidR="00580D13">
        <w:t>ments are shown in Box 2.5, and</w:t>
      </w:r>
      <w:r>
        <w:t xml:space="preserve"> the agreed actions relevant to the provision of urban wate</w:t>
      </w:r>
      <w:r w:rsidR="00DC1ED9">
        <w:t>r services shown in Box 2.6.</w:t>
      </w:r>
    </w:p>
    <w:p w:rsidR="00FD5BFB" w:rsidRPr="00337FFB" w:rsidRDefault="00FD5BFB" w:rsidP="00FD5BFB">
      <w:pPr>
        <w:pStyle w:val="FigureName"/>
        <w:keepNext/>
      </w:pPr>
      <w:bookmarkStart w:id="94" w:name="_Toc435700206"/>
      <w:r w:rsidRPr="0000567C">
        <w:lastRenderedPageBreak/>
        <w:t xml:space="preserve">Box </w:t>
      </w:r>
      <w:r w:rsidR="00A7215E">
        <w:fldChar w:fldCharType="begin"/>
      </w:r>
      <w:r>
        <w:instrText xml:space="preserve"> STYLEREF 1 \s </w:instrText>
      </w:r>
      <w:r w:rsidR="00A7215E">
        <w:fldChar w:fldCharType="separate"/>
      </w:r>
      <w:r w:rsidR="00E43227">
        <w:rPr>
          <w:noProof/>
        </w:rPr>
        <w:t>2</w:t>
      </w:r>
      <w:r w:rsidR="00A7215E">
        <w:fldChar w:fldCharType="end"/>
      </w:r>
      <w:r w:rsidRPr="00337FFB">
        <w:t>.</w:t>
      </w:r>
      <w:r w:rsidR="00A7215E">
        <w:fldChar w:fldCharType="begin"/>
      </w:r>
      <w:r>
        <w:instrText xml:space="preserve"> SEQ Box \* ARABIC \s 1 </w:instrText>
      </w:r>
      <w:r w:rsidR="00A7215E">
        <w:fldChar w:fldCharType="separate"/>
      </w:r>
      <w:r w:rsidR="00E43227">
        <w:rPr>
          <w:noProof/>
        </w:rPr>
        <w:t>5</w:t>
      </w:r>
      <w:r w:rsidR="00A7215E">
        <w:fldChar w:fldCharType="end"/>
      </w:r>
      <w:r w:rsidRPr="00337FFB">
        <w:tab/>
      </w:r>
      <w:r>
        <w:t>N</w:t>
      </w:r>
      <w:r w:rsidR="003A2647">
        <w:t xml:space="preserve">ational </w:t>
      </w:r>
      <w:r>
        <w:t>W</w:t>
      </w:r>
      <w:r w:rsidR="003A2647">
        <w:t xml:space="preserve">ater </w:t>
      </w:r>
      <w:r>
        <w:t>I</w:t>
      </w:r>
      <w:r w:rsidR="003A2647">
        <w:t>nitiative</w:t>
      </w:r>
      <w:r>
        <w:t xml:space="preserve"> best practice pricing outcomes</w:t>
      </w:r>
      <w:bookmarkEnd w:id="94"/>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shd w:val="clear" w:color="auto" w:fill="DBE5F1"/>
        <w:tblLook w:val="04A0"/>
      </w:tblPr>
      <w:tblGrid>
        <w:gridCol w:w="7927"/>
      </w:tblGrid>
      <w:tr w:rsidR="00FD5BFB" w:rsidTr="00BC5669">
        <w:trPr>
          <w:cantSplit/>
          <w:trHeight w:val="2069"/>
        </w:trPr>
        <w:tc>
          <w:tcPr>
            <w:tcW w:w="7927" w:type="dxa"/>
            <w:shd w:val="clear" w:color="auto" w:fill="DBE5F1"/>
          </w:tcPr>
          <w:p w:rsidR="00FD5BFB" w:rsidRPr="002778A8" w:rsidRDefault="001A2A85" w:rsidP="00BC5669">
            <w:pPr>
              <w:pStyle w:val="References"/>
              <w:keepNext/>
              <w:rPr>
                <w:rStyle w:val="Bold"/>
              </w:rPr>
            </w:pPr>
            <w:r>
              <w:rPr>
                <w:rStyle w:val="Bold"/>
              </w:rPr>
              <w:t>Outcomes</w:t>
            </w:r>
          </w:p>
          <w:p w:rsidR="00FD5BFB" w:rsidRPr="00337FFB" w:rsidRDefault="00FD5BFB" w:rsidP="00BC5669">
            <w:pPr>
              <w:pStyle w:val="References"/>
              <w:keepNext/>
            </w:pPr>
            <w:r w:rsidRPr="00337FFB">
              <w:t>64. The Parties agree to implement water pricing and institutional arrangements which:</w:t>
            </w:r>
          </w:p>
          <w:p w:rsidR="00FD5BFB" w:rsidRPr="00337FFB" w:rsidRDefault="00FD5BFB" w:rsidP="00BC5669">
            <w:pPr>
              <w:pStyle w:val="References"/>
              <w:keepNext/>
            </w:pPr>
            <w:r>
              <w:t xml:space="preserve">    </w:t>
            </w:r>
            <w:r w:rsidRPr="00337FFB">
              <w:t>i) promote economically ef</w:t>
            </w:r>
            <w:r w:rsidR="003A2647">
              <w:t>ficient and sustainable use of:</w:t>
            </w:r>
          </w:p>
          <w:p w:rsidR="00FD5BFB" w:rsidRPr="00337FFB" w:rsidRDefault="00FD5BFB" w:rsidP="00BC5669">
            <w:pPr>
              <w:pStyle w:val="References"/>
              <w:keepNext/>
            </w:pPr>
            <w:r>
              <w:t xml:space="preserve">      </w:t>
            </w:r>
            <w:r w:rsidR="003A2647">
              <w:t>a) water resources;</w:t>
            </w:r>
          </w:p>
          <w:p w:rsidR="00FD5BFB" w:rsidRPr="00337FFB" w:rsidRDefault="00FD5BFB" w:rsidP="00BC5669">
            <w:pPr>
              <w:pStyle w:val="References"/>
              <w:keepNext/>
            </w:pPr>
            <w:r>
              <w:t xml:space="preserve">      </w:t>
            </w:r>
            <w:r w:rsidRPr="00337FFB">
              <w:t>b) w</w:t>
            </w:r>
            <w:r w:rsidR="003A2647">
              <w:t>ater infrastructure assets; and</w:t>
            </w:r>
          </w:p>
          <w:p w:rsidR="00FD5BFB" w:rsidRPr="00337FFB" w:rsidRDefault="00FD5BFB" w:rsidP="00BC5669">
            <w:pPr>
              <w:pStyle w:val="References"/>
              <w:keepNext/>
            </w:pPr>
            <w:r>
              <w:t xml:space="preserve">      </w:t>
            </w:r>
            <w:r w:rsidRPr="00337FFB">
              <w:t>c) government resources devo</w:t>
            </w:r>
            <w:r w:rsidR="003A2647">
              <w:t>ted to the management of water;</w:t>
            </w:r>
          </w:p>
          <w:p w:rsidR="00FD5BFB" w:rsidRPr="00337FFB" w:rsidRDefault="00FD5BFB" w:rsidP="00BC5669">
            <w:pPr>
              <w:pStyle w:val="References"/>
              <w:keepNext/>
            </w:pPr>
            <w:r>
              <w:t xml:space="preserve">   </w:t>
            </w:r>
            <w:r w:rsidRPr="00337FFB">
              <w:t>ii) ensure sufficient revenue streams to allow efficient delivery of the re</w:t>
            </w:r>
            <w:r w:rsidR="003A2647">
              <w:t>quired services;</w:t>
            </w:r>
          </w:p>
          <w:p w:rsidR="00FD5BFB" w:rsidRPr="00337FFB" w:rsidRDefault="00FD5BFB" w:rsidP="00BC5669">
            <w:pPr>
              <w:pStyle w:val="References"/>
              <w:keepNext/>
            </w:pPr>
            <w:r>
              <w:t xml:space="preserve">  </w:t>
            </w:r>
            <w:r w:rsidRPr="00337FFB">
              <w:t>iii) facilitate the efficient functioning of water markets, including inter-jurisdictional water markets, and in</w:t>
            </w:r>
            <w:r w:rsidR="003A2647">
              <w:t xml:space="preserve"> both rural and urban settings;</w:t>
            </w:r>
          </w:p>
          <w:p w:rsidR="00FD5BFB" w:rsidRPr="00337FFB" w:rsidRDefault="00FD5BFB" w:rsidP="00BC5669">
            <w:pPr>
              <w:pStyle w:val="References"/>
              <w:keepNext/>
            </w:pPr>
            <w:r>
              <w:t xml:space="preserve">  </w:t>
            </w:r>
            <w:r w:rsidRPr="00337FFB">
              <w:t>iv) give effect to the principles of user-pays and achieve pricing transparency in respect of water storage and delivery in irrigation systems and cost recovery for</w:t>
            </w:r>
            <w:r w:rsidR="003A2647">
              <w:t xml:space="preserve"> water planning and management;</w:t>
            </w:r>
          </w:p>
          <w:p w:rsidR="00FD5BFB" w:rsidRPr="00337FFB" w:rsidRDefault="00FD5BFB" w:rsidP="00BC5669">
            <w:pPr>
              <w:pStyle w:val="References"/>
              <w:keepNext/>
            </w:pPr>
            <w:r>
              <w:t xml:space="preserve">  </w:t>
            </w:r>
            <w:r w:rsidRPr="00337FFB">
              <w:t>v) avoid perverse or u</w:t>
            </w:r>
            <w:r w:rsidR="003A2647">
              <w:t>nintended pricing outcomes; and</w:t>
            </w:r>
          </w:p>
          <w:p w:rsidR="00FD5BFB" w:rsidRPr="00337FFB" w:rsidRDefault="00FD5BFB" w:rsidP="00BC5669">
            <w:pPr>
              <w:pStyle w:val="References"/>
              <w:keepNext/>
            </w:pPr>
            <w:r>
              <w:t xml:space="preserve">  </w:t>
            </w:r>
            <w:r w:rsidRPr="00337FFB">
              <w:t>vi) provide appropriate mechanisms for the release of unallocated water.</w:t>
            </w:r>
          </w:p>
        </w:tc>
      </w:tr>
    </w:tbl>
    <w:p w:rsidR="00FD5BFB" w:rsidRDefault="00FD5BFB" w:rsidP="00FD5BFB">
      <w:pPr>
        <w:pStyle w:val="TableNotesLast"/>
        <w:keepNext/>
      </w:pPr>
      <w:r w:rsidRPr="0000567C">
        <w:t>Source:</w:t>
      </w:r>
      <w:r w:rsidRPr="0000567C">
        <w:tab/>
      </w:r>
      <w:r>
        <w:rPr>
          <w:noProof/>
        </w:rPr>
        <w:t>COAG (2004)</w:t>
      </w:r>
      <w:r w:rsidRPr="0000567C">
        <w:t>.</w:t>
      </w:r>
    </w:p>
    <w:p w:rsidR="00FD5BFB" w:rsidRPr="00EF2541" w:rsidRDefault="00FD5BFB" w:rsidP="00FD5BFB"/>
    <w:p w:rsidR="00FD5BFB" w:rsidRPr="00337FFB" w:rsidRDefault="00FD5BFB" w:rsidP="00FD5BFB">
      <w:pPr>
        <w:pStyle w:val="FigureName"/>
        <w:keepNext/>
      </w:pPr>
      <w:bookmarkStart w:id="95" w:name="_Toc435700207"/>
      <w:r w:rsidRPr="0000567C">
        <w:lastRenderedPageBreak/>
        <w:t xml:space="preserve">Box </w:t>
      </w:r>
      <w:r w:rsidR="00A7215E">
        <w:fldChar w:fldCharType="begin"/>
      </w:r>
      <w:r>
        <w:instrText xml:space="preserve"> STYLEREF 1 \s </w:instrText>
      </w:r>
      <w:r w:rsidR="00A7215E">
        <w:fldChar w:fldCharType="separate"/>
      </w:r>
      <w:r w:rsidR="00E43227">
        <w:rPr>
          <w:noProof/>
        </w:rPr>
        <w:t>2</w:t>
      </w:r>
      <w:r w:rsidR="00A7215E">
        <w:fldChar w:fldCharType="end"/>
      </w:r>
      <w:r w:rsidRPr="00337FFB">
        <w:t>.</w:t>
      </w:r>
      <w:r w:rsidR="00A7215E">
        <w:fldChar w:fldCharType="begin"/>
      </w:r>
      <w:r>
        <w:instrText xml:space="preserve"> SEQ Box \* ARABIC \s 1 </w:instrText>
      </w:r>
      <w:r w:rsidR="00A7215E">
        <w:fldChar w:fldCharType="separate"/>
      </w:r>
      <w:r w:rsidR="00E43227">
        <w:rPr>
          <w:noProof/>
        </w:rPr>
        <w:t>6</w:t>
      </w:r>
      <w:r w:rsidR="00A7215E">
        <w:fldChar w:fldCharType="end"/>
      </w:r>
      <w:r w:rsidRPr="00337FFB">
        <w:tab/>
      </w:r>
      <w:r>
        <w:t>N</w:t>
      </w:r>
      <w:r w:rsidR="003A2647">
        <w:t xml:space="preserve">ational </w:t>
      </w:r>
      <w:r>
        <w:t>W</w:t>
      </w:r>
      <w:r w:rsidR="003A2647">
        <w:t xml:space="preserve">ater </w:t>
      </w:r>
      <w:r>
        <w:t>I</w:t>
      </w:r>
      <w:r w:rsidR="003A2647">
        <w:t>nitiative</w:t>
      </w:r>
      <w:r>
        <w:t xml:space="preserve"> best practice pricing actions</w:t>
      </w:r>
      <w:bookmarkEnd w:id="95"/>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shd w:val="clear" w:color="auto" w:fill="DBE5F1"/>
        <w:tblLook w:val="04A0"/>
      </w:tblPr>
      <w:tblGrid>
        <w:gridCol w:w="7927"/>
      </w:tblGrid>
      <w:tr w:rsidR="00FD5BFB" w:rsidTr="00BC5669">
        <w:trPr>
          <w:cantSplit/>
          <w:trHeight w:val="2069"/>
        </w:trPr>
        <w:tc>
          <w:tcPr>
            <w:tcW w:w="7927" w:type="dxa"/>
            <w:shd w:val="clear" w:color="auto" w:fill="DBE5F1"/>
          </w:tcPr>
          <w:p w:rsidR="00FD5BFB" w:rsidRDefault="00FD5BFB" w:rsidP="00BC5669">
            <w:pPr>
              <w:pStyle w:val="Quote"/>
              <w:rPr>
                <w:rStyle w:val="Bold"/>
              </w:rPr>
            </w:pPr>
            <w:r>
              <w:rPr>
                <w:rStyle w:val="Bold"/>
              </w:rPr>
              <w:t>Actions</w:t>
            </w:r>
          </w:p>
          <w:p w:rsidR="00FD5BFB" w:rsidRPr="00F37674" w:rsidRDefault="00FD5BFB" w:rsidP="00BC5669">
            <w:pPr>
              <w:pStyle w:val="Quote"/>
              <w:rPr>
                <w:u w:val="single"/>
              </w:rPr>
            </w:pPr>
            <w:r w:rsidRPr="00F37674">
              <w:rPr>
                <w:u w:val="single"/>
              </w:rPr>
              <w:t>Wat</w:t>
            </w:r>
            <w:r w:rsidR="003A2647">
              <w:rPr>
                <w:u w:val="single"/>
              </w:rPr>
              <w:t>er Storage and Delivery Pricing</w:t>
            </w:r>
          </w:p>
          <w:p w:rsidR="00FD5BFB" w:rsidRPr="00AE59C6" w:rsidRDefault="00FD5BFB" w:rsidP="00BC5669">
            <w:pPr>
              <w:pStyle w:val="Quote"/>
            </w:pPr>
            <w:r w:rsidRPr="00AE59C6">
              <w:t>65. In accordance with N</w:t>
            </w:r>
            <w:r w:rsidR="001A2A85">
              <w:t xml:space="preserve">ational </w:t>
            </w:r>
            <w:r w:rsidRPr="00AE59C6">
              <w:t>C</w:t>
            </w:r>
            <w:r w:rsidR="001A2A85">
              <w:t xml:space="preserve">ompetition </w:t>
            </w:r>
            <w:r w:rsidRPr="00AE59C6">
              <w:t>P</w:t>
            </w:r>
            <w:r w:rsidR="001A2A85">
              <w:t>olicy</w:t>
            </w:r>
            <w:r w:rsidRPr="00AE59C6">
              <w:t xml:space="preserve"> commitments, the States and Territories agree to bring into effect pricing policies for water storage and delivery in rural and urban systems that facilitate efficient water use and trade in water entitlements</w:t>
            </w:r>
            <w:r w:rsidR="003A2647">
              <w:t>, including through the use of:</w:t>
            </w:r>
          </w:p>
          <w:p w:rsidR="00FD5BFB" w:rsidRPr="00AE59C6" w:rsidRDefault="00FD5BFB" w:rsidP="00BC5669">
            <w:pPr>
              <w:pStyle w:val="Quote"/>
            </w:pPr>
            <w:r>
              <w:t xml:space="preserve">  </w:t>
            </w:r>
            <w:r w:rsidR="003A2647">
              <w:t>i) consumption based pricing;</w:t>
            </w:r>
          </w:p>
          <w:p w:rsidR="00FD5BFB" w:rsidRPr="00AE59C6" w:rsidRDefault="00FD5BFB" w:rsidP="00BC5669">
            <w:pPr>
              <w:pStyle w:val="Quote"/>
            </w:pPr>
            <w:r>
              <w:t xml:space="preserve">  </w:t>
            </w:r>
            <w:r w:rsidRPr="00AE59C6">
              <w:t>ii) full cost recovery for water services to ensure business viability and avoid monopoly rents, including recovery of environmental externalities, wh</w:t>
            </w:r>
            <w:r w:rsidR="003A2647">
              <w:t>ere feasible and practical; and</w:t>
            </w:r>
          </w:p>
          <w:p w:rsidR="00FD5BFB" w:rsidRPr="00AE59C6" w:rsidRDefault="00FD5BFB" w:rsidP="00BC5669">
            <w:pPr>
              <w:pStyle w:val="Quote"/>
            </w:pPr>
            <w:r>
              <w:t xml:space="preserve">  </w:t>
            </w:r>
            <w:r w:rsidRPr="00AE59C6">
              <w:t>iii) consistency in pricing policies across sectors and jurisdictions where enti</w:t>
            </w:r>
            <w:r w:rsidR="003A2647">
              <w:t>tlements are able to be traded.</w:t>
            </w:r>
          </w:p>
          <w:p w:rsidR="00FD5BFB" w:rsidRPr="00AE59C6" w:rsidRDefault="00FD5BFB" w:rsidP="00BC5669">
            <w:pPr>
              <w:pStyle w:val="Quote"/>
            </w:pPr>
            <w:r w:rsidRPr="00AE59C6">
              <w:t>66. In particular, States and Territories agree to the followin</w:t>
            </w:r>
            <w:r w:rsidR="003A2647">
              <w:t>g pricing actions: Metropolitan</w:t>
            </w:r>
          </w:p>
          <w:p w:rsidR="00FD5BFB" w:rsidRDefault="00FD5BFB" w:rsidP="00BC5669">
            <w:pPr>
              <w:pStyle w:val="Quote"/>
            </w:pPr>
            <w:r>
              <w:t xml:space="preserve">  </w:t>
            </w:r>
            <w:r w:rsidRPr="00AE59C6">
              <w:t>i) continued movement towar</w:t>
            </w:r>
            <w:r w:rsidR="003A2647">
              <w:t>ds upper bound pricing by 2008;</w:t>
            </w:r>
          </w:p>
          <w:p w:rsidR="00FD5BFB" w:rsidRPr="00AE59C6" w:rsidRDefault="00FD5BFB" w:rsidP="00BC5669">
            <w:pPr>
              <w:pStyle w:val="Quote"/>
            </w:pPr>
            <w:r>
              <w:t xml:space="preserve">  ii) </w:t>
            </w:r>
            <w:r w:rsidRPr="00AE59C6">
              <w:t>development of pricing policies for recycled water and stormwater that are congruent with pricing policies for potable water, and stimulate efficient water use no m</w:t>
            </w:r>
            <w:r w:rsidR="003A2647">
              <w:t>atter what the source, by 2006;</w:t>
            </w:r>
          </w:p>
          <w:p w:rsidR="00FD5BFB" w:rsidRPr="00AE59C6" w:rsidRDefault="00FD5BFB" w:rsidP="00BC5669">
            <w:pPr>
              <w:pStyle w:val="Quote"/>
            </w:pPr>
            <w:r>
              <w:t xml:space="preserve">  </w:t>
            </w:r>
            <w:r w:rsidRPr="00AE59C6">
              <w:t>iii) review and development of pricing policies for trade wastes that encourage the most cost effective methods of treating industrial wastes, whether at the source or at downs</w:t>
            </w:r>
            <w:r w:rsidR="003A2647">
              <w:t>tream plants, by 2006; and</w:t>
            </w:r>
          </w:p>
          <w:p w:rsidR="00FD5BFB" w:rsidRPr="00337FFB" w:rsidRDefault="00FD5BFB" w:rsidP="00BC5669">
            <w:pPr>
              <w:pStyle w:val="Quote"/>
            </w:pPr>
            <w:r>
              <w:t xml:space="preserve">  </w:t>
            </w:r>
            <w:r w:rsidRPr="00AE59C6">
              <w:t>iv) development of national guidelines for customers’ water accounts that provide information on their water use relative to equivalent households in the community by 2006</w:t>
            </w:r>
            <w:r>
              <w:t>.</w:t>
            </w:r>
          </w:p>
        </w:tc>
      </w:tr>
    </w:tbl>
    <w:p w:rsidR="00FD5BFB" w:rsidRDefault="00FD5BFB" w:rsidP="00FD5BFB">
      <w:pPr>
        <w:pStyle w:val="TableNotesLast"/>
      </w:pPr>
      <w:r w:rsidRPr="0000567C">
        <w:t>Source:</w:t>
      </w:r>
      <w:r w:rsidRPr="0000567C">
        <w:tab/>
      </w:r>
      <w:r>
        <w:rPr>
          <w:noProof/>
        </w:rPr>
        <w:t>COAG (2004)</w:t>
      </w:r>
      <w:r w:rsidRPr="0000567C">
        <w:t>.</w:t>
      </w:r>
    </w:p>
    <w:p w:rsidR="00FD5BFB" w:rsidRDefault="00FD5BFB" w:rsidP="00FD5BFB">
      <w:r w:rsidRPr="0022149B">
        <w:t>In 2010, a set of N</w:t>
      </w:r>
      <w:r w:rsidR="00896730">
        <w:t xml:space="preserve">ational </w:t>
      </w:r>
      <w:r w:rsidRPr="0022149B">
        <w:t>W</w:t>
      </w:r>
      <w:r w:rsidR="00896730">
        <w:t xml:space="preserve">ater </w:t>
      </w:r>
      <w:r w:rsidRPr="0022149B">
        <w:t>I</w:t>
      </w:r>
      <w:r w:rsidR="00896730">
        <w:t>nitiative</w:t>
      </w:r>
      <w:r w:rsidRPr="0022149B">
        <w:t xml:space="preserve"> pricing principles, agreed by all Australian governments and</w:t>
      </w:r>
      <w:r>
        <w:t xml:space="preserve"> endorsed by the </w:t>
      </w:r>
      <w:r w:rsidRPr="00AC1553">
        <w:t>Natural Resource Management Ministerial Council</w:t>
      </w:r>
      <w:r>
        <w:t xml:space="preserve">, was developed </w:t>
      </w:r>
      <w:r w:rsidRPr="00101524">
        <w:t>as the basis for setting water</w:t>
      </w:r>
      <w:r>
        <w:t xml:space="preserve"> </w:t>
      </w:r>
      <w:r w:rsidRPr="00101524">
        <w:t xml:space="preserve">prices in </w:t>
      </w:r>
      <w:r>
        <w:t xml:space="preserve">all </w:t>
      </w:r>
      <w:r w:rsidRPr="00101524">
        <w:t>jurisdictions.</w:t>
      </w:r>
      <w:r>
        <w:rPr>
          <w:rStyle w:val="FootnoteReference"/>
        </w:rPr>
        <w:footnoteReference w:id="32"/>
      </w:r>
      <w:r>
        <w:t xml:space="preserve"> The 10 pricing principles for setting urban water tariffs are summarised in Box 2.7.</w:t>
      </w:r>
    </w:p>
    <w:p w:rsidR="00FD5BFB" w:rsidRDefault="00FD5BFB" w:rsidP="00FD5BFB">
      <w:pPr>
        <w:pStyle w:val="References"/>
      </w:pPr>
    </w:p>
    <w:p w:rsidR="00FD5BFB" w:rsidRDefault="00FD5BFB" w:rsidP="00FD5BFB">
      <w:pPr>
        <w:pStyle w:val="References"/>
      </w:pPr>
    </w:p>
    <w:p w:rsidR="00FD5BFB" w:rsidRDefault="00FD5BFB" w:rsidP="00FD5BFB">
      <w:pPr>
        <w:pStyle w:val="References"/>
      </w:pPr>
    </w:p>
    <w:p w:rsidR="00FD5BFB" w:rsidRPr="00C5491B" w:rsidRDefault="00FD5BFB" w:rsidP="00FD5BFB">
      <w:pPr>
        <w:pStyle w:val="FigureName"/>
      </w:pPr>
      <w:bookmarkStart w:id="96" w:name="_Toc435700208"/>
      <w:r w:rsidRPr="00C5491B">
        <w:lastRenderedPageBreak/>
        <w:t xml:space="preserve">Box </w:t>
      </w:r>
      <w:r w:rsidR="00A7215E">
        <w:fldChar w:fldCharType="begin"/>
      </w:r>
      <w:r>
        <w:instrText xml:space="preserve"> STYLEREF 1 \s </w:instrText>
      </w:r>
      <w:r w:rsidR="00A7215E">
        <w:fldChar w:fldCharType="separate"/>
      </w:r>
      <w:r w:rsidR="00E43227">
        <w:rPr>
          <w:noProof/>
        </w:rPr>
        <w:t>2</w:t>
      </w:r>
      <w:r w:rsidR="00A7215E">
        <w:fldChar w:fldCharType="end"/>
      </w:r>
      <w:r w:rsidRPr="00C5491B">
        <w:t>.</w:t>
      </w:r>
      <w:r w:rsidR="00A7215E">
        <w:fldChar w:fldCharType="begin"/>
      </w:r>
      <w:r>
        <w:instrText xml:space="preserve"> SEQ Box \* ARABIC \s 1 </w:instrText>
      </w:r>
      <w:r w:rsidR="00A7215E">
        <w:fldChar w:fldCharType="separate"/>
      </w:r>
      <w:r w:rsidR="00E43227">
        <w:rPr>
          <w:noProof/>
        </w:rPr>
        <w:t>7</w:t>
      </w:r>
      <w:r w:rsidR="00A7215E">
        <w:fldChar w:fldCharType="end"/>
      </w:r>
      <w:r w:rsidRPr="00C5491B">
        <w:tab/>
        <w:t>N</w:t>
      </w:r>
      <w:r w:rsidR="001F6774">
        <w:t xml:space="preserve">ational </w:t>
      </w:r>
      <w:r w:rsidRPr="00C5491B">
        <w:t>W</w:t>
      </w:r>
      <w:r w:rsidR="001F6774">
        <w:t xml:space="preserve">ater </w:t>
      </w:r>
      <w:r w:rsidRPr="00C5491B">
        <w:t>I</w:t>
      </w:r>
      <w:r w:rsidR="001F6774">
        <w:t>nitiative</w:t>
      </w:r>
      <w:r w:rsidRPr="00C5491B">
        <w:t xml:space="preserve"> </w:t>
      </w:r>
      <w:r>
        <w:t>urban water price</w:t>
      </w:r>
      <w:r w:rsidR="003A2647">
        <w:t>-</w:t>
      </w:r>
      <w:r>
        <w:t>setting principles</w:t>
      </w:r>
      <w:bookmarkEnd w:id="96"/>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shd w:val="clear" w:color="auto" w:fill="DBE5F1"/>
        <w:tblLook w:val="04A0"/>
      </w:tblPr>
      <w:tblGrid>
        <w:gridCol w:w="7927"/>
      </w:tblGrid>
      <w:tr w:rsidR="00FD5BFB" w:rsidTr="00BC5669">
        <w:trPr>
          <w:cantSplit/>
          <w:trHeight w:val="2069"/>
        </w:trPr>
        <w:tc>
          <w:tcPr>
            <w:tcW w:w="7927" w:type="dxa"/>
            <w:shd w:val="clear" w:color="auto" w:fill="DBE5F1"/>
          </w:tcPr>
          <w:p w:rsidR="00FD5BFB" w:rsidRPr="00821663" w:rsidRDefault="00FD5BFB" w:rsidP="00BC5669">
            <w:r w:rsidRPr="00821663">
              <w:rPr>
                <w:rStyle w:val="Bold"/>
              </w:rPr>
              <w:t>Principle 1: Cost recovery</w:t>
            </w:r>
            <w:r w:rsidRPr="003A2647">
              <w:rPr>
                <w:rStyle w:val="Bold"/>
                <w:b w:val="0"/>
              </w:rPr>
              <w:t xml:space="preserve"> </w:t>
            </w:r>
            <w:r w:rsidRPr="00821663">
              <w:sym w:font="Symbol" w:char="F02D"/>
            </w:r>
            <w:r w:rsidRPr="00821663">
              <w:t xml:space="preserve"> full recovery of efficient costs through upper bound pricing.</w:t>
            </w:r>
            <w:r>
              <w:rPr>
                <w:rStyle w:val="FootnoteReference"/>
              </w:rPr>
              <w:footnoteReference w:id="33"/>
            </w:r>
          </w:p>
          <w:p w:rsidR="00FD5BFB" w:rsidRPr="00821663" w:rsidRDefault="00FD5BFB" w:rsidP="00BC5669">
            <w:r w:rsidRPr="00821663">
              <w:rPr>
                <w:rStyle w:val="Bold"/>
              </w:rPr>
              <w:t>Principle 2: Tariff structures</w:t>
            </w:r>
            <w:r w:rsidRPr="003A2647">
              <w:rPr>
                <w:rStyle w:val="Bold"/>
                <w:b w:val="0"/>
              </w:rPr>
              <w:t xml:space="preserve"> </w:t>
            </w:r>
            <w:r w:rsidRPr="00821663">
              <w:sym w:font="Symbol" w:char="F02D"/>
            </w:r>
            <w:r w:rsidRPr="00821663">
              <w:t xml:space="preserve"> two</w:t>
            </w:r>
            <w:r w:rsidR="008B3C2B">
              <w:t>-</w:t>
            </w:r>
            <w:r w:rsidRPr="00821663">
              <w:t>part tariffs (service availability and water usage charge) unless demonstr</w:t>
            </w:r>
            <w:r w:rsidR="003A2647">
              <w:t>ated to not be cost</w:t>
            </w:r>
            <w:r w:rsidR="008B3C2B">
              <w:t>-</w:t>
            </w:r>
            <w:r w:rsidR="003A2647">
              <w:t>effective.</w:t>
            </w:r>
          </w:p>
          <w:p w:rsidR="00FD5BFB" w:rsidRPr="00821663" w:rsidRDefault="00FD5BFB" w:rsidP="00BC5669">
            <w:r w:rsidRPr="00821663">
              <w:rPr>
                <w:rStyle w:val="Bold"/>
              </w:rPr>
              <w:t>Principle 3: Cost</w:t>
            </w:r>
            <w:r w:rsidR="008B3C2B">
              <w:rPr>
                <w:rStyle w:val="Bold"/>
              </w:rPr>
              <w:t>-</w:t>
            </w:r>
            <w:r w:rsidRPr="00821663">
              <w:rPr>
                <w:rStyle w:val="Bold"/>
              </w:rPr>
              <w:t>reflective tariffs</w:t>
            </w:r>
            <w:r w:rsidRPr="00821663">
              <w:t xml:space="preserve"> </w:t>
            </w:r>
            <w:r w:rsidRPr="00821663">
              <w:sym w:font="Symbol" w:char="F02D"/>
            </w:r>
            <w:r w:rsidRPr="00821663">
              <w:t xml:space="preserve"> for economic efficiency reasons</w:t>
            </w:r>
            <w:r w:rsidR="008B3C2B">
              <w:t>,</w:t>
            </w:r>
            <w:r w:rsidRPr="00821663">
              <w:t xml:space="preserve"> water usage charge should have regard to the long</w:t>
            </w:r>
            <w:r w:rsidR="008B3C2B">
              <w:t>-</w:t>
            </w:r>
            <w:r w:rsidRPr="00821663">
              <w:t>run marginal cost of the supply of additional water (does not preclude inclining block charges where government</w:t>
            </w:r>
            <w:r>
              <w:t>s</w:t>
            </w:r>
            <w:r w:rsidRPr="00821663">
              <w:t xml:space="preserve"> seek to</w:t>
            </w:r>
            <w:r w:rsidR="003A2647">
              <w:t xml:space="preserve"> promote efficient water use).</w:t>
            </w:r>
          </w:p>
          <w:p w:rsidR="00FD5BFB" w:rsidRPr="00821663" w:rsidRDefault="00FD5BFB" w:rsidP="00BC5669">
            <w:r w:rsidRPr="00821663">
              <w:rPr>
                <w:rStyle w:val="Bold"/>
              </w:rPr>
              <w:t>Principle 4: Setting the service availability charge</w:t>
            </w:r>
            <w:r w:rsidRPr="003A2647">
              <w:rPr>
                <w:rStyle w:val="Bold"/>
                <w:b w:val="0"/>
              </w:rPr>
              <w:t xml:space="preserve"> </w:t>
            </w:r>
            <w:r w:rsidRPr="00821663">
              <w:sym w:font="Symbol" w:char="F02D"/>
            </w:r>
            <w:r w:rsidRPr="00821663">
              <w:t xml:space="preserve"> should recover </w:t>
            </w:r>
            <w:r>
              <w:t xml:space="preserve">the </w:t>
            </w:r>
            <w:r w:rsidRPr="00821663">
              <w:t>difference between revenue collected from variable water charges and developer charges</w:t>
            </w:r>
            <w:r w:rsidR="003A2647">
              <w:t xml:space="preserve"> and total revenue requirement.</w:t>
            </w:r>
          </w:p>
          <w:p w:rsidR="00FD5BFB" w:rsidRDefault="00FD5BFB" w:rsidP="00BC5669">
            <w:r w:rsidRPr="00821663">
              <w:rPr>
                <w:rStyle w:val="Bold"/>
              </w:rPr>
              <w:t>Principle 5: Pricing transparency</w:t>
            </w:r>
            <w:r w:rsidRPr="00821663">
              <w:t xml:space="preserve"> </w:t>
            </w:r>
            <w:r w:rsidRPr="00821663">
              <w:sym w:font="Symbol" w:char="F02D"/>
            </w:r>
            <w:r w:rsidRPr="00821663">
              <w:t xml:space="preserve"> </w:t>
            </w:r>
            <w:r w:rsidRPr="003C4D68">
              <w:t>tariffs should be set using a transparent methodology</w:t>
            </w:r>
            <w:r>
              <w:t xml:space="preserve"> and subject to </w:t>
            </w:r>
            <w:r w:rsidRPr="003C4D68">
              <w:t>public</w:t>
            </w:r>
            <w:r>
              <w:t xml:space="preserve"> consultation and </w:t>
            </w:r>
            <w:r w:rsidRPr="003C4D68">
              <w:t>scrutiny.</w:t>
            </w:r>
          </w:p>
          <w:p w:rsidR="008B3C2B" w:rsidRPr="00821663" w:rsidRDefault="008B3C2B" w:rsidP="003A1612">
            <w:r w:rsidRPr="008B3C2B">
              <w:rPr>
                <w:b/>
              </w:rPr>
              <w:t xml:space="preserve">Principle 6: </w:t>
            </w:r>
            <w:r w:rsidR="003A1612" w:rsidRPr="003A1612">
              <w:rPr>
                <w:b/>
              </w:rPr>
              <w:t>Over recovery of revenue</w:t>
            </w:r>
            <w:r>
              <w:t xml:space="preserve"> – </w:t>
            </w:r>
            <w:r w:rsidR="003A1612">
              <w:t>where water usage charges lead to revenue recovery in excess of upper bound revenue requirements in respect of new investments, jurisdictions are to address the over recovery.</w:t>
            </w:r>
          </w:p>
          <w:p w:rsidR="00FD5BFB" w:rsidRPr="00821663" w:rsidRDefault="00FD5BFB" w:rsidP="00BC5669">
            <w:r w:rsidRPr="00821663">
              <w:rPr>
                <w:rStyle w:val="Bold"/>
              </w:rPr>
              <w:t>Principle 7: Differential water charges</w:t>
            </w:r>
            <w:r w:rsidRPr="00821663">
              <w:t xml:space="preserve"> </w:t>
            </w:r>
            <w:r w:rsidRPr="00821663">
              <w:sym w:font="Symbol" w:char="F02D"/>
            </w:r>
            <w:r>
              <w:t xml:space="preserve"> w</w:t>
            </w:r>
            <w:r w:rsidRPr="00613AF1">
              <w:t>ater charges should be differentiated by the cost of servicing different customers</w:t>
            </w:r>
            <w:r>
              <w:t xml:space="preserve"> </w:t>
            </w:r>
            <w:r w:rsidRPr="00613AF1">
              <w:t xml:space="preserve">where the benefits </w:t>
            </w:r>
            <w:r>
              <w:t xml:space="preserve">of </w:t>
            </w:r>
            <w:r w:rsidRPr="00613AF1">
              <w:t>doing so outweigh the costs of identifying</w:t>
            </w:r>
            <w:r>
              <w:t xml:space="preserve"> </w:t>
            </w:r>
            <w:r w:rsidRPr="00613AF1">
              <w:t>differences and the equity advantages of alternatives</w:t>
            </w:r>
            <w:r>
              <w:t>.</w:t>
            </w:r>
          </w:p>
          <w:p w:rsidR="00FD5BFB" w:rsidRPr="00821663" w:rsidRDefault="00FD5BFB" w:rsidP="00BC5669">
            <w:r w:rsidRPr="00821663">
              <w:rPr>
                <w:rStyle w:val="Bold"/>
              </w:rPr>
              <w:t>Principle 8: Setting developer charges</w:t>
            </w:r>
            <w:r w:rsidRPr="00821663">
              <w:t xml:space="preserve"> </w:t>
            </w:r>
            <w:r w:rsidRPr="00821663">
              <w:sym w:font="Symbol" w:char="F02D"/>
            </w:r>
            <w:r>
              <w:t xml:space="preserve"> charges </w:t>
            </w:r>
            <w:r w:rsidRPr="00CA06FB">
              <w:t>should reflect the investment in both new and existing assets</w:t>
            </w:r>
            <w:r>
              <w:t xml:space="preserve"> </w:t>
            </w:r>
            <w:r w:rsidRPr="00CA06FB">
              <w:t xml:space="preserve">required to serve a new development and have regard to the </w:t>
            </w:r>
            <w:r>
              <w:t xml:space="preserve">way </w:t>
            </w:r>
            <w:r w:rsidRPr="00CA06FB">
              <w:t>in which ongoing</w:t>
            </w:r>
            <w:r>
              <w:t xml:space="preserve"> </w:t>
            </w:r>
            <w:r w:rsidRPr="00CA06FB">
              <w:t>water usage and service availability charges are set</w:t>
            </w:r>
            <w:r>
              <w:t>.</w:t>
            </w:r>
          </w:p>
          <w:p w:rsidR="00FD5BFB" w:rsidRPr="00821663" w:rsidRDefault="00FD5BFB" w:rsidP="00BC5669">
            <w:r w:rsidRPr="00821663">
              <w:rPr>
                <w:rStyle w:val="Bold"/>
              </w:rPr>
              <w:t>Principle 9: Capping developer charges</w:t>
            </w:r>
            <w:r w:rsidRPr="00821663">
              <w:t xml:space="preserve"> </w:t>
            </w:r>
            <w:r w:rsidRPr="00821663">
              <w:sym w:font="Symbol" w:char="F02D"/>
            </w:r>
            <w:r>
              <w:t xml:space="preserve"> </w:t>
            </w:r>
            <w:r w:rsidRPr="00755772">
              <w:t>charges should not exceed the costs of serving new developments</w:t>
            </w:r>
            <w:r>
              <w:t xml:space="preserve">, </w:t>
            </w:r>
            <w:r w:rsidRPr="00755772">
              <w:t>includ</w:t>
            </w:r>
            <w:r>
              <w:t>ing</w:t>
            </w:r>
            <w:r w:rsidRPr="00755772">
              <w:t xml:space="preserve"> investment in both new and existing assets.</w:t>
            </w:r>
          </w:p>
          <w:p w:rsidR="00FD5BFB" w:rsidRPr="00C5491B" w:rsidRDefault="00FD5BFB" w:rsidP="00BC5669">
            <w:r w:rsidRPr="00821663">
              <w:rPr>
                <w:rStyle w:val="Bold"/>
              </w:rPr>
              <w:t>Principle 10: Revenue from developer charges</w:t>
            </w:r>
            <w:r>
              <w:t xml:space="preserve"> </w:t>
            </w:r>
            <w:r w:rsidRPr="00821663">
              <w:sym w:font="Symbol" w:char="F02D"/>
            </w:r>
            <w:r>
              <w:t xml:space="preserve"> t</w:t>
            </w:r>
            <w:r w:rsidRPr="00755772">
              <w:t>o avoid over-recovery, revenue from developer charges should be offset against the</w:t>
            </w:r>
            <w:r>
              <w:t xml:space="preserve"> </w:t>
            </w:r>
            <w:r w:rsidRPr="00755772">
              <w:t>total revenue requirement either by excluding or deducting the contributed assets from</w:t>
            </w:r>
            <w:r>
              <w:t xml:space="preserve"> </w:t>
            </w:r>
            <w:r w:rsidRPr="00755772">
              <w:t xml:space="preserve">the </w:t>
            </w:r>
            <w:r>
              <w:t xml:space="preserve">regulatory asset base </w:t>
            </w:r>
            <w:r w:rsidRPr="00755772">
              <w:t>or by offsetting the revenue recovered using other mechanisms.</w:t>
            </w:r>
          </w:p>
        </w:tc>
      </w:tr>
    </w:tbl>
    <w:p w:rsidR="00FD5BFB" w:rsidRDefault="00FD5BFB" w:rsidP="00FD5BFB">
      <w:pPr>
        <w:pStyle w:val="TableNotesLast"/>
      </w:pPr>
      <w:r w:rsidRPr="00C5491B">
        <w:t>Source:</w:t>
      </w:r>
      <w:r w:rsidRPr="00C5491B">
        <w:tab/>
      </w:r>
      <w:r>
        <w:rPr>
          <w:noProof/>
        </w:rPr>
        <w:t>NRMMC (2010)</w:t>
      </w:r>
      <w:r w:rsidRPr="00C5491B">
        <w:t>.</w:t>
      </w:r>
    </w:p>
    <w:p w:rsidR="00FD5BFB" w:rsidRDefault="00FD5BFB" w:rsidP="00FD5BFB">
      <w:r>
        <w:lastRenderedPageBreak/>
        <w:t>As the ACT Government is a signatory to the N</w:t>
      </w:r>
      <w:r w:rsidR="00896730">
        <w:t xml:space="preserve">ational </w:t>
      </w:r>
      <w:r>
        <w:t>W</w:t>
      </w:r>
      <w:r w:rsidR="00896730">
        <w:t xml:space="preserve">ater </w:t>
      </w:r>
      <w:r>
        <w:t>I</w:t>
      </w:r>
      <w:r w:rsidR="00896730">
        <w:t>nitiative</w:t>
      </w:r>
      <w:r>
        <w:t xml:space="preserve"> and the</w:t>
      </w:r>
      <w:r w:rsidR="00211CD8">
        <w:t xml:space="preserve"> Initiative’s pricing</w:t>
      </w:r>
      <w:r>
        <w:t xml:space="preserve"> principles, the Commission is required to ensure, to the e</w:t>
      </w:r>
      <w:r w:rsidR="001F051B">
        <w:t>xtent possible, that Icon Water’</w:t>
      </w:r>
      <w:r>
        <w:t>s water tariff structure is consistent with both.</w:t>
      </w:r>
    </w:p>
    <w:p w:rsidR="00FD5BFB" w:rsidRDefault="00FD5BFB" w:rsidP="00FD5BFB">
      <w:pPr>
        <w:pStyle w:val="Heading2"/>
      </w:pPr>
      <w:bookmarkStart w:id="97" w:name="Papers_context"/>
      <w:bookmarkStart w:id="98" w:name="_Ref430856755"/>
      <w:bookmarkStart w:id="99" w:name="_Toc435700158"/>
      <w:bookmarkEnd w:id="97"/>
      <w:r>
        <w:t>Recent pricing reviews and reports</w:t>
      </w:r>
      <w:bookmarkEnd w:id="98"/>
      <w:bookmarkEnd w:id="99"/>
    </w:p>
    <w:p w:rsidR="00FD5BFB" w:rsidRDefault="00FD5BFB" w:rsidP="00FD5BFB">
      <w:r w:rsidRPr="00DA09EA">
        <w:t xml:space="preserve">There have been a number of </w:t>
      </w:r>
      <w:r>
        <w:t xml:space="preserve">water-specific and other relevant monopoly infrastructure </w:t>
      </w:r>
      <w:r w:rsidRPr="00DA09EA">
        <w:t>pricing reviews and reports</w:t>
      </w:r>
      <w:r>
        <w:t xml:space="preserve"> </w:t>
      </w:r>
      <w:r w:rsidRPr="00DA09EA">
        <w:t>published in the last five years that provide useful context for the tariff review.</w:t>
      </w:r>
    </w:p>
    <w:p w:rsidR="00FD5BFB" w:rsidRDefault="00FD5BFB" w:rsidP="00101ADB">
      <w:pPr>
        <w:pStyle w:val="Heading3"/>
      </w:pPr>
      <w:r>
        <w:t>Grafton and Ward 2</w:t>
      </w:r>
      <w:r w:rsidR="008D2247">
        <w:t>010 dynamic water pricing paper</w:t>
      </w:r>
    </w:p>
    <w:p w:rsidR="00FD5BFB" w:rsidRDefault="008D2247" w:rsidP="00FD5BFB">
      <w:r>
        <w:t xml:space="preserve">In November 2010, </w:t>
      </w:r>
      <w:r w:rsidR="00FD5BFB" w:rsidRPr="00DA09EA">
        <w:t xml:space="preserve">Professors </w:t>
      </w:r>
      <w:r>
        <w:t xml:space="preserve">Quentin </w:t>
      </w:r>
      <w:r w:rsidR="00FD5BFB" w:rsidRPr="00DA09EA">
        <w:t xml:space="preserve">Grafton and </w:t>
      </w:r>
      <w:r>
        <w:t xml:space="preserve">Michael </w:t>
      </w:r>
      <w:r w:rsidR="00FD5BFB" w:rsidRPr="00DA09EA">
        <w:t>Ward of the Crawford School of Economics and Government</w:t>
      </w:r>
      <w:r w:rsidR="00FD5BFB">
        <w:t xml:space="preserve"> at the Australian National University published a research paper</w:t>
      </w:r>
      <w:r w:rsidR="00FD5BFB" w:rsidRPr="00DA09EA">
        <w:t xml:space="preserve"> on dynamically efficient urban water policy. This paper </w:t>
      </w:r>
      <w:r w:rsidR="00FD5BFB">
        <w:t>evaluated the</w:t>
      </w:r>
      <w:r w:rsidR="00FD5BFB" w:rsidRPr="00125DDC">
        <w:t xml:space="preserve"> welfare losses from the typical water restrictions</w:t>
      </w:r>
      <w:r w:rsidR="00FD5BFB">
        <w:t xml:space="preserve"> </w:t>
      </w:r>
      <w:r w:rsidR="00FD5BFB" w:rsidRPr="00125DDC">
        <w:t>approach to demand management and supply augmentation</w:t>
      </w:r>
      <w:r w:rsidR="00FD5BFB">
        <w:t xml:space="preserve"> by comparing this approach to:</w:t>
      </w:r>
    </w:p>
    <w:p w:rsidR="00FD5BFB" w:rsidRDefault="00FD5BFB" w:rsidP="00FD5BFB">
      <w:pPr>
        <w:pStyle w:val="Quote"/>
      </w:pPr>
      <w:r w:rsidRPr="00125DDC">
        <w:t>the use of dynamically efficient water pricing to determine: (1) the volumetric</w:t>
      </w:r>
      <w:r>
        <w:t xml:space="preserve"> </w:t>
      </w:r>
      <w:r w:rsidRPr="00125DDC">
        <w:t>price and (2) the optimal time to invest in additional supply given variability</w:t>
      </w:r>
      <w:r>
        <w:t xml:space="preserve"> </w:t>
      </w:r>
      <w:r w:rsidRPr="00125DDC">
        <w:t>in water availability.</w:t>
      </w:r>
      <w:r>
        <w:rPr>
          <w:rStyle w:val="FootnoteReference"/>
        </w:rPr>
        <w:footnoteReference w:id="34"/>
      </w:r>
    </w:p>
    <w:p w:rsidR="00FD5BFB" w:rsidRPr="00DA09EA" w:rsidRDefault="00FD5BFB" w:rsidP="00FD5BFB">
      <w:r>
        <w:t xml:space="preserve">The paper concludes by </w:t>
      </w:r>
      <w:r w:rsidRPr="00DA09EA">
        <w:t>advocat</w:t>
      </w:r>
      <w:r>
        <w:t>ing</w:t>
      </w:r>
      <w:r w:rsidRPr="00DA09EA">
        <w:t xml:space="preserve"> a dynamically efficient volumetric water price schedule that varies with available water storages, the adoption of which would ‘reduce or eliminate the need for quantitative water restrictions’ with consequent welfare benefits</w:t>
      </w:r>
      <w:r>
        <w:t>.</w:t>
      </w:r>
      <w:r w:rsidRPr="00A171C6">
        <w:rPr>
          <w:rStyle w:val="FootnoteReference"/>
        </w:rPr>
        <w:footnoteReference w:id="35"/>
      </w:r>
    </w:p>
    <w:p w:rsidR="00FD5BFB" w:rsidRDefault="00FD5BFB" w:rsidP="00101ADB">
      <w:pPr>
        <w:pStyle w:val="Heading3"/>
      </w:pPr>
      <w:r>
        <w:t>Productivity Commission</w:t>
      </w:r>
      <w:r w:rsidR="00CE3F60">
        <w:t xml:space="preserve"> 2011 urban water sector report</w:t>
      </w:r>
    </w:p>
    <w:p w:rsidR="00FD5BFB" w:rsidRDefault="00FD5BFB" w:rsidP="00FD5BFB">
      <w:r>
        <w:t>T</w:t>
      </w:r>
      <w:r w:rsidRPr="00DA09EA">
        <w:t xml:space="preserve">he Productivity Commission </w:t>
      </w:r>
      <w:r>
        <w:t xml:space="preserve">published a </w:t>
      </w:r>
      <w:r w:rsidRPr="00DA09EA">
        <w:t>report into Australia’s urban water sector</w:t>
      </w:r>
      <w:r>
        <w:t xml:space="preserve"> in August 2011. The </w:t>
      </w:r>
      <w:r w:rsidR="008D2247">
        <w:t xml:space="preserve">Independent Competition and Regulatory </w:t>
      </w:r>
      <w:r>
        <w:t xml:space="preserve">Commission </w:t>
      </w:r>
      <w:r w:rsidRPr="00DA09EA">
        <w:t>ma</w:t>
      </w:r>
      <w:r>
        <w:t>de</w:t>
      </w:r>
      <w:r w:rsidRPr="00DA09EA">
        <w:t xml:space="preserve"> a submission on the draft report in June 2011.</w:t>
      </w:r>
      <w:r>
        <w:rPr>
          <w:rStyle w:val="FootnoteReference"/>
        </w:rPr>
        <w:footnoteReference w:id="36"/>
      </w:r>
      <w:r w:rsidRPr="00DA09EA">
        <w:t xml:space="preserve"> The submission raised concerns about the merits of the Productivity Commission’s support for marginal cost pricing and its inadequate consideration of the costs a</w:t>
      </w:r>
      <w:r>
        <w:t>nd benefits of flexible pricing.</w:t>
      </w:r>
    </w:p>
    <w:p w:rsidR="00FD5BFB" w:rsidRDefault="00FD5BFB" w:rsidP="00FD5BFB">
      <w:r>
        <w:t>As matters of interest for the tariff review, the final report included findings and recommendations on w</w:t>
      </w:r>
      <w:r w:rsidRPr="00B57C02">
        <w:t>ater, wastewater and stormwater</w:t>
      </w:r>
      <w:r>
        <w:t>, non-price demand management a</w:t>
      </w:r>
      <w:r w:rsidR="00CE3F60">
        <w:t>nd rethinking price regulation.</w:t>
      </w:r>
    </w:p>
    <w:p w:rsidR="00FD5BFB" w:rsidRDefault="00FD5BFB" w:rsidP="00FD5BFB">
      <w:pPr>
        <w:pStyle w:val="Heading4"/>
      </w:pPr>
      <w:r>
        <w:t>W</w:t>
      </w:r>
      <w:r w:rsidRPr="00B57C02">
        <w:t>ater, wastewater and stormwater</w:t>
      </w:r>
    </w:p>
    <w:p w:rsidR="00FD5BFB" w:rsidRDefault="00FD5BFB" w:rsidP="00FD5BFB">
      <w:r>
        <w:t>The findings included:</w:t>
      </w:r>
    </w:p>
    <w:p w:rsidR="00FD5BFB" w:rsidRDefault="00C553A7" w:rsidP="00FD5BFB">
      <w:pPr>
        <w:pStyle w:val="Bullet"/>
      </w:pPr>
      <w:r>
        <w:lastRenderedPageBreak/>
        <w:t>S</w:t>
      </w:r>
      <w:r w:rsidR="00FD5BFB" w:rsidRPr="00F6382E">
        <w:t>ubstantial efficiency gains are available from no longer prescribing inclining block tariff structures</w:t>
      </w:r>
      <w:r>
        <w:t>.</w:t>
      </w:r>
    </w:p>
    <w:p w:rsidR="00FD5BFB" w:rsidRDefault="00C553A7" w:rsidP="00FD5BFB">
      <w:pPr>
        <w:pStyle w:val="Bullet"/>
      </w:pPr>
      <w:r>
        <w:t>T</w:t>
      </w:r>
      <w:r w:rsidR="00FD5BFB" w:rsidRPr="00F6382E">
        <w:t>here is scope for efficiency gains in moving to location-specific pricing, particularly where cost differences within the ‘postage stamp’ region are large and easy to quantify</w:t>
      </w:r>
      <w:r>
        <w:t>.</w:t>
      </w:r>
    </w:p>
    <w:p w:rsidR="00FD5BFB" w:rsidRPr="00F6382E" w:rsidRDefault="00C553A7" w:rsidP="00FD5BFB">
      <w:pPr>
        <w:pStyle w:val="BulletLast"/>
      </w:pPr>
      <w:r>
        <w:t>T</w:t>
      </w:r>
      <w:r w:rsidR="00FD5BFB" w:rsidRPr="00F6382E">
        <w:t>he N</w:t>
      </w:r>
      <w:r w:rsidR="00B453EF">
        <w:t xml:space="preserve">ational </w:t>
      </w:r>
      <w:r w:rsidR="00FD5BFB">
        <w:t>W</w:t>
      </w:r>
      <w:r w:rsidR="00B453EF">
        <w:t xml:space="preserve">ater </w:t>
      </w:r>
      <w:r w:rsidR="00FD5BFB">
        <w:t>I</w:t>
      </w:r>
      <w:r w:rsidR="00B453EF">
        <w:t>nitiative</w:t>
      </w:r>
      <w:r w:rsidR="00FD5BFB" w:rsidRPr="00F6382E">
        <w:t xml:space="preserve"> pricing principles provide scope to implement pricing policies that are inconsistent with economic efficiency.</w:t>
      </w:r>
    </w:p>
    <w:p w:rsidR="00FD5BFB" w:rsidRPr="00F6382E" w:rsidRDefault="00FD5BFB" w:rsidP="00FD5BFB">
      <w:pPr>
        <w:pStyle w:val="References"/>
      </w:pPr>
      <w:r>
        <w:t>The recommendations included:</w:t>
      </w:r>
    </w:p>
    <w:p w:rsidR="00FD5BFB" w:rsidRDefault="00FD5BFB" w:rsidP="00FD5BFB">
      <w:pPr>
        <w:pStyle w:val="Bullet"/>
      </w:pPr>
      <w:r w:rsidRPr="00F6382E">
        <w:t>Upfront developer charges should be used where the incremental costs of development are well established and benefits accrue main</w:t>
      </w:r>
      <w:r w:rsidR="00AE7D78">
        <w:t>ly to those in the development.</w:t>
      </w:r>
    </w:p>
    <w:p w:rsidR="00FD5BFB" w:rsidRDefault="00FD5BFB" w:rsidP="00FD5BFB">
      <w:pPr>
        <w:pStyle w:val="Bullet"/>
      </w:pPr>
      <w:r>
        <w:t xml:space="preserve">Where, as in the </w:t>
      </w:r>
      <w:r w:rsidRPr="00F6382E">
        <w:t>case of urban infill, the benefits also accrue to incumbents, costs should be spread across all users.</w:t>
      </w:r>
    </w:p>
    <w:p w:rsidR="00FD5BFB" w:rsidRPr="00F6382E" w:rsidRDefault="00FD5BFB" w:rsidP="00FD5BFB">
      <w:pPr>
        <w:pStyle w:val="Bullet"/>
      </w:pPr>
      <w:r w:rsidRPr="00F6382E">
        <w:t>All new single and multi-unit dwellings should have separate water meters installed. The case for retro-fitting existing single and multi-unit dwellings with separate water metering technology should be assessed by utilities.</w:t>
      </w:r>
    </w:p>
    <w:p w:rsidR="00FD5BFB" w:rsidRDefault="00FD5BFB" w:rsidP="00FD5BFB">
      <w:pPr>
        <w:pStyle w:val="Bullet"/>
      </w:pPr>
      <w:r w:rsidRPr="00F6382E">
        <w:t>Utilities should charge tenants directly for both the fixed and volumetric charges where water is separately metered. Where metering is in place, charges should include a volumetric component using a two-part tariff.</w:t>
      </w:r>
    </w:p>
    <w:p w:rsidR="00FD5BFB" w:rsidRPr="00BF5153" w:rsidRDefault="00FD5BFB" w:rsidP="00FD5BFB">
      <w:pPr>
        <w:pStyle w:val="BulletLast"/>
      </w:pPr>
      <w:r w:rsidRPr="00F6382E">
        <w:t>Greater choice in tariff offerings should be available to water consumers</w:t>
      </w:r>
      <w:r>
        <w:t>, based on</w:t>
      </w:r>
      <w:r w:rsidRPr="00F6382E">
        <w:t xml:space="preserve"> the marginal opportunity cost of supply, which includes</w:t>
      </w:r>
      <w:r>
        <w:t xml:space="preserve"> </w:t>
      </w:r>
      <w:r w:rsidRPr="00BF5153">
        <w:t>the direct short-run marginal cost of supplying water</w:t>
      </w:r>
      <w:r>
        <w:t xml:space="preserve">, </w:t>
      </w:r>
      <w:r w:rsidRPr="00BF5153">
        <w:t>the value of any externalities and</w:t>
      </w:r>
      <w:r>
        <w:t xml:space="preserve"> </w:t>
      </w:r>
      <w:r w:rsidRPr="00BF5153">
        <w:t>the scarcity value of water as supply and demand conditions change.</w:t>
      </w:r>
      <w:r w:rsidR="00951AB3" w:rsidRPr="00951AB3">
        <w:rPr>
          <w:rStyle w:val="FootnoteReference"/>
          <w:sz w:val="20"/>
        </w:rPr>
        <w:footnoteReference w:id="37"/>
      </w:r>
    </w:p>
    <w:p w:rsidR="00FD5BFB" w:rsidRDefault="00FD5BFB" w:rsidP="00FD5BFB">
      <w:pPr>
        <w:pStyle w:val="Heading4"/>
      </w:pPr>
      <w:r>
        <w:t>Non-price demand management</w:t>
      </w:r>
    </w:p>
    <w:p w:rsidR="00FD5BFB" w:rsidRPr="002A73A6" w:rsidRDefault="00FD5BFB" w:rsidP="00FD5BFB">
      <w:r>
        <w:t>The Productivity Commission found that w</w:t>
      </w:r>
      <w:r w:rsidRPr="002A73A6">
        <w:t>ater restrictions generate net welfare losses for households, businesses and the</w:t>
      </w:r>
      <w:r>
        <w:t xml:space="preserve"> </w:t>
      </w:r>
      <w:r w:rsidRPr="002A73A6">
        <w:t>community</w:t>
      </w:r>
      <w:r>
        <w:t xml:space="preserve"> and that t</w:t>
      </w:r>
      <w:r w:rsidRPr="002A73A6">
        <w:t>he evidence suggests that</w:t>
      </w:r>
      <w:r>
        <w:t xml:space="preserve"> </w:t>
      </w:r>
      <w:r w:rsidRPr="002A73A6">
        <w:t>the costs of restrictions are substantial</w:t>
      </w:r>
      <w:r w:rsidR="00215E17">
        <w:t>,</w:t>
      </w:r>
      <w:r>
        <w:t xml:space="preserve"> with </w:t>
      </w:r>
      <w:r w:rsidRPr="002A73A6">
        <w:t xml:space="preserve">many consumers </w:t>
      </w:r>
      <w:r>
        <w:t xml:space="preserve">preferring </w:t>
      </w:r>
      <w:r w:rsidRPr="002A73A6">
        <w:t>to incur a larger bill rather than be subject to</w:t>
      </w:r>
      <w:r>
        <w:t xml:space="preserve"> </w:t>
      </w:r>
      <w:r w:rsidRPr="002A73A6">
        <w:t>restrictions.</w:t>
      </w:r>
      <w:r w:rsidR="00AE7D78" w:rsidRPr="00AE7D78">
        <w:rPr>
          <w:rStyle w:val="FootnoteReference"/>
          <w:sz w:val="20"/>
        </w:rPr>
        <w:footnoteReference w:id="38"/>
      </w:r>
    </w:p>
    <w:p w:rsidR="00FD5BFB" w:rsidRDefault="00FD5BFB" w:rsidP="00FD5BFB">
      <w:r>
        <w:t>The final report made three recommendations:</w:t>
      </w:r>
    </w:p>
    <w:p w:rsidR="00FD5BFB" w:rsidRDefault="00FD5BFB" w:rsidP="00FD5BFB">
      <w:pPr>
        <w:pStyle w:val="Bullet"/>
      </w:pPr>
      <w:r>
        <w:t>W</w:t>
      </w:r>
      <w:r w:rsidRPr="002A73A6">
        <w:t>ater restrictions should be the exception, limited to</w:t>
      </w:r>
      <w:r>
        <w:t xml:space="preserve"> </w:t>
      </w:r>
      <w:r w:rsidRPr="002A73A6">
        <w:t>emergencies and of short duration. Utilities should make</w:t>
      </w:r>
      <w:r>
        <w:t xml:space="preserve"> </w:t>
      </w:r>
      <w:r w:rsidRPr="002A73A6">
        <w:t>decisions on when to prescribe restrictions, subject to supply obligations set out in</w:t>
      </w:r>
      <w:r>
        <w:t xml:space="preserve"> </w:t>
      </w:r>
      <w:r w:rsidRPr="002A73A6">
        <w:t>utility governance charters</w:t>
      </w:r>
      <w:r>
        <w:t>.</w:t>
      </w:r>
    </w:p>
    <w:p w:rsidR="00FD5BFB" w:rsidRDefault="00FD5BFB" w:rsidP="00FD5BFB">
      <w:pPr>
        <w:pStyle w:val="Bullet"/>
      </w:pPr>
      <w:r w:rsidRPr="002A73A6">
        <w:lastRenderedPageBreak/>
        <w:t>Governments should not prescribe water use efficiency and conservation activities</w:t>
      </w:r>
      <w:r>
        <w:t xml:space="preserve"> </w:t>
      </w:r>
      <w:r w:rsidRPr="002A73A6">
        <w:t xml:space="preserve">unless there is a market failure </w:t>
      </w:r>
      <w:r>
        <w:t xml:space="preserve">and </w:t>
      </w:r>
      <w:r w:rsidRPr="002A73A6">
        <w:t>the benefits of intervention exceed the costs.</w:t>
      </w:r>
    </w:p>
    <w:p w:rsidR="00FD5BFB" w:rsidRDefault="00FD5BFB" w:rsidP="00FD5BFB">
      <w:pPr>
        <w:pStyle w:val="BulletLast"/>
      </w:pPr>
      <w:r w:rsidRPr="002A73A6">
        <w:t>Government education and information campaigns should be refocused to</w:t>
      </w:r>
      <w:r>
        <w:t xml:space="preserve"> </w:t>
      </w:r>
      <w:r w:rsidRPr="002A73A6">
        <w:t>provide consumers with objective information on the costs and benefits of</w:t>
      </w:r>
      <w:r>
        <w:t xml:space="preserve"> </w:t>
      </w:r>
      <w:r w:rsidRPr="002A73A6">
        <w:t>managing demand using prices, restrictions, water use efficiency and</w:t>
      </w:r>
      <w:r>
        <w:t xml:space="preserve"> </w:t>
      </w:r>
      <w:r w:rsidRPr="002A73A6">
        <w:t>conservation measures.</w:t>
      </w:r>
    </w:p>
    <w:p w:rsidR="00FD5BFB" w:rsidRDefault="00FD5BFB" w:rsidP="00FD5BFB">
      <w:pPr>
        <w:pStyle w:val="Heading4"/>
      </w:pPr>
      <w:r>
        <w:t>Rethinking price regulation</w:t>
      </w:r>
    </w:p>
    <w:p w:rsidR="00FD5BFB" w:rsidRDefault="00FD5BFB" w:rsidP="00FD5BFB">
      <w:r w:rsidRPr="001E3700">
        <w:t>The Productivity Commission recommended a move away from regulatory price setting to a price monitoring regime with some form of prices oversight.</w:t>
      </w:r>
      <w:r w:rsidR="00E41D1A" w:rsidRPr="00E41D1A">
        <w:rPr>
          <w:rStyle w:val="FootnoteReference"/>
          <w:sz w:val="20"/>
        </w:rPr>
        <w:t xml:space="preserve"> </w:t>
      </w:r>
      <w:r w:rsidR="00E41D1A" w:rsidRPr="00AE7D78">
        <w:rPr>
          <w:rStyle w:val="FootnoteReference"/>
          <w:sz w:val="20"/>
        </w:rPr>
        <w:footnoteReference w:id="39"/>
      </w:r>
      <w:r w:rsidRPr="001E3700">
        <w:t xml:space="preserve"> Further </w:t>
      </w:r>
      <w:r>
        <w:t>to this</w:t>
      </w:r>
      <w:r w:rsidR="00AE7D78">
        <w:t>,</w:t>
      </w:r>
      <w:r>
        <w:t xml:space="preserve"> it recommended that i</w:t>
      </w:r>
      <w:r w:rsidRPr="00470E96">
        <w:t>ndependent regulatory price setting should only be applied where it</w:t>
      </w:r>
      <w:r>
        <w:t xml:space="preserve"> </w:t>
      </w:r>
      <w:r w:rsidRPr="00470E96">
        <w:t>can be demonstrated that price monitoring and appropriate governance</w:t>
      </w:r>
      <w:r>
        <w:t xml:space="preserve"> </w:t>
      </w:r>
      <w:r w:rsidRPr="00470E96">
        <w:t>arrangements are unlikely to prevent misuse of market power.</w:t>
      </w:r>
    </w:p>
    <w:p w:rsidR="00FD5BFB" w:rsidRDefault="00FD5BFB" w:rsidP="00101ADB">
      <w:pPr>
        <w:pStyle w:val="Heading3"/>
      </w:pPr>
      <w:r>
        <w:t>NWC 2</w:t>
      </w:r>
      <w:r w:rsidR="00AE7D78">
        <w:t>011 water pricing reform report</w:t>
      </w:r>
    </w:p>
    <w:p w:rsidR="00FD5BFB" w:rsidRDefault="00FD5BFB" w:rsidP="00FD5BFB">
      <w:r>
        <w:t>T</w:t>
      </w:r>
      <w:r w:rsidRPr="00DA09EA">
        <w:t xml:space="preserve">he National Water Commission (NWC) </w:t>
      </w:r>
      <w:r>
        <w:t xml:space="preserve">published a review of </w:t>
      </w:r>
      <w:r w:rsidRPr="00DA09EA">
        <w:t>pricing reform in the Australian water sector</w:t>
      </w:r>
      <w:r>
        <w:t xml:space="preserve"> in April 2011</w:t>
      </w:r>
      <w:r w:rsidR="003A2647">
        <w:t>.</w:t>
      </w:r>
    </w:p>
    <w:p w:rsidR="00FD5BFB" w:rsidRDefault="00FD5BFB" w:rsidP="00FD5BFB">
      <w:r w:rsidRPr="00DA09EA">
        <w:t>Th</w:t>
      </w:r>
      <w:r>
        <w:t>e</w:t>
      </w:r>
      <w:r w:rsidRPr="00DA09EA">
        <w:t xml:space="preserve"> re</w:t>
      </w:r>
      <w:r>
        <w:t>view</w:t>
      </w:r>
      <w:r w:rsidRPr="00DA09EA">
        <w:t xml:space="preserve"> question</w:t>
      </w:r>
      <w:r>
        <w:t>ed</w:t>
      </w:r>
      <w:r w:rsidRPr="00DA09EA">
        <w:t xml:space="preserve"> the effectiveness of inclining block tariffs in managing vari</w:t>
      </w:r>
      <w:r>
        <w:t>ability in urban water supplies, stating that:</w:t>
      </w:r>
    </w:p>
    <w:p w:rsidR="00FD5BFB" w:rsidRDefault="00215E17" w:rsidP="00FD5BFB">
      <w:pPr>
        <w:pStyle w:val="Quote"/>
      </w:pPr>
      <w:r>
        <w:t>[f]</w:t>
      </w:r>
      <w:r w:rsidR="00FD5BFB" w:rsidRPr="00762A22">
        <w:t>or example, the second (top) tier price in the Australian Capital Territory is $4 per kL, which is likely to be far greater than the opportunity cost of water, particularly when dams in the territory are currently full.</w:t>
      </w:r>
      <w:r w:rsidR="00FD5BFB" w:rsidRPr="00762A22">
        <w:rPr>
          <w:rStyle w:val="FootnoteReference"/>
        </w:rPr>
        <w:footnoteReference w:id="40"/>
      </w:r>
    </w:p>
    <w:p w:rsidR="00FD5BFB" w:rsidRDefault="00FD5BFB" w:rsidP="00FD5BFB">
      <w:r>
        <w:t>The review supported more flexibility in water pricing to help balance supply and demand and recommended that:</w:t>
      </w:r>
    </w:p>
    <w:p w:rsidR="00FD5BFB" w:rsidRPr="00496875" w:rsidRDefault="00FD5BFB" w:rsidP="00FD5BFB">
      <w:pPr>
        <w:pStyle w:val="Quote"/>
      </w:pPr>
      <w:r w:rsidRPr="00415D0F">
        <w:t>replacing an</w:t>
      </w:r>
      <w:r>
        <w:t xml:space="preserve"> [inclining block]</w:t>
      </w:r>
      <w:r w:rsidRPr="00415D0F">
        <w:t xml:space="preserve"> structure (which has no relationship to water scarcity) with a volumetric price that is based on the long-run marginal cost of supply when dam levels are high and the opportunity cost of water when dam levels are low would be an improvement</w:t>
      </w:r>
      <w:r>
        <w:t>.</w:t>
      </w:r>
      <w:r>
        <w:rPr>
          <w:rStyle w:val="FootnoteReference"/>
        </w:rPr>
        <w:footnoteReference w:id="41"/>
      </w:r>
    </w:p>
    <w:p w:rsidR="00FD5BFB" w:rsidRDefault="00FD5BFB" w:rsidP="00101ADB">
      <w:pPr>
        <w:pStyle w:val="Heading3"/>
      </w:pPr>
      <w:r>
        <w:t>Frontier Economics 2011 water pricing paper</w:t>
      </w:r>
    </w:p>
    <w:p w:rsidR="00FD5BFB" w:rsidRDefault="00FD5BFB" w:rsidP="00FD5BFB">
      <w:r>
        <w:t xml:space="preserve">The NWC published a report written by </w:t>
      </w:r>
      <w:r w:rsidRPr="00DA09EA">
        <w:t xml:space="preserve">Frontier Economics on </w:t>
      </w:r>
      <w:r>
        <w:t xml:space="preserve">dynamic or scarcity pricing </w:t>
      </w:r>
      <w:r w:rsidRPr="00DA09EA">
        <w:t>in Australia</w:t>
      </w:r>
      <w:r>
        <w:t xml:space="preserve"> in April 2011</w:t>
      </w:r>
      <w:r w:rsidRPr="00DA09EA">
        <w:t xml:space="preserve">. This report </w:t>
      </w:r>
      <w:r>
        <w:t xml:space="preserve">explored </w:t>
      </w:r>
      <w:r w:rsidRPr="003800AB">
        <w:t xml:space="preserve">the potential role of pricing, </w:t>
      </w:r>
      <w:r>
        <w:t xml:space="preserve">and particularly scarcity pricing, </w:t>
      </w:r>
      <w:r w:rsidRPr="003800AB">
        <w:t xml:space="preserve">as one of several policy instruments, in helping to efficiently balance </w:t>
      </w:r>
      <w:r>
        <w:t xml:space="preserve">water </w:t>
      </w:r>
      <w:r w:rsidRPr="003800AB">
        <w:t>supply and demand over both the short and long term.</w:t>
      </w:r>
      <w:r>
        <w:t xml:space="preserve"> The report found that:</w:t>
      </w:r>
    </w:p>
    <w:p w:rsidR="00FD5BFB" w:rsidRPr="00215E17" w:rsidRDefault="00FD5BFB" w:rsidP="00215E17">
      <w:pPr>
        <w:pStyle w:val="Quote"/>
        <w:rPr>
          <w:rStyle w:val="FootnoteReference"/>
        </w:rPr>
      </w:pPr>
      <w:r w:rsidRPr="009A1E9B">
        <w:lastRenderedPageBreak/>
        <w:t>Overall, scarcity pricing has many potential advantages over the current arrangements which entail inclining block tariffs based on long-run marginal cost (LRMC) supplemented with activity-based water restrictions to manage short-term shortages</w:t>
      </w:r>
      <w:r w:rsidRPr="00215E17">
        <w:rPr>
          <w:rStyle w:val="FootnoteReference"/>
          <w:vertAlign w:val="baseline"/>
        </w:rPr>
        <w:t>.</w:t>
      </w:r>
      <w:r w:rsidRPr="00215E17">
        <w:rPr>
          <w:rStyle w:val="FootnoteReference"/>
        </w:rPr>
        <w:footnoteReference w:id="42"/>
      </w:r>
    </w:p>
    <w:p w:rsidR="00FD5BFB" w:rsidRDefault="00FD5BFB" w:rsidP="00101ADB">
      <w:pPr>
        <w:pStyle w:val="Heading3"/>
      </w:pPr>
      <w:r>
        <w:t>IPART 2012 water and sewerage services tariff review</w:t>
      </w:r>
    </w:p>
    <w:p w:rsidR="00FD5BFB" w:rsidRDefault="00FD5BFB" w:rsidP="00FD5BFB">
      <w:r>
        <w:t xml:space="preserve">The New South Wales Independent Pricing and Regulatory Tribunal (IPART) undertook a review of pricing structures for the four metropolitan water utilities it regulates </w:t>
      </w:r>
      <w:r>
        <w:sym w:font="Symbol" w:char="F02D"/>
      </w:r>
      <w:r>
        <w:t xml:space="preserve"> Sydney Water, Hunter Water, Gosford Council and Wyong Council </w:t>
      </w:r>
      <w:r>
        <w:sym w:font="Symbol" w:char="F02D"/>
      </w:r>
      <w:r w:rsidR="00DC1ED9">
        <w:t xml:space="preserve"> </w:t>
      </w:r>
      <w:r>
        <w:t>publishing a final report in March 2012.</w:t>
      </w:r>
    </w:p>
    <w:p w:rsidR="00FD5BFB" w:rsidRDefault="00FD5BFB" w:rsidP="00FD5BFB">
      <w:r>
        <w:t>The review did not concern itself with the utilities’ curren</w:t>
      </w:r>
      <w:r w:rsidR="00215E17">
        <w:t>t two-</w:t>
      </w:r>
      <w:r>
        <w:t>part tariff structure for water and sewerage services on the basis that IPART is ‘</w:t>
      </w:r>
      <w:r w:rsidRPr="00C64E9F">
        <w:t>satisfied it is efficient and</w:t>
      </w:r>
      <w:r>
        <w:t xml:space="preserve"> </w:t>
      </w:r>
      <w:r w:rsidRPr="00C64E9F">
        <w:t>equitable</w:t>
      </w:r>
      <w:r>
        <w:t>’.</w:t>
      </w:r>
      <w:r>
        <w:rPr>
          <w:rStyle w:val="FootnoteReference"/>
        </w:rPr>
        <w:footnoteReference w:id="43"/>
      </w:r>
      <w:r>
        <w:t xml:space="preserve"> Instead, the review</w:t>
      </w:r>
      <w:r w:rsidRPr="00A40003">
        <w:t xml:space="preserve"> examined the current fixed and variable charges applicable to</w:t>
      </w:r>
      <w:r>
        <w:t xml:space="preserve"> </w:t>
      </w:r>
      <w:r w:rsidRPr="00A40003">
        <w:t>different groups of customers within the broad categories of residential and non</w:t>
      </w:r>
      <w:r w:rsidR="00D07FE3">
        <w:t>-</w:t>
      </w:r>
      <w:r w:rsidRPr="00A40003">
        <w:t>residential</w:t>
      </w:r>
      <w:r>
        <w:t xml:space="preserve"> </w:t>
      </w:r>
      <w:r w:rsidRPr="00A40003">
        <w:t>customers.</w:t>
      </w:r>
    </w:p>
    <w:p w:rsidR="00FD5BFB" w:rsidRDefault="00FD5BFB" w:rsidP="00FD5BFB">
      <w:r>
        <w:t>The review made a number of findings</w:t>
      </w:r>
      <w:r w:rsidR="00215E17">
        <w:t>,</w:t>
      </w:r>
      <w:r>
        <w:t xml:space="preserve"> including:</w:t>
      </w:r>
    </w:p>
    <w:p w:rsidR="00FD5BFB" w:rsidRDefault="00FD5BFB" w:rsidP="00FD5BFB">
      <w:pPr>
        <w:pStyle w:val="Bullet"/>
      </w:pPr>
      <w:r>
        <w:t>T</w:t>
      </w:r>
      <w:r w:rsidRPr="00BD26F8">
        <w:t>here are some</w:t>
      </w:r>
      <w:r>
        <w:t xml:space="preserve"> </w:t>
      </w:r>
      <w:r w:rsidRPr="00BD26F8">
        <w:t xml:space="preserve">significant differences between the charges applicable to customer groups </w:t>
      </w:r>
      <w:r w:rsidR="00215E17">
        <w:t>that</w:t>
      </w:r>
      <w:r>
        <w:t xml:space="preserve"> </w:t>
      </w:r>
      <w:r w:rsidRPr="00BD26F8">
        <w:t>impose similar costs on their utility</w:t>
      </w:r>
      <w:r>
        <w:t xml:space="preserve">. For </w:t>
      </w:r>
      <w:r w:rsidRPr="00BD26F8">
        <w:t>example, the structure of the residential</w:t>
      </w:r>
      <w:r>
        <w:t xml:space="preserve"> </w:t>
      </w:r>
      <w:r w:rsidRPr="00BD26F8">
        <w:t xml:space="preserve">water service charges of </w:t>
      </w:r>
      <w:r w:rsidR="00215E17">
        <w:t>three</w:t>
      </w:r>
      <w:r w:rsidRPr="00BD26F8">
        <w:t xml:space="preserve"> of the </w:t>
      </w:r>
      <w:r w:rsidR="00215E17">
        <w:t>four</w:t>
      </w:r>
      <w:r w:rsidRPr="00BD26F8">
        <w:t xml:space="preserve"> utilities leads to customers with free-standing</w:t>
      </w:r>
      <w:r>
        <w:t xml:space="preserve"> </w:t>
      </w:r>
      <w:r w:rsidRPr="00BD26F8">
        <w:t>houses typically paying a lot more than those with flats or units in a building with a</w:t>
      </w:r>
      <w:r>
        <w:t xml:space="preserve"> </w:t>
      </w:r>
      <w:r w:rsidRPr="00BD26F8">
        <w:t>shared water meter.</w:t>
      </w:r>
    </w:p>
    <w:p w:rsidR="00FD5BFB" w:rsidRDefault="00FD5BFB" w:rsidP="00FD5BFB">
      <w:pPr>
        <w:pStyle w:val="Bullet"/>
      </w:pPr>
      <w:r>
        <w:t>There is no</w:t>
      </w:r>
      <w:r w:rsidRPr="00E112FA">
        <w:t xml:space="preserve"> evidence that the cost of services </w:t>
      </w:r>
      <w:r>
        <w:t xml:space="preserve">to </w:t>
      </w:r>
      <w:r w:rsidRPr="00E112FA">
        <w:t>residential dwellings varies by the</w:t>
      </w:r>
      <w:r>
        <w:t xml:space="preserve"> </w:t>
      </w:r>
      <w:r w:rsidRPr="00E112FA">
        <w:t>type of dwelling</w:t>
      </w:r>
      <w:r w:rsidR="00215E17">
        <w:t>;</w:t>
      </w:r>
      <w:r>
        <w:t xml:space="preserve"> rather</w:t>
      </w:r>
      <w:r w:rsidR="00215E17">
        <w:t>,</w:t>
      </w:r>
      <w:r>
        <w:t xml:space="preserve"> </w:t>
      </w:r>
      <w:r w:rsidRPr="00E112FA">
        <w:t>the cost of service was more likely to vary</w:t>
      </w:r>
      <w:r>
        <w:t xml:space="preserve"> </w:t>
      </w:r>
      <w:r w:rsidRPr="00E112FA">
        <w:t>with locational differences</w:t>
      </w:r>
      <w:r>
        <w:t>.</w:t>
      </w:r>
    </w:p>
    <w:p w:rsidR="00FD5BFB" w:rsidRDefault="00FD5BFB" w:rsidP="00FD5BFB">
      <w:pPr>
        <w:pStyle w:val="BulletLast"/>
      </w:pPr>
      <w:r>
        <w:t>While t</w:t>
      </w:r>
      <w:r w:rsidRPr="00CE2B92">
        <w:t>he utilities’ water usage charges are appropriately set with</w:t>
      </w:r>
      <w:r>
        <w:t xml:space="preserve"> </w:t>
      </w:r>
      <w:r w:rsidRPr="00CE2B92">
        <w:t>reference to their long</w:t>
      </w:r>
      <w:r w:rsidR="00215E17">
        <w:t>-</w:t>
      </w:r>
      <w:r w:rsidRPr="00CE2B92">
        <w:t>run marginal costs of water supply, there is less rationale or</w:t>
      </w:r>
      <w:r>
        <w:t xml:space="preserve"> </w:t>
      </w:r>
      <w:r w:rsidRPr="00CE2B92">
        <w:t>cost</w:t>
      </w:r>
      <w:r w:rsidR="00215E17">
        <w:t>-</w:t>
      </w:r>
      <w:r w:rsidRPr="00CE2B92">
        <w:t>reflective basis for their sewerage usage charges for non-residential customers.</w:t>
      </w:r>
    </w:p>
    <w:p w:rsidR="00FD5BFB" w:rsidRDefault="00FD5BFB" w:rsidP="00FD5BFB">
      <w:r>
        <w:t xml:space="preserve">IPART took the view that </w:t>
      </w:r>
      <w:r w:rsidRPr="00A90755">
        <w:t xml:space="preserve">it is </w:t>
      </w:r>
      <w:r>
        <w:t xml:space="preserve">better </w:t>
      </w:r>
      <w:r w:rsidRPr="00A90755">
        <w:t xml:space="preserve">to set </w:t>
      </w:r>
      <w:r>
        <w:t xml:space="preserve">sewerage usage </w:t>
      </w:r>
      <w:r w:rsidRPr="00A90755">
        <w:t xml:space="preserve">charges </w:t>
      </w:r>
      <w:r w:rsidR="00D07FE3">
        <w:t>‘</w:t>
      </w:r>
      <w:r w:rsidRPr="00A90755">
        <w:t>with reference to the short run</w:t>
      </w:r>
      <w:r>
        <w:t xml:space="preserve"> </w:t>
      </w:r>
      <w:r w:rsidRPr="00A90755">
        <w:t>marginal cost of transporting, treating and disposing of domestic-strength effluent</w:t>
      </w:r>
      <w:r w:rsidR="00E41D1A">
        <w:t>’</w:t>
      </w:r>
      <w:r w:rsidRPr="00A90755">
        <w:t>.</w:t>
      </w:r>
      <w:r>
        <w:rPr>
          <w:rStyle w:val="FootnoteReference"/>
        </w:rPr>
        <w:footnoteReference w:id="44"/>
      </w:r>
    </w:p>
    <w:p w:rsidR="00FD5BFB" w:rsidRDefault="00FD5BFB" w:rsidP="00FD5BFB">
      <w:r>
        <w:t xml:space="preserve">The review also presented </w:t>
      </w:r>
      <w:r w:rsidRPr="00CB0D52">
        <w:t>a set of principles for reforming water and</w:t>
      </w:r>
      <w:r>
        <w:t xml:space="preserve"> </w:t>
      </w:r>
      <w:r w:rsidRPr="00CB0D52">
        <w:t>sewerage price structures to improve their cost reflectivity and horizontal equity.</w:t>
      </w:r>
      <w:r>
        <w:t xml:space="preserve"> IPART subsequently applied these principles in its price reviews</w:t>
      </w:r>
      <w:r w:rsidR="00D07FE3">
        <w:t xml:space="preserve"> for the urban water utilities.</w:t>
      </w:r>
    </w:p>
    <w:p w:rsidR="00FD5BFB" w:rsidRPr="00C5491B" w:rsidRDefault="00FD5BFB" w:rsidP="00FD5BFB">
      <w:pPr>
        <w:pStyle w:val="FigureName"/>
        <w:keepNext/>
      </w:pPr>
      <w:bookmarkStart w:id="100" w:name="_Toc435700209"/>
      <w:r w:rsidRPr="00C5491B">
        <w:lastRenderedPageBreak/>
        <w:t xml:space="preserve">Box </w:t>
      </w:r>
      <w:r w:rsidR="00A7215E">
        <w:fldChar w:fldCharType="begin"/>
      </w:r>
      <w:r>
        <w:instrText xml:space="preserve"> STYLEREF 1 \s </w:instrText>
      </w:r>
      <w:r w:rsidR="00A7215E">
        <w:fldChar w:fldCharType="separate"/>
      </w:r>
      <w:r w:rsidR="00E43227">
        <w:rPr>
          <w:noProof/>
        </w:rPr>
        <w:t>2</w:t>
      </w:r>
      <w:r w:rsidR="00A7215E">
        <w:fldChar w:fldCharType="end"/>
      </w:r>
      <w:r w:rsidRPr="00C5491B">
        <w:t>.</w:t>
      </w:r>
      <w:r w:rsidR="00A7215E">
        <w:fldChar w:fldCharType="begin"/>
      </w:r>
      <w:r>
        <w:instrText xml:space="preserve"> SEQ Box \* ARABIC \s 1 </w:instrText>
      </w:r>
      <w:r w:rsidR="00A7215E">
        <w:fldChar w:fldCharType="separate"/>
      </w:r>
      <w:r w:rsidR="00E43227">
        <w:rPr>
          <w:noProof/>
        </w:rPr>
        <w:t>8</w:t>
      </w:r>
      <w:r w:rsidR="00A7215E">
        <w:fldChar w:fldCharType="end"/>
      </w:r>
      <w:r w:rsidRPr="00C5491B">
        <w:tab/>
      </w:r>
      <w:r w:rsidRPr="00DC0B76">
        <w:t>IPART’s principles for price structure for metropolitan water utilities</w:t>
      </w:r>
      <w:bookmarkEnd w:id="100"/>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shd w:val="clear" w:color="auto" w:fill="DBE5F1"/>
        <w:tblLook w:val="04A0"/>
      </w:tblPr>
      <w:tblGrid>
        <w:gridCol w:w="7927"/>
      </w:tblGrid>
      <w:tr w:rsidR="00FD5BFB" w:rsidTr="00BC5669">
        <w:trPr>
          <w:cantSplit/>
          <w:trHeight w:val="2069"/>
        </w:trPr>
        <w:tc>
          <w:tcPr>
            <w:tcW w:w="7927" w:type="dxa"/>
            <w:shd w:val="clear" w:color="auto" w:fill="DBE5F1"/>
          </w:tcPr>
          <w:p w:rsidR="00FD5BFB" w:rsidRPr="00B075E3" w:rsidRDefault="00FD5BFB" w:rsidP="00BC5669">
            <w:pPr>
              <w:rPr>
                <w:rStyle w:val="Bold"/>
              </w:rPr>
            </w:pPr>
            <w:r w:rsidRPr="00B075E3">
              <w:rPr>
                <w:rStyle w:val="Bold"/>
              </w:rPr>
              <w:t>General principles</w:t>
            </w:r>
          </w:p>
          <w:p w:rsidR="00FD5BFB" w:rsidRPr="00B075E3" w:rsidRDefault="00FD5BFB" w:rsidP="00BC5669">
            <w:pPr>
              <w:pStyle w:val="Bullet"/>
            </w:pPr>
            <w:r w:rsidRPr="00B075E3">
              <w:t>Changes to the structure of water and sewerage prices are to be phased in over a transition</w:t>
            </w:r>
            <w:r>
              <w:t xml:space="preserve"> </w:t>
            </w:r>
            <w:r w:rsidRPr="00B075E3">
              <w:t>period where necessary to minimise customer impacts.</w:t>
            </w:r>
          </w:p>
          <w:p w:rsidR="00FD5BFB" w:rsidRPr="00B075E3" w:rsidRDefault="00FD5BFB" w:rsidP="00BC5669">
            <w:pPr>
              <w:pStyle w:val="Bullet"/>
            </w:pPr>
            <w:r w:rsidRPr="00B075E3">
              <w:t>The total revenue collected from residential customers is to reflect the costs incurred in</w:t>
            </w:r>
            <w:r>
              <w:t xml:space="preserve"> </w:t>
            </w:r>
            <w:r w:rsidRPr="00B075E3">
              <w:t>serving those customers. The total revenue collected from non-residential customers is to</w:t>
            </w:r>
            <w:r>
              <w:t xml:space="preserve"> </w:t>
            </w:r>
            <w:r w:rsidRPr="00B075E3">
              <w:t>reflect the costs incurred in serving those customers.</w:t>
            </w:r>
          </w:p>
          <w:p w:rsidR="00FD5BFB" w:rsidRPr="00B075E3" w:rsidRDefault="00FD5BFB" w:rsidP="00BC5669">
            <w:pPr>
              <w:pStyle w:val="BulletLast"/>
            </w:pPr>
            <w:r w:rsidRPr="00B075E3">
              <w:t>Customers imposing similar costs on the system should pay similar charges.</w:t>
            </w:r>
          </w:p>
          <w:p w:rsidR="00FD5BFB" w:rsidRPr="00B075E3" w:rsidRDefault="00FD5BFB" w:rsidP="00BC5669">
            <w:pPr>
              <w:rPr>
                <w:rStyle w:val="Bold"/>
              </w:rPr>
            </w:pPr>
            <w:r w:rsidRPr="00B075E3">
              <w:rPr>
                <w:rStyle w:val="Bold"/>
              </w:rPr>
              <w:t>Residential and non-residential water usage charges</w:t>
            </w:r>
          </w:p>
          <w:p w:rsidR="00FD5BFB" w:rsidRPr="00B075E3" w:rsidRDefault="00FD5BFB" w:rsidP="00BC5669">
            <w:pPr>
              <w:pStyle w:val="BulletLast"/>
            </w:pPr>
            <w:r w:rsidRPr="00B075E3">
              <w:t>The water usage charge is to be a standard variable charge for all customers – residential</w:t>
            </w:r>
            <w:r>
              <w:t xml:space="preserve"> </w:t>
            </w:r>
            <w:r w:rsidRPr="00B075E3">
              <w:t>and non-residential – and be set with reference to the utility’s long</w:t>
            </w:r>
            <w:r w:rsidR="00CE3F60">
              <w:t>-</w:t>
            </w:r>
            <w:r w:rsidRPr="00B075E3">
              <w:t>run marginal cost of</w:t>
            </w:r>
            <w:r>
              <w:t xml:space="preserve"> </w:t>
            </w:r>
            <w:r w:rsidRPr="00B075E3">
              <w:t>supply.</w:t>
            </w:r>
          </w:p>
          <w:p w:rsidR="00FD5BFB" w:rsidRPr="00B075E3" w:rsidRDefault="00FD5BFB" w:rsidP="00BC5669">
            <w:pPr>
              <w:rPr>
                <w:rStyle w:val="Bold"/>
              </w:rPr>
            </w:pPr>
            <w:r w:rsidRPr="00B075E3">
              <w:rPr>
                <w:rStyle w:val="Bold"/>
              </w:rPr>
              <w:t>Residential water and sewerage service charges</w:t>
            </w:r>
          </w:p>
          <w:p w:rsidR="00FD5BFB" w:rsidRPr="00B075E3" w:rsidRDefault="00FD5BFB" w:rsidP="00BC5669">
            <w:pPr>
              <w:pStyle w:val="Bullet"/>
            </w:pPr>
            <w:r w:rsidRPr="00B075E3">
              <w:t>The residential water service charge is to be a standard annual charge for all residential</w:t>
            </w:r>
            <w:r>
              <w:t xml:space="preserve"> </w:t>
            </w:r>
            <w:r w:rsidRPr="00B075E3">
              <w:t>dwellings unless there is evidence that there are material differences in the costs of</w:t>
            </w:r>
            <w:r>
              <w:t xml:space="preserve"> </w:t>
            </w:r>
            <w:r w:rsidRPr="00B075E3">
              <w:t>servicing different residential property types.</w:t>
            </w:r>
          </w:p>
          <w:p w:rsidR="00FD5BFB" w:rsidRPr="00B075E3" w:rsidRDefault="00FD5BFB" w:rsidP="00BC5669">
            <w:pPr>
              <w:pStyle w:val="BulletLast"/>
            </w:pPr>
            <w:r w:rsidRPr="00B075E3">
              <w:t>The residential sewerage service charge is to be a standard annual charge for all residential</w:t>
            </w:r>
            <w:r>
              <w:t xml:space="preserve"> </w:t>
            </w:r>
            <w:r w:rsidRPr="00B075E3">
              <w:t>dwellings unless there is evidence that there are material differences in the costs of</w:t>
            </w:r>
            <w:r>
              <w:t xml:space="preserve"> </w:t>
            </w:r>
            <w:r w:rsidRPr="00B075E3">
              <w:t>servicing different residential property types.</w:t>
            </w:r>
          </w:p>
          <w:p w:rsidR="00FD5BFB" w:rsidRPr="00B075E3" w:rsidRDefault="00FD5BFB" w:rsidP="00BC5669">
            <w:pPr>
              <w:rPr>
                <w:rStyle w:val="Bold"/>
              </w:rPr>
            </w:pPr>
            <w:r w:rsidRPr="00B075E3">
              <w:rPr>
                <w:rStyle w:val="Bold"/>
              </w:rPr>
              <w:t>Non-residential water service charges and sewerage usage and service charges</w:t>
            </w:r>
          </w:p>
          <w:p w:rsidR="00FD5BFB" w:rsidRPr="00B075E3" w:rsidRDefault="00FD5BFB" w:rsidP="00BC5669">
            <w:pPr>
              <w:pStyle w:val="Bullet"/>
            </w:pPr>
            <w:r w:rsidRPr="00B075E3">
              <w:t>The non-residential sewerage usage charge is to be a standard variable charge for all</w:t>
            </w:r>
            <w:r>
              <w:t xml:space="preserve"> </w:t>
            </w:r>
            <w:r w:rsidRPr="00B075E3">
              <w:t>customers set with reference to, but not necessarily equal to</w:t>
            </w:r>
            <w:r w:rsidR="00101ADB">
              <w:t>,</w:t>
            </w:r>
            <w:r w:rsidRPr="00B075E3">
              <w:t xml:space="preserve"> the utility’s short</w:t>
            </w:r>
            <w:r w:rsidR="00CE3F60">
              <w:t>-</w:t>
            </w:r>
            <w:r w:rsidRPr="00B075E3">
              <w:t>run marginal</w:t>
            </w:r>
            <w:r>
              <w:t xml:space="preserve"> </w:t>
            </w:r>
            <w:r w:rsidRPr="00B075E3">
              <w:t>cost of transporting, treating and disposing of domestic-strength effluent.</w:t>
            </w:r>
          </w:p>
          <w:p w:rsidR="00FD5BFB" w:rsidRPr="00B075E3" w:rsidRDefault="00FD5BFB" w:rsidP="00BC5669">
            <w:pPr>
              <w:pStyle w:val="Bullet"/>
            </w:pPr>
            <w:r w:rsidRPr="00B075E3">
              <w:t>The total sewerage revenue (usage and service charges) collected from non-residential</w:t>
            </w:r>
            <w:r>
              <w:t xml:space="preserve"> </w:t>
            </w:r>
            <w:r w:rsidRPr="00B075E3">
              <w:t>customers is to reflect the costs incurred in servicing those customers.</w:t>
            </w:r>
          </w:p>
          <w:p w:rsidR="00FD5BFB" w:rsidRPr="00C5491B" w:rsidRDefault="00FD5BFB" w:rsidP="00BC5669">
            <w:pPr>
              <w:pStyle w:val="BulletLast"/>
            </w:pPr>
            <w:r w:rsidRPr="00B075E3">
              <w:t>The total water revenue (usage and service charges) collected from non-residential</w:t>
            </w:r>
            <w:r>
              <w:t xml:space="preserve"> </w:t>
            </w:r>
            <w:r w:rsidRPr="00B075E3">
              <w:t>customers is to reflect the costs incurred in servicing those customers.</w:t>
            </w:r>
          </w:p>
        </w:tc>
      </w:tr>
    </w:tbl>
    <w:p w:rsidR="00FD5BFB" w:rsidRDefault="00FD5BFB" w:rsidP="00FD5BFB">
      <w:pPr>
        <w:pStyle w:val="TableNotesLast"/>
      </w:pPr>
      <w:r w:rsidRPr="00C5491B">
        <w:t>Source:</w:t>
      </w:r>
      <w:r w:rsidRPr="00C5491B">
        <w:tab/>
      </w:r>
      <w:r>
        <w:rPr>
          <w:noProof/>
        </w:rPr>
        <w:t>IPART (2012a)</w:t>
      </w:r>
      <w:r w:rsidRPr="00C5491B">
        <w:t>.</w:t>
      </w:r>
    </w:p>
    <w:p w:rsidR="00FD5BFB" w:rsidRDefault="00FD5BFB" w:rsidP="00101ADB">
      <w:pPr>
        <w:pStyle w:val="Heading3"/>
      </w:pPr>
      <w:r>
        <w:t>E</w:t>
      </w:r>
      <w:r w:rsidR="00101ADB">
        <w:t xml:space="preserve">ssential </w:t>
      </w:r>
      <w:r>
        <w:t>S</w:t>
      </w:r>
      <w:r w:rsidR="00101ADB">
        <w:t xml:space="preserve">ervices </w:t>
      </w:r>
      <w:r>
        <w:t>C</w:t>
      </w:r>
      <w:r w:rsidR="00101ADB">
        <w:t>ommission</w:t>
      </w:r>
      <w:r>
        <w:t xml:space="preserve"> 2013 water review</w:t>
      </w:r>
    </w:p>
    <w:p w:rsidR="00FD5BFB" w:rsidRDefault="00FD5BFB" w:rsidP="00FD5BFB">
      <w:r>
        <w:t xml:space="preserve">In advance of its review of water and sewerage services prices charged by Victoria’s 19 water businesses, the Essential Services Commission developed a set of tariff </w:t>
      </w:r>
      <w:r>
        <w:lastRenderedPageBreak/>
        <w:t xml:space="preserve">assessment principles to guide water businesses in developing their </w:t>
      </w:r>
      <w:r w:rsidR="00101ADB">
        <w:t>w</w:t>
      </w:r>
      <w:r>
        <w:t xml:space="preserve">ater </w:t>
      </w:r>
      <w:r w:rsidR="00101ADB">
        <w:t>p</w:t>
      </w:r>
      <w:r>
        <w:t xml:space="preserve">lans on which prices would be based. These principles are shown in </w:t>
      </w:r>
      <w:fldSimple w:instr=" REF _Ref430594165 \h  \* MERGEFORMAT ">
        <w:r w:rsidR="00E43227" w:rsidRPr="00B40AA3">
          <w:t>Table </w:t>
        </w:r>
        <w:r w:rsidR="00E43227">
          <w:t>2</w:t>
        </w:r>
        <w:r w:rsidR="00E43227" w:rsidRPr="00B40AA3">
          <w:t>.</w:t>
        </w:r>
        <w:r w:rsidR="00E43227">
          <w:t>1</w:t>
        </w:r>
      </w:fldSimple>
      <w:r>
        <w:t>.</w:t>
      </w:r>
    </w:p>
    <w:p w:rsidR="00FD5BFB" w:rsidRPr="00B40AA3" w:rsidRDefault="00FD5BFB" w:rsidP="00FD5BFB">
      <w:pPr>
        <w:pStyle w:val="FigureName"/>
      </w:pPr>
      <w:bookmarkStart w:id="101" w:name="_Ref430594165"/>
      <w:bookmarkStart w:id="102" w:name="_Toc435700183"/>
      <w:r w:rsidRPr="00B40AA3">
        <w:t>Table </w:t>
      </w:r>
      <w:r w:rsidR="00A7215E">
        <w:fldChar w:fldCharType="begin"/>
      </w:r>
      <w:r>
        <w:instrText xml:space="preserve"> STYLEREF 1 \s </w:instrText>
      </w:r>
      <w:r w:rsidR="00A7215E">
        <w:fldChar w:fldCharType="separate"/>
      </w:r>
      <w:r w:rsidR="00E43227">
        <w:rPr>
          <w:noProof/>
        </w:rPr>
        <w:t>2</w:t>
      </w:r>
      <w:r w:rsidR="00A7215E">
        <w:fldChar w:fldCharType="end"/>
      </w:r>
      <w:r w:rsidRPr="00B40AA3">
        <w:t>.</w:t>
      </w:r>
      <w:r w:rsidR="00A7215E" w:rsidRPr="00B40AA3">
        <w:fldChar w:fldCharType="begin"/>
      </w:r>
      <w:r w:rsidRPr="00B40AA3">
        <w:instrText xml:space="preserve"> SEQ Table \* ARABIC \s 1 </w:instrText>
      </w:r>
      <w:r w:rsidR="00A7215E" w:rsidRPr="00B40AA3">
        <w:fldChar w:fldCharType="separate"/>
      </w:r>
      <w:r w:rsidR="00E43227">
        <w:rPr>
          <w:noProof/>
        </w:rPr>
        <w:t>1</w:t>
      </w:r>
      <w:r w:rsidR="00A7215E" w:rsidRPr="00B40AA3">
        <w:fldChar w:fldCharType="end"/>
      </w:r>
      <w:bookmarkEnd w:id="101"/>
      <w:r w:rsidRPr="00B40AA3">
        <w:tab/>
      </w:r>
      <w:r>
        <w:t>E</w:t>
      </w:r>
      <w:r w:rsidR="004602EE">
        <w:t xml:space="preserve">ssential </w:t>
      </w:r>
      <w:r>
        <w:t>S</w:t>
      </w:r>
      <w:r w:rsidR="004602EE">
        <w:t xml:space="preserve">ervices </w:t>
      </w:r>
      <w:r>
        <w:t>C</w:t>
      </w:r>
      <w:r w:rsidR="004602EE">
        <w:t>ommission</w:t>
      </w:r>
      <w:r>
        <w:t xml:space="preserve"> 2013 water review </w:t>
      </w:r>
      <w:r w:rsidR="00456103">
        <w:t xml:space="preserve">– </w:t>
      </w:r>
      <w:r>
        <w:t>tariff assessment principles</w:t>
      </w:r>
      <w:bookmarkEnd w:id="102"/>
    </w:p>
    <w:tbl>
      <w:tblPr>
        <w:tblW w:w="5160" w:type="pct"/>
        <w:tblBorders>
          <w:top w:val="single" w:sz="12" w:space="0" w:color="333399"/>
          <w:bottom w:val="single" w:sz="12" w:space="0" w:color="333399"/>
        </w:tblBorders>
        <w:tblCellMar>
          <w:left w:w="115" w:type="dxa"/>
          <w:right w:w="115" w:type="dxa"/>
        </w:tblCellMar>
        <w:tblLook w:val="0000"/>
      </w:tblPr>
      <w:tblGrid>
        <w:gridCol w:w="1675"/>
        <w:gridCol w:w="6520"/>
      </w:tblGrid>
      <w:tr w:rsidR="00FD5BFB" w:rsidRPr="00144F8C" w:rsidTr="00BC5669">
        <w:trPr>
          <w:cantSplit/>
        </w:trPr>
        <w:tc>
          <w:tcPr>
            <w:tcW w:w="1022"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FD5BFB" w:rsidRPr="00B40AA3" w:rsidRDefault="00FD5BFB" w:rsidP="00BC5669">
            <w:pPr>
              <w:pStyle w:val="TableHeadingLeft"/>
            </w:pPr>
            <w:r>
              <w:t>Area</w:t>
            </w:r>
          </w:p>
        </w:tc>
        <w:tc>
          <w:tcPr>
            <w:tcW w:w="3978"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FD5BFB" w:rsidRPr="00B40AA3" w:rsidRDefault="00FD5BFB" w:rsidP="00BC5669">
            <w:pPr>
              <w:pStyle w:val="TableHeadingLeft"/>
            </w:pPr>
            <w:r>
              <w:t>Principle</w:t>
            </w:r>
          </w:p>
        </w:tc>
      </w:tr>
      <w:tr w:rsidR="00FD5BFB" w:rsidRPr="00144F8C" w:rsidTr="00BC5669">
        <w:trPr>
          <w:cantSplit/>
        </w:trPr>
        <w:tc>
          <w:tcPr>
            <w:tcW w:w="1022" w:type="pct"/>
            <w:tcBorders>
              <w:top w:val="nil"/>
              <w:left w:val="nil"/>
              <w:bottom w:val="nil"/>
              <w:right w:val="nil"/>
            </w:tcBorders>
          </w:tcPr>
          <w:p w:rsidR="00FD5BFB" w:rsidRPr="00EC68F3" w:rsidRDefault="00FD5BFB" w:rsidP="00BC5669">
            <w:pPr>
              <w:pStyle w:val="TableTextLeft"/>
            </w:pPr>
            <w:r w:rsidRPr="00EC68F3">
              <w:t>Sustainable revenue</w:t>
            </w:r>
          </w:p>
        </w:tc>
        <w:tc>
          <w:tcPr>
            <w:tcW w:w="3978" w:type="pct"/>
            <w:tcBorders>
              <w:top w:val="nil"/>
              <w:left w:val="nil"/>
              <w:bottom w:val="nil"/>
              <w:right w:val="nil"/>
            </w:tcBorders>
          </w:tcPr>
          <w:p w:rsidR="00FD5BFB" w:rsidRPr="00EC68F3" w:rsidRDefault="00FD5BFB" w:rsidP="00BC5669">
            <w:pPr>
              <w:pStyle w:val="TableTextLeft"/>
            </w:pPr>
            <w:r w:rsidRPr="00EC68F3">
              <w:t>Tariff structures, levels and the form of price control should ensure an economically sustainable revenue stream over the Water Price Review period</w:t>
            </w:r>
            <w:r>
              <w:t>.</w:t>
            </w:r>
          </w:p>
        </w:tc>
      </w:tr>
      <w:tr w:rsidR="00FD5BFB" w:rsidRPr="00144F8C" w:rsidTr="00BC5669">
        <w:trPr>
          <w:cantSplit/>
        </w:trPr>
        <w:tc>
          <w:tcPr>
            <w:tcW w:w="1022" w:type="pct"/>
            <w:tcBorders>
              <w:top w:val="nil"/>
              <w:left w:val="nil"/>
              <w:bottom w:val="nil"/>
              <w:right w:val="nil"/>
            </w:tcBorders>
          </w:tcPr>
          <w:p w:rsidR="00FD5BFB" w:rsidRPr="00B40AA3" w:rsidRDefault="00FD5BFB" w:rsidP="00BC5669">
            <w:pPr>
              <w:pStyle w:val="TableTextLeft"/>
            </w:pPr>
            <w:r w:rsidRPr="00EC68F3">
              <w:t>Subsidy</w:t>
            </w:r>
            <w:r w:rsidR="00101ADB">
              <w:t>-</w:t>
            </w:r>
            <w:r w:rsidRPr="00EC68F3">
              <w:t>free pricing and inefficient bypass</w:t>
            </w:r>
          </w:p>
        </w:tc>
        <w:tc>
          <w:tcPr>
            <w:tcW w:w="3978" w:type="pct"/>
            <w:tcBorders>
              <w:top w:val="nil"/>
              <w:left w:val="nil"/>
              <w:bottom w:val="nil"/>
              <w:right w:val="nil"/>
            </w:tcBorders>
          </w:tcPr>
          <w:p w:rsidR="00FD5BFB" w:rsidRPr="00B40AA3" w:rsidRDefault="00FD5BFB" w:rsidP="00BC5669">
            <w:pPr>
              <w:pStyle w:val="TableTextLeft"/>
            </w:pPr>
            <w:r w:rsidRPr="00EC68F3">
              <w:t>For each tariff class, the revenue expected to be recovered should lie on or between an upper bound representing the stand</w:t>
            </w:r>
            <w:r w:rsidR="00101ADB">
              <w:t>-</w:t>
            </w:r>
            <w:r w:rsidRPr="00EC68F3">
              <w:t>alone cost of serving the customers in that class and a lower bound representing the avoidable cost of not serving those customers</w:t>
            </w:r>
            <w:r>
              <w:t>.</w:t>
            </w:r>
          </w:p>
        </w:tc>
      </w:tr>
      <w:tr w:rsidR="00FD5BFB" w:rsidRPr="00144F8C" w:rsidTr="00BC5669">
        <w:trPr>
          <w:cantSplit/>
        </w:trPr>
        <w:tc>
          <w:tcPr>
            <w:tcW w:w="1022" w:type="pct"/>
            <w:tcBorders>
              <w:top w:val="nil"/>
              <w:left w:val="nil"/>
              <w:bottom w:val="nil"/>
              <w:right w:val="nil"/>
            </w:tcBorders>
          </w:tcPr>
          <w:p w:rsidR="00FD5BFB" w:rsidRPr="00B40AA3" w:rsidRDefault="00FD5BFB" w:rsidP="00BC5669">
            <w:pPr>
              <w:pStyle w:val="TableTextLeft"/>
            </w:pPr>
            <w:r w:rsidRPr="00EC68F3">
              <w:t>Tariff structures</w:t>
            </w:r>
          </w:p>
        </w:tc>
        <w:tc>
          <w:tcPr>
            <w:tcW w:w="3978" w:type="pct"/>
            <w:tcBorders>
              <w:top w:val="nil"/>
              <w:left w:val="nil"/>
              <w:bottom w:val="nil"/>
              <w:right w:val="nil"/>
            </w:tcBorders>
          </w:tcPr>
          <w:p w:rsidR="00FD5BFB" w:rsidRDefault="00FD5BFB" w:rsidP="00BC5669">
            <w:pPr>
              <w:pStyle w:val="TableTextLeft"/>
            </w:pPr>
            <w:r w:rsidRPr="00EC68F3">
              <w:t>Tariff structures should be simple, unde</w:t>
            </w:r>
            <w:r w:rsidR="00D2715C">
              <w:t>rstandable and cost</w:t>
            </w:r>
            <w:r w:rsidR="00101ADB">
              <w:t>-</w:t>
            </w:r>
            <w:r w:rsidR="00D2715C">
              <w:t>reflective.</w:t>
            </w:r>
          </w:p>
          <w:p w:rsidR="00FD5BFB" w:rsidRDefault="00FD5BFB" w:rsidP="00BC5669">
            <w:pPr>
              <w:pStyle w:val="TableTextLeft"/>
            </w:pPr>
            <w:r w:rsidRPr="00E86EDE">
              <w:rPr>
                <w:rStyle w:val="Italic"/>
              </w:rPr>
              <w:t xml:space="preserve">Bulk </w:t>
            </w:r>
            <w:r w:rsidR="00101ADB">
              <w:rPr>
                <w:rStyle w:val="Italic"/>
              </w:rPr>
              <w:t>w</w:t>
            </w:r>
            <w:r w:rsidRPr="00E86EDE">
              <w:rPr>
                <w:rStyle w:val="Italic"/>
              </w:rPr>
              <w:t xml:space="preserve">ater </w:t>
            </w:r>
            <w:r w:rsidR="00101ADB">
              <w:rPr>
                <w:rStyle w:val="Italic"/>
              </w:rPr>
              <w:t>c</w:t>
            </w:r>
            <w:r w:rsidRPr="00E86EDE">
              <w:rPr>
                <w:rStyle w:val="Italic"/>
              </w:rPr>
              <w:t xml:space="preserve">harges </w:t>
            </w:r>
            <w:r w:rsidR="00101ADB">
              <w:rPr>
                <w:rStyle w:val="Italic"/>
              </w:rPr>
              <w:t>s</w:t>
            </w:r>
            <w:r w:rsidRPr="00E86EDE">
              <w:rPr>
                <w:rStyle w:val="Italic"/>
              </w:rPr>
              <w:t>tructure</w:t>
            </w:r>
            <w:r w:rsidR="00D2715C">
              <w:t xml:space="preserve"> – A two-</w:t>
            </w:r>
            <w:r w:rsidRPr="00EC68F3">
              <w:t>part charge comprising a fixed charge and a volumetric component is preferred to recover a bulk supplier’s revenue requirement from its custome</w:t>
            </w:r>
            <w:r w:rsidR="00D2715C">
              <w:t>rs for each bulk water service.</w:t>
            </w:r>
          </w:p>
          <w:p w:rsidR="00FD5BFB" w:rsidRDefault="00FD5BFB" w:rsidP="00BC5669">
            <w:pPr>
              <w:pStyle w:val="TableTextLeft"/>
            </w:pPr>
            <w:r w:rsidRPr="00E86EDE">
              <w:rPr>
                <w:rStyle w:val="Italic"/>
              </w:rPr>
              <w:t xml:space="preserve">Retail </w:t>
            </w:r>
            <w:r w:rsidR="00101ADB">
              <w:rPr>
                <w:rStyle w:val="Italic"/>
              </w:rPr>
              <w:t>w</w:t>
            </w:r>
            <w:r w:rsidRPr="00E86EDE">
              <w:rPr>
                <w:rStyle w:val="Italic"/>
              </w:rPr>
              <w:t xml:space="preserve">ater </w:t>
            </w:r>
            <w:r w:rsidR="00101ADB">
              <w:rPr>
                <w:rStyle w:val="Italic"/>
              </w:rPr>
              <w:t>t</w:t>
            </w:r>
            <w:r w:rsidRPr="00E86EDE">
              <w:rPr>
                <w:rStyle w:val="Italic"/>
              </w:rPr>
              <w:t xml:space="preserve">ariffs </w:t>
            </w:r>
            <w:r w:rsidR="00101ADB">
              <w:rPr>
                <w:rStyle w:val="Italic"/>
              </w:rPr>
              <w:t>s</w:t>
            </w:r>
            <w:r w:rsidRPr="00E86EDE">
              <w:rPr>
                <w:rStyle w:val="Italic"/>
              </w:rPr>
              <w:t>tructure</w:t>
            </w:r>
            <w:r w:rsidR="00D2715C">
              <w:t xml:space="preserve"> – A two-</w:t>
            </w:r>
            <w:r w:rsidRPr="00EC68F3">
              <w:t>part tariff comprising a fixed charge and a volumetric component is preferred to recover a water business’s revenue requirement from each tariff class. If a business proposes an alternative tariff structure</w:t>
            </w:r>
            <w:r w:rsidR="00101ADB">
              <w:t>,</w:t>
            </w:r>
            <w:r w:rsidRPr="00EC68F3">
              <w:t xml:space="preserve"> it should set out the objectives of this tariff structure and provide supporting analysis showing how these objectives would be better met by</w:t>
            </w:r>
            <w:r w:rsidR="00456103">
              <w:t xml:space="preserve"> the proposed tariff structure.</w:t>
            </w:r>
          </w:p>
          <w:p w:rsidR="00FD5BFB" w:rsidRDefault="00FD5BFB" w:rsidP="00BC5669">
            <w:pPr>
              <w:pStyle w:val="TableTextLeft"/>
            </w:pPr>
            <w:r w:rsidRPr="00E86EDE">
              <w:rPr>
                <w:rStyle w:val="Italic"/>
              </w:rPr>
              <w:t xml:space="preserve">Sewerage </w:t>
            </w:r>
            <w:r w:rsidR="00101ADB">
              <w:rPr>
                <w:rStyle w:val="Italic"/>
              </w:rPr>
              <w:t>c</w:t>
            </w:r>
            <w:r w:rsidRPr="00E86EDE">
              <w:rPr>
                <w:rStyle w:val="Italic"/>
              </w:rPr>
              <w:t>harges</w:t>
            </w:r>
            <w:r w:rsidR="00D2715C">
              <w:t xml:space="preserve"> –</w:t>
            </w:r>
            <w:r w:rsidRPr="00EC68F3">
              <w:t xml:space="preserve"> The tariff structure should reflect the cost structure </w:t>
            </w:r>
            <w:r w:rsidR="00101ADB">
              <w:t>–</w:t>
            </w:r>
            <w:r w:rsidR="00D2715C">
              <w:t xml:space="preserve"> and may comprise a one</w:t>
            </w:r>
            <w:r w:rsidR="00101ADB">
              <w:t>-</w:t>
            </w:r>
            <w:r w:rsidR="00D2715C">
              <w:t xml:space="preserve"> or two-</w:t>
            </w:r>
            <w:r w:rsidRPr="00EC68F3">
              <w:t>part tariff (all fixed, all volumetric or a fixed char</w:t>
            </w:r>
            <w:r w:rsidR="00D07FE3">
              <w:t>ge and a volumetric component).</w:t>
            </w:r>
          </w:p>
          <w:p w:rsidR="00FD5BFB" w:rsidRPr="00B40AA3" w:rsidRDefault="00FD5BFB" w:rsidP="00BC5669">
            <w:pPr>
              <w:pStyle w:val="TableTextLeft"/>
            </w:pPr>
            <w:r w:rsidRPr="00E86EDE">
              <w:rPr>
                <w:rStyle w:val="Italic"/>
              </w:rPr>
              <w:t>Trade waste</w:t>
            </w:r>
            <w:r w:rsidR="00D2715C">
              <w:t xml:space="preserve"> –</w:t>
            </w:r>
            <w:r w:rsidRPr="00EC68F3">
              <w:t xml:space="preserve"> Trade waste charges should be load-based where measurement is feasible and where the benefits outweigh the costs.</w:t>
            </w:r>
          </w:p>
        </w:tc>
      </w:tr>
      <w:tr w:rsidR="00FD5BFB" w:rsidRPr="00144F8C" w:rsidTr="00BC5669">
        <w:trPr>
          <w:cantSplit/>
        </w:trPr>
        <w:tc>
          <w:tcPr>
            <w:tcW w:w="1022" w:type="pct"/>
            <w:tcBorders>
              <w:top w:val="nil"/>
              <w:left w:val="nil"/>
              <w:bottom w:val="nil"/>
              <w:right w:val="nil"/>
            </w:tcBorders>
          </w:tcPr>
          <w:p w:rsidR="00FD5BFB" w:rsidRPr="00B40AA3" w:rsidRDefault="00FD5BFB" w:rsidP="00BC5669">
            <w:pPr>
              <w:pStyle w:val="TableTextLeft"/>
            </w:pPr>
            <w:r w:rsidRPr="00EC68F3">
              <w:t>Determining fixed charges</w:t>
            </w:r>
          </w:p>
        </w:tc>
        <w:tc>
          <w:tcPr>
            <w:tcW w:w="3978" w:type="pct"/>
            <w:tcBorders>
              <w:top w:val="nil"/>
              <w:left w:val="nil"/>
              <w:bottom w:val="nil"/>
              <w:right w:val="nil"/>
            </w:tcBorders>
          </w:tcPr>
          <w:p w:rsidR="00FD5BFB" w:rsidRPr="00B40AA3" w:rsidRDefault="00FD5BFB" w:rsidP="00BC5669">
            <w:pPr>
              <w:pStyle w:val="TableTextLeft"/>
            </w:pPr>
            <w:r w:rsidRPr="00EC68F3">
              <w:t>Fixed charges should be calculated to recover the difference between the total revenue requirement for a tariff class and the revenue recovered through volumetric charges.</w:t>
            </w:r>
          </w:p>
        </w:tc>
      </w:tr>
      <w:tr w:rsidR="00FD5BFB" w:rsidRPr="00144F8C" w:rsidTr="00BC5669">
        <w:trPr>
          <w:cantSplit/>
        </w:trPr>
        <w:tc>
          <w:tcPr>
            <w:tcW w:w="1022" w:type="pct"/>
            <w:tcBorders>
              <w:top w:val="nil"/>
              <w:left w:val="nil"/>
              <w:bottom w:val="nil"/>
              <w:right w:val="nil"/>
            </w:tcBorders>
          </w:tcPr>
          <w:p w:rsidR="00FD5BFB" w:rsidRPr="00B40AA3" w:rsidRDefault="00FD5BFB" w:rsidP="00BC5669">
            <w:pPr>
              <w:pStyle w:val="TableTextLeft"/>
            </w:pPr>
            <w:r w:rsidRPr="00EC68F3">
              <w:t>Determining volumetric charges</w:t>
            </w:r>
          </w:p>
        </w:tc>
        <w:tc>
          <w:tcPr>
            <w:tcW w:w="3978" w:type="pct"/>
            <w:tcBorders>
              <w:top w:val="nil"/>
              <w:left w:val="nil"/>
              <w:bottom w:val="nil"/>
              <w:right w:val="nil"/>
            </w:tcBorders>
          </w:tcPr>
          <w:p w:rsidR="00FD5BFB" w:rsidRPr="00B40AA3" w:rsidRDefault="00FD5BFB" w:rsidP="00BC5669">
            <w:pPr>
              <w:pStyle w:val="TableTextLeft"/>
            </w:pPr>
            <w:r w:rsidRPr="00EC68F3">
              <w:t>The volumetric charge should have regard to the long</w:t>
            </w:r>
            <w:r w:rsidR="00101ADB">
              <w:t>-</w:t>
            </w:r>
            <w:r w:rsidRPr="00EC68F3">
              <w:t>run or short</w:t>
            </w:r>
            <w:r w:rsidR="00101ADB">
              <w:t>-</w:t>
            </w:r>
            <w:r w:rsidRPr="00EC68F3">
              <w:t>run marginal costs, where appropriate.</w:t>
            </w:r>
          </w:p>
        </w:tc>
      </w:tr>
      <w:tr w:rsidR="00FD5BFB" w:rsidRPr="00144F8C" w:rsidTr="00BC5669">
        <w:trPr>
          <w:cantSplit/>
        </w:trPr>
        <w:tc>
          <w:tcPr>
            <w:tcW w:w="1022" w:type="pct"/>
            <w:tcBorders>
              <w:top w:val="nil"/>
              <w:left w:val="nil"/>
              <w:bottom w:val="single" w:sz="12" w:space="0" w:color="1F497D" w:themeColor="text2"/>
              <w:right w:val="nil"/>
            </w:tcBorders>
          </w:tcPr>
          <w:p w:rsidR="00FD5BFB" w:rsidRPr="00EC68F3" w:rsidRDefault="00FD5BFB" w:rsidP="00BC5669">
            <w:pPr>
              <w:pStyle w:val="TableTextLeft"/>
            </w:pPr>
            <w:r w:rsidRPr="00EC68F3">
              <w:t>Customer focus and equity</w:t>
            </w:r>
          </w:p>
        </w:tc>
        <w:tc>
          <w:tcPr>
            <w:tcW w:w="3978" w:type="pct"/>
            <w:tcBorders>
              <w:top w:val="nil"/>
              <w:left w:val="nil"/>
              <w:bottom w:val="single" w:sz="12" w:space="0" w:color="1F497D" w:themeColor="text2"/>
              <w:right w:val="nil"/>
            </w:tcBorders>
          </w:tcPr>
          <w:p w:rsidR="00FD5BFB" w:rsidRPr="00B40AA3" w:rsidRDefault="00FD5BFB" w:rsidP="00BC5669">
            <w:pPr>
              <w:pStyle w:val="TableTextLeft"/>
            </w:pPr>
            <w:r w:rsidRPr="00EC68F3">
              <w:t>Retail tariff and service offerings, and the form of price control, should have regard to the ability of customers to understand the tariff and service offering and respond to price signals, customer preferences and needs in relation to service standards or new services, the costs of implementing the tariff offering, including administration and marketing costs and price path stability.</w:t>
            </w:r>
          </w:p>
        </w:tc>
      </w:tr>
    </w:tbl>
    <w:p w:rsidR="00FD5BFB" w:rsidRPr="00714515" w:rsidRDefault="00FD5BFB" w:rsidP="00FD5BFB">
      <w:pPr>
        <w:pStyle w:val="TableNotesLast"/>
      </w:pPr>
      <w:r w:rsidRPr="00B40AA3">
        <w:t>Source:</w:t>
      </w:r>
      <w:r w:rsidRPr="00B40AA3">
        <w:tab/>
      </w:r>
      <w:r>
        <w:rPr>
          <w:noProof/>
        </w:rPr>
        <w:t>ESC (2011a)</w:t>
      </w:r>
      <w:r w:rsidRPr="00B40AA3">
        <w:t>.</w:t>
      </w:r>
    </w:p>
    <w:p w:rsidR="00FD5BFB" w:rsidRDefault="00FD5BFB" w:rsidP="00101ADB">
      <w:pPr>
        <w:pStyle w:val="Heading3"/>
      </w:pPr>
      <w:r>
        <w:t>2014 AEMC electricity distribution networks tariff reform</w:t>
      </w:r>
    </w:p>
    <w:p w:rsidR="00FD5BFB" w:rsidRDefault="00FD5BFB" w:rsidP="00FD5BFB">
      <w:r>
        <w:t>In common with the ACT water and sewerage industry, the electricity distribution industry in Australia is a regulated monopoly network. As such, pricing arrangements and reforms in the electricity distribution space are releva</w:t>
      </w:r>
      <w:r w:rsidR="00DC1ED9">
        <w:t>nt to the tariff review.</w:t>
      </w:r>
    </w:p>
    <w:p w:rsidR="00FD5BFB" w:rsidRDefault="00FD5BFB" w:rsidP="00FD5BFB">
      <w:r>
        <w:t>In November 2014</w:t>
      </w:r>
      <w:r w:rsidR="00101ADB">
        <w:t>,</w:t>
      </w:r>
      <w:r>
        <w:t xml:space="preserve"> the Australian Energy Market Commission (AEMC) made a final determination that </w:t>
      </w:r>
      <w:r w:rsidRPr="009770B1">
        <w:t xml:space="preserve">sets out new rules that will require </w:t>
      </w:r>
      <w:r>
        <w:t xml:space="preserve">electricity </w:t>
      </w:r>
      <w:r w:rsidRPr="009770B1">
        <w:t>distribution network businesses to develop prices that better reflect the costs of providing services to individual consumers so that they can make more informed decisions about how they use electricity.</w:t>
      </w:r>
      <w:r>
        <w:rPr>
          <w:rStyle w:val="FootnoteReference"/>
        </w:rPr>
        <w:footnoteReference w:id="45"/>
      </w:r>
      <w:r>
        <w:t xml:space="preserve"> The final determination is summarised in Box 2.9.</w:t>
      </w:r>
    </w:p>
    <w:p w:rsidR="00FD5BFB" w:rsidRPr="0070548C" w:rsidRDefault="00FD5BFB" w:rsidP="00FD5BFB">
      <w:pPr>
        <w:pStyle w:val="FigureName"/>
        <w:keepNext/>
      </w:pPr>
      <w:bookmarkStart w:id="103" w:name="_Toc435700210"/>
      <w:r w:rsidRPr="00C5491B">
        <w:lastRenderedPageBreak/>
        <w:t xml:space="preserve">Box </w:t>
      </w:r>
      <w:r w:rsidR="00A7215E">
        <w:fldChar w:fldCharType="begin"/>
      </w:r>
      <w:r>
        <w:instrText xml:space="preserve"> STYLEREF 1 \s </w:instrText>
      </w:r>
      <w:r w:rsidR="00A7215E">
        <w:fldChar w:fldCharType="separate"/>
      </w:r>
      <w:r w:rsidR="00E43227">
        <w:rPr>
          <w:noProof/>
        </w:rPr>
        <w:t>2</w:t>
      </w:r>
      <w:r w:rsidR="00A7215E">
        <w:fldChar w:fldCharType="end"/>
      </w:r>
      <w:r w:rsidRPr="0070548C">
        <w:t>.</w:t>
      </w:r>
      <w:r w:rsidR="00A7215E">
        <w:fldChar w:fldCharType="begin"/>
      </w:r>
      <w:r>
        <w:instrText xml:space="preserve"> SEQ Box \* ARABIC \s 1 </w:instrText>
      </w:r>
      <w:r w:rsidR="00A7215E">
        <w:fldChar w:fldCharType="separate"/>
      </w:r>
      <w:r w:rsidR="00E43227">
        <w:rPr>
          <w:noProof/>
        </w:rPr>
        <w:t>9</w:t>
      </w:r>
      <w:r w:rsidR="00A7215E">
        <w:fldChar w:fldCharType="end"/>
      </w:r>
      <w:r w:rsidRPr="0070548C">
        <w:tab/>
      </w:r>
      <w:r>
        <w:t xml:space="preserve">Electricity </w:t>
      </w:r>
      <w:r w:rsidRPr="002A7F90">
        <w:t>Distribution Network Pricing Arrangements Rule 2014</w:t>
      </w:r>
      <w:r>
        <w:t xml:space="preserve"> summary</w:t>
      </w:r>
      <w:bookmarkEnd w:id="103"/>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shd w:val="clear" w:color="auto" w:fill="DBE5F1"/>
        <w:tblLook w:val="04A0"/>
      </w:tblPr>
      <w:tblGrid>
        <w:gridCol w:w="7927"/>
      </w:tblGrid>
      <w:tr w:rsidR="00FD5BFB" w:rsidTr="00BC5669">
        <w:trPr>
          <w:cantSplit/>
          <w:trHeight w:val="2069"/>
        </w:trPr>
        <w:tc>
          <w:tcPr>
            <w:tcW w:w="7927" w:type="dxa"/>
            <w:shd w:val="clear" w:color="auto" w:fill="DBE5F1"/>
          </w:tcPr>
          <w:p w:rsidR="00FD5BFB" w:rsidRPr="002B6327" w:rsidRDefault="00FD5BFB" w:rsidP="00BC5669">
            <w:pPr>
              <w:keepNext/>
              <w:rPr>
                <w:rStyle w:val="Bold"/>
              </w:rPr>
            </w:pPr>
            <w:r w:rsidRPr="002B6327">
              <w:rPr>
                <w:rStyle w:val="Bold"/>
              </w:rPr>
              <w:t>Pricing objective</w:t>
            </w:r>
          </w:p>
          <w:p w:rsidR="00FD5BFB" w:rsidRPr="0070548C" w:rsidRDefault="00FD5BFB" w:rsidP="00BC5669">
            <w:pPr>
              <w:keepNext/>
              <w:rPr>
                <w:lang w:val="en-AU" w:eastAsia="en-AU"/>
              </w:rPr>
            </w:pPr>
            <w:r w:rsidRPr="0070548C">
              <w:rPr>
                <w:lang w:val="en-AU" w:eastAsia="en-AU"/>
              </w:rPr>
              <w:t>Under the</w:t>
            </w:r>
            <w:r w:rsidR="00B40468">
              <w:rPr>
                <w:lang w:val="en-AU" w:eastAsia="en-AU"/>
              </w:rPr>
              <w:t xml:space="preserve"> final rule, network businesses’</w:t>
            </w:r>
            <w:r w:rsidRPr="0070548C">
              <w:rPr>
                <w:lang w:val="en-AU" w:eastAsia="en-AU"/>
              </w:rPr>
              <w:t xml:space="preserve"> pricing decisions will be guided by a pricing objective that network prices should reflect the business</w:t>
            </w:r>
            <w:r w:rsidR="00B40468">
              <w:rPr>
                <w:lang w:val="en-AU" w:eastAsia="en-AU"/>
              </w:rPr>
              <w:t>es</w:t>
            </w:r>
            <w:r w:rsidRPr="0070548C">
              <w:rPr>
                <w:lang w:val="en-AU" w:eastAsia="en-AU"/>
              </w:rPr>
              <w:t>’ efficient costs of providing services to each consumer. Businesses will be required to comply with several pricing principles when determining the structure and</w:t>
            </w:r>
            <w:r w:rsidR="00101ADB">
              <w:rPr>
                <w:lang w:val="en-AU" w:eastAsia="en-AU"/>
              </w:rPr>
              <w:t xml:space="preserve"> level of their network prices.</w:t>
            </w:r>
          </w:p>
          <w:p w:rsidR="00FD5BFB" w:rsidRPr="00741B3F" w:rsidRDefault="00FD5BFB" w:rsidP="00BC5669">
            <w:pPr>
              <w:keepNext/>
            </w:pPr>
            <w:r w:rsidRPr="002B6327">
              <w:rPr>
                <w:rStyle w:val="Bold"/>
              </w:rPr>
              <w:t>Pricing principles</w:t>
            </w:r>
            <w:r w:rsidRPr="00101ADB">
              <w:rPr>
                <w:rStyle w:val="Bold"/>
                <w:b w:val="0"/>
              </w:rPr>
              <w:t xml:space="preserve"> </w:t>
            </w:r>
            <w:r>
              <w:rPr>
                <w:rStyle w:val="Bold"/>
              </w:rPr>
              <w:sym w:font="Symbol" w:char="F02D"/>
            </w:r>
            <w:r w:rsidRPr="00741B3F">
              <w:t xml:space="preserve"> businesses must comply with the pricing principles in a way that contributes to the pricing objective.</w:t>
            </w:r>
          </w:p>
          <w:p w:rsidR="00FD5BFB" w:rsidRDefault="00FD5BFB" w:rsidP="00BC5669">
            <w:pPr>
              <w:pStyle w:val="Bullet"/>
              <w:keepNext/>
            </w:pPr>
            <w:r w:rsidRPr="00202F0C">
              <w:t>Each network tariff must be based on the long</w:t>
            </w:r>
            <w:r w:rsidR="00B40468">
              <w:t>-</w:t>
            </w:r>
            <w:r w:rsidRPr="00202F0C">
              <w:t>run marginal</w:t>
            </w:r>
            <w:r w:rsidR="00101ADB">
              <w:t xml:space="preserve"> cost of providing the service.</w:t>
            </w:r>
          </w:p>
          <w:p w:rsidR="00FD5BFB" w:rsidRDefault="00FD5BFB" w:rsidP="00BC5669">
            <w:pPr>
              <w:pStyle w:val="Bullet"/>
              <w:keepNext/>
            </w:pPr>
            <w:r w:rsidRPr="00202F0C">
              <w:t>The revenue to be recovered from each network tariff must reflect the network business</w:t>
            </w:r>
            <w:r w:rsidR="00B40468">
              <w:t>es</w:t>
            </w:r>
            <w:r w:rsidR="00101ADB">
              <w:t>’</w:t>
            </w:r>
            <w:r w:rsidRPr="00202F0C">
              <w:t xml:space="preserve"> total efficient costs of providing services to the consumers assigned to that tariff.</w:t>
            </w:r>
          </w:p>
          <w:p w:rsidR="00FD5BFB" w:rsidRDefault="00FD5BFB" w:rsidP="00BC5669">
            <w:pPr>
              <w:pStyle w:val="Bullet"/>
              <w:keepNext/>
            </w:pPr>
            <w:r w:rsidRPr="00202F0C">
              <w:t>Distribution businesses must also give effect to a consumer impact principle when developing their tariffs.</w:t>
            </w:r>
          </w:p>
          <w:p w:rsidR="00FD5BFB" w:rsidRDefault="00FD5BFB" w:rsidP="00BC5669">
            <w:pPr>
              <w:pStyle w:val="Bullet"/>
              <w:keepNext/>
            </w:pPr>
            <w:r w:rsidRPr="00202F0C">
              <w:t>Network tariffs must also comply with any jurisdictional pricing obligations imposed by state or territory governments.</w:t>
            </w:r>
          </w:p>
          <w:p w:rsidR="00FD5BFB" w:rsidRDefault="00FD5BFB" w:rsidP="00BC5669">
            <w:pPr>
              <w:pStyle w:val="BulletLast"/>
              <w:keepNext/>
            </w:pPr>
            <w:r>
              <w:t>T</w:t>
            </w:r>
            <w:r w:rsidRPr="00741B3F">
              <w:t xml:space="preserve">he revenue expected to be recovered from a tariff class </w:t>
            </w:r>
            <w:r>
              <w:t xml:space="preserve">should </w:t>
            </w:r>
            <w:r w:rsidRPr="00741B3F">
              <w:t>lie between the stand-alone cost of providing the service to the relevant consumers and the avoidable cost of not providing the service.</w:t>
            </w:r>
          </w:p>
          <w:p w:rsidR="00FD5BFB" w:rsidRPr="002B6327" w:rsidRDefault="00FD5BFB" w:rsidP="00BC5669">
            <w:pPr>
              <w:keepNext/>
              <w:rPr>
                <w:rStyle w:val="Bold"/>
                <w:lang w:eastAsia="en-AU"/>
              </w:rPr>
            </w:pPr>
            <w:r w:rsidRPr="002B6327">
              <w:rPr>
                <w:rStyle w:val="Bold"/>
              </w:rPr>
              <w:t>Customer consultation</w:t>
            </w:r>
          </w:p>
          <w:p w:rsidR="00FD5BFB" w:rsidRPr="0070548C" w:rsidRDefault="00FD5BFB" w:rsidP="00BC5669">
            <w:pPr>
              <w:keepNext/>
            </w:pPr>
            <w:r w:rsidRPr="0070548C">
              <w:rPr>
                <w:lang w:val="en-AU" w:eastAsia="en-AU"/>
              </w:rPr>
              <w:t>There will also be more consultation with consumers and retailers in the development of network prices, and the process for setting prices will be more transparent. Network prices will be finalised earlier, allowing consumers and retailers more time to prepare for price changes.</w:t>
            </w:r>
          </w:p>
        </w:tc>
      </w:tr>
    </w:tbl>
    <w:p w:rsidR="00FD5BFB" w:rsidRPr="0070548C" w:rsidRDefault="00FD5BFB" w:rsidP="00FD5BFB">
      <w:pPr>
        <w:pStyle w:val="TableNotesLast"/>
        <w:keepNext/>
      </w:pPr>
      <w:r w:rsidRPr="00C5491B">
        <w:t>Source:</w:t>
      </w:r>
      <w:r w:rsidRPr="00C5491B">
        <w:tab/>
      </w:r>
      <w:r>
        <w:rPr>
          <w:noProof/>
        </w:rPr>
        <w:t>AEMC (2014)</w:t>
      </w:r>
      <w:r w:rsidRPr="0070548C">
        <w:t>.</w:t>
      </w:r>
    </w:p>
    <w:p w:rsidR="00FD5BFB" w:rsidRDefault="00FD5BFB" w:rsidP="00FD5BFB">
      <w:r>
        <w:t xml:space="preserve">The AEMC also commissioned a number of consultant reports, two of which, </w:t>
      </w:r>
      <w:r>
        <w:rPr>
          <w:noProof/>
        </w:rPr>
        <w:t>NERA (2014)</w:t>
      </w:r>
      <w:r>
        <w:t xml:space="preserve"> and </w:t>
      </w:r>
      <w:r>
        <w:rPr>
          <w:noProof/>
        </w:rPr>
        <w:t>The Brattle Group (2014)</w:t>
      </w:r>
      <w:r>
        <w:t>, provide background material on the economic concepts underpinning the pricing of infrastructure distribution networks and promoting efficiency through tariff design.</w:t>
      </w:r>
    </w:p>
    <w:p w:rsidR="00FD5BFB" w:rsidRDefault="00FD5BFB" w:rsidP="00FD5BFB">
      <w:pPr>
        <w:pStyle w:val="Heading2"/>
      </w:pPr>
      <w:bookmarkStart w:id="104" w:name="Water_security"/>
      <w:bookmarkStart w:id="105" w:name="_Ref434490050"/>
      <w:bookmarkStart w:id="106" w:name="_Ref434494168"/>
      <w:bookmarkStart w:id="107" w:name="_Toc435700159"/>
      <w:bookmarkEnd w:id="104"/>
      <w:r>
        <w:t>Water supply and demand context</w:t>
      </w:r>
      <w:bookmarkEnd w:id="105"/>
      <w:bookmarkEnd w:id="106"/>
      <w:bookmarkEnd w:id="107"/>
    </w:p>
    <w:p w:rsidR="00FD5BFB" w:rsidRDefault="00FD5BFB" w:rsidP="00FD5BFB">
      <w:r>
        <w:t xml:space="preserve">In </w:t>
      </w:r>
      <w:r w:rsidRPr="00BF60B1">
        <w:t xml:space="preserve">2007, the </w:t>
      </w:r>
      <w:r>
        <w:t>ACT was at the tail end of the Millennium Drought</w:t>
      </w:r>
      <w:r w:rsidR="00B40468">
        <w:t>,</w:t>
      </w:r>
      <w:r>
        <w:t xml:space="preserve"> which affected </w:t>
      </w:r>
      <w:r w:rsidRPr="00132B17">
        <w:t>southeast Au</w:t>
      </w:r>
      <w:r>
        <w:t xml:space="preserve">stralia from about 1997 to 2009. The </w:t>
      </w:r>
      <w:r w:rsidRPr="00BF60B1">
        <w:t xml:space="preserve">ACT water security situation </w:t>
      </w:r>
      <w:r>
        <w:t xml:space="preserve">had </w:t>
      </w:r>
      <w:r w:rsidRPr="00BF60B1">
        <w:t xml:space="preserve">rapidly deteriorated </w:t>
      </w:r>
      <w:r w:rsidR="00B40468">
        <w:t>–</w:t>
      </w:r>
      <w:r w:rsidRPr="00BF60B1">
        <w:t xml:space="preserve"> </w:t>
      </w:r>
      <w:r>
        <w:t xml:space="preserve">severe Stage 3 temporary water restrictions </w:t>
      </w:r>
      <w:r w:rsidR="00B40468">
        <w:t xml:space="preserve">were </w:t>
      </w:r>
      <w:r>
        <w:t xml:space="preserve">introduced in November 2006 and </w:t>
      </w:r>
      <w:r w:rsidRPr="00BF60B1">
        <w:t xml:space="preserve">combined dam </w:t>
      </w:r>
      <w:r>
        <w:t>volume</w:t>
      </w:r>
      <w:r w:rsidRPr="00BF60B1">
        <w:t xml:space="preserve"> f</w:t>
      </w:r>
      <w:r w:rsidR="00B40468">
        <w:t>ell</w:t>
      </w:r>
      <w:r w:rsidRPr="00BF60B1">
        <w:t xml:space="preserve"> to a low of 31 per cent </w:t>
      </w:r>
      <w:r>
        <w:t>of capacity</w:t>
      </w:r>
      <w:r w:rsidR="00B40468">
        <w:t>,</w:t>
      </w:r>
      <w:r>
        <w:t xml:space="preserve"> or </w:t>
      </w:r>
      <w:r>
        <w:lastRenderedPageBreak/>
        <w:t>about 64 GL</w:t>
      </w:r>
      <w:r w:rsidR="00B40468">
        <w:t>,</w:t>
      </w:r>
      <w:r>
        <w:t xml:space="preserve"> </w:t>
      </w:r>
      <w:r w:rsidRPr="00BF60B1">
        <w:t>by mid-2007.</w:t>
      </w:r>
      <w:r>
        <w:t xml:space="preserve"> </w:t>
      </w:r>
      <w:r w:rsidRPr="00BF60B1">
        <w:t>This was due to very low rainfall in 2006, which</w:t>
      </w:r>
      <w:r w:rsidR="00B40468">
        <w:t>,</w:t>
      </w:r>
      <w:r w:rsidRPr="00BF60B1">
        <w:t xml:space="preserve"> together with the residual </w:t>
      </w:r>
      <w:r>
        <w:t xml:space="preserve">impact from the 2003 </w:t>
      </w:r>
      <w:r w:rsidRPr="00BF60B1">
        <w:t>bushfire</w:t>
      </w:r>
      <w:r>
        <w:t>s</w:t>
      </w:r>
      <w:r w:rsidRPr="00BF60B1">
        <w:t>, translated into extremely low annual dam inflows of 28 GL, only 12</w:t>
      </w:r>
      <w:r>
        <w:t xml:space="preserve"> per cent</w:t>
      </w:r>
      <w:r w:rsidRPr="00BF60B1">
        <w:t xml:space="preserve"> of the long-term average inflow of 235 GL</w:t>
      </w:r>
      <w:r w:rsidR="00B40468">
        <w:t xml:space="preserve"> per annum</w:t>
      </w:r>
      <w:r w:rsidRPr="00BF60B1">
        <w:t>.</w:t>
      </w:r>
      <w:r>
        <w:rPr>
          <w:rStyle w:val="FootnoteReference"/>
        </w:rPr>
        <w:footnoteReference w:id="46"/>
      </w:r>
    </w:p>
    <w:p w:rsidR="00FD5BFB" w:rsidRDefault="00FD5BFB" w:rsidP="00FD5BFB">
      <w:r>
        <w:t>The Millennium Drought broke in spectacular fashion in 2010. Over the period 2009 to 2014, ACTEW Water, as it was then known, also invested heavily in new major water security projects</w:t>
      </w:r>
      <w:r w:rsidR="00B40468">
        <w:t>,</w:t>
      </w:r>
      <w:r>
        <w:t xml:space="preserve"> including the enlarged Cotter Dam and the Murrumbidgee to Googong pipeline project. The enlarged Cotter Dam increased total ACT dam storage capacity from 207 to 278 GL. In September 2015, combined dam volume was about 82.5 per cent of capacity or 229 GL.</w:t>
      </w:r>
    </w:p>
    <w:p w:rsidR="00FD5BFB" w:rsidRDefault="00FD5BFB" w:rsidP="00FD5BFB">
      <w:r>
        <w:t>On the demand side, average water consumption per capita for the ACT and Queanbeyan has fallen dramatically from the relatively high levels seen before 2007.</w:t>
      </w:r>
      <w:r>
        <w:rPr>
          <w:rStyle w:val="FootnoteReference"/>
        </w:rPr>
        <w:footnoteReference w:id="47"/>
      </w:r>
      <w:r>
        <w:t xml:space="preserve"> As shown in</w:t>
      </w:r>
      <w:r w:rsidR="00B40468">
        <w:t xml:space="preserve"> </w:t>
      </w:r>
      <w:r w:rsidR="00A7215E">
        <w:fldChar w:fldCharType="begin"/>
      </w:r>
      <w:r w:rsidR="00B40468">
        <w:instrText xml:space="preserve"> REF _Ref435282878 \h </w:instrText>
      </w:r>
      <w:r w:rsidR="00A7215E">
        <w:fldChar w:fldCharType="separate"/>
      </w:r>
      <w:r w:rsidR="00E43227" w:rsidRPr="00DB3C19">
        <w:t xml:space="preserve">Figure </w:t>
      </w:r>
      <w:r w:rsidR="00E43227">
        <w:rPr>
          <w:noProof/>
        </w:rPr>
        <w:t>2</w:t>
      </w:r>
      <w:r w:rsidR="00E43227" w:rsidRPr="00811EA2">
        <w:t>.</w:t>
      </w:r>
      <w:r w:rsidR="00E43227">
        <w:rPr>
          <w:noProof/>
        </w:rPr>
        <w:t>3</w:t>
      </w:r>
      <w:r w:rsidR="00A7215E">
        <w:fldChar w:fldCharType="end"/>
      </w:r>
      <w:r>
        <w:t>, the average consumption over the 19</w:t>
      </w:r>
      <w:r w:rsidR="00B40468">
        <w:t>98–</w:t>
      </w:r>
      <w:r>
        <w:t>99 to 20</w:t>
      </w:r>
      <w:r w:rsidR="00B40468">
        <w:t>05–</w:t>
      </w:r>
      <w:r>
        <w:t xml:space="preserve">06 </w:t>
      </w:r>
      <w:proofErr w:type="gramStart"/>
      <w:r>
        <w:t>period</w:t>
      </w:r>
      <w:proofErr w:type="gramEnd"/>
      <w:r>
        <w:t xml:space="preserve"> was about 164 kilolitres per person per annum (kL/person/a). The average over the period from 20</w:t>
      </w:r>
      <w:r w:rsidR="00B40468">
        <w:t>06–</w:t>
      </w:r>
      <w:r>
        <w:t>07 to 20</w:t>
      </w:r>
      <w:r w:rsidR="00B40468">
        <w:t>14–</w:t>
      </w:r>
      <w:r>
        <w:t>15 has fallen sharply to about112 kL/person/a.</w:t>
      </w:r>
    </w:p>
    <w:p w:rsidR="00FD5BFB" w:rsidRPr="00811EA2" w:rsidRDefault="00FD5BFB" w:rsidP="00FD5BFB">
      <w:pPr>
        <w:pStyle w:val="FigureName"/>
      </w:pPr>
      <w:bookmarkStart w:id="108" w:name="_Ref435282878"/>
      <w:bookmarkStart w:id="109" w:name="_Toc435700193"/>
      <w:r w:rsidRPr="00DB3C19">
        <w:t xml:space="preserve">Figure </w:t>
      </w:r>
      <w:r w:rsidR="00A7215E">
        <w:fldChar w:fldCharType="begin"/>
      </w:r>
      <w:r>
        <w:instrText xml:space="preserve"> STYLEREF 1 \s </w:instrText>
      </w:r>
      <w:r w:rsidR="00A7215E">
        <w:fldChar w:fldCharType="separate"/>
      </w:r>
      <w:r w:rsidR="00E43227">
        <w:rPr>
          <w:noProof/>
        </w:rPr>
        <w:t>2</w:t>
      </w:r>
      <w:r w:rsidR="00A7215E">
        <w:fldChar w:fldCharType="end"/>
      </w:r>
      <w:r w:rsidRPr="00811EA2">
        <w:t>.</w:t>
      </w:r>
      <w:r w:rsidR="00A7215E">
        <w:fldChar w:fldCharType="begin"/>
      </w:r>
      <w:r>
        <w:instrText xml:space="preserve"> SEQ Figure \* ARABIC \s 1 </w:instrText>
      </w:r>
      <w:r w:rsidR="00A7215E">
        <w:fldChar w:fldCharType="separate"/>
      </w:r>
      <w:r w:rsidR="00E43227">
        <w:rPr>
          <w:noProof/>
        </w:rPr>
        <w:t>3</w:t>
      </w:r>
      <w:r w:rsidR="00A7215E">
        <w:fldChar w:fldCharType="end"/>
      </w:r>
      <w:bookmarkEnd w:id="108"/>
      <w:r w:rsidRPr="00811EA2">
        <w:tab/>
        <w:t xml:space="preserve">ACT and Queanbeyan per capita water consumption, </w:t>
      </w:r>
      <w:r>
        <w:t>19</w:t>
      </w:r>
      <w:r w:rsidR="00B40468">
        <w:t>98–</w:t>
      </w:r>
      <w:r>
        <w:t>99</w:t>
      </w:r>
      <w:r w:rsidRPr="00811EA2">
        <w:t xml:space="preserve"> to 20</w:t>
      </w:r>
      <w:r w:rsidR="00B40468">
        <w:t>14–</w:t>
      </w:r>
      <w:r w:rsidRPr="00811EA2">
        <w:t>15</w:t>
      </w:r>
      <w:bookmarkEnd w:id="109"/>
    </w:p>
    <w:p w:rsidR="00FD5BFB" w:rsidRPr="00811EA2" w:rsidRDefault="00FD5BFB" w:rsidP="00FD5BFB">
      <w:pPr>
        <w:pStyle w:val="References"/>
      </w:pPr>
      <w:r>
        <w:rPr>
          <w:noProof/>
          <w:lang w:val="en-AU" w:eastAsia="en-AU"/>
        </w:rPr>
        <w:drawing>
          <wp:inline distT="0" distB="0" distL="0" distR="0">
            <wp:extent cx="4896485" cy="2642846"/>
            <wp:effectExtent l="0" t="0" r="18415" b="5715"/>
            <wp:docPr id="1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D5BFB" w:rsidRPr="00811EA2" w:rsidRDefault="00FD5BFB" w:rsidP="00FD5BFB">
      <w:pPr>
        <w:pStyle w:val="TableNotesLast"/>
      </w:pPr>
      <w:r>
        <w:t>Source:</w:t>
      </w:r>
      <w:r>
        <w:tab/>
        <w:t>Icon Water</w:t>
      </w:r>
      <w:r w:rsidRPr="00811EA2">
        <w:t xml:space="preserve"> dam releases data; ABS (2014); </w:t>
      </w:r>
      <w:r>
        <w:rPr>
          <w:noProof/>
        </w:rPr>
        <w:t>ACT Government (2014a)</w:t>
      </w:r>
      <w:r w:rsidRPr="00811EA2">
        <w:t>.</w:t>
      </w:r>
    </w:p>
    <w:p w:rsidR="00FD5BFB" w:rsidRDefault="00FD5BFB" w:rsidP="00FD5BFB">
      <w:r w:rsidRPr="00CF40BE">
        <w:t xml:space="preserve">As expected, demand fell particularly sharply during the period when the more severe Stage 2 and Stage 3 temporary water restrictions were in place over the period 2006 to 2010. However, </w:t>
      </w:r>
      <w:r>
        <w:t xml:space="preserve">the more interesting point is that </w:t>
      </w:r>
      <w:r w:rsidRPr="00CF40BE">
        <w:t>per capita consumption has not risen since the r</w:t>
      </w:r>
      <w:r>
        <w:t xml:space="preserve">emoval of restrictions in 2010. This is likely to be due to a number of </w:t>
      </w:r>
      <w:r>
        <w:lastRenderedPageBreak/>
        <w:t>factors</w:t>
      </w:r>
      <w:r w:rsidR="00817383">
        <w:t>,</w:t>
      </w:r>
      <w:r>
        <w:t xml:space="preserve"> including the adoption of water-efficient devices such as low-flow shower heads, installation of rainwater tanks, more customers living in units and houses on smaller blocks</w:t>
      </w:r>
      <w:r w:rsidR="00817383">
        <w:t>,</w:t>
      </w:r>
      <w:r>
        <w:t xml:space="preserve"> and a significant increase in the price of water in recent years.</w:t>
      </w:r>
      <w:r w:rsidRPr="00A05534">
        <w:rPr>
          <w:rStyle w:val="FootnoteReference"/>
        </w:rPr>
        <w:footnoteReference w:id="48"/>
      </w:r>
      <w:r w:rsidRPr="00A05534">
        <w:rPr>
          <w:rStyle w:val="FootnoteReference"/>
        </w:rPr>
        <w:t>,</w:t>
      </w:r>
      <w:r w:rsidRPr="00A05534">
        <w:rPr>
          <w:rStyle w:val="FootnoteReference"/>
        </w:rPr>
        <w:footnoteReference w:id="49"/>
      </w:r>
    </w:p>
    <w:p w:rsidR="00FD5BFB" w:rsidRDefault="00FD5BFB" w:rsidP="00FD5BFB">
      <w:r>
        <w:t xml:space="preserve">A separate matter relates to the structure of water demand under Icon Water’s inclining block structure. In its forecasting work earlier this year, the Commission analysed the relationship between the average amount of water consumed by each customer per year and the observed proportion of sales falling into the tier 1 category, shown in </w:t>
      </w:r>
      <w:r w:rsidR="00A7215E">
        <w:fldChar w:fldCharType="begin"/>
      </w:r>
      <w:r>
        <w:instrText xml:space="preserve"> REF _Ref433809616 \h </w:instrText>
      </w:r>
      <w:r w:rsidR="00A7215E">
        <w:fldChar w:fldCharType="separate"/>
      </w:r>
      <w:r w:rsidR="00E43227" w:rsidRPr="00DB3C19">
        <w:t xml:space="preserve">Figure </w:t>
      </w:r>
      <w:r w:rsidR="00E43227">
        <w:rPr>
          <w:noProof/>
        </w:rPr>
        <w:t>2</w:t>
      </w:r>
      <w:r w:rsidR="00E43227" w:rsidRPr="00811EA2">
        <w:t>.</w:t>
      </w:r>
      <w:r w:rsidR="00E43227">
        <w:rPr>
          <w:noProof/>
        </w:rPr>
        <w:t>4</w:t>
      </w:r>
      <w:r w:rsidR="00A7215E">
        <w:fldChar w:fldCharType="end"/>
      </w:r>
      <w:r>
        <w:t xml:space="preserve">. The analysis suggests that should total water sales remain at current levels and customer numbers rise each year, the proportion of tier 2 sales will fall. This has direct implications for the </w:t>
      </w:r>
      <w:r w:rsidR="00334BC5">
        <w:t>value</w:t>
      </w:r>
      <w:r>
        <w:t xml:space="preserve"> of tier 2 sales as a revenue recovery mechanism for Icon Water.</w:t>
      </w:r>
    </w:p>
    <w:p w:rsidR="00FD5BFB" w:rsidRPr="00811EA2" w:rsidRDefault="00FD5BFB" w:rsidP="00FD5BFB">
      <w:pPr>
        <w:pStyle w:val="FigureName"/>
      </w:pPr>
      <w:bookmarkStart w:id="110" w:name="_Ref433809616"/>
      <w:bookmarkStart w:id="111" w:name="_Toc435700194"/>
      <w:r w:rsidRPr="00DB3C19">
        <w:t xml:space="preserve">Figure </w:t>
      </w:r>
      <w:r w:rsidR="00A7215E">
        <w:fldChar w:fldCharType="begin"/>
      </w:r>
      <w:r>
        <w:instrText xml:space="preserve"> STYLEREF 1 \s </w:instrText>
      </w:r>
      <w:r w:rsidR="00A7215E">
        <w:fldChar w:fldCharType="separate"/>
      </w:r>
      <w:r w:rsidR="00E43227">
        <w:rPr>
          <w:noProof/>
        </w:rPr>
        <w:t>2</w:t>
      </w:r>
      <w:r w:rsidR="00A7215E">
        <w:fldChar w:fldCharType="end"/>
      </w:r>
      <w:r w:rsidRPr="00811EA2">
        <w:t>.</w:t>
      </w:r>
      <w:r w:rsidR="00A7215E">
        <w:fldChar w:fldCharType="begin"/>
      </w:r>
      <w:r>
        <w:instrText xml:space="preserve"> SEQ Figure \* ARABIC \s 1 </w:instrText>
      </w:r>
      <w:r w:rsidR="00A7215E">
        <w:fldChar w:fldCharType="separate"/>
      </w:r>
      <w:r w:rsidR="00E43227">
        <w:rPr>
          <w:noProof/>
        </w:rPr>
        <w:t>4</w:t>
      </w:r>
      <w:r w:rsidR="00A7215E">
        <w:fldChar w:fldCharType="end"/>
      </w:r>
      <w:bookmarkEnd w:id="110"/>
      <w:r w:rsidRPr="00811EA2">
        <w:tab/>
      </w:r>
      <w:r>
        <w:t>Observed tier 1 water sales proportion</w:t>
      </w:r>
      <w:r w:rsidR="00817383">
        <w:t>, 2008–09 to 2013–14</w:t>
      </w:r>
      <w:bookmarkEnd w:id="111"/>
    </w:p>
    <w:p w:rsidR="00FD5BFB" w:rsidRPr="00811EA2" w:rsidRDefault="00FD5BFB" w:rsidP="00976ABF">
      <w:pPr>
        <w:pStyle w:val="References"/>
      </w:pPr>
      <w:r w:rsidRPr="00DC39B0">
        <w:rPr>
          <w:noProof/>
          <w:lang w:val="en-AU" w:eastAsia="en-AU"/>
        </w:rPr>
        <w:drawing>
          <wp:inline distT="0" distB="0" distL="0" distR="0">
            <wp:extent cx="4896485" cy="2939527"/>
            <wp:effectExtent l="0" t="0" r="18415" b="13335"/>
            <wp:docPr id="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D5BFB" w:rsidRPr="00811EA2" w:rsidRDefault="00FD5BFB" w:rsidP="00FD5BFB">
      <w:pPr>
        <w:pStyle w:val="TableNotesLast"/>
      </w:pPr>
      <w:r>
        <w:t>Source:</w:t>
      </w:r>
      <w:r>
        <w:tab/>
      </w:r>
      <w:r>
        <w:rPr>
          <w:noProof/>
        </w:rPr>
        <w:t>ICRC (2015b)</w:t>
      </w:r>
      <w:r>
        <w:t>.</w:t>
      </w:r>
    </w:p>
    <w:p w:rsidR="00FD5BFB" w:rsidRPr="0007192C" w:rsidRDefault="00FD5BFB" w:rsidP="00FD5BFB">
      <w:r>
        <w:t>In summary, ACT water security is in much better shape now, from both a supply and demand perspective, than it was when the tariff structures were last substantively reviewed in 2007. Indeed, in the Commission’s 2012 final report on secondary water use in the ACT, the Commission stated:</w:t>
      </w:r>
    </w:p>
    <w:p w:rsidR="00FD5BFB" w:rsidRDefault="00FD5BFB" w:rsidP="00FD5BFB">
      <w:pPr>
        <w:pStyle w:val="Quote"/>
      </w:pPr>
      <w:r>
        <w:t xml:space="preserve">Based on results from the ActewAGL water supply and demand model, the ACT is likely to be water secure for the next 20 years. Existing dams are full and the </w:t>
      </w:r>
      <w:r>
        <w:lastRenderedPageBreak/>
        <w:t>completion of the enlarged Cotter Dam will increase current ACT dam capacity by more than a third. The ACT is unlikely to face any water restrictions in the near term, and restrictions are only likely to be imposed on rare occasions over the medium term.</w:t>
      </w:r>
      <w:r w:rsidRPr="0007192C">
        <w:rPr>
          <w:rStyle w:val="FootnoteReference"/>
        </w:rPr>
        <w:footnoteReference w:id="50"/>
      </w:r>
    </w:p>
    <w:p w:rsidR="00FD5BFB" w:rsidRDefault="00FD5BFB" w:rsidP="00FD5BFB">
      <w:r>
        <w:t>The water demand and supply context is particularly relevant to tariff structure debates</w:t>
      </w:r>
      <w:r w:rsidR="004C73BE">
        <w:t>,</w:t>
      </w:r>
      <w:r>
        <w:t xml:space="preserve"> such as using water prices as a demand</w:t>
      </w:r>
      <w:r w:rsidR="004C73BE">
        <w:t>-</w:t>
      </w:r>
      <w:r>
        <w:t>side alternative to temporary water restrictions in time of drought, or having an inclining block tariff to reduce water use more generally. In addition, understanding the determinants of the reductions in per capita demand, and the light they may shed on whether the current low levels are likely to continue into the future, is important in designing a tariff structure that will not require frequent changes.</w:t>
      </w:r>
    </w:p>
    <w:p w:rsidR="00BE237A" w:rsidRDefault="00BE237A" w:rsidP="008A1C91">
      <w:pPr>
        <w:pStyle w:val="References"/>
      </w:pPr>
    </w:p>
    <w:p w:rsidR="00BE237A" w:rsidRPr="00B3506E" w:rsidRDefault="00BE237A" w:rsidP="008A1C91">
      <w:pPr>
        <w:pStyle w:val="References"/>
        <w:sectPr w:rsidR="00BE237A" w:rsidRPr="00B3506E" w:rsidSect="00E12A27">
          <w:headerReference w:type="even" r:id="rId40"/>
          <w:headerReference w:type="default" r:id="rId41"/>
          <w:endnotePr>
            <w:numFmt w:val="decimal"/>
          </w:endnotePr>
          <w:type w:val="continuous"/>
          <w:pgSz w:w="11907" w:h="16840" w:code="9"/>
          <w:pgMar w:top="2268" w:right="2098" w:bottom="1701" w:left="2098" w:header="578" w:footer="578" w:gutter="0"/>
          <w:cols w:space="720"/>
          <w:docGrid w:linePitch="299"/>
        </w:sectPr>
      </w:pPr>
    </w:p>
    <w:p w:rsidR="00BE237A" w:rsidRDefault="00974D9B" w:rsidP="007E230D">
      <w:pPr>
        <w:pStyle w:val="Heading1"/>
        <w:sectPr w:rsidR="00BE237A" w:rsidSect="00FD0141">
          <w:headerReference w:type="even" r:id="rId42"/>
          <w:headerReference w:type="default" r:id="rId43"/>
          <w:endnotePr>
            <w:numFmt w:val="decimal"/>
          </w:endnotePr>
          <w:type w:val="oddPage"/>
          <w:pgSz w:w="11907" w:h="16840" w:code="9"/>
          <w:pgMar w:top="2268" w:right="2098" w:bottom="1701" w:left="2098" w:header="578" w:footer="578" w:gutter="0"/>
          <w:cols w:space="720"/>
          <w:noEndnote/>
          <w:docGrid w:linePitch="299"/>
        </w:sectPr>
      </w:pPr>
      <w:bookmarkStart w:id="112" w:name="References"/>
      <w:bookmarkStart w:id="113" w:name="Chap3"/>
      <w:bookmarkStart w:id="114" w:name="_Ref429472647"/>
      <w:bookmarkStart w:id="115" w:name="_Toc435700160"/>
      <w:bookmarkStart w:id="116" w:name="_Ref348829085"/>
      <w:bookmarkStart w:id="117" w:name="_Toc348813413"/>
      <w:bookmarkEnd w:id="112"/>
      <w:bookmarkEnd w:id="113"/>
      <w:r>
        <w:lastRenderedPageBreak/>
        <w:t xml:space="preserve">Proposed </w:t>
      </w:r>
      <w:r w:rsidR="000B1BA9">
        <w:t xml:space="preserve">economic regulation </w:t>
      </w:r>
      <w:r>
        <w:t>objective and p</w:t>
      </w:r>
      <w:r w:rsidR="00AD177A">
        <w:t xml:space="preserve">ricing </w:t>
      </w:r>
      <w:r w:rsidR="00BE237A">
        <w:t>principles</w:t>
      </w:r>
      <w:bookmarkEnd w:id="114"/>
      <w:bookmarkEnd w:id="115"/>
    </w:p>
    <w:p w:rsidR="00FD5BFB" w:rsidRDefault="00FD5BFB" w:rsidP="00FD5BFB">
      <w:pPr>
        <w:pStyle w:val="Heading2"/>
      </w:pPr>
      <w:bookmarkStart w:id="118" w:name="_Toc378334141"/>
      <w:bookmarkStart w:id="119" w:name="_Toc389642389"/>
      <w:bookmarkStart w:id="120" w:name="_Toc435700161"/>
      <w:bookmarkEnd w:id="116"/>
      <w:bookmarkEnd w:id="117"/>
      <w:r>
        <w:lastRenderedPageBreak/>
        <w:t>Introduction</w:t>
      </w:r>
      <w:bookmarkEnd w:id="118"/>
      <w:bookmarkEnd w:id="119"/>
      <w:bookmarkEnd w:id="120"/>
    </w:p>
    <w:p w:rsidR="00FD5BFB" w:rsidRDefault="00FD5BFB" w:rsidP="00FD5BFB">
      <w:r>
        <w:t>It is common practice, at the start of a tariff review process, for the regulator to present a frame of reference to guide its evaluation of the existing tariff structure and potential alternatives. The frame of reference has the added bene</w:t>
      </w:r>
      <w:r w:rsidR="00A41783">
        <w:t>fit of clarifying the regulator’</w:t>
      </w:r>
      <w:r>
        <w:t>s decision-making approach for stakeholders and so enabling more productive engagement.</w:t>
      </w:r>
    </w:p>
    <w:p w:rsidR="00FD5BFB" w:rsidRDefault="00FD5BFB" w:rsidP="00FD5BFB">
      <w:r>
        <w:t xml:space="preserve">Such a framework generally starts by describing the overarching objective or goal of economic regulation of the regulated utility, followed by a set of </w:t>
      </w:r>
      <w:r w:rsidRPr="00425A41">
        <w:t xml:space="preserve">tariff design </w:t>
      </w:r>
      <w:r>
        <w:t>or pricing principles, the application of which will help achieve that objective. In other words, given an objective, the principles postulate the general characteristics that any tariff structure should exhibit if it is</w:t>
      </w:r>
      <w:r w:rsidR="00A41783">
        <w:t xml:space="preserve"> to achieve the objective.</w:t>
      </w:r>
    </w:p>
    <w:p w:rsidR="00FD5BFB" w:rsidRDefault="00FD5BFB" w:rsidP="00FD5BFB">
      <w:r>
        <w:t xml:space="preserve">In developing the proposed objective and pricing principles, the Commission has taken into account the legislative requirements set out in the ICRC Act and the </w:t>
      </w:r>
      <w:r w:rsidRPr="007E02E3">
        <w:t>relevant ACT Government policies and national commitments</w:t>
      </w:r>
      <w:r>
        <w:t>. The Commission has also been informed by the approaches adopted by other jurisdictional regulators in reviewing tariffs.</w:t>
      </w:r>
    </w:p>
    <w:p w:rsidR="00FD5BFB" w:rsidRDefault="00FD5BFB" w:rsidP="00FD5BFB">
      <w:r w:rsidRPr="00EA19BC">
        <w:t xml:space="preserve">As discussed in </w:t>
      </w:r>
      <w:r w:rsidR="00A41783">
        <w:t xml:space="preserve">section </w:t>
      </w:r>
      <w:fldSimple w:instr=" REF _Ref430588840 \r \h  \* MERGEFORMAT ">
        <w:r w:rsidR="00E43227">
          <w:t>2.3</w:t>
        </w:r>
      </w:fldSimple>
      <w:r w:rsidR="00252368">
        <w:t xml:space="preserve"> of</w:t>
      </w:r>
      <w:r w:rsidR="00A11778">
        <w:t xml:space="preserve"> </w:t>
      </w:r>
      <w:r w:rsidR="00252368">
        <w:t>this paper</w:t>
      </w:r>
      <w:r>
        <w:t xml:space="preserve">, the Commission is generally guided by the objectives set out in section 7 of the ICRC Act, and, more specifically, when making a price or varying a price direction, must have regard to the requirements set out in section 20(2). </w:t>
      </w:r>
      <w:r w:rsidRPr="00B00113">
        <w:t>Mr Peter Grant</w:t>
      </w:r>
      <w:r>
        <w:t>,</w:t>
      </w:r>
      <w:r w:rsidRPr="00B00113">
        <w:t xml:space="preserve"> in his </w:t>
      </w:r>
      <w:r>
        <w:t xml:space="preserve">recent </w:t>
      </w:r>
      <w:r w:rsidRPr="00B00113">
        <w:t>review of the regulatory framework for the pricing of water and sewerage services in the ACT</w:t>
      </w:r>
      <w:r>
        <w:t>, noted two key concerns regarding the matters the Commission is required to take into account.</w:t>
      </w:r>
    </w:p>
    <w:p w:rsidR="00FD5BFB" w:rsidRDefault="00FD5BFB" w:rsidP="00FD5BFB">
      <w:r>
        <w:t xml:space="preserve">The first is that the ICRC Act does not articulate any overarching or primary objective. The second is that the various objectives in section 7 and the </w:t>
      </w:r>
      <w:r w:rsidRPr="00B00113">
        <w:t xml:space="preserve">requirements </w:t>
      </w:r>
      <w:r>
        <w:t xml:space="preserve">of section 20(2) of the ICRC Act </w:t>
      </w:r>
      <w:r w:rsidRPr="00B00113">
        <w:t>are potentially conflicting</w:t>
      </w:r>
      <w:r>
        <w:t>,</w:t>
      </w:r>
      <w:r w:rsidRPr="00B00113">
        <w:t xml:space="preserve"> requiring trade-off</w:t>
      </w:r>
      <w:r>
        <w:t>s</w:t>
      </w:r>
      <w:r w:rsidRPr="00B00113">
        <w:t xml:space="preserve"> to be made between them.</w:t>
      </w:r>
      <w:r w:rsidRPr="00B00113">
        <w:rPr>
          <w:rStyle w:val="FootnoteReference"/>
        </w:rPr>
        <w:footnoteReference w:id="51"/>
      </w:r>
    </w:p>
    <w:p w:rsidR="00FD5BFB" w:rsidRDefault="00FD5BFB" w:rsidP="00FD5BFB">
      <w:r>
        <w:t>In response to the Grant review’s first concern, the Commission is proposing to adopt, for the purposes of this tariff review, an overarching objective for economic regulation. This objective will assist the Commission in dealing with the second concern by providing guidance as to the relevance of the various legislative requirements to the development of a set of pri</w:t>
      </w:r>
      <w:r w:rsidR="00CE3F60">
        <w:t>cing principles for the review.</w:t>
      </w:r>
    </w:p>
    <w:p w:rsidR="00FD5BFB" w:rsidRDefault="00FD5BFB" w:rsidP="00FD5BFB">
      <w:r>
        <w:lastRenderedPageBreak/>
        <w:t>Given the importance of the frame of reference in guiding the Commission’s assessment of the current and alternative tariff structures, the Commission welcomes early comment from stakeholders on the proposed overarching objective and pricing principles set out in the remainder of this chapter.</w:t>
      </w:r>
    </w:p>
    <w:p w:rsidR="00FD5BFB" w:rsidRPr="00256588" w:rsidRDefault="00FD5BFB" w:rsidP="00FD5BFB">
      <w:pPr>
        <w:pStyle w:val="Heading2"/>
      </w:pPr>
      <w:bookmarkStart w:id="121" w:name="Three_objective"/>
      <w:bookmarkStart w:id="122" w:name="_Toc435700162"/>
      <w:bookmarkEnd w:id="121"/>
      <w:r w:rsidRPr="00256588">
        <w:t xml:space="preserve">Proposed </w:t>
      </w:r>
      <w:r>
        <w:t xml:space="preserve">economic regulation </w:t>
      </w:r>
      <w:r w:rsidRPr="00256588">
        <w:t>objective</w:t>
      </w:r>
      <w:bookmarkEnd w:id="122"/>
    </w:p>
    <w:p w:rsidR="00FD5BFB" w:rsidRDefault="00FD5BFB" w:rsidP="00FD5BFB">
      <w:r>
        <w:t>As noted above, the Commission does not have one overarching objective that guides its approach to economic regulation. Instead, the Commission is required to have regard to a range of objectives</w:t>
      </w:r>
      <w:r w:rsidR="00A41783">
        <w:t>,</w:t>
      </w:r>
      <w:r>
        <w:t xml:space="preserve"> including economic efficiency, social and environmental objectives, and financial viability of the regulated utility. Similarly, the overarching objective of the N</w:t>
      </w:r>
      <w:r w:rsidR="00B453EF">
        <w:t xml:space="preserve">ational </w:t>
      </w:r>
      <w:r>
        <w:t>W</w:t>
      </w:r>
      <w:r w:rsidR="00B453EF">
        <w:t xml:space="preserve">ater </w:t>
      </w:r>
      <w:r>
        <w:t>I</w:t>
      </w:r>
      <w:r w:rsidR="00B453EF">
        <w:t>nitiative</w:t>
      </w:r>
      <w:r>
        <w:t>, set out in paragraph 23, focuses on optimising economic, social and environmental outcomes.</w:t>
      </w:r>
      <w:r>
        <w:rPr>
          <w:rStyle w:val="FootnoteReference"/>
        </w:rPr>
        <w:footnoteReference w:id="52"/>
      </w:r>
    </w:p>
    <w:p w:rsidR="00FD5BFB" w:rsidRDefault="00FD5BFB" w:rsidP="00FD5BFB">
      <w:r>
        <w:t>The Grant review concluded by recommending that:</w:t>
      </w:r>
    </w:p>
    <w:p w:rsidR="00FD5BFB" w:rsidRDefault="00FD5BFB" w:rsidP="00FD5BFB">
      <w:pPr>
        <w:pStyle w:val="Quote"/>
      </w:pPr>
      <w:r>
        <w:t>There is a strong case to insert an overarching objects clause into the ICRC Act which makes it clear that the primary objective of the regulatory framework is to promote the goal of economic efficiency, while safeguarding the financial viability of the regulated entity. This would provide useful guidance to the ICRC in balancing the multiple considerations listed in section 20(2) of the ICRC Act, and making the necessary trade-offs.</w:t>
      </w:r>
      <w:r>
        <w:rPr>
          <w:rStyle w:val="FootnoteReference"/>
        </w:rPr>
        <w:footnoteReference w:id="53"/>
      </w:r>
    </w:p>
    <w:p w:rsidR="00FD5BFB" w:rsidRDefault="00FD5BFB" w:rsidP="00FD5BFB">
      <w:r>
        <w:t>The Grant review cited the National Electricity Objective, set out in the National Electricity Law, and shown in Box 3.1, as an example of an overarching efficiency objective for the economic regulation of electricity services.</w:t>
      </w:r>
    </w:p>
    <w:p w:rsidR="00FD5BFB" w:rsidRPr="0070548C" w:rsidRDefault="00FD5BFB" w:rsidP="00FD5BFB">
      <w:pPr>
        <w:pStyle w:val="FigureName"/>
        <w:keepNext/>
      </w:pPr>
      <w:bookmarkStart w:id="123" w:name="_Toc435700211"/>
      <w:r w:rsidRPr="00C5491B">
        <w:t xml:space="preserve">Box </w:t>
      </w:r>
      <w:r w:rsidR="00A7215E">
        <w:fldChar w:fldCharType="begin"/>
      </w:r>
      <w:r>
        <w:instrText xml:space="preserve"> STYLEREF 1 \s </w:instrText>
      </w:r>
      <w:r w:rsidR="00A7215E">
        <w:fldChar w:fldCharType="separate"/>
      </w:r>
      <w:r w:rsidR="00E43227">
        <w:rPr>
          <w:noProof/>
        </w:rPr>
        <w:t>3</w:t>
      </w:r>
      <w:r w:rsidR="00A7215E">
        <w:fldChar w:fldCharType="end"/>
      </w:r>
      <w:r w:rsidRPr="0070548C">
        <w:t>.</w:t>
      </w:r>
      <w:r w:rsidR="00A7215E">
        <w:fldChar w:fldCharType="begin"/>
      </w:r>
      <w:r>
        <w:instrText xml:space="preserve"> SEQ Box \* ARABIC \s 1 </w:instrText>
      </w:r>
      <w:r w:rsidR="00A7215E">
        <w:fldChar w:fldCharType="separate"/>
      </w:r>
      <w:r w:rsidR="00E43227">
        <w:rPr>
          <w:noProof/>
        </w:rPr>
        <w:t>1</w:t>
      </w:r>
      <w:r w:rsidR="00A7215E">
        <w:fldChar w:fldCharType="end"/>
      </w:r>
      <w:r w:rsidRPr="0070548C">
        <w:tab/>
      </w:r>
      <w:r>
        <w:t>National Electricity Objective</w:t>
      </w:r>
      <w:bookmarkEnd w:id="123"/>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shd w:val="clear" w:color="auto" w:fill="DBE5F1"/>
        <w:tblLook w:val="04A0"/>
      </w:tblPr>
      <w:tblGrid>
        <w:gridCol w:w="7927"/>
      </w:tblGrid>
      <w:tr w:rsidR="00FD5BFB" w:rsidTr="00BC5669">
        <w:trPr>
          <w:cantSplit/>
          <w:trHeight w:val="2069"/>
        </w:trPr>
        <w:tc>
          <w:tcPr>
            <w:tcW w:w="7927" w:type="dxa"/>
            <w:shd w:val="clear" w:color="auto" w:fill="DBE5F1"/>
          </w:tcPr>
          <w:p w:rsidR="00FD5BFB" w:rsidRDefault="00FD5BFB" w:rsidP="00BC5669">
            <w:pPr>
              <w:pStyle w:val="Quote"/>
            </w:pPr>
            <w:r w:rsidRPr="00C11507">
              <w:t>The objective of this Law is to</w:t>
            </w:r>
            <w:r>
              <w:t xml:space="preserve"> promote efficient investment in, and efficient operation and use of, electricity services for the long term interests of consumers of electricity with respect to</w:t>
            </w:r>
            <w:r>
              <w:sym w:font="Symbol" w:char="F02D"/>
            </w:r>
          </w:p>
          <w:p w:rsidR="00FD5BFB" w:rsidRDefault="00FD5BFB" w:rsidP="00BC5669">
            <w:pPr>
              <w:pStyle w:val="Quote"/>
            </w:pPr>
            <w:r>
              <w:t xml:space="preserve">    (a) price, quality, safety, reliability and security of supply of electricity; and</w:t>
            </w:r>
          </w:p>
          <w:p w:rsidR="00FD5BFB" w:rsidRPr="0070548C" w:rsidRDefault="00FD5BFB" w:rsidP="00BC5669">
            <w:pPr>
              <w:pStyle w:val="Quote"/>
            </w:pPr>
            <w:r>
              <w:t xml:space="preserve">    (b) the reliability, safety and security of the national electricity system.</w:t>
            </w:r>
          </w:p>
        </w:tc>
      </w:tr>
    </w:tbl>
    <w:p w:rsidR="00FD5BFB" w:rsidRPr="00B55183" w:rsidRDefault="00FD5BFB" w:rsidP="00FD5BFB">
      <w:pPr>
        <w:pStyle w:val="TableNotesLast"/>
      </w:pPr>
      <w:r w:rsidRPr="00B55183">
        <w:t>Source:</w:t>
      </w:r>
      <w:r w:rsidRPr="00B55183">
        <w:tab/>
        <w:t>SA Government, 1996: Schedule, National Elec</w:t>
      </w:r>
      <w:r w:rsidR="00DC1ED9">
        <w:t>tricity Law, part 1, section 7.</w:t>
      </w:r>
    </w:p>
    <w:p w:rsidR="00FD5BFB" w:rsidRDefault="00FD5BFB" w:rsidP="00FD5BFB">
      <w:r>
        <w:t>In its response to the Grant review, the ACT Government agreed with the recommendation to adopt an overarching economic efficiency objective, stating:</w:t>
      </w:r>
    </w:p>
    <w:p w:rsidR="00FD5BFB" w:rsidRDefault="00FD5BFB" w:rsidP="00FD5BFB">
      <w:pPr>
        <w:pStyle w:val="Quote"/>
      </w:pPr>
      <w:r w:rsidRPr="00824A3C">
        <w:lastRenderedPageBreak/>
        <w:t>The Government will undertake further consideration of the exact form of the objectives clause, including whether it should be reflective of an existing objectives clause, for example the National Electricity Objective.</w:t>
      </w:r>
      <w:r>
        <w:rPr>
          <w:rStyle w:val="FootnoteReference"/>
        </w:rPr>
        <w:footnoteReference w:id="54"/>
      </w:r>
    </w:p>
    <w:p w:rsidR="00FD5BFB" w:rsidRDefault="00FD5BFB" w:rsidP="00FD5BFB">
      <w:r>
        <w:t>The Commission agrees that the introduction of an overarching economic efficiency objective would be helpful to guide the Commission’s decision-making processes. In assessing the benefits of adopting an objective similar to the N</w:t>
      </w:r>
      <w:r w:rsidR="00B453EF">
        <w:t xml:space="preserve">ational </w:t>
      </w:r>
      <w:r>
        <w:t>E</w:t>
      </w:r>
      <w:r w:rsidR="00B453EF">
        <w:t xml:space="preserve">lectricity </w:t>
      </w:r>
      <w:r>
        <w:t>O</w:t>
      </w:r>
      <w:r w:rsidR="00B453EF">
        <w:t>bjective</w:t>
      </w:r>
      <w:r>
        <w:t xml:space="preserve"> for the economic regulation of water and sewerage services in the ACT, the phrase ‘long-term interests of consumers’ requires further elucidation.</w:t>
      </w:r>
    </w:p>
    <w:p w:rsidR="00FD5BFB" w:rsidRDefault="00FD5BFB" w:rsidP="00FD5BFB">
      <w:r>
        <w:t>First, the term ‘interests’ is rather broad. The Commission’s preference is to consider the social welfare of the ACT community when undertaking its economic regulatory functions. More specifically, the objective of economic regulation of a utility should be the maximisation of soci</w:t>
      </w:r>
      <w:r w:rsidR="00DC1ED9">
        <w:t>al welfare for the community.</w:t>
      </w:r>
    </w:p>
    <w:p w:rsidR="00FD5BFB" w:rsidRDefault="00FD5BFB" w:rsidP="00FD5BFB">
      <w:r>
        <w:t xml:space="preserve">The economic question at the heart of this approach is what constitutes a socially optimal </w:t>
      </w:r>
      <w:r>
        <w:sym w:font="Symbol" w:char="F02D"/>
      </w:r>
      <w:r>
        <w:t xml:space="preserve"> or economically efficient </w:t>
      </w:r>
      <w:r>
        <w:sym w:font="Symbol" w:char="F02D"/>
      </w:r>
      <w:r>
        <w:t xml:space="preserve"> plan of production and allocation of water and sewerage services among consumers. The economic literature generally avoids evaluating changes that involve a loss in welfare for some groups in order to achieve a gain in welfare for others. Instead, economics has developed the concept of ‘Pareto optimality’</w:t>
      </w:r>
      <w:r w:rsidR="00A41783">
        <w:t>,</w:t>
      </w:r>
      <w:r>
        <w:t xml:space="preserve"> also known as ‘Pareto efficiency’.</w:t>
      </w:r>
      <w:r>
        <w:rPr>
          <w:rStyle w:val="FootnoteReference"/>
        </w:rPr>
        <w:footnoteReference w:id="55"/>
      </w:r>
      <w:r>
        <w:t xml:space="preserve"> An economic outcome is Pareto</w:t>
      </w:r>
      <w:r w:rsidR="00123174">
        <w:t>-</w:t>
      </w:r>
      <w:r>
        <w:t>efficient if it is impossible to make some individuals better off without making some other individuals worse off. When examining a single market using the tools of partial equilibrium analysis, embodied in the familiar supply and demand curves, the concept of Marshallian aggregate surplus provides a ready means of judging whether a change in market outcomes increases or decreases social welfare.</w:t>
      </w:r>
      <w:r>
        <w:rPr>
          <w:rStyle w:val="FootnoteReference"/>
        </w:rPr>
        <w:footnoteReference w:id="56"/>
      </w:r>
    </w:p>
    <w:p w:rsidR="00FD5BFB" w:rsidRDefault="00FD5BFB" w:rsidP="00FD5BFB">
      <w:r>
        <w:t xml:space="preserve">This social welfare approach, discussed in more detail later in this chapter and in Chapter </w:t>
      </w:r>
      <w:r w:rsidR="00A7215E">
        <w:fldChar w:fldCharType="begin"/>
      </w:r>
      <w:r>
        <w:instrText xml:space="preserve"> REF _Ref429472738 \r \h </w:instrText>
      </w:r>
      <w:r w:rsidR="00A7215E">
        <w:fldChar w:fldCharType="separate"/>
      </w:r>
      <w:r w:rsidR="00E43227">
        <w:t>4</w:t>
      </w:r>
      <w:r w:rsidR="00A7215E">
        <w:fldChar w:fldCharType="end"/>
      </w:r>
      <w:r>
        <w:t xml:space="preserve">, when applied in the case of a market failure such as a natural monopoly, is consistent with </w:t>
      </w:r>
      <w:r>
        <w:rPr>
          <w:noProof/>
        </w:rPr>
        <w:t>Train (1991)</w:t>
      </w:r>
      <w:r w:rsidR="00A41783">
        <w:rPr>
          <w:noProof/>
        </w:rPr>
        <w:t>,</w:t>
      </w:r>
      <w:r>
        <w:t xml:space="preserve"> who </w:t>
      </w:r>
      <w:r w:rsidR="00A41783">
        <w:t>argues that</w:t>
      </w:r>
      <w:r>
        <w:t>:</w:t>
      </w:r>
    </w:p>
    <w:p w:rsidR="00FD5BFB" w:rsidRDefault="00A41783" w:rsidP="00FD5BFB">
      <w:pPr>
        <w:pStyle w:val="Quote"/>
      </w:pPr>
      <w:r>
        <w:t>[t]</w:t>
      </w:r>
      <w:r w:rsidR="00FD5BFB">
        <w:t>he purpose of regulation is to ensure socially desirable outcomes when competition cannot be relied on to achieve them.</w:t>
      </w:r>
      <w:r w:rsidR="00FD5BFB">
        <w:rPr>
          <w:rStyle w:val="FootnoteReference"/>
        </w:rPr>
        <w:footnoteReference w:id="57"/>
      </w:r>
    </w:p>
    <w:p w:rsidR="00FD5BFB" w:rsidRDefault="00FD5BFB" w:rsidP="00FD5BFB">
      <w:r>
        <w:t>Second, the phrase ‘long-term’ requires</w:t>
      </w:r>
      <w:r w:rsidRPr="00256588">
        <w:t xml:space="preserve"> </w:t>
      </w:r>
      <w:r>
        <w:t>further elucidation. In its 2014 report on</w:t>
      </w:r>
      <w:r w:rsidRPr="0019667B">
        <w:t xml:space="preserve"> </w:t>
      </w:r>
      <w:r>
        <w:t>best practice retail electricity pricing, the Australian Energy Market Commission articulated an objective for retail price regulation, based on the N</w:t>
      </w:r>
      <w:r w:rsidR="00B453EF">
        <w:t xml:space="preserve">ational </w:t>
      </w:r>
      <w:r>
        <w:t>E</w:t>
      </w:r>
      <w:r w:rsidR="00B453EF">
        <w:t xml:space="preserve">lectricity </w:t>
      </w:r>
      <w:r>
        <w:t>O</w:t>
      </w:r>
      <w:r w:rsidR="00B453EF">
        <w:t>bjective</w:t>
      </w:r>
      <w:r>
        <w:t>, that required ‘promoting the long-term interests of customers</w:t>
      </w:r>
      <w:r w:rsidR="00A41783">
        <w:t>’</w:t>
      </w:r>
      <w:r>
        <w:t>.</w:t>
      </w:r>
      <w:r>
        <w:rPr>
          <w:rStyle w:val="FootnoteReference"/>
        </w:rPr>
        <w:footnoteReference w:id="58"/>
      </w:r>
      <w:r>
        <w:t xml:space="preserve"> In its draft report for the </w:t>
      </w:r>
      <w:r>
        <w:lastRenderedPageBreak/>
        <w:t xml:space="preserve">2014 retail electricity price investigation, the Commission commented on this objective and in particular the fact that </w:t>
      </w:r>
      <w:r w:rsidRPr="00665900">
        <w:t>‘</w:t>
      </w:r>
      <w:r>
        <w:t>l</w:t>
      </w:r>
      <w:r w:rsidRPr="00665900">
        <w:t>ong term’</w:t>
      </w:r>
      <w:r>
        <w:t xml:space="preserve"> </w:t>
      </w:r>
      <w:r w:rsidRPr="00665900">
        <w:t>could be interpreted in a range of ways.</w:t>
      </w:r>
    </w:p>
    <w:p w:rsidR="00FD5BFB" w:rsidRDefault="00FD5BFB" w:rsidP="00FD5BFB">
      <w:r w:rsidRPr="00665900">
        <w:t>When economists speak of the long term, they usually have in mind some point in the, possibly far, future. To adopt this interpretation would lead to considering only the welfare of some distant descendants of the present community of the ACT.</w:t>
      </w:r>
      <w:r>
        <w:t xml:space="preserve"> The Commission takes the view that</w:t>
      </w:r>
      <w:r w:rsidRPr="00665900">
        <w:t xml:space="preserve"> common sense and the statutory framework within which it operates weigh against adopting such an interpretation. The Commission</w:t>
      </w:r>
      <w:r>
        <w:t xml:space="preserve">’s preference is to </w:t>
      </w:r>
      <w:r w:rsidRPr="00665900">
        <w:t xml:space="preserve">adopt an interpretation that recognises that a </w:t>
      </w:r>
      <w:r>
        <w:t xml:space="preserve">particular </w:t>
      </w:r>
      <w:r w:rsidRPr="00665900">
        <w:t xml:space="preserve">measure </w:t>
      </w:r>
      <w:r>
        <w:t xml:space="preserve">or decision </w:t>
      </w:r>
      <w:r w:rsidRPr="00665900">
        <w:t>might reduce welfare in the immediate future but confer benefits at some later point. In recognising this possibility, the Commission w</w:t>
      </w:r>
      <w:r>
        <w:t>ould</w:t>
      </w:r>
      <w:r w:rsidRPr="00665900">
        <w:t xml:space="preserve">, however, expect that the benefits of the measure should outweigh its costs, where more distant costs and benefits </w:t>
      </w:r>
      <w:r>
        <w:t>may be</w:t>
      </w:r>
      <w:r w:rsidRPr="00665900">
        <w:t xml:space="preserve"> given less weight in the assessment than those accruing earlier.</w:t>
      </w:r>
    </w:p>
    <w:p w:rsidR="00FD5BFB" w:rsidRDefault="00FD5BFB" w:rsidP="00FD5BFB">
      <w:r>
        <w:t xml:space="preserve">The Commission’s proposed economic regulation objective for the purposes of the </w:t>
      </w:r>
      <w:r w:rsidR="00CE3F60">
        <w:t>tariff review is set out below.</w:t>
      </w:r>
    </w:p>
    <w:p w:rsidR="00FD5BFB" w:rsidRDefault="00FD5BFB" w:rsidP="00FD5BFB">
      <w:pPr>
        <w:rPr>
          <w:rStyle w:val="Italic"/>
        </w:rPr>
      </w:pPr>
      <w:r>
        <w:rPr>
          <w:rStyle w:val="Italic"/>
          <w:b/>
        </w:rPr>
        <w:t>Economic regulation o</w:t>
      </w:r>
      <w:r w:rsidRPr="00256588">
        <w:rPr>
          <w:rStyle w:val="Italic"/>
          <w:b/>
        </w:rPr>
        <w:t>bjective</w:t>
      </w:r>
      <w:r>
        <w:rPr>
          <w:rStyle w:val="Italic"/>
        </w:rPr>
        <w:t xml:space="preserve">: </w:t>
      </w:r>
      <w:r w:rsidRPr="00E8680C">
        <w:rPr>
          <w:rStyle w:val="Italic"/>
        </w:rPr>
        <w:t>T</w:t>
      </w:r>
      <w:r>
        <w:rPr>
          <w:rStyle w:val="Italic"/>
        </w:rPr>
        <w:t>o promote the efficient investment in, and efficient operation and use of, Icon Water’s regulated water and sewerage services to maximise the social welfare of the community over the</w:t>
      </w:r>
      <w:r w:rsidRPr="00D0479D">
        <w:rPr>
          <w:rStyle w:val="Italic"/>
        </w:rPr>
        <w:t xml:space="preserve"> </w:t>
      </w:r>
      <w:r>
        <w:rPr>
          <w:rStyle w:val="Italic"/>
        </w:rPr>
        <w:t>long</w:t>
      </w:r>
      <w:r w:rsidR="002063F6">
        <w:rPr>
          <w:rStyle w:val="Italic"/>
        </w:rPr>
        <w:t xml:space="preserve"> </w:t>
      </w:r>
      <w:r>
        <w:rPr>
          <w:rStyle w:val="Italic"/>
        </w:rPr>
        <w:t>term.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hemeFill="accent6" w:themeFillTint="99"/>
        <w:tblLook w:val="00A0"/>
      </w:tblPr>
      <w:tblGrid>
        <w:gridCol w:w="7927"/>
      </w:tblGrid>
      <w:tr w:rsidR="003861D8" w:rsidTr="003861D8">
        <w:tc>
          <w:tcPr>
            <w:tcW w:w="7927" w:type="dxa"/>
            <w:shd w:val="clear" w:color="auto" w:fill="FABF8F" w:themeFill="accent6" w:themeFillTint="99"/>
          </w:tcPr>
          <w:p w:rsidR="003861D8" w:rsidRPr="00C51D5B" w:rsidRDefault="003861D8" w:rsidP="003766AB">
            <w:pPr>
              <w:keepNext/>
            </w:pPr>
            <w:r w:rsidRPr="00C51D5B">
              <w:rPr>
                <w:rStyle w:val="Bold"/>
              </w:rPr>
              <w:t>Q1:</w:t>
            </w:r>
            <w:r w:rsidRPr="00C51D5B">
              <w:t xml:space="preserve"> Do</w:t>
            </w:r>
            <w:r>
              <w:t xml:space="preserve"> you think that the </w:t>
            </w:r>
            <w:r w:rsidR="003766AB">
              <w:t xml:space="preserve">proposed </w:t>
            </w:r>
            <w:r>
              <w:t xml:space="preserve">overarching objective will provide an effective </w:t>
            </w:r>
            <w:r w:rsidR="003766AB">
              <w:t xml:space="preserve">foundation </w:t>
            </w:r>
            <w:r>
              <w:t xml:space="preserve">for assessing current and alternative tariff structures? </w:t>
            </w:r>
            <w:r w:rsidRPr="00C51D5B">
              <w:t xml:space="preserve">If </w:t>
            </w:r>
            <w:r>
              <w:t>not</w:t>
            </w:r>
            <w:r w:rsidRPr="00C51D5B">
              <w:t>, why?</w:t>
            </w:r>
          </w:p>
        </w:tc>
      </w:tr>
    </w:tbl>
    <w:p w:rsidR="00FD5BFB" w:rsidRDefault="00FD5BFB" w:rsidP="00FD5BFB">
      <w:pPr>
        <w:pStyle w:val="Heading2"/>
      </w:pPr>
      <w:bookmarkStart w:id="124" w:name="_Toc434327201"/>
      <w:bookmarkStart w:id="125" w:name="_Toc434390708"/>
      <w:bookmarkStart w:id="126" w:name="_Toc434396149"/>
      <w:bookmarkStart w:id="127" w:name="_Toc434485316"/>
      <w:bookmarkStart w:id="128" w:name="_Proposed_principles"/>
      <w:bookmarkStart w:id="129" w:name="_Toc435700163"/>
      <w:bookmarkEnd w:id="124"/>
      <w:bookmarkEnd w:id="125"/>
      <w:bookmarkEnd w:id="126"/>
      <w:bookmarkEnd w:id="127"/>
      <w:bookmarkEnd w:id="128"/>
      <w:r w:rsidRPr="00CA61B3">
        <w:t xml:space="preserve">Proposed </w:t>
      </w:r>
      <w:r>
        <w:t xml:space="preserve">pricing </w:t>
      </w:r>
      <w:r w:rsidRPr="00CA61B3">
        <w:t>principles</w:t>
      </w:r>
      <w:bookmarkEnd w:id="129"/>
    </w:p>
    <w:p w:rsidR="00FD5BFB" w:rsidRDefault="00FD5BFB" w:rsidP="00FD5BFB">
      <w:r>
        <w:t>This section sets out the proposed pricing principles, the application of which is intended to assist in maximising the long-term social welfare of the community.</w:t>
      </w:r>
    </w:p>
    <w:p w:rsidR="00FD5BFB" w:rsidRDefault="00FD5BFB" w:rsidP="00FD5BFB">
      <w:r>
        <w:t>As noted above, the ICRC Act requires the Commission to have regard to a range of objectives</w:t>
      </w:r>
      <w:r w:rsidR="00680262">
        <w:t>,</w:t>
      </w:r>
      <w:r>
        <w:t xml:space="preserve"> including economic efficiency, social and environmental objectives, and financial viability of the regulated utility. The advent of the overarching objective of maximising social welfare, discussed above, would allow the Commission to give primacy to the role of tariffs in promoting economic efficiency and, therefore, maximising social welfare in developing a set of pricing principles.</w:t>
      </w:r>
      <w:r>
        <w:rPr>
          <w:rStyle w:val="FootnoteReference"/>
        </w:rPr>
        <w:footnoteReference w:id="59"/>
      </w:r>
      <w:r>
        <w:t xml:space="preserve"> This is not to say that the Commission should entirely jettison its other legislative requirements in considering tariffs.</w:t>
      </w:r>
    </w:p>
    <w:p w:rsidR="00FD5BFB" w:rsidRDefault="00FD5BFB" w:rsidP="00FD5BFB">
      <w:r>
        <w:t xml:space="preserve">The financial viability requirements cannot be avoided and can be considered as a constraint in the exercise of maximising social welfare. That is, we are dealing with a </w:t>
      </w:r>
      <w:r>
        <w:lastRenderedPageBreak/>
        <w:t>constrained maximisation problem, with social welfare maximised subject to a revenue constraint.</w:t>
      </w:r>
      <w:r>
        <w:rPr>
          <w:rStyle w:val="FootnoteReference"/>
        </w:rPr>
        <w:footnoteReference w:id="60"/>
      </w:r>
    </w:p>
    <w:p w:rsidR="00FD5BFB" w:rsidRDefault="00FD5BFB" w:rsidP="00FD5BFB">
      <w:r>
        <w:t>As for the social or community impact requirements, the Commission’s view is that while income distribution questions are more efficiently dealt with by the general government tax and transfer system, these matters cannot be completely overlooked when considering alternative tariff designs.</w:t>
      </w:r>
    </w:p>
    <w:p w:rsidR="00FD5BFB" w:rsidRDefault="00FD5BFB" w:rsidP="00FD5BFB">
      <w:r>
        <w:t>The Commission has categorised its set of proposed principles into three streams: economic efficiency, financial viability and community impacts</w:t>
      </w:r>
      <w:r w:rsidR="00DC1ED9">
        <w:t>. These are discussed in turn.</w:t>
      </w:r>
    </w:p>
    <w:p w:rsidR="00FD5BFB" w:rsidRDefault="00FD5BFB" w:rsidP="00101ADB">
      <w:pPr>
        <w:pStyle w:val="Heading3"/>
      </w:pPr>
      <w:bookmarkStart w:id="130" w:name="Princ_econ_efficiency"/>
      <w:bookmarkStart w:id="131" w:name="_Ref431910934"/>
      <w:bookmarkEnd w:id="130"/>
      <w:r>
        <w:t>Economic efficiency</w:t>
      </w:r>
      <w:bookmarkEnd w:id="131"/>
    </w:p>
    <w:p w:rsidR="00FD5BFB" w:rsidRDefault="00FD5BFB" w:rsidP="00FD5BFB">
      <w:r>
        <w:t>In addition to the proposed overarching social welfare objective, section 20(2) of the ICRC Act specifically requires the Commission to have regard to the need for greater efficiency in the provision of regulated services to reduce costs to consumers and taxpayers. Paragraph 64(i) of the N</w:t>
      </w:r>
      <w:r w:rsidR="00B453EF">
        <w:t xml:space="preserve">ational </w:t>
      </w:r>
      <w:r>
        <w:t>W</w:t>
      </w:r>
      <w:r w:rsidR="00B453EF">
        <w:t xml:space="preserve">ater </w:t>
      </w:r>
      <w:r>
        <w:t>I</w:t>
      </w:r>
      <w:r w:rsidR="00B453EF">
        <w:t>nitiative</w:t>
      </w:r>
      <w:r>
        <w:t xml:space="preserve"> further commits Australian jurisdictions to implement water pricing arrangements </w:t>
      </w:r>
      <w:r w:rsidR="002F67D4">
        <w:t>that</w:t>
      </w:r>
      <w:r>
        <w:t xml:space="preserve"> </w:t>
      </w:r>
      <w:r w:rsidRPr="00251BF1">
        <w:t xml:space="preserve">promote </w:t>
      </w:r>
      <w:r>
        <w:t xml:space="preserve">the </w:t>
      </w:r>
      <w:r w:rsidRPr="00251BF1">
        <w:t>economically efficient and sustainable use of water resources</w:t>
      </w:r>
      <w:r>
        <w:t xml:space="preserve"> and </w:t>
      </w:r>
      <w:r w:rsidRPr="00251BF1">
        <w:t>water infrastructure assets</w:t>
      </w:r>
      <w:r>
        <w:t>. This suggests an efficiency focus on the water itself</w:t>
      </w:r>
      <w:r w:rsidR="002F67D4">
        <w:t>,</w:t>
      </w:r>
      <w:r>
        <w:t xml:space="preserve"> as well as the storage, treatment and delivery infrastructure necessary to provide the water to customers.</w:t>
      </w:r>
    </w:p>
    <w:p w:rsidR="00FD5BFB" w:rsidRDefault="00FD5BFB" w:rsidP="00FD5BFB">
      <w:r>
        <w:t>Pareto optimality addresses the ‘fundamental issue of economics: the organisation of production and the allocation of resulting commodities among consumers’.</w:t>
      </w:r>
      <w:r>
        <w:rPr>
          <w:rStyle w:val="FootnoteReference"/>
        </w:rPr>
        <w:footnoteReference w:id="61"/>
      </w:r>
      <w:r>
        <w:t xml:space="preserve"> The ‘organisation of production’ part deals with what is commonly termed productive or technical efficiency and is concerned with the allocation of factors of production to ensure goods and services are produced at the lowest possible resource cost. The ‘allocation of resulting commodities among consumers’ part deals with what is often called ‘allocative efficiency’ and is concerned with the efficient allocation of resources and commodities between competing uses. A Pareto optimal outcome is one where the commodities, or services in this particular case, are produced at least cost and allocated efficiently between consumers.</w:t>
      </w:r>
    </w:p>
    <w:p w:rsidR="00FD5BFB" w:rsidRDefault="00FD5BFB" w:rsidP="00FD5BFB">
      <w:r>
        <w:t>The p</w:t>
      </w:r>
      <w:r w:rsidRPr="007E7C9C">
        <w:t>roductive efficiency</w:t>
      </w:r>
      <w:r>
        <w:t xml:space="preserve"> of the delivery of water and sewerage services is a key consideration in the Commission’s assessment of the prudence and efficiency of Icon Water’s operating and capital costs as part of a price investigation process leading up to a new regulatory period. In considering the design of water and sewerage services tariffs in this review, it is the allocative efficiency aspect of Pareto optimality which is </w:t>
      </w:r>
      <w:r>
        <w:lastRenderedPageBreak/>
        <w:t xml:space="preserve">of primary relevance </w:t>
      </w:r>
      <w:r>
        <w:sym w:font="Symbol" w:char="F02D"/>
      </w:r>
      <w:r>
        <w:t xml:space="preserve"> that is</w:t>
      </w:r>
      <w:r w:rsidR="004405FE">
        <w:t>,</w:t>
      </w:r>
      <w:r>
        <w:t xml:space="preserve"> the efficient allocation of water and sewerage services to Icon Water customers.</w:t>
      </w:r>
      <w:r>
        <w:rPr>
          <w:rStyle w:val="FootnoteReference"/>
        </w:rPr>
        <w:footnoteReference w:id="62"/>
      </w:r>
    </w:p>
    <w:p w:rsidR="00FD5BFB" w:rsidRPr="004E1FC9" w:rsidRDefault="00FD5BFB" w:rsidP="00FD5BFB">
      <w:pPr>
        <w:rPr>
          <w:rStyle w:val="Italic"/>
        </w:rPr>
      </w:pPr>
      <w:r w:rsidRPr="00256588">
        <w:rPr>
          <w:rStyle w:val="Italic"/>
          <w:b/>
        </w:rPr>
        <w:t>Pricing principle 1:</w:t>
      </w:r>
      <w:r w:rsidRPr="004405FE">
        <w:rPr>
          <w:rStyle w:val="Italic"/>
        </w:rPr>
        <w:t xml:space="preserve"> </w:t>
      </w:r>
      <w:r>
        <w:rPr>
          <w:rStyle w:val="Italic"/>
        </w:rPr>
        <w:t>Tariff structures and prices should promote the economically efficient use of Icon Water’s water and sewerage services infrastructure, and in the case of water should also encourage economically efficient use of the water resource.</w:t>
      </w:r>
    </w:p>
    <w:p w:rsidR="00FD5BFB" w:rsidRDefault="00FD5BFB" w:rsidP="00FD5BFB">
      <w:r>
        <w:t xml:space="preserve">An economically efficient (to the extent possible given the natural monopoly situation and a revenue constraint) tariff structure will assist in achieving the objective of maximising social welfare by providing price signals </w:t>
      </w:r>
      <w:r>
        <w:sym w:font="Symbol" w:char="F02D"/>
      </w:r>
      <w:r>
        <w:t xml:space="preserve"> often called cost-reflective pricing </w:t>
      </w:r>
      <w:r>
        <w:sym w:font="Symbol" w:char="F02D"/>
      </w:r>
      <w:r>
        <w:t xml:space="preserve"> to Icon Water customers about the efficient costs and therefore the efficient use of the service infrastructure and water resource.</w:t>
      </w:r>
      <w:r>
        <w:rPr>
          <w:rStyle w:val="FootnoteReference"/>
        </w:rPr>
        <w:footnoteReference w:id="63"/>
      </w:r>
    </w:p>
    <w:p w:rsidR="00FD5BFB" w:rsidRDefault="00FD5BFB" w:rsidP="00FD5BFB">
      <w:r>
        <w:t>Marginal cost pricing is an approach commonly advocated to give effect to this proposed principle when regulating monopoly utility prices. There are a number of theoretical and practical implications associated with marginal cost pricing, especially in a</w:t>
      </w:r>
      <w:r w:rsidR="004405FE">
        <w:t xml:space="preserve"> monopoly situation, including:</w:t>
      </w:r>
    </w:p>
    <w:p w:rsidR="00FD5BFB" w:rsidRDefault="00FD5BFB" w:rsidP="00FD5BFB">
      <w:pPr>
        <w:pStyle w:val="Bullet"/>
      </w:pPr>
      <w:r>
        <w:t>the need for pricing mechanisms such as the two-part tariff structure to recover total costs where average costs are decreasing and, therefore, marginal costs are less than avera</w:t>
      </w:r>
      <w:r w:rsidR="004405FE">
        <w:t>ge costs;</w:t>
      </w:r>
    </w:p>
    <w:p w:rsidR="00FD5BFB" w:rsidRDefault="00FD5BFB" w:rsidP="00FD5BFB">
      <w:pPr>
        <w:pStyle w:val="Bullet"/>
      </w:pPr>
      <w:r>
        <w:t>the question of whether consumers respond to marginal or average costs; and</w:t>
      </w:r>
    </w:p>
    <w:p w:rsidR="00FD5BFB" w:rsidRDefault="00FD5BFB" w:rsidP="00FD5BFB">
      <w:pPr>
        <w:pStyle w:val="BulletLast"/>
      </w:pPr>
      <w:r>
        <w:t>whether to use short-run or long-run marginal costs as a reference point for setting prices.</w:t>
      </w:r>
    </w:p>
    <w:p w:rsidR="00FD5BFB" w:rsidRDefault="00FD5BFB" w:rsidP="00FD5BFB">
      <w:r>
        <w:t xml:space="preserve">The theory and practice of marginal cost pricing in a regulated monopoly situation is discussed in more detail in section </w:t>
      </w:r>
      <w:fldSimple w:instr=" REF _Ref430855425 \r \h  \* MERGEFORMAT ">
        <w:r w:rsidR="00E43227">
          <w:t>4.5.1</w:t>
        </w:r>
      </w:fldSimple>
      <w:r>
        <w:t>. During the course of the tariff review, and in the planned technical paper on marginal cost pricing, the Commission will assess the benefits and practicality of applying the marginal cost</w:t>
      </w:r>
      <w:r w:rsidR="004405FE">
        <w:t xml:space="preserve"> pricing approach to Icon Water’</w:t>
      </w:r>
      <w:r>
        <w:t>s water and sewerage services tariffs to encourage efficient use of the water network.</w:t>
      </w:r>
    </w:p>
    <w:p w:rsidR="00FD5BFB" w:rsidRPr="003B5207" w:rsidRDefault="00FD5BFB" w:rsidP="00FD5BFB">
      <w:r>
        <w:t xml:space="preserve">There is also the separate question of whether the marginal cost or value of the water resource itself should be considered in addition to marginal infrastructure costs. The argument here is that this cost increases as water availability decreases to send a signal to consumers about the scarcity of the resource. The Commission will also further investigate the potential application of marginal cost pricing in promoting the efficient use of ACT water resources, such as through scarcity pricing approaches. This is discussed in more detail in section </w:t>
      </w:r>
      <w:fldSimple w:instr=" REF _Ref429733215 \r \h  \* MERGEFORMAT ">
        <w:r w:rsidR="00E43227">
          <w:t>4.5.2</w:t>
        </w:r>
      </w:fldSimple>
      <w:r>
        <w:t>.</w:t>
      </w:r>
    </w:p>
    <w:p w:rsidR="00FD5BFB" w:rsidRDefault="00FD5BFB" w:rsidP="00101ADB">
      <w:pPr>
        <w:pStyle w:val="Heading3"/>
      </w:pPr>
      <w:bookmarkStart w:id="132" w:name="Princ_financial_viability"/>
      <w:bookmarkStart w:id="133" w:name="_Ref432747016"/>
      <w:bookmarkEnd w:id="132"/>
      <w:r>
        <w:lastRenderedPageBreak/>
        <w:t>Financial viability</w:t>
      </w:r>
      <w:bookmarkEnd w:id="133"/>
    </w:p>
    <w:p w:rsidR="00FD5BFB" w:rsidRDefault="00FD5BFB" w:rsidP="00FD5BFB">
      <w:pPr>
        <w:pStyle w:val="Heading4"/>
      </w:pPr>
      <w:r>
        <w:t>Full cost recovery</w:t>
      </w:r>
    </w:p>
    <w:p w:rsidR="00FD5BFB" w:rsidRDefault="00FD5BFB" w:rsidP="00FD5BFB">
      <w:r>
        <w:t>Section 20(2) of the ICRC Act contains a number of items that require the Commission to have regard to the financial viability of the utility providing the regulated services. These include:</w:t>
      </w:r>
    </w:p>
    <w:p w:rsidR="00FD5BFB" w:rsidRDefault="00FD5BFB" w:rsidP="00FD5BFB">
      <w:pPr>
        <w:pStyle w:val="Bullet"/>
      </w:pPr>
      <w:r>
        <w:t xml:space="preserve">the </w:t>
      </w:r>
      <w:r w:rsidRPr="0007046B">
        <w:t>standards of quality, reliability and safety of the regulated services;</w:t>
      </w:r>
    </w:p>
    <w:p w:rsidR="00FD5BFB" w:rsidRDefault="00FD5BFB" w:rsidP="00FD5BFB">
      <w:pPr>
        <w:pStyle w:val="Bullet"/>
      </w:pPr>
      <w:r w:rsidRPr="000C060F">
        <w:t>an appropriate rate of return on any investment in the regulated industry;</w:t>
      </w:r>
    </w:p>
    <w:p w:rsidR="00FD5BFB" w:rsidRDefault="00FD5BFB" w:rsidP="00FD5BFB">
      <w:pPr>
        <w:pStyle w:val="Bullet"/>
      </w:pPr>
      <w:r w:rsidRPr="000C060F">
        <w:t>the cost of providing the regulated services;</w:t>
      </w:r>
      <w:r>
        <w:t xml:space="preserve"> and</w:t>
      </w:r>
    </w:p>
    <w:p w:rsidR="00FD5BFB" w:rsidRPr="000C060F" w:rsidRDefault="00FD5BFB" w:rsidP="00FD5BFB">
      <w:pPr>
        <w:pStyle w:val="BulletLast"/>
      </w:pPr>
      <w:r w:rsidRPr="000C060F">
        <w:t>the borrowing, capital and cash flow requirements of people providing regulated services and the need to renew or increase relevant assets in the regulated industry</w:t>
      </w:r>
      <w:r>
        <w:t>.</w:t>
      </w:r>
    </w:p>
    <w:p w:rsidR="00FD5BFB" w:rsidRDefault="00FD5BFB" w:rsidP="00FD5BFB">
      <w:r>
        <w:t>In a similar vein, p</w:t>
      </w:r>
      <w:r w:rsidRPr="00E442C4">
        <w:t>aragraph 65(iii) of the N</w:t>
      </w:r>
      <w:r w:rsidR="00B453EF">
        <w:t xml:space="preserve">ational </w:t>
      </w:r>
      <w:r w:rsidRPr="00E442C4">
        <w:t>W</w:t>
      </w:r>
      <w:r w:rsidR="00B453EF">
        <w:t xml:space="preserve">ater </w:t>
      </w:r>
      <w:r w:rsidRPr="00E442C4">
        <w:t>I</w:t>
      </w:r>
      <w:r w:rsidR="00B453EF">
        <w:t>nitiative</w:t>
      </w:r>
      <w:r w:rsidRPr="00E442C4">
        <w:t xml:space="preserve"> commits jurisdictions to full cost recovery for water services to ensure business viability.</w:t>
      </w:r>
      <w:r>
        <w:t xml:space="preserve"> This commitment is also reflected in the N</w:t>
      </w:r>
      <w:r w:rsidR="00B453EF">
        <w:t xml:space="preserve">ational </w:t>
      </w:r>
      <w:r>
        <w:t>W</w:t>
      </w:r>
      <w:r w:rsidR="00B453EF">
        <w:t xml:space="preserve">ater </w:t>
      </w:r>
      <w:r>
        <w:t>I</w:t>
      </w:r>
      <w:r w:rsidR="00B453EF">
        <w:t>nitiative</w:t>
      </w:r>
      <w:r>
        <w:t xml:space="preserve"> urban </w:t>
      </w:r>
      <w:r w:rsidR="003A2647">
        <w:t>water price-setting principles.</w:t>
      </w:r>
    </w:p>
    <w:p w:rsidR="00FD5BFB" w:rsidRDefault="00FD5BFB" w:rsidP="00FD5BFB">
      <w:r>
        <w:t>The Commission’s view is that the full recovery of allowed revenue through tariffs is a legislative requirement, in large part because the alternatives are not attractive.</w:t>
      </w:r>
    </w:p>
    <w:p w:rsidR="00FD5BFB" w:rsidRDefault="00FD5BFB" w:rsidP="00FD5BFB">
      <w:pPr>
        <w:rPr>
          <w:rStyle w:val="Italic"/>
        </w:rPr>
      </w:pPr>
      <w:r>
        <w:t>If a deliberate choice is made to allow Icon Water not to recover its costs through tariffs, there are two possible outcomes. Icon Water eventually goes bankrupt and ceases to operate, with clear negative implications for social welfare. Alternatively, the ACT Government meets the revenue shortfall by providing a subsidy on behalf of the ACT community as taxpayers. To avoid any reduction in the level of existing government services, this would likely result in the level of taxation going up commensurate with the shortfall. Given that the ACT community as water and sewerage customers and the ACT community as taxpayers are not necessarily the same, this shifting of the burden between the two is likely to be controversial.</w:t>
      </w:r>
      <w:r>
        <w:rPr>
          <w:rStyle w:val="FootnoteReference"/>
        </w:rPr>
        <w:footnoteReference w:id="64"/>
      </w:r>
    </w:p>
    <w:p w:rsidR="00FD5BFB" w:rsidRPr="00644047" w:rsidRDefault="00FD5BFB" w:rsidP="00FD5BFB">
      <w:pPr>
        <w:rPr>
          <w:rStyle w:val="Italic"/>
        </w:rPr>
      </w:pPr>
      <w:r w:rsidRPr="00256588">
        <w:rPr>
          <w:rStyle w:val="Italic"/>
          <w:b/>
        </w:rPr>
        <w:t>Pricing principle 2:</w:t>
      </w:r>
      <w:r w:rsidRPr="00644047">
        <w:rPr>
          <w:rStyle w:val="Italic"/>
        </w:rPr>
        <w:t xml:space="preserve"> Tariff structures and prices should reflect the full recovery of the prudent and efficient costs of providing regulated water and sewerage services</w:t>
      </w:r>
      <w:r>
        <w:rPr>
          <w:rStyle w:val="Italic"/>
        </w:rPr>
        <w:t xml:space="preserve"> to ensure business viability</w:t>
      </w:r>
      <w:r w:rsidRPr="00644047">
        <w:rPr>
          <w:rStyle w:val="Italic"/>
        </w:rPr>
        <w:t>.</w:t>
      </w:r>
    </w:p>
    <w:p w:rsidR="00FD5BFB" w:rsidRDefault="00FD5BFB" w:rsidP="00FD5BFB">
      <w:r>
        <w:t xml:space="preserve">If this principle is adopted, at the business level it will define the revenue constraint to which the maximisation of social welfare is subject. </w:t>
      </w:r>
      <w:r w:rsidRPr="00256588">
        <w:t>Further, it is</w:t>
      </w:r>
      <w:r>
        <w:t xml:space="preserve"> </w:t>
      </w:r>
      <w:r w:rsidR="00CE3F60">
        <w:t>the Commission’</w:t>
      </w:r>
      <w:r w:rsidRPr="00256588">
        <w:t>s</w:t>
      </w:r>
      <w:r>
        <w:t xml:space="preserve"> view that the full</w:t>
      </w:r>
      <w:r w:rsidR="00F13CB9">
        <w:t xml:space="preserve"> </w:t>
      </w:r>
      <w:r>
        <w:t xml:space="preserve">cost recovery principle should also be applied at the customer segment or tariff class level to ensure that no tariff class requires a cross-subsidy from </w:t>
      </w:r>
      <w:r>
        <w:lastRenderedPageBreak/>
        <w:t>other customers.</w:t>
      </w:r>
      <w:r>
        <w:rPr>
          <w:rStyle w:val="FootnoteReference"/>
        </w:rPr>
        <w:footnoteReference w:id="65"/>
      </w:r>
      <w:r>
        <w:t xml:space="preserve"> This approach is consistent with cost-reflective pricing, and accord</w:t>
      </w:r>
      <w:r w:rsidR="0076775D">
        <w:t>s</w:t>
      </w:r>
      <w:r>
        <w:t xml:space="preserve"> with community notions of equity. It will also assist in promoting a socially optimal outcome if the full costs of providing the service are reflected in the prices for each class.</w:t>
      </w:r>
    </w:p>
    <w:p w:rsidR="00FD5BFB" w:rsidRDefault="00FD5BFB" w:rsidP="00FD5BFB">
      <w:r>
        <w:t>Currently</w:t>
      </w:r>
      <w:r w:rsidR="0015546F">
        <w:t>,</w:t>
      </w:r>
      <w:r>
        <w:t xml:space="preserve"> ACT water tariffs do not distinguish between customer classes. Should the tariff review reveal evidence that there are cost differences between servicing different customer classes, such as residential and business customers, adoption of this principle would imply the need for different tariffs.</w:t>
      </w:r>
    </w:p>
    <w:p w:rsidR="00FD5BFB" w:rsidRPr="00644047" w:rsidRDefault="00FD5BFB" w:rsidP="00FD5BFB">
      <w:pPr>
        <w:rPr>
          <w:rStyle w:val="Italic"/>
        </w:rPr>
      </w:pPr>
      <w:r>
        <w:t>S</w:t>
      </w:r>
      <w:r w:rsidRPr="006A18F3">
        <w:t xml:space="preserve">ection 20(2)(a) </w:t>
      </w:r>
      <w:r>
        <w:t xml:space="preserve">of the ICRC Act </w:t>
      </w:r>
      <w:r w:rsidRPr="006A18F3">
        <w:t>requires the Commission to have regard to the protection of consumers from abuses of monopoly power in terms of prices and pricing policies, including policies relating to the level or structure of prices for services.</w:t>
      </w:r>
      <w:r>
        <w:t xml:space="preserve"> Tailoring the full cost recovery principle to the </w:t>
      </w:r>
      <w:r w:rsidRPr="00387C53">
        <w:t xml:space="preserve">recovery of </w:t>
      </w:r>
      <w:r>
        <w:t xml:space="preserve">prudent and </w:t>
      </w:r>
      <w:r w:rsidRPr="00387C53">
        <w:t xml:space="preserve">efficient costs only is consistent with </w:t>
      </w:r>
      <w:r>
        <w:t>this requirement.</w:t>
      </w:r>
      <w:r>
        <w:rPr>
          <w:rStyle w:val="FootnoteReference"/>
        </w:rPr>
        <w:footnoteReference w:id="66"/>
      </w:r>
    </w:p>
    <w:p w:rsidR="00FD5BFB" w:rsidRDefault="00FD5BFB" w:rsidP="00FD5BFB">
      <w:pPr>
        <w:pStyle w:val="Heading4"/>
      </w:pPr>
      <w:r>
        <w:t>Revenue sustainability</w:t>
      </w:r>
    </w:p>
    <w:p w:rsidR="00FD5BFB" w:rsidRDefault="00FD5BFB" w:rsidP="00FD5BFB">
      <w:r>
        <w:t>Another factor pertinent to full cost recovery is the risk faced by the utility in recovering its revenue allowance over the regulatory period.</w:t>
      </w:r>
      <w:r>
        <w:rPr>
          <w:rStyle w:val="FootnoteReference"/>
        </w:rPr>
        <w:footnoteReference w:id="67"/>
      </w:r>
      <w:r w:rsidR="00933584">
        <w:t xml:space="preserve"> In Icon Water’</w:t>
      </w:r>
      <w:r>
        <w:t>s case, given the current two-part water tariff that includes a volumetric component</w:t>
      </w:r>
      <w:r w:rsidR="00933584">
        <w:t>,</w:t>
      </w:r>
      <w:r>
        <w:t xml:space="preserve"> which recovers a substantial portion of its revenue requirement, a major source of uncertainty relates to demand for its water services.</w:t>
      </w:r>
      <w:r>
        <w:rPr>
          <w:rStyle w:val="FootnoteReference"/>
        </w:rPr>
        <w:footnoteReference w:id="68"/>
      </w:r>
    </w:p>
    <w:p w:rsidR="00FD5BFB" w:rsidRDefault="00FD5BFB" w:rsidP="00FD5BFB">
      <w:r>
        <w:t>The Commission is r</w:t>
      </w:r>
      <w:r w:rsidR="00933584">
        <w:t>equired to determine Icon Water’</w:t>
      </w:r>
      <w:r>
        <w:t>s prices in advance of the period in which it provides water and sewerage services. This requires the Commission to determine a forecast water sales volume for each year of the regulatory period. Actual sales</w:t>
      </w:r>
      <w:r w:rsidR="00933584">
        <w:t>,</w:t>
      </w:r>
      <w:r>
        <w:t xml:space="preserve"> and therefore revenue outcomes</w:t>
      </w:r>
      <w:r w:rsidR="00933584">
        <w:t>,</w:t>
      </w:r>
      <w:r>
        <w:t xml:space="preserve"> will differ from the forecast depending in large part on the weather conditions that eventuate. An added complication under an inclining block tariff is the requirement to forecast not only the aggregate level of water sales but also the tier 1 and tier 2 volumes.</w:t>
      </w:r>
    </w:p>
    <w:p w:rsidR="00FD5BFB" w:rsidRPr="00AD32E2" w:rsidRDefault="00FD5BFB" w:rsidP="00FD5BFB">
      <w:r>
        <w:t xml:space="preserve">As discussed in section </w:t>
      </w:r>
      <w:r w:rsidR="00A7215E">
        <w:fldChar w:fldCharType="begin"/>
      </w:r>
      <w:r>
        <w:instrText xml:space="preserve"> REF _Ref434312394 \r \h </w:instrText>
      </w:r>
      <w:r w:rsidR="00A7215E">
        <w:fldChar w:fldCharType="separate"/>
      </w:r>
      <w:r w:rsidR="00E43227">
        <w:t>2.2.1</w:t>
      </w:r>
      <w:r w:rsidR="00A7215E">
        <w:fldChar w:fldCharType="end"/>
      </w:r>
      <w:r>
        <w:t xml:space="preserve">, the form of price control can have implications for revenue uncertainty. In addition, there are a number of specific regulatory tools for </w:t>
      </w:r>
      <w:r>
        <w:lastRenderedPageBreak/>
        <w:t xml:space="preserve">dealing with this type of revenue uncertainty, including </w:t>
      </w:r>
      <w:r w:rsidRPr="006C521F">
        <w:t>cost pass-throughs and under</w:t>
      </w:r>
      <w:r w:rsidR="00933584">
        <w:t>-recovery/</w:t>
      </w:r>
      <w:r w:rsidRPr="006C521F">
        <w:t>over</w:t>
      </w:r>
      <w:r w:rsidR="00933584">
        <w:t>-recovery</w:t>
      </w:r>
      <w:r w:rsidRPr="006C521F">
        <w:t xml:space="preserve"> arrangements</w:t>
      </w:r>
      <w:r>
        <w:t>. These, however, are topics for discussion in the price investigation leading up to the next regulatory period. More pertinently, the choice of tariff structure and levels of prices can have a direct impact on revenue sustainability. For example, under a two-part water tariff, the higher the fixed charge</w:t>
      </w:r>
      <w:r w:rsidR="00933584">
        <w:t>,</w:t>
      </w:r>
      <w:r>
        <w:t xml:space="preserve"> the l</w:t>
      </w:r>
      <w:r w:rsidR="00933584">
        <w:t>ower</w:t>
      </w:r>
      <w:r>
        <w:t xml:space="preserve"> the revenue uncertainty</w:t>
      </w:r>
      <w:r w:rsidR="00EF2689">
        <w:t>,</w:t>
      </w:r>
      <w:r>
        <w:t xml:space="preserve"> as a smaller portion of total revenue recovery depend</w:t>
      </w:r>
      <w:r w:rsidR="00DC1ED9">
        <w:t>s on the level of water sales.</w:t>
      </w:r>
    </w:p>
    <w:p w:rsidR="00FD5BFB" w:rsidRPr="00463FFE" w:rsidRDefault="00FD5BFB" w:rsidP="00FD5BFB">
      <w:pPr>
        <w:rPr>
          <w:rStyle w:val="Italic"/>
        </w:rPr>
      </w:pPr>
      <w:r w:rsidRPr="00256588">
        <w:rPr>
          <w:rStyle w:val="Italic"/>
          <w:b/>
        </w:rPr>
        <w:t>Pricing principle 3:</w:t>
      </w:r>
      <w:r w:rsidRPr="00463FFE">
        <w:rPr>
          <w:rStyle w:val="Italic"/>
        </w:rPr>
        <w:t xml:space="preserve"> Tariff structures and prices should facilitate </w:t>
      </w:r>
      <w:r>
        <w:rPr>
          <w:rStyle w:val="Italic"/>
        </w:rPr>
        <w:t>the recovery of Icon Water’s allowed revenue over the regulatory period</w:t>
      </w:r>
      <w:r w:rsidR="00DC1ED9">
        <w:rPr>
          <w:rStyle w:val="Italic"/>
        </w:rPr>
        <w:t>.</w:t>
      </w:r>
    </w:p>
    <w:p w:rsidR="00FD5BFB" w:rsidRPr="00B02E07" w:rsidRDefault="00FD5BFB" w:rsidP="00FD5BFB">
      <w:r>
        <w:t xml:space="preserve">Should this principle be adopted, a </w:t>
      </w:r>
      <w:r w:rsidRPr="00AB305B">
        <w:t xml:space="preserve">practical implication </w:t>
      </w:r>
      <w:r>
        <w:t>concerns consideration of introducing a volumetric charge for sewerage services under a two-part tariff arrangement. Should such a proposal require a forecast of the volumetric element</w:t>
      </w:r>
      <w:r w:rsidR="00EC2CAA">
        <w:t>,</w:t>
      </w:r>
      <w:r>
        <w:t xml:space="preserve"> it would add a layer of revenue un</w:t>
      </w:r>
      <w:r w:rsidR="00EF2689">
        <w:t>certainty to Icon Water’</w:t>
      </w:r>
      <w:r>
        <w:t>s sewerage services business</w:t>
      </w:r>
      <w:r w:rsidR="00EC2CAA">
        <w:t>,</w:t>
      </w:r>
      <w:r>
        <w:t xml:space="preserve"> which would need to be offset by other benefits to make it worthwhile.</w:t>
      </w:r>
    </w:p>
    <w:p w:rsidR="00FD5BFB" w:rsidRDefault="00FD5BFB" w:rsidP="00101ADB">
      <w:pPr>
        <w:pStyle w:val="Heading3"/>
      </w:pPr>
      <w:bookmarkStart w:id="134" w:name="Princ_sociall_impacts"/>
      <w:bookmarkStart w:id="135" w:name="_Ref432599937"/>
      <w:bookmarkEnd w:id="134"/>
      <w:r>
        <w:t>Community impacts</w:t>
      </w:r>
      <w:bookmarkEnd w:id="135"/>
    </w:p>
    <w:p w:rsidR="00FD5BFB" w:rsidRPr="00212BC7" w:rsidRDefault="00FD5BFB" w:rsidP="00FD5BFB">
      <w:r w:rsidRPr="00212BC7">
        <w:t xml:space="preserve">Section 20(2) of the ICRC Act contains a number of </w:t>
      </w:r>
      <w:r>
        <w:t xml:space="preserve">things </w:t>
      </w:r>
      <w:r w:rsidRPr="00212BC7">
        <w:t xml:space="preserve">that require the Commission to have regard to the </w:t>
      </w:r>
      <w:r>
        <w:t>implications of its pricing decisions for the ACT community</w:t>
      </w:r>
      <w:r w:rsidRPr="00212BC7">
        <w:t>. These include:</w:t>
      </w:r>
    </w:p>
    <w:p w:rsidR="00FD5BFB" w:rsidRPr="00212BC7" w:rsidRDefault="00FD5BFB" w:rsidP="00FD5BFB">
      <w:pPr>
        <w:pStyle w:val="Bullet"/>
      </w:pPr>
      <w:r w:rsidRPr="00212BC7">
        <w:t>the need for greater efficiency in the provision of regulated services to reduce costs to consumers and taxpayers;</w:t>
      </w:r>
      <w:r>
        <w:t xml:space="preserve"> and</w:t>
      </w:r>
    </w:p>
    <w:p w:rsidR="00FD5BFB" w:rsidRPr="00212BC7" w:rsidRDefault="00FD5BFB" w:rsidP="00FD5BFB">
      <w:pPr>
        <w:pStyle w:val="BulletLast"/>
      </w:pPr>
      <w:r w:rsidRPr="00212BC7">
        <w:t>the social impacts of the decision</w:t>
      </w:r>
      <w:r>
        <w:t>.</w:t>
      </w:r>
    </w:p>
    <w:p w:rsidR="00FD5BFB" w:rsidRDefault="00FD5BFB" w:rsidP="00FD5BFB">
      <w:r>
        <w:t>It is a widely accepted principle that the most efficient and effective way to redistribute income between socioeconomic groups is the general government tax and transfer system. Alternatively, it is less efficient to use tariffs</w:t>
      </w:r>
      <w:r w:rsidR="00FA2135">
        <w:t>,</w:t>
      </w:r>
      <w:r>
        <w:t xml:space="preserve"> which do not reflect full cost in the deliberate pursuit of the social goal of </w:t>
      </w:r>
      <w:r w:rsidRPr="005F1EF8">
        <w:t>redistribut</w:t>
      </w:r>
      <w:r>
        <w:t>ing</w:t>
      </w:r>
      <w:r w:rsidRPr="005F1EF8">
        <w:t xml:space="preserve"> income between socioeconomic groups</w:t>
      </w:r>
      <w:r>
        <w:t>. Moreover, it is the Commission’s view that the pursuit of economic efficiency will best achieve a socially optimal outcome for the ACT community, as long as the government deals with distributional issues through the general tax and transfer system. This is in line with the Grant review’s posit</w:t>
      </w:r>
      <w:r w:rsidR="00CE3F60">
        <w:t>ion:</w:t>
      </w:r>
    </w:p>
    <w:p w:rsidR="00FD5BFB" w:rsidRDefault="00FD5BFB" w:rsidP="00FD5BFB">
      <w:pPr>
        <w:pStyle w:val="Quote"/>
      </w:pPr>
      <w:r>
        <w:t>A primary emphasis on economic efficiency can be expected to best serve the overall public interest, provided that social and equity objectives are addressed by government in other ways.</w:t>
      </w:r>
      <w:r>
        <w:rPr>
          <w:rStyle w:val="FootnoteReference"/>
        </w:rPr>
        <w:footnoteReference w:id="69"/>
      </w:r>
    </w:p>
    <w:p w:rsidR="00FD5BFB" w:rsidRPr="00917477" w:rsidRDefault="00FD5BFB" w:rsidP="00FD5BFB">
      <w:r>
        <w:t xml:space="preserve">Nonetheless, as the cost of provision of an essential service such as water and sewerage services can have a significant impact on individual consumer welfare, the Commission has identified a number of areas in which tariff design can assist by </w:t>
      </w:r>
      <w:r>
        <w:lastRenderedPageBreak/>
        <w:t>providing price path stability, simplicity</w:t>
      </w:r>
      <w:r w:rsidRPr="00A128C5">
        <w:t xml:space="preserve"> </w:t>
      </w:r>
      <w:r>
        <w:t>and pricing transparency. These a</w:t>
      </w:r>
      <w:r w:rsidR="00DC1ED9">
        <w:t>re discussed in turn below.</w:t>
      </w:r>
    </w:p>
    <w:p w:rsidR="00FD5BFB" w:rsidRDefault="00FD5BFB" w:rsidP="00FD5BFB">
      <w:pPr>
        <w:pStyle w:val="Heading4"/>
      </w:pPr>
      <w:r>
        <w:t>Price path stability</w:t>
      </w:r>
    </w:p>
    <w:p w:rsidR="00FD5BFB" w:rsidRDefault="00FD5BFB" w:rsidP="00FD5BFB">
      <w:r>
        <w:t>There are two aspects that relate to price path stability. The first is the stability of the tariff structure over a period of time. The second concerns the transition from one tariff structure to another. These are dealt with in turn.</w:t>
      </w:r>
    </w:p>
    <w:p w:rsidR="00FD5BFB" w:rsidRDefault="00FD5BFB" w:rsidP="00FD5BFB">
      <w:pPr>
        <w:pStyle w:val="Heading5"/>
      </w:pPr>
      <w:r>
        <w:t>Stability over time</w:t>
      </w:r>
    </w:p>
    <w:p w:rsidR="00FD5BFB" w:rsidRPr="008E4902" w:rsidRDefault="00FD5BFB" w:rsidP="00FD5BFB">
      <w:r>
        <w:t>The tariff structure should be robust enough to promote economic efficiency over a reasonable period of time for a number of reasons. The first is that any change from current arrangements may result in winners and losers. Frequent changes are therefore to be avoided if possible. The second reason is the cost involved in the administrative process of changing tariff structures.</w:t>
      </w:r>
    </w:p>
    <w:p w:rsidR="00FD5BFB" w:rsidRDefault="00FD5BFB" w:rsidP="00FD5BFB">
      <w:pPr>
        <w:rPr>
          <w:rStyle w:val="Italic"/>
        </w:rPr>
      </w:pPr>
      <w:r w:rsidRPr="00256588">
        <w:rPr>
          <w:rStyle w:val="Italic"/>
          <w:b/>
        </w:rPr>
        <w:t>Pricing principle 4:</w:t>
      </w:r>
      <w:r w:rsidRPr="00245425">
        <w:rPr>
          <w:rStyle w:val="Italic"/>
        </w:rPr>
        <w:t xml:space="preserve"> </w:t>
      </w:r>
      <w:r>
        <w:rPr>
          <w:rStyle w:val="Italic"/>
        </w:rPr>
        <w:t>T</w:t>
      </w:r>
      <w:r w:rsidRPr="00245425">
        <w:rPr>
          <w:rStyle w:val="Italic"/>
        </w:rPr>
        <w:t>ariff structure</w:t>
      </w:r>
      <w:r>
        <w:rPr>
          <w:rStyle w:val="Italic"/>
        </w:rPr>
        <w:t>s</w:t>
      </w:r>
      <w:r w:rsidRPr="00245425">
        <w:rPr>
          <w:rStyle w:val="Italic"/>
        </w:rPr>
        <w:t xml:space="preserve"> </w:t>
      </w:r>
      <w:r>
        <w:rPr>
          <w:rStyle w:val="Italic"/>
        </w:rPr>
        <w:t>should be robust enoug</w:t>
      </w:r>
      <w:r w:rsidRPr="00436A41">
        <w:rPr>
          <w:rStyle w:val="Italic"/>
        </w:rPr>
        <w:t xml:space="preserve">h to promote the </w:t>
      </w:r>
      <w:r w:rsidRPr="004E1FC9">
        <w:rPr>
          <w:rStyle w:val="Italic"/>
        </w:rPr>
        <w:t>economically efficient use of Icon Water’s water and sewerage services infrastructure</w:t>
      </w:r>
      <w:r w:rsidRPr="00436A41">
        <w:rPr>
          <w:rStyle w:val="Italic"/>
        </w:rPr>
        <w:t xml:space="preserve"> over a reasonable period of time</w:t>
      </w:r>
      <w:r>
        <w:rPr>
          <w:rStyle w:val="Italic"/>
        </w:rPr>
        <w:t>.</w:t>
      </w:r>
    </w:p>
    <w:p w:rsidR="00FD5BFB" w:rsidRDefault="00FD5BFB" w:rsidP="00FD5BFB">
      <w:r>
        <w:t>The application of marginal cost pricing to promote efficiency relies on customers understanding the prices they face and adjusting their usage accordingly. Frequent changes in tariff structures are likely to work against this. Should this pricing principle be adopted, it will contribute to the proposed overarching economic regulation objective by minimising the requirement for freque</w:t>
      </w:r>
      <w:r w:rsidR="00DC1ED9">
        <w:t>nt tariff structure changes.</w:t>
      </w:r>
    </w:p>
    <w:p w:rsidR="00FD5BFB" w:rsidRDefault="00FD5BFB" w:rsidP="00FD5BFB">
      <w:r>
        <w:t>If adopted, this principle will require the Commission, among other things, to investigate the reasons for the significant fall in per capita water use over the last decade or so in order to form a view on whether the current levels are likely to continue into the future.</w:t>
      </w:r>
    </w:p>
    <w:p w:rsidR="00FD5BFB" w:rsidRDefault="00FD5BFB" w:rsidP="00FD5BFB">
      <w:pPr>
        <w:pStyle w:val="Heading5"/>
      </w:pPr>
      <w:r>
        <w:t>Transition arrangements</w:t>
      </w:r>
    </w:p>
    <w:p w:rsidR="00FD5BFB" w:rsidRDefault="00FD5BFB" w:rsidP="00FD5BFB">
      <w:r>
        <w:t>Not surprisingly, customers generally prefer a stable price path from one year to the next. Price instability increases the uncertainty associated with customer investment decisions</w:t>
      </w:r>
      <w:r w:rsidR="00FA2135">
        <w:t xml:space="preserve"> –</w:t>
      </w:r>
      <w:r>
        <w:t xml:space="preserve"> for example</w:t>
      </w:r>
      <w:r w:rsidR="00FA2135">
        <w:t>,</w:t>
      </w:r>
      <w:r>
        <w:t xml:space="preserve"> the decision to invest in additional rainwater tanks or a swimming pool. Given that a tariff structure change, all other things being equal, may result in winners and losers among different customer groups, any change should be implemented in a way that minimises any price shocks for the losers.</w:t>
      </w:r>
    </w:p>
    <w:p w:rsidR="00FD5BFB" w:rsidRDefault="00FD5BFB" w:rsidP="00FD5BFB">
      <w:pPr>
        <w:rPr>
          <w:rStyle w:val="Italic"/>
        </w:rPr>
      </w:pPr>
      <w:r w:rsidRPr="00256588">
        <w:rPr>
          <w:rStyle w:val="Italic"/>
          <w:b/>
        </w:rPr>
        <w:t xml:space="preserve">Pricing principle </w:t>
      </w:r>
      <w:r>
        <w:rPr>
          <w:rStyle w:val="Italic"/>
          <w:b/>
        </w:rPr>
        <w:t>5</w:t>
      </w:r>
      <w:r w:rsidRPr="00256588">
        <w:rPr>
          <w:rStyle w:val="Italic"/>
          <w:b/>
        </w:rPr>
        <w:t>:</w:t>
      </w:r>
      <w:r w:rsidRPr="00995B92">
        <w:rPr>
          <w:rStyle w:val="Italic"/>
        </w:rPr>
        <w:t xml:space="preserve"> </w:t>
      </w:r>
      <w:r w:rsidRPr="00F2313E">
        <w:rPr>
          <w:rStyle w:val="Italic"/>
        </w:rPr>
        <w:t xml:space="preserve">Any change to the structure of tariffs and prices </w:t>
      </w:r>
      <w:r>
        <w:rPr>
          <w:rStyle w:val="Italic"/>
        </w:rPr>
        <w:t xml:space="preserve">that will have substantial customer impacts </w:t>
      </w:r>
      <w:r w:rsidRPr="00F2313E">
        <w:rPr>
          <w:rStyle w:val="Italic"/>
        </w:rPr>
        <w:t xml:space="preserve">should be phased in over a transition period to </w:t>
      </w:r>
      <w:r>
        <w:rPr>
          <w:rStyle w:val="Italic"/>
        </w:rPr>
        <w:t>allow customers reasonable time to adjust to the change</w:t>
      </w:r>
      <w:r w:rsidRPr="00F2313E">
        <w:rPr>
          <w:rStyle w:val="Italic"/>
        </w:rPr>
        <w:t>.</w:t>
      </w:r>
    </w:p>
    <w:p w:rsidR="00FD5BFB" w:rsidRPr="002B0FD9" w:rsidRDefault="00FD5BFB" w:rsidP="00FD5BFB">
      <w:r>
        <w:t xml:space="preserve">Should this principle be adopted, practical implications, such as the length of the transition period and how a price shock might be defined, are matters that will depend on the particular circumstances prevailing when a tariff change is implemented. If adopted, as part of the tariff review process, the Commission will assess the </w:t>
      </w:r>
      <w:r>
        <w:lastRenderedPageBreak/>
        <w:t>distributional impacts on customer bills of the various tariff alternatives being considered and explore possible transition paths to any new arrangements.</w:t>
      </w:r>
    </w:p>
    <w:p w:rsidR="00FD5BFB" w:rsidRDefault="00FD5BFB" w:rsidP="00FD5BFB">
      <w:pPr>
        <w:pStyle w:val="Heading4"/>
      </w:pPr>
      <w:r>
        <w:t>Simplicity</w:t>
      </w:r>
    </w:p>
    <w:p w:rsidR="00FD5BFB" w:rsidRDefault="00FD5BFB" w:rsidP="00FD5BFB">
      <w:r>
        <w:t xml:space="preserve">In its analysis of the case for introducing a competition allowance in the ACT retail electricity market in 2014, the Commission examined the role of the rational consumer in responding to market signals. The Commission found a sizable economics literature that suggests a range of seemingly irrational behaviour by consumers at both the theoretical and empirical level for a number of reasons, including tariff complexity. This is discussed in more detail in section </w:t>
      </w:r>
      <w:fldSimple w:instr=" REF _Ref432599888 \r \h  \* MERGEFORMAT ">
        <w:r w:rsidR="00E43227">
          <w:t>4.5.4</w:t>
        </w:r>
      </w:fldSimple>
      <w:r>
        <w:t>.</w:t>
      </w:r>
    </w:p>
    <w:p w:rsidR="00FD5BFB" w:rsidRPr="004324FF" w:rsidRDefault="00FD5BFB" w:rsidP="00FD5BFB">
      <w:r w:rsidRPr="00256588">
        <w:rPr>
          <w:rStyle w:val="Italic"/>
          <w:b/>
        </w:rPr>
        <w:t xml:space="preserve">Pricing principle </w:t>
      </w:r>
      <w:r>
        <w:rPr>
          <w:rStyle w:val="Italic"/>
          <w:b/>
        </w:rPr>
        <w:t>6</w:t>
      </w:r>
      <w:r w:rsidR="00DC1ED9">
        <w:rPr>
          <w:rStyle w:val="Italic"/>
        </w:rPr>
        <w:t xml:space="preserve">: </w:t>
      </w:r>
      <w:r>
        <w:rPr>
          <w:rStyle w:val="Italic"/>
        </w:rPr>
        <w:t>Tariff structures should be simple for customers to understand and straightforward for the utility to implement.</w:t>
      </w:r>
    </w:p>
    <w:p w:rsidR="00FD5BFB" w:rsidRDefault="00FD5BFB" w:rsidP="00FD5BFB">
      <w:r>
        <w:t>Although water and sewerage services consumers face a much simpler choice with only one provider in the ACT, the principal findings are still relevant: to ensure that customers can respond to the price signals built into cost-reflective tariffs designed to contribute to the achievement of a socially optimum outcome. This implies that tariffs should be simple and easy to understand. Readily understood tariff structures have the added benefit of being easier and cheaper for the utility to implement.</w:t>
      </w:r>
    </w:p>
    <w:p w:rsidR="00FD5BFB" w:rsidRDefault="00FD5BFB" w:rsidP="00FD5BFB">
      <w:pPr>
        <w:pStyle w:val="Heading4"/>
      </w:pPr>
      <w:r>
        <w:t>Pricing transparency</w:t>
      </w:r>
    </w:p>
    <w:p w:rsidR="00FD5BFB" w:rsidRDefault="00FD5BFB" w:rsidP="00FD5BFB">
      <w:r>
        <w:t>The ACT Government has committed to pricing transparency in signing up to the N</w:t>
      </w:r>
      <w:r w:rsidR="00B453EF">
        <w:t xml:space="preserve">ational </w:t>
      </w:r>
      <w:r>
        <w:t>W</w:t>
      </w:r>
      <w:r w:rsidR="00B453EF">
        <w:t xml:space="preserve">ater </w:t>
      </w:r>
      <w:r>
        <w:t>I</w:t>
      </w:r>
      <w:r w:rsidR="00B453EF">
        <w:t>nitiative</w:t>
      </w:r>
      <w:r>
        <w:t xml:space="preserve"> urban water pricing principles. The fifth pricing principle </w:t>
      </w:r>
      <w:r w:rsidR="009B7984">
        <w:t xml:space="preserve">under the </w:t>
      </w:r>
      <w:r w:rsidR="006D2092">
        <w:t>I</w:t>
      </w:r>
      <w:r w:rsidR="009B7984">
        <w:t xml:space="preserve">nitiative </w:t>
      </w:r>
      <w:r>
        <w:t>states that tariffs should be set using a transparent methodology and subject to publ</w:t>
      </w:r>
      <w:r w:rsidR="00DC1ED9">
        <w:t>ic consultation and scrutiny.</w:t>
      </w:r>
    </w:p>
    <w:p w:rsidR="00FD5BFB" w:rsidRDefault="00FD5BFB" w:rsidP="00FD5BFB">
      <w:pPr>
        <w:rPr>
          <w:rStyle w:val="Italic"/>
        </w:rPr>
      </w:pPr>
      <w:r w:rsidRPr="00E96D20">
        <w:rPr>
          <w:rStyle w:val="Italic"/>
          <w:b/>
        </w:rPr>
        <w:t>Pricing principle</w:t>
      </w:r>
      <w:r>
        <w:rPr>
          <w:rStyle w:val="Italic"/>
          <w:b/>
        </w:rPr>
        <w:t xml:space="preserve"> 7</w:t>
      </w:r>
      <w:r w:rsidRPr="00E96D20">
        <w:rPr>
          <w:rStyle w:val="Italic"/>
          <w:b/>
        </w:rPr>
        <w:t>:</w:t>
      </w:r>
      <w:r w:rsidRPr="00B453EF">
        <w:rPr>
          <w:rStyle w:val="Italic"/>
        </w:rPr>
        <w:t xml:space="preserve"> </w:t>
      </w:r>
      <w:r w:rsidRPr="002B0FD9">
        <w:rPr>
          <w:rStyle w:val="Italic"/>
        </w:rPr>
        <w:t>Tariffs should be set using a transparent methodology and subject to public consultation and scrutiny</w:t>
      </w:r>
      <w:r>
        <w:rPr>
          <w:rStyle w:val="Italic"/>
        </w:rPr>
        <w:t>.</w:t>
      </w:r>
    </w:p>
    <w:p w:rsidR="00FD5BFB" w:rsidRDefault="00FD5BFB" w:rsidP="00FD5BFB">
      <w:r w:rsidRPr="001A6B69">
        <w:t>This proposed principle relates more to process than outcomes. Indeed, it is currently being applied with the release of th</w:t>
      </w:r>
      <w:r w:rsidR="00FA2135">
        <w:t>is</w:t>
      </w:r>
      <w:r w:rsidRPr="001A6B69">
        <w:t xml:space="preserve"> tariff review issues paper for public consultation. As the review progresses, the Commission will endeavour to clearly explain how each of the alternative tariff structures</w:t>
      </w:r>
      <w:r w:rsidR="00FA2135">
        <w:t>,</w:t>
      </w:r>
      <w:r w:rsidRPr="001A6B69">
        <w:t xml:space="preserve"> and ultimately </w:t>
      </w:r>
      <w:r w:rsidR="002116A1">
        <w:t xml:space="preserve">the </w:t>
      </w:r>
      <w:r w:rsidRPr="001A6B69">
        <w:t xml:space="preserve">level of prices, </w:t>
      </w:r>
      <w:r w:rsidR="002962B5">
        <w:t xml:space="preserve">would </w:t>
      </w:r>
      <w:r w:rsidRPr="001A6B69">
        <w:t>operate.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hemeFill="accent6" w:themeFillTint="99"/>
        <w:tblLook w:val="00A0"/>
      </w:tblPr>
      <w:tblGrid>
        <w:gridCol w:w="7927"/>
      </w:tblGrid>
      <w:tr w:rsidR="007043EE" w:rsidTr="007043EE">
        <w:tc>
          <w:tcPr>
            <w:tcW w:w="7927" w:type="dxa"/>
            <w:shd w:val="clear" w:color="auto" w:fill="FABF8F" w:themeFill="accent6" w:themeFillTint="99"/>
          </w:tcPr>
          <w:p w:rsidR="007043EE" w:rsidRPr="00C51D5B" w:rsidRDefault="007043EE" w:rsidP="00476A57">
            <w:pPr>
              <w:keepNext/>
            </w:pPr>
            <w:r w:rsidRPr="00C51D5B">
              <w:rPr>
                <w:rStyle w:val="Bold"/>
              </w:rPr>
              <w:t>Q</w:t>
            </w:r>
            <w:r>
              <w:rPr>
                <w:rStyle w:val="Bold"/>
              </w:rPr>
              <w:t>2</w:t>
            </w:r>
            <w:r w:rsidRPr="00C51D5B">
              <w:rPr>
                <w:rStyle w:val="Bold"/>
              </w:rPr>
              <w:t>:</w:t>
            </w:r>
            <w:r w:rsidRPr="00C51D5B">
              <w:t xml:space="preserve"> Do</w:t>
            </w:r>
            <w:r>
              <w:t xml:space="preserve"> you think that the set of proposed principles will provide an effective basis for assessing current and alternative tariff structures? </w:t>
            </w:r>
            <w:r w:rsidRPr="00C51D5B">
              <w:t xml:space="preserve">If </w:t>
            </w:r>
            <w:r>
              <w:t>not</w:t>
            </w:r>
            <w:r w:rsidRPr="00C51D5B">
              <w:t>, why?</w:t>
            </w:r>
            <w:r>
              <w:t xml:space="preserve"> </w:t>
            </w:r>
            <w:r w:rsidRPr="00A47DA1">
              <w:t xml:space="preserve">Are there any </w:t>
            </w:r>
            <w:r w:rsidR="00476A57">
              <w:t xml:space="preserve">additional </w:t>
            </w:r>
            <w:r w:rsidRPr="00A47DA1">
              <w:t>principles that you think the Commission should consider?</w:t>
            </w:r>
            <w:r>
              <w:t xml:space="preserve"> If yes, what are they and why?</w:t>
            </w:r>
          </w:p>
        </w:tc>
      </w:tr>
    </w:tbl>
    <w:p w:rsidR="00363880" w:rsidRDefault="00FD5BFB">
      <w:pPr>
        <w:pStyle w:val="Heading2"/>
      </w:pPr>
      <w:bookmarkStart w:id="136" w:name="_Toc435700164"/>
      <w:r w:rsidRPr="001A6B69">
        <w:t>Conclusion</w:t>
      </w:r>
      <w:bookmarkEnd w:id="136"/>
    </w:p>
    <w:p w:rsidR="00FD5BFB" w:rsidRPr="00425D02" w:rsidRDefault="00FD5BFB" w:rsidP="00FD5BFB">
      <w:r>
        <w:t xml:space="preserve">The proposed overarching economic regulation objective and pricing principles are summarised in Box 3.2. It will be evident to the astute reader that the primacy given to </w:t>
      </w:r>
      <w:r>
        <w:lastRenderedPageBreak/>
        <w:t>economic efficiency in the proposed overarching objective will assist the Commission in making any potential trade-offs between the proposed pricing principles.</w:t>
      </w:r>
    </w:p>
    <w:p w:rsidR="00FD5BFB" w:rsidRDefault="00FD5BFB" w:rsidP="00FD5BFB">
      <w:pPr>
        <w:pStyle w:val="FigureName"/>
        <w:keepNext/>
        <w:widowControl w:val="0"/>
      </w:pPr>
      <w:bookmarkStart w:id="137" w:name="Princ_list"/>
      <w:bookmarkStart w:id="138" w:name="_Toc435700212"/>
      <w:bookmarkEnd w:id="137"/>
      <w:r w:rsidRPr="00425D02">
        <w:t xml:space="preserve">Box </w:t>
      </w:r>
      <w:r w:rsidR="00A7215E">
        <w:fldChar w:fldCharType="begin"/>
      </w:r>
      <w:r>
        <w:instrText xml:space="preserve"> STYLEREF 1 \s </w:instrText>
      </w:r>
      <w:r w:rsidR="00A7215E">
        <w:fldChar w:fldCharType="separate"/>
      </w:r>
      <w:r w:rsidR="00E43227">
        <w:rPr>
          <w:noProof/>
        </w:rPr>
        <w:t>3</w:t>
      </w:r>
      <w:r w:rsidR="00A7215E">
        <w:fldChar w:fldCharType="end"/>
      </w:r>
      <w:r w:rsidRPr="00425D02">
        <w:t>.</w:t>
      </w:r>
      <w:r w:rsidR="00A7215E">
        <w:fldChar w:fldCharType="begin"/>
      </w:r>
      <w:r>
        <w:instrText xml:space="preserve"> SEQ Box \* ARABIC \s 1 </w:instrText>
      </w:r>
      <w:r w:rsidR="00A7215E">
        <w:fldChar w:fldCharType="separate"/>
      </w:r>
      <w:r w:rsidR="00E43227">
        <w:rPr>
          <w:noProof/>
        </w:rPr>
        <w:t>2</w:t>
      </w:r>
      <w:r w:rsidR="00A7215E">
        <w:fldChar w:fldCharType="end"/>
      </w:r>
      <w:r w:rsidRPr="00425D02">
        <w:tab/>
      </w:r>
      <w:r w:rsidR="003A2647">
        <w:t>Commission’</w:t>
      </w:r>
      <w:r>
        <w:t>s proposed economic regulation objective and pricing principles</w:t>
      </w:r>
      <w:bookmarkEnd w:id="138"/>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shd w:val="clear" w:color="auto" w:fill="DBE5F1"/>
        <w:tblLook w:val="04A0"/>
      </w:tblPr>
      <w:tblGrid>
        <w:gridCol w:w="7927"/>
      </w:tblGrid>
      <w:tr w:rsidR="00FD5BFB" w:rsidTr="00BC5669">
        <w:trPr>
          <w:cantSplit/>
          <w:trHeight w:val="2069"/>
        </w:trPr>
        <w:tc>
          <w:tcPr>
            <w:tcW w:w="7927" w:type="dxa"/>
            <w:shd w:val="clear" w:color="auto" w:fill="DBE5F1"/>
          </w:tcPr>
          <w:p w:rsidR="00FD5BFB" w:rsidRDefault="00FD5BFB" w:rsidP="00BC5669">
            <w:pPr>
              <w:rPr>
                <w:rStyle w:val="Italic"/>
              </w:rPr>
            </w:pPr>
            <w:r>
              <w:rPr>
                <w:rStyle w:val="Italic"/>
                <w:b/>
              </w:rPr>
              <w:t>Economic regulation o</w:t>
            </w:r>
            <w:r w:rsidRPr="00256588">
              <w:rPr>
                <w:rStyle w:val="Italic"/>
                <w:b/>
              </w:rPr>
              <w:t>bjective</w:t>
            </w:r>
            <w:r w:rsidRPr="00CE3F60">
              <w:rPr>
                <w:rStyle w:val="Italic"/>
                <w:b/>
              </w:rPr>
              <w:t>:</w:t>
            </w:r>
            <w:r>
              <w:rPr>
                <w:rStyle w:val="Italic"/>
              </w:rPr>
              <w:t xml:space="preserve"> </w:t>
            </w:r>
            <w:r w:rsidRPr="00E8680C">
              <w:rPr>
                <w:rStyle w:val="Italic"/>
              </w:rPr>
              <w:t>T</w:t>
            </w:r>
            <w:r>
              <w:rPr>
                <w:rStyle w:val="Italic"/>
              </w:rPr>
              <w:t>o promote the efficient investment in, and efficient operation and use of, Icon Water’s regulated water and sewerage services to maximise the social welfare of the community over the</w:t>
            </w:r>
            <w:r w:rsidRPr="00D0479D">
              <w:rPr>
                <w:rStyle w:val="Italic"/>
              </w:rPr>
              <w:t xml:space="preserve"> </w:t>
            </w:r>
            <w:r>
              <w:rPr>
                <w:rStyle w:val="Italic"/>
              </w:rPr>
              <w:t>long</w:t>
            </w:r>
            <w:r w:rsidR="002962B5">
              <w:rPr>
                <w:rStyle w:val="Italic"/>
              </w:rPr>
              <w:t xml:space="preserve"> </w:t>
            </w:r>
            <w:r>
              <w:rPr>
                <w:rStyle w:val="Italic"/>
              </w:rPr>
              <w:t>term.</w:t>
            </w:r>
          </w:p>
          <w:p w:rsidR="00FD5BFB" w:rsidRDefault="00FD5BFB" w:rsidP="00BC5669">
            <w:pPr>
              <w:rPr>
                <w:rStyle w:val="Italic"/>
              </w:rPr>
            </w:pPr>
            <w:r w:rsidRPr="00256588">
              <w:rPr>
                <w:rStyle w:val="Italic"/>
                <w:b/>
              </w:rPr>
              <w:t>Pricing principle 1:</w:t>
            </w:r>
            <w:r w:rsidRPr="00DC1ED9">
              <w:rPr>
                <w:rStyle w:val="Italic"/>
              </w:rPr>
              <w:t xml:space="preserve"> </w:t>
            </w:r>
            <w:r>
              <w:rPr>
                <w:rStyle w:val="Italic"/>
              </w:rPr>
              <w:t>Tariff structures and prices should promote the economically efficient use of Icon Water’s water and sewerage services infrastructure, and in the case of water should also encourage economically efficient use of the water resource.</w:t>
            </w:r>
          </w:p>
          <w:p w:rsidR="00FD5BFB" w:rsidRDefault="00FD5BFB" w:rsidP="00BC5669">
            <w:pPr>
              <w:rPr>
                <w:rStyle w:val="Italic"/>
              </w:rPr>
            </w:pPr>
            <w:r w:rsidRPr="00256588">
              <w:rPr>
                <w:rStyle w:val="Italic"/>
                <w:b/>
              </w:rPr>
              <w:t>Pricing principle 2:</w:t>
            </w:r>
            <w:r w:rsidRPr="00644047">
              <w:rPr>
                <w:rStyle w:val="Italic"/>
              </w:rPr>
              <w:t xml:space="preserve"> Tariff structures and prices should reflect the full recovery of the prudent and efficient costs of providing regulated water and sewerage services</w:t>
            </w:r>
            <w:r>
              <w:rPr>
                <w:rStyle w:val="Italic"/>
              </w:rPr>
              <w:t xml:space="preserve"> to ensure business viability</w:t>
            </w:r>
            <w:r w:rsidRPr="00644047">
              <w:rPr>
                <w:rStyle w:val="Italic"/>
              </w:rPr>
              <w:t>.</w:t>
            </w:r>
          </w:p>
          <w:p w:rsidR="00FD5BFB" w:rsidRPr="00463FFE" w:rsidRDefault="00FD5BFB" w:rsidP="00BC5669">
            <w:pPr>
              <w:rPr>
                <w:rStyle w:val="Italic"/>
              </w:rPr>
            </w:pPr>
            <w:r w:rsidRPr="00256588">
              <w:rPr>
                <w:rStyle w:val="Italic"/>
                <w:b/>
              </w:rPr>
              <w:t>Pricing principle 3:</w:t>
            </w:r>
            <w:r w:rsidRPr="00463FFE">
              <w:rPr>
                <w:rStyle w:val="Italic"/>
              </w:rPr>
              <w:t xml:space="preserve"> Tariff structures and prices should facilitate </w:t>
            </w:r>
            <w:r>
              <w:rPr>
                <w:rStyle w:val="Italic"/>
              </w:rPr>
              <w:t>the recovery of Icon Water’s allowed revenue over the regulatory period</w:t>
            </w:r>
            <w:r w:rsidR="00DC1ED9">
              <w:rPr>
                <w:rStyle w:val="Italic"/>
              </w:rPr>
              <w:t>.</w:t>
            </w:r>
          </w:p>
          <w:p w:rsidR="00FD5BFB" w:rsidRDefault="00FD5BFB" w:rsidP="00BC5669">
            <w:pPr>
              <w:rPr>
                <w:rStyle w:val="Italic"/>
              </w:rPr>
            </w:pPr>
            <w:r w:rsidRPr="00256588">
              <w:rPr>
                <w:rStyle w:val="Italic"/>
                <w:b/>
              </w:rPr>
              <w:t>Pricing principle 4:</w:t>
            </w:r>
            <w:r w:rsidRPr="00245425">
              <w:rPr>
                <w:rStyle w:val="Italic"/>
              </w:rPr>
              <w:t xml:space="preserve"> </w:t>
            </w:r>
            <w:r>
              <w:rPr>
                <w:rStyle w:val="Italic"/>
              </w:rPr>
              <w:t>T</w:t>
            </w:r>
            <w:r w:rsidRPr="00245425">
              <w:rPr>
                <w:rStyle w:val="Italic"/>
              </w:rPr>
              <w:t>ariff structure</w:t>
            </w:r>
            <w:r>
              <w:rPr>
                <w:rStyle w:val="Italic"/>
              </w:rPr>
              <w:t>s</w:t>
            </w:r>
            <w:r w:rsidRPr="00245425">
              <w:rPr>
                <w:rStyle w:val="Italic"/>
              </w:rPr>
              <w:t xml:space="preserve"> </w:t>
            </w:r>
            <w:r>
              <w:rPr>
                <w:rStyle w:val="Italic"/>
              </w:rPr>
              <w:t>should be robust enoug</w:t>
            </w:r>
            <w:r w:rsidRPr="00436A41">
              <w:rPr>
                <w:rStyle w:val="Italic"/>
              </w:rPr>
              <w:t xml:space="preserve">h to promote the </w:t>
            </w:r>
            <w:r w:rsidRPr="004E1FC9">
              <w:rPr>
                <w:rStyle w:val="Italic"/>
              </w:rPr>
              <w:t>economically efficient use of Icon Water’s water and sewerage services infrastructure</w:t>
            </w:r>
            <w:r w:rsidRPr="00436A41">
              <w:rPr>
                <w:rStyle w:val="Italic"/>
              </w:rPr>
              <w:t xml:space="preserve"> over a reasonable period of time</w:t>
            </w:r>
            <w:r>
              <w:rPr>
                <w:rStyle w:val="Italic"/>
              </w:rPr>
              <w:t>.</w:t>
            </w:r>
          </w:p>
          <w:p w:rsidR="00FD5BFB" w:rsidRDefault="00FD5BFB" w:rsidP="00BC5669">
            <w:pPr>
              <w:rPr>
                <w:rStyle w:val="Italic"/>
              </w:rPr>
            </w:pPr>
            <w:r w:rsidRPr="00256588">
              <w:rPr>
                <w:rStyle w:val="Italic"/>
                <w:b/>
              </w:rPr>
              <w:t xml:space="preserve">Pricing principle </w:t>
            </w:r>
            <w:r>
              <w:rPr>
                <w:rStyle w:val="Italic"/>
                <w:b/>
              </w:rPr>
              <w:t>5</w:t>
            </w:r>
            <w:r w:rsidRPr="00256588">
              <w:rPr>
                <w:rStyle w:val="Italic"/>
                <w:b/>
              </w:rPr>
              <w:t>:</w:t>
            </w:r>
            <w:r w:rsidRPr="00DC1ED9">
              <w:rPr>
                <w:rStyle w:val="Italic"/>
              </w:rPr>
              <w:t xml:space="preserve"> </w:t>
            </w:r>
            <w:r w:rsidRPr="00F2313E">
              <w:rPr>
                <w:rStyle w:val="Italic"/>
              </w:rPr>
              <w:t xml:space="preserve">Any change to the structure of tariffs and prices </w:t>
            </w:r>
            <w:r>
              <w:rPr>
                <w:rStyle w:val="Italic"/>
              </w:rPr>
              <w:t xml:space="preserve">that will have substantial customer impacts </w:t>
            </w:r>
            <w:r w:rsidRPr="00F2313E">
              <w:rPr>
                <w:rStyle w:val="Italic"/>
              </w:rPr>
              <w:t xml:space="preserve">should be phased in over a transition period to </w:t>
            </w:r>
            <w:r>
              <w:rPr>
                <w:rStyle w:val="Italic"/>
              </w:rPr>
              <w:t>allow customers reasonable time to adjust to the change</w:t>
            </w:r>
            <w:r w:rsidRPr="00F2313E">
              <w:rPr>
                <w:rStyle w:val="Italic"/>
              </w:rPr>
              <w:t>.</w:t>
            </w:r>
          </w:p>
          <w:p w:rsidR="00FD5BFB" w:rsidRPr="004324FF" w:rsidRDefault="00FD5BFB" w:rsidP="00BC5669">
            <w:r w:rsidRPr="00256588">
              <w:rPr>
                <w:rStyle w:val="Italic"/>
                <w:b/>
              </w:rPr>
              <w:t xml:space="preserve">Pricing principle </w:t>
            </w:r>
            <w:r>
              <w:rPr>
                <w:rStyle w:val="Italic"/>
                <w:b/>
              </w:rPr>
              <w:t>6</w:t>
            </w:r>
            <w:r w:rsidR="00DC1ED9" w:rsidRPr="00DC1ED9">
              <w:rPr>
                <w:rStyle w:val="Italic"/>
                <w:b/>
              </w:rPr>
              <w:t>:</w:t>
            </w:r>
            <w:r>
              <w:rPr>
                <w:rStyle w:val="Italic"/>
              </w:rPr>
              <w:t xml:space="preserve"> Tariff structures should be simple for customers to understand and straightforward for the utility to implement.</w:t>
            </w:r>
          </w:p>
          <w:p w:rsidR="00FD5BFB" w:rsidRDefault="00FD5BFB" w:rsidP="00BC5669">
            <w:pPr>
              <w:keepNext/>
              <w:widowControl w:val="0"/>
            </w:pPr>
            <w:r w:rsidRPr="00E96D20">
              <w:rPr>
                <w:rStyle w:val="Italic"/>
                <w:b/>
              </w:rPr>
              <w:t>Pricing principle</w:t>
            </w:r>
            <w:r>
              <w:rPr>
                <w:rStyle w:val="Italic"/>
                <w:b/>
              </w:rPr>
              <w:t xml:space="preserve"> 7</w:t>
            </w:r>
            <w:r w:rsidRPr="00E96D20">
              <w:rPr>
                <w:rStyle w:val="Italic"/>
                <w:b/>
              </w:rPr>
              <w:t>:</w:t>
            </w:r>
            <w:r w:rsidRPr="00DC1ED9">
              <w:rPr>
                <w:rStyle w:val="Italic"/>
              </w:rPr>
              <w:t xml:space="preserve"> </w:t>
            </w:r>
            <w:r w:rsidRPr="002B0FD9">
              <w:rPr>
                <w:rStyle w:val="Italic"/>
              </w:rPr>
              <w:t>Tariffs should be set using a transparent methodology and subject to public consultation and scrutiny</w:t>
            </w:r>
            <w:r>
              <w:rPr>
                <w:rStyle w:val="Italic"/>
              </w:rPr>
              <w:t>.</w:t>
            </w:r>
          </w:p>
        </w:tc>
      </w:tr>
    </w:tbl>
    <w:p w:rsidR="00A17E30" w:rsidRDefault="00A17E30" w:rsidP="007E230D"/>
    <w:p w:rsidR="0001406C" w:rsidRDefault="0001406C" w:rsidP="007E230D"/>
    <w:p w:rsidR="0001406C" w:rsidRPr="00A17E30" w:rsidRDefault="0001406C" w:rsidP="007E230D"/>
    <w:p w:rsidR="00BE237A" w:rsidRPr="00B3506E" w:rsidRDefault="00BE237A" w:rsidP="007E230D">
      <w:pPr>
        <w:sectPr w:rsidR="00BE237A" w:rsidRPr="00B3506E" w:rsidSect="00E12A27">
          <w:headerReference w:type="even" r:id="rId44"/>
          <w:headerReference w:type="default" r:id="rId45"/>
          <w:endnotePr>
            <w:numFmt w:val="decimal"/>
          </w:endnotePr>
          <w:type w:val="continuous"/>
          <w:pgSz w:w="11907" w:h="16840" w:code="9"/>
          <w:pgMar w:top="2268" w:right="2098" w:bottom="1701" w:left="2098" w:header="578" w:footer="578" w:gutter="0"/>
          <w:cols w:space="720"/>
          <w:docGrid w:linePitch="299"/>
        </w:sectPr>
      </w:pPr>
    </w:p>
    <w:p w:rsidR="00BE237A" w:rsidRDefault="00BE237A" w:rsidP="00542C27">
      <w:pPr>
        <w:pStyle w:val="Heading1"/>
        <w:sectPr w:rsidR="00BE237A" w:rsidSect="00FD0141">
          <w:headerReference w:type="even" r:id="rId46"/>
          <w:headerReference w:type="default" r:id="rId47"/>
          <w:endnotePr>
            <w:numFmt w:val="decimal"/>
          </w:endnotePr>
          <w:type w:val="oddPage"/>
          <w:pgSz w:w="11907" w:h="16840" w:code="9"/>
          <w:pgMar w:top="2268" w:right="2098" w:bottom="1701" w:left="2098" w:header="578" w:footer="578" w:gutter="0"/>
          <w:cols w:space="720"/>
          <w:noEndnote/>
          <w:docGrid w:linePitch="299"/>
        </w:sectPr>
      </w:pPr>
      <w:bookmarkStart w:id="139" w:name="Chap4"/>
      <w:bookmarkStart w:id="140" w:name="_Ref429472738"/>
      <w:bookmarkStart w:id="141" w:name="_Toc435700165"/>
      <w:bookmarkEnd w:id="139"/>
      <w:r>
        <w:lastRenderedPageBreak/>
        <w:t>Water pricing</w:t>
      </w:r>
      <w:bookmarkEnd w:id="140"/>
      <w:bookmarkEnd w:id="141"/>
    </w:p>
    <w:p w:rsidR="00461796" w:rsidRDefault="00461796" w:rsidP="00461796">
      <w:pPr>
        <w:pStyle w:val="Heading2"/>
      </w:pPr>
      <w:bookmarkStart w:id="142" w:name="Four_ACT_pricing"/>
      <w:bookmarkStart w:id="143" w:name="_Toc435700166"/>
      <w:bookmarkStart w:id="144" w:name="_Ref429658343"/>
      <w:bookmarkEnd w:id="142"/>
      <w:r>
        <w:lastRenderedPageBreak/>
        <w:t>Introduction</w:t>
      </w:r>
      <w:bookmarkEnd w:id="143"/>
    </w:p>
    <w:p w:rsidR="00461796" w:rsidRDefault="00461796" w:rsidP="00461796">
      <w:r>
        <w:t>This chapter starts by describing water pricing arrangements in the ACT and other Australian jurisdictions. This is followed by a brief description of the water market characteristics in the ACT. Finally, a range of specific theoretical and practical issues related to water pricing are canvassed.</w:t>
      </w:r>
    </w:p>
    <w:p w:rsidR="00461796" w:rsidRDefault="00461796" w:rsidP="00461796">
      <w:pPr>
        <w:pStyle w:val="Heading2"/>
      </w:pPr>
      <w:bookmarkStart w:id="145" w:name="_Toc435700167"/>
      <w:r>
        <w:t>Arrangements in the ACT</w:t>
      </w:r>
      <w:bookmarkEnd w:id="144"/>
      <w:bookmarkEnd w:id="145"/>
    </w:p>
    <w:p w:rsidR="00461796" w:rsidRDefault="00A7215E" w:rsidP="00461796">
      <w:fldSimple w:instr=" REF _Ref348852786 \h  \* MERGEFORMAT ">
        <w:r w:rsidR="00E43227">
          <w:t xml:space="preserve">Table </w:t>
        </w:r>
        <w:r w:rsidR="00E43227">
          <w:rPr>
            <w:noProof/>
          </w:rPr>
          <w:t>4.1</w:t>
        </w:r>
      </w:fldSimple>
      <w:r w:rsidR="00461796" w:rsidRPr="0084729D">
        <w:t xml:space="preserve"> shows </w:t>
      </w:r>
      <w:r w:rsidR="006B153A">
        <w:t>Icon Water’</w:t>
      </w:r>
      <w:r w:rsidR="00461796">
        <w:t xml:space="preserve">s </w:t>
      </w:r>
      <w:r w:rsidR="00461796" w:rsidRPr="0084729D">
        <w:t>water tariffs as determined by the Commission</w:t>
      </w:r>
      <w:r w:rsidR="00461796">
        <w:t xml:space="preserve"> since 1998</w:t>
      </w:r>
      <w:r w:rsidR="00461796" w:rsidRPr="00A73BAC">
        <w:sym w:font="Symbol" w:char="F02D"/>
      </w:r>
      <w:r w:rsidR="00461796">
        <w:t>99</w:t>
      </w:r>
      <w:r w:rsidR="00461796" w:rsidRPr="0084729D">
        <w:t>.</w:t>
      </w:r>
      <w:r w:rsidR="00461796">
        <w:t xml:space="preserve"> From 1998</w:t>
      </w:r>
      <w:r w:rsidR="00461796">
        <w:sym w:font="Symbol" w:char="F02D"/>
      </w:r>
      <w:r w:rsidR="00461796">
        <w:t>99 to 2003</w:t>
      </w:r>
      <w:r w:rsidR="00461796">
        <w:sym w:font="Symbol" w:char="F02D"/>
      </w:r>
      <w:r w:rsidR="00461796">
        <w:t xml:space="preserve">04, a two-part tariff with a two-step inclining block structure was applied, with the consumption step being reduced from 300 </w:t>
      </w:r>
      <w:r w:rsidR="00461796" w:rsidRPr="0084729D">
        <w:t>kL per annum</w:t>
      </w:r>
      <w:r w:rsidR="00461796">
        <w:t xml:space="preserve"> </w:t>
      </w:r>
      <w:r w:rsidR="00461796" w:rsidRPr="0084729D">
        <w:t>(kL/a)</w:t>
      </w:r>
      <w:r w:rsidR="00461796">
        <w:t xml:space="preserve"> to 175 kL/a over this period.</w:t>
      </w:r>
    </w:p>
    <w:p w:rsidR="00461796" w:rsidRDefault="00461796" w:rsidP="00461796">
      <w:r>
        <w:t>In 2004</w:t>
      </w:r>
      <w:r>
        <w:sym w:font="Symbol" w:char="F02D"/>
      </w:r>
      <w:r>
        <w:t xml:space="preserve">05, the Commission introduced </w:t>
      </w:r>
      <w:r w:rsidRPr="008F1AF9">
        <w:t xml:space="preserve">a new structure for the price of water </w:t>
      </w:r>
      <w:r>
        <w:t xml:space="preserve">with a </w:t>
      </w:r>
      <w:r w:rsidRPr="008F1AF9">
        <w:t>reduc</w:t>
      </w:r>
      <w:r>
        <w:t>ed</w:t>
      </w:r>
      <w:r w:rsidRPr="008F1AF9">
        <w:t xml:space="preserve"> fixed charge and an additional block in the inclining block structure, </w:t>
      </w:r>
      <w:r>
        <w:t xml:space="preserve">with </w:t>
      </w:r>
      <w:r w:rsidRPr="008F1AF9">
        <w:t>steps at 100 k</w:t>
      </w:r>
      <w:r>
        <w:t>L/a</w:t>
      </w:r>
      <w:r w:rsidRPr="008F1AF9">
        <w:t xml:space="preserve"> and 300 k</w:t>
      </w:r>
      <w:r>
        <w:t>L/a</w:t>
      </w:r>
      <w:r w:rsidRPr="008F1AF9">
        <w:t>.</w:t>
      </w:r>
      <w:r>
        <w:t xml:space="preserve"> </w:t>
      </w:r>
      <w:r w:rsidRPr="008F1AF9">
        <w:t>This resulted in the average price of water increasing with consumption and was aimed at sending a clear message to customers to reduce their consumption of water.</w:t>
      </w:r>
      <w:r>
        <w:t xml:space="preserve"> This structure was applied until 2007</w:t>
      </w:r>
      <w:r>
        <w:sym w:font="Symbol" w:char="F02D"/>
      </w:r>
      <w:r>
        <w:t>08.</w:t>
      </w:r>
    </w:p>
    <w:p w:rsidR="00461796" w:rsidRDefault="00461796" w:rsidP="00461796">
      <w:r>
        <w:t>In 2008</w:t>
      </w:r>
      <w:r>
        <w:sym w:font="Symbol" w:char="F02D"/>
      </w:r>
      <w:r>
        <w:t>09, the Commission reverted to a one-step inclining block structure with the step at 200 kL/a and t</w:t>
      </w:r>
      <w:r w:rsidRPr="0084729D">
        <w:t>he second</w:t>
      </w:r>
      <w:r w:rsidR="006B153A">
        <w:t>-</w:t>
      </w:r>
      <w:r w:rsidRPr="0084729D">
        <w:t>tier price twice that of the first.</w:t>
      </w:r>
      <w:r w:rsidRPr="0084729D">
        <w:rPr>
          <w:rStyle w:val="FootnoteReference"/>
        </w:rPr>
        <w:footnoteReference w:id="70"/>
      </w:r>
      <w:r w:rsidRPr="00D3073A">
        <w:t xml:space="preserve"> </w:t>
      </w:r>
      <w:r>
        <w:t>The Commission considered moving to single volumetric price, but rejected this because of the social impacts and</w:t>
      </w:r>
      <w:r w:rsidRPr="000F6D2F">
        <w:t xml:space="preserve"> </w:t>
      </w:r>
      <w:r>
        <w:t xml:space="preserve">the </w:t>
      </w:r>
      <w:r w:rsidRPr="000F6D2F">
        <w:t xml:space="preserve">short-term benefits </w:t>
      </w:r>
      <w:r>
        <w:t xml:space="preserve">of </w:t>
      </w:r>
      <w:r w:rsidRPr="000F6D2F">
        <w:t>retaining a tariff structure with a higher top-tier price</w:t>
      </w:r>
      <w:r>
        <w:t xml:space="preserve"> given the water supply shortage at the time. </w:t>
      </w:r>
      <w:r w:rsidRPr="0084729D">
        <w:t xml:space="preserve">The </w:t>
      </w:r>
      <w:r>
        <w:t xml:space="preserve">Commission also introduced </w:t>
      </w:r>
      <w:r w:rsidRPr="0084729D">
        <w:t>daily volumetric pricing</w:t>
      </w:r>
      <w:r>
        <w:t xml:space="preserve">, discussed in more detail in section </w:t>
      </w:r>
      <w:fldSimple w:instr=" REF _Ref430865538 \r \h  \* MERGEFORMAT ">
        <w:r w:rsidR="00E43227">
          <w:t>4.5.3</w:t>
        </w:r>
      </w:fldSimple>
      <w:r w:rsidRPr="0084729D">
        <w:t>.</w:t>
      </w:r>
      <w:r>
        <w:t xml:space="preserve"> This structure remains in place today.</w:t>
      </w:r>
    </w:p>
    <w:p w:rsidR="00461796" w:rsidRDefault="00461796" w:rsidP="00461796">
      <w:r w:rsidRPr="009E6627">
        <w:t>Over the period 1998</w:t>
      </w:r>
      <w:r w:rsidRPr="009E6627">
        <w:sym w:font="Symbol" w:char="F02D"/>
      </w:r>
      <w:r w:rsidRPr="009E6627">
        <w:t>99 to 2007</w:t>
      </w:r>
      <w:r w:rsidRPr="009E6627">
        <w:sym w:font="Symbol" w:char="F02D"/>
      </w:r>
      <w:r w:rsidR="00CE3F60">
        <w:t>08, the ACT Government’</w:t>
      </w:r>
      <w:r w:rsidRPr="009E6627">
        <w:t>s water planning and management charge, known as the water abstraction charge (WAC)</w:t>
      </w:r>
      <w:r>
        <w:t xml:space="preserve">, </w:t>
      </w:r>
      <w:r w:rsidRPr="009E6627">
        <w:t>was levied separately in addition to the prices determined by the Commission.</w:t>
      </w:r>
      <w:r w:rsidRPr="009E6627">
        <w:rPr>
          <w:rStyle w:val="FootnoteReference"/>
        </w:rPr>
        <w:footnoteReference w:id="71"/>
      </w:r>
      <w:r w:rsidRPr="009E6627">
        <w:t xml:space="preserve"> </w:t>
      </w:r>
      <w:r>
        <w:t>From 2007</w:t>
      </w:r>
      <w:r>
        <w:sym w:font="Symbol" w:char="F02D"/>
      </w:r>
      <w:r>
        <w:t>08 onwards</w:t>
      </w:r>
      <w:r w:rsidR="006B153A">
        <w:t>,</w:t>
      </w:r>
      <w:r>
        <w:t xml:space="preserve"> the WAC has been incorporated in</w:t>
      </w:r>
      <w:r w:rsidR="00793F1A">
        <w:t>to</w:t>
      </w:r>
      <w:r>
        <w:t xml:space="preserve"> the prices set by the Commission. The WAC is currently set at $0.54 per kL of water abstracted for the purposes of urban water supply.</w:t>
      </w:r>
      <w:r>
        <w:rPr>
          <w:rStyle w:val="FootnoteReference"/>
        </w:rPr>
        <w:footnoteReference w:id="72"/>
      </w:r>
    </w:p>
    <w:p w:rsidR="00461796" w:rsidRDefault="00461796" w:rsidP="00461796">
      <w:pPr>
        <w:sectPr w:rsidR="00461796" w:rsidSect="00E12A27">
          <w:headerReference w:type="even" r:id="rId48"/>
          <w:headerReference w:type="default" r:id="rId49"/>
          <w:endnotePr>
            <w:numFmt w:val="decimal"/>
          </w:endnotePr>
          <w:type w:val="continuous"/>
          <w:pgSz w:w="11907" w:h="16840" w:code="9"/>
          <w:pgMar w:top="2268" w:right="2098" w:bottom="1701" w:left="2098" w:header="578" w:footer="578" w:gutter="0"/>
          <w:cols w:space="720"/>
          <w:docGrid w:linePitch="299"/>
        </w:sectPr>
      </w:pPr>
    </w:p>
    <w:p w:rsidR="00461796" w:rsidRDefault="00461796" w:rsidP="00461796">
      <w:pPr>
        <w:pStyle w:val="FigureName"/>
      </w:pPr>
      <w:bookmarkStart w:id="146" w:name="_Ref348852786"/>
      <w:bookmarkStart w:id="147" w:name="_Toc349563205"/>
      <w:bookmarkStart w:id="148" w:name="_Toc349563367"/>
      <w:bookmarkStart w:id="149" w:name="_Toc349563445"/>
      <w:bookmarkStart w:id="150" w:name="_Toc349571560"/>
      <w:bookmarkStart w:id="151" w:name="_Toc349572459"/>
      <w:bookmarkStart w:id="152" w:name="_Toc435700184"/>
      <w:r>
        <w:lastRenderedPageBreak/>
        <w:t xml:space="preserve">Table </w:t>
      </w:r>
      <w:r w:rsidR="00A7215E">
        <w:fldChar w:fldCharType="begin"/>
      </w:r>
      <w:r>
        <w:instrText xml:space="preserve"> STYLEREF 1 \s </w:instrText>
      </w:r>
      <w:r w:rsidR="00A7215E">
        <w:fldChar w:fldCharType="separate"/>
      </w:r>
      <w:r w:rsidR="00E43227">
        <w:rPr>
          <w:noProof/>
        </w:rPr>
        <w:t>4</w:t>
      </w:r>
      <w:r w:rsidR="00A7215E">
        <w:fldChar w:fldCharType="end"/>
      </w:r>
      <w:r>
        <w:t>.</w:t>
      </w:r>
      <w:r w:rsidR="00A7215E">
        <w:fldChar w:fldCharType="begin"/>
      </w:r>
      <w:r>
        <w:instrText xml:space="preserve"> SEQ Table \* ARABIC \s 1 </w:instrText>
      </w:r>
      <w:r w:rsidR="00A7215E">
        <w:fldChar w:fldCharType="separate"/>
      </w:r>
      <w:r w:rsidR="00E43227">
        <w:rPr>
          <w:noProof/>
        </w:rPr>
        <w:t>1</w:t>
      </w:r>
      <w:r w:rsidR="00A7215E">
        <w:fldChar w:fldCharType="end"/>
      </w:r>
      <w:bookmarkEnd w:id="146"/>
      <w:r>
        <w:tab/>
        <w:t>Icon Water</w:t>
      </w:r>
      <w:r w:rsidR="00793F1A">
        <w:t>’s</w:t>
      </w:r>
      <w:r>
        <w:t xml:space="preserve"> w</w:t>
      </w:r>
      <w:r w:rsidRPr="0084729D">
        <w:t xml:space="preserve">ater tariffs, </w:t>
      </w:r>
      <w:r>
        <w:t>1998</w:t>
      </w:r>
      <w:r w:rsidRPr="0084729D">
        <w:t>–</w:t>
      </w:r>
      <w:r>
        <w:t>9</w:t>
      </w:r>
      <w:r w:rsidRPr="0084729D">
        <w:t>9 to 201</w:t>
      </w:r>
      <w:r>
        <w:t>5</w:t>
      </w:r>
      <w:r w:rsidRPr="0084729D">
        <w:t>–1</w:t>
      </w:r>
      <w:r>
        <w:t>6</w:t>
      </w:r>
      <w:r w:rsidRPr="0084729D">
        <w:t xml:space="preserve"> ($</w:t>
      </w:r>
      <w:r>
        <w:t>,</w:t>
      </w:r>
      <w:r w:rsidRPr="0084729D">
        <w:t xml:space="preserve"> current prices)</w:t>
      </w:r>
      <w:bookmarkEnd w:id="147"/>
      <w:bookmarkEnd w:id="148"/>
      <w:bookmarkEnd w:id="149"/>
      <w:bookmarkEnd w:id="150"/>
      <w:bookmarkEnd w:id="151"/>
      <w:bookmarkEnd w:id="152"/>
    </w:p>
    <w:tbl>
      <w:tblPr>
        <w:tblW w:w="11706" w:type="dxa"/>
        <w:tblInd w:w="96" w:type="dxa"/>
        <w:tblLook w:val="04A0"/>
      </w:tblPr>
      <w:tblGrid>
        <w:gridCol w:w="2812"/>
        <w:gridCol w:w="873"/>
        <w:gridCol w:w="1037"/>
        <w:gridCol w:w="873"/>
        <w:gridCol w:w="873"/>
        <w:gridCol w:w="873"/>
        <w:gridCol w:w="873"/>
        <w:gridCol w:w="873"/>
        <w:gridCol w:w="873"/>
        <w:gridCol w:w="873"/>
        <w:gridCol w:w="873"/>
      </w:tblGrid>
      <w:tr w:rsidR="00461796" w:rsidRPr="0084729D" w:rsidTr="00071545">
        <w:trPr>
          <w:trHeight w:val="342"/>
        </w:trPr>
        <w:tc>
          <w:tcPr>
            <w:tcW w:w="2812" w:type="dxa"/>
            <w:tcBorders>
              <w:top w:val="single" w:sz="12" w:space="0" w:color="1F497D"/>
              <w:left w:val="nil"/>
              <w:bottom w:val="single" w:sz="8" w:space="0" w:color="1F497D"/>
              <w:right w:val="nil"/>
            </w:tcBorders>
            <w:shd w:val="clear" w:color="000000" w:fill="DBE5F1"/>
            <w:noWrap/>
            <w:vAlign w:val="bottom"/>
            <w:hideMark/>
          </w:tcPr>
          <w:p w:rsidR="00461796" w:rsidRPr="008A73A1" w:rsidRDefault="00461796" w:rsidP="00BC5669">
            <w:pPr>
              <w:rPr>
                <w:lang w:val="en-AU" w:eastAsia="en-AU"/>
              </w:rPr>
            </w:pPr>
            <w:r w:rsidRPr="008A73A1">
              <w:rPr>
                <w:lang w:val="en-AU" w:eastAsia="en-AU"/>
              </w:rPr>
              <w:t> </w:t>
            </w:r>
          </w:p>
        </w:tc>
        <w:tc>
          <w:tcPr>
            <w:tcW w:w="873" w:type="dxa"/>
            <w:tcBorders>
              <w:top w:val="single" w:sz="12" w:space="0" w:color="1F497D"/>
              <w:left w:val="nil"/>
              <w:bottom w:val="single" w:sz="8" w:space="0" w:color="1F497D"/>
              <w:right w:val="nil"/>
            </w:tcBorders>
            <w:shd w:val="clear" w:color="000000" w:fill="DBE5F1"/>
            <w:noWrap/>
            <w:hideMark/>
          </w:tcPr>
          <w:p w:rsidR="00461796" w:rsidRPr="008A73A1" w:rsidRDefault="006B1EEE" w:rsidP="00BC5669">
            <w:pPr>
              <w:pStyle w:val="TableHeadingRight"/>
              <w:rPr>
                <w:lang w:val="en-AU" w:eastAsia="en-AU"/>
              </w:rPr>
            </w:pPr>
            <w:r>
              <w:rPr>
                <w:lang w:val="en-AU" w:eastAsia="en-AU"/>
              </w:rPr>
              <w:t>1998–</w:t>
            </w:r>
            <w:r w:rsidR="00461796" w:rsidRPr="008A73A1">
              <w:rPr>
                <w:lang w:val="en-AU" w:eastAsia="en-AU"/>
              </w:rPr>
              <w:t>99</w:t>
            </w:r>
          </w:p>
        </w:tc>
        <w:tc>
          <w:tcPr>
            <w:tcW w:w="1037" w:type="dxa"/>
            <w:tcBorders>
              <w:top w:val="single" w:sz="12" w:space="0" w:color="1F497D"/>
              <w:left w:val="nil"/>
              <w:bottom w:val="single" w:sz="8" w:space="0" w:color="1F497D"/>
              <w:right w:val="nil"/>
            </w:tcBorders>
            <w:shd w:val="clear" w:color="000000" w:fill="DBE5F1"/>
            <w:noWrap/>
            <w:hideMark/>
          </w:tcPr>
          <w:p w:rsidR="00461796" w:rsidRPr="008A73A1" w:rsidRDefault="006B1EEE" w:rsidP="00BC5669">
            <w:pPr>
              <w:pStyle w:val="TableHeadingRight"/>
              <w:rPr>
                <w:lang w:val="en-AU" w:eastAsia="en-AU"/>
              </w:rPr>
            </w:pPr>
            <w:r>
              <w:rPr>
                <w:lang w:val="en-AU" w:eastAsia="en-AU"/>
              </w:rPr>
              <w:t>1999–20</w:t>
            </w:r>
            <w:r w:rsidR="00461796" w:rsidRPr="008A73A1">
              <w:rPr>
                <w:lang w:val="en-AU" w:eastAsia="en-AU"/>
              </w:rPr>
              <w:t>00</w:t>
            </w:r>
          </w:p>
        </w:tc>
        <w:tc>
          <w:tcPr>
            <w:tcW w:w="873" w:type="dxa"/>
            <w:tcBorders>
              <w:top w:val="single" w:sz="12" w:space="0" w:color="1F497D"/>
              <w:left w:val="nil"/>
              <w:bottom w:val="single" w:sz="8" w:space="0" w:color="1F497D"/>
              <w:right w:val="nil"/>
            </w:tcBorders>
            <w:shd w:val="clear" w:color="000000" w:fill="DBE5F1"/>
            <w:noWrap/>
            <w:hideMark/>
          </w:tcPr>
          <w:p w:rsidR="00461796" w:rsidRPr="008A73A1" w:rsidRDefault="006B1EEE" w:rsidP="00BC5669">
            <w:pPr>
              <w:pStyle w:val="TableHeadingRight"/>
              <w:rPr>
                <w:lang w:val="en-AU" w:eastAsia="en-AU"/>
              </w:rPr>
            </w:pPr>
            <w:r>
              <w:rPr>
                <w:lang w:val="en-AU" w:eastAsia="en-AU"/>
              </w:rPr>
              <w:t>2000–</w:t>
            </w:r>
            <w:r w:rsidR="00461796" w:rsidRPr="008A73A1">
              <w:rPr>
                <w:lang w:val="en-AU" w:eastAsia="en-AU"/>
              </w:rPr>
              <w:t>01</w:t>
            </w:r>
          </w:p>
        </w:tc>
        <w:tc>
          <w:tcPr>
            <w:tcW w:w="873" w:type="dxa"/>
            <w:tcBorders>
              <w:top w:val="single" w:sz="12" w:space="0" w:color="1F497D"/>
              <w:left w:val="nil"/>
              <w:bottom w:val="single" w:sz="8" w:space="0" w:color="1F497D"/>
              <w:right w:val="nil"/>
            </w:tcBorders>
            <w:shd w:val="clear" w:color="000000" w:fill="DBE5F1"/>
            <w:noWrap/>
            <w:hideMark/>
          </w:tcPr>
          <w:p w:rsidR="00461796" w:rsidRPr="008A73A1" w:rsidRDefault="006B1EEE" w:rsidP="00BC5669">
            <w:pPr>
              <w:pStyle w:val="TableHeadingRight"/>
              <w:rPr>
                <w:lang w:val="en-AU" w:eastAsia="en-AU"/>
              </w:rPr>
            </w:pPr>
            <w:r>
              <w:rPr>
                <w:lang w:val="en-AU" w:eastAsia="en-AU"/>
              </w:rPr>
              <w:t>2001–</w:t>
            </w:r>
            <w:r w:rsidR="00461796" w:rsidRPr="008A73A1">
              <w:rPr>
                <w:lang w:val="en-AU" w:eastAsia="en-AU"/>
              </w:rPr>
              <w:t>02</w:t>
            </w:r>
          </w:p>
        </w:tc>
        <w:tc>
          <w:tcPr>
            <w:tcW w:w="873" w:type="dxa"/>
            <w:tcBorders>
              <w:top w:val="single" w:sz="12" w:space="0" w:color="1F497D"/>
              <w:left w:val="nil"/>
              <w:bottom w:val="single" w:sz="8" w:space="0" w:color="1F497D"/>
              <w:right w:val="nil"/>
            </w:tcBorders>
            <w:shd w:val="clear" w:color="000000" w:fill="DBE5F1"/>
            <w:noWrap/>
            <w:hideMark/>
          </w:tcPr>
          <w:p w:rsidR="00461796" w:rsidRPr="008A73A1" w:rsidRDefault="006B1EEE" w:rsidP="00BC5669">
            <w:pPr>
              <w:pStyle w:val="TableHeadingRight"/>
              <w:rPr>
                <w:lang w:val="en-AU" w:eastAsia="en-AU"/>
              </w:rPr>
            </w:pPr>
            <w:r>
              <w:rPr>
                <w:lang w:val="en-AU" w:eastAsia="en-AU"/>
              </w:rPr>
              <w:t>2002–</w:t>
            </w:r>
            <w:r w:rsidR="00461796" w:rsidRPr="008A73A1">
              <w:rPr>
                <w:lang w:val="en-AU" w:eastAsia="en-AU"/>
              </w:rPr>
              <w:t>03</w:t>
            </w:r>
          </w:p>
        </w:tc>
        <w:tc>
          <w:tcPr>
            <w:tcW w:w="873" w:type="dxa"/>
            <w:tcBorders>
              <w:top w:val="single" w:sz="12" w:space="0" w:color="1F497D"/>
              <w:left w:val="nil"/>
              <w:bottom w:val="single" w:sz="8" w:space="0" w:color="1F497D"/>
              <w:right w:val="nil"/>
            </w:tcBorders>
            <w:shd w:val="clear" w:color="000000" w:fill="DBE5F1"/>
          </w:tcPr>
          <w:p w:rsidR="00461796" w:rsidRPr="008A73A1" w:rsidRDefault="006B1EEE" w:rsidP="00BC5669">
            <w:pPr>
              <w:pStyle w:val="TableHeadingRight"/>
              <w:rPr>
                <w:lang w:val="en-AU" w:eastAsia="en-AU"/>
              </w:rPr>
            </w:pPr>
            <w:r>
              <w:rPr>
                <w:lang w:val="en-AU" w:eastAsia="en-AU"/>
              </w:rPr>
              <w:t>2003–</w:t>
            </w:r>
            <w:r w:rsidR="00461796" w:rsidRPr="008A73A1">
              <w:rPr>
                <w:lang w:val="en-AU" w:eastAsia="en-AU"/>
              </w:rPr>
              <w:t>04</w:t>
            </w:r>
          </w:p>
        </w:tc>
        <w:tc>
          <w:tcPr>
            <w:tcW w:w="873" w:type="dxa"/>
            <w:tcBorders>
              <w:top w:val="single" w:sz="12" w:space="0" w:color="1F497D"/>
              <w:left w:val="nil"/>
              <w:bottom w:val="single" w:sz="8" w:space="0" w:color="1F497D"/>
              <w:right w:val="nil"/>
            </w:tcBorders>
            <w:shd w:val="clear" w:color="000000" w:fill="DBE5F1"/>
          </w:tcPr>
          <w:p w:rsidR="00461796" w:rsidRPr="008A73A1" w:rsidRDefault="006B1EEE" w:rsidP="00BC5669">
            <w:pPr>
              <w:pStyle w:val="TableHeadingRight"/>
              <w:rPr>
                <w:lang w:val="en-AU" w:eastAsia="en-AU"/>
              </w:rPr>
            </w:pPr>
            <w:r>
              <w:rPr>
                <w:lang w:val="en-AU" w:eastAsia="en-AU"/>
              </w:rPr>
              <w:t>2004–</w:t>
            </w:r>
            <w:r w:rsidR="00461796" w:rsidRPr="008A73A1">
              <w:rPr>
                <w:lang w:val="en-AU" w:eastAsia="en-AU"/>
              </w:rPr>
              <w:t>05</w:t>
            </w:r>
          </w:p>
        </w:tc>
        <w:tc>
          <w:tcPr>
            <w:tcW w:w="873" w:type="dxa"/>
            <w:tcBorders>
              <w:top w:val="single" w:sz="12" w:space="0" w:color="1F497D"/>
              <w:left w:val="nil"/>
              <w:bottom w:val="single" w:sz="8" w:space="0" w:color="1F497D"/>
              <w:right w:val="nil"/>
            </w:tcBorders>
            <w:shd w:val="clear" w:color="000000" w:fill="DBE5F1"/>
          </w:tcPr>
          <w:p w:rsidR="00461796" w:rsidRPr="008A73A1" w:rsidRDefault="006B1EEE" w:rsidP="00BC5669">
            <w:pPr>
              <w:pStyle w:val="TableHeadingRight"/>
              <w:rPr>
                <w:lang w:val="en-AU" w:eastAsia="en-AU"/>
              </w:rPr>
            </w:pPr>
            <w:r>
              <w:rPr>
                <w:lang w:val="en-AU" w:eastAsia="en-AU"/>
              </w:rPr>
              <w:t>2005–</w:t>
            </w:r>
            <w:r w:rsidR="00461796" w:rsidRPr="008A73A1">
              <w:rPr>
                <w:lang w:val="en-AU" w:eastAsia="en-AU"/>
              </w:rPr>
              <w:t>06</w:t>
            </w:r>
          </w:p>
        </w:tc>
        <w:tc>
          <w:tcPr>
            <w:tcW w:w="873" w:type="dxa"/>
            <w:tcBorders>
              <w:top w:val="single" w:sz="12" w:space="0" w:color="1F497D"/>
              <w:left w:val="nil"/>
              <w:bottom w:val="single" w:sz="8" w:space="0" w:color="1F497D"/>
              <w:right w:val="nil"/>
            </w:tcBorders>
            <w:shd w:val="clear" w:color="000000" w:fill="DBE5F1"/>
          </w:tcPr>
          <w:p w:rsidR="00461796" w:rsidRPr="008A73A1" w:rsidRDefault="006B1EEE" w:rsidP="00BC5669">
            <w:pPr>
              <w:pStyle w:val="TableHeadingRight"/>
              <w:rPr>
                <w:lang w:val="en-AU" w:eastAsia="en-AU"/>
              </w:rPr>
            </w:pPr>
            <w:r>
              <w:rPr>
                <w:lang w:val="en-AU" w:eastAsia="en-AU"/>
              </w:rPr>
              <w:t>2006–</w:t>
            </w:r>
            <w:r w:rsidR="00461796" w:rsidRPr="008A73A1">
              <w:rPr>
                <w:lang w:val="en-AU" w:eastAsia="en-AU"/>
              </w:rPr>
              <w:t>07</w:t>
            </w:r>
          </w:p>
        </w:tc>
        <w:tc>
          <w:tcPr>
            <w:tcW w:w="873" w:type="dxa"/>
            <w:tcBorders>
              <w:top w:val="single" w:sz="12" w:space="0" w:color="1F497D"/>
              <w:left w:val="nil"/>
              <w:bottom w:val="single" w:sz="8" w:space="0" w:color="1F497D"/>
              <w:right w:val="nil"/>
            </w:tcBorders>
            <w:shd w:val="clear" w:color="000000" w:fill="DBE5F1"/>
          </w:tcPr>
          <w:p w:rsidR="00461796" w:rsidRPr="008A73A1" w:rsidRDefault="006B1EEE" w:rsidP="00BC5669">
            <w:pPr>
              <w:pStyle w:val="TableHeadingRight"/>
              <w:rPr>
                <w:lang w:val="en-AU" w:eastAsia="en-AU"/>
              </w:rPr>
            </w:pPr>
            <w:r>
              <w:rPr>
                <w:lang w:val="en-AU" w:eastAsia="en-AU"/>
              </w:rPr>
              <w:t>2007–</w:t>
            </w:r>
            <w:r w:rsidR="00461796" w:rsidRPr="008A73A1">
              <w:rPr>
                <w:lang w:val="en-AU" w:eastAsia="en-AU"/>
              </w:rPr>
              <w:t>08</w:t>
            </w:r>
          </w:p>
        </w:tc>
      </w:tr>
      <w:tr w:rsidR="00461796" w:rsidRPr="0084729D" w:rsidTr="00071545">
        <w:trPr>
          <w:trHeight w:val="300"/>
        </w:trPr>
        <w:tc>
          <w:tcPr>
            <w:tcW w:w="2812" w:type="dxa"/>
            <w:tcBorders>
              <w:top w:val="nil"/>
              <w:left w:val="nil"/>
              <w:bottom w:val="nil"/>
              <w:right w:val="nil"/>
            </w:tcBorders>
            <w:shd w:val="clear" w:color="auto" w:fill="auto"/>
            <w:vAlign w:val="bottom"/>
            <w:hideMark/>
          </w:tcPr>
          <w:p w:rsidR="00461796" w:rsidRPr="00FC60D2" w:rsidRDefault="00461796" w:rsidP="00BC5669">
            <w:pPr>
              <w:pStyle w:val="TableTextLeft"/>
            </w:pPr>
            <w:r w:rsidRPr="00FC60D2">
              <w:t>Fixed charge ($/a)</w:t>
            </w:r>
          </w:p>
        </w:tc>
        <w:tc>
          <w:tcPr>
            <w:tcW w:w="873" w:type="dxa"/>
            <w:tcBorders>
              <w:top w:val="nil"/>
              <w:left w:val="nil"/>
              <w:bottom w:val="nil"/>
              <w:right w:val="nil"/>
            </w:tcBorders>
            <w:shd w:val="clear" w:color="auto" w:fill="auto"/>
            <w:hideMark/>
          </w:tcPr>
          <w:p w:rsidR="00461796" w:rsidRPr="00FC60D2" w:rsidRDefault="00461796" w:rsidP="00BC5669">
            <w:pPr>
              <w:pStyle w:val="TableTextRight"/>
            </w:pPr>
            <w:r w:rsidRPr="00FC60D2">
              <w:t>125.00</w:t>
            </w:r>
          </w:p>
        </w:tc>
        <w:tc>
          <w:tcPr>
            <w:tcW w:w="1037" w:type="dxa"/>
            <w:tcBorders>
              <w:top w:val="nil"/>
              <w:left w:val="nil"/>
              <w:bottom w:val="nil"/>
              <w:right w:val="nil"/>
            </w:tcBorders>
            <w:shd w:val="clear" w:color="auto" w:fill="auto"/>
            <w:hideMark/>
          </w:tcPr>
          <w:p w:rsidR="00461796" w:rsidRPr="00FC60D2" w:rsidRDefault="00461796" w:rsidP="00BC5669">
            <w:pPr>
              <w:pStyle w:val="TableTextRight"/>
            </w:pPr>
            <w:r w:rsidRPr="00FC60D2">
              <w:t>125.00</w:t>
            </w:r>
          </w:p>
        </w:tc>
        <w:tc>
          <w:tcPr>
            <w:tcW w:w="873" w:type="dxa"/>
            <w:tcBorders>
              <w:top w:val="nil"/>
              <w:left w:val="nil"/>
              <w:bottom w:val="nil"/>
              <w:right w:val="nil"/>
            </w:tcBorders>
            <w:shd w:val="clear" w:color="auto" w:fill="auto"/>
            <w:hideMark/>
          </w:tcPr>
          <w:p w:rsidR="00461796" w:rsidRPr="00FC60D2" w:rsidRDefault="00461796" w:rsidP="00BC5669">
            <w:pPr>
              <w:pStyle w:val="TableTextRight"/>
            </w:pPr>
            <w:r w:rsidRPr="00FC60D2">
              <w:t>125.00</w:t>
            </w:r>
          </w:p>
        </w:tc>
        <w:tc>
          <w:tcPr>
            <w:tcW w:w="873" w:type="dxa"/>
            <w:tcBorders>
              <w:top w:val="nil"/>
              <w:left w:val="nil"/>
              <w:bottom w:val="nil"/>
              <w:right w:val="nil"/>
            </w:tcBorders>
            <w:shd w:val="clear" w:color="auto" w:fill="auto"/>
            <w:hideMark/>
          </w:tcPr>
          <w:p w:rsidR="00461796" w:rsidRPr="00FC60D2" w:rsidRDefault="00461796" w:rsidP="00BC5669">
            <w:pPr>
              <w:pStyle w:val="TableTextRight"/>
            </w:pPr>
            <w:r w:rsidRPr="00FC60D2">
              <w:t>125.00</w:t>
            </w:r>
          </w:p>
        </w:tc>
        <w:tc>
          <w:tcPr>
            <w:tcW w:w="873" w:type="dxa"/>
            <w:tcBorders>
              <w:top w:val="nil"/>
              <w:left w:val="nil"/>
              <w:bottom w:val="nil"/>
              <w:right w:val="nil"/>
            </w:tcBorders>
            <w:shd w:val="clear" w:color="auto" w:fill="auto"/>
            <w:hideMark/>
          </w:tcPr>
          <w:p w:rsidR="00461796" w:rsidRPr="00FC60D2" w:rsidRDefault="00461796" w:rsidP="00BC5669">
            <w:pPr>
              <w:pStyle w:val="TableTextRight"/>
            </w:pPr>
            <w:r w:rsidRPr="00FC60D2">
              <w:t>125.00</w:t>
            </w:r>
          </w:p>
        </w:tc>
        <w:tc>
          <w:tcPr>
            <w:tcW w:w="873" w:type="dxa"/>
            <w:tcBorders>
              <w:top w:val="nil"/>
              <w:left w:val="nil"/>
              <w:bottom w:val="nil"/>
              <w:right w:val="nil"/>
            </w:tcBorders>
          </w:tcPr>
          <w:p w:rsidR="00461796" w:rsidRPr="00FC60D2" w:rsidRDefault="00461796" w:rsidP="00BC5669">
            <w:pPr>
              <w:pStyle w:val="TableTextRight"/>
            </w:pPr>
            <w:r w:rsidRPr="00FC60D2">
              <w:t>125.00</w:t>
            </w:r>
          </w:p>
        </w:tc>
        <w:tc>
          <w:tcPr>
            <w:tcW w:w="873" w:type="dxa"/>
            <w:tcBorders>
              <w:top w:val="nil"/>
              <w:left w:val="nil"/>
              <w:bottom w:val="nil"/>
              <w:right w:val="nil"/>
            </w:tcBorders>
          </w:tcPr>
          <w:p w:rsidR="00461796" w:rsidRPr="00FC60D2" w:rsidRDefault="00461796" w:rsidP="00BC5669">
            <w:pPr>
              <w:pStyle w:val="TableTextRight"/>
            </w:pPr>
            <w:r w:rsidRPr="00FC60D2">
              <w:t>75.00</w:t>
            </w:r>
          </w:p>
        </w:tc>
        <w:tc>
          <w:tcPr>
            <w:tcW w:w="873" w:type="dxa"/>
            <w:tcBorders>
              <w:top w:val="nil"/>
              <w:left w:val="nil"/>
              <w:bottom w:val="nil"/>
              <w:right w:val="nil"/>
            </w:tcBorders>
          </w:tcPr>
          <w:p w:rsidR="00461796" w:rsidRPr="00FC60D2" w:rsidRDefault="00461796" w:rsidP="00BC5669">
            <w:pPr>
              <w:pStyle w:val="TableTextRight"/>
            </w:pPr>
            <w:r w:rsidRPr="00FC60D2">
              <w:t>75.00</w:t>
            </w:r>
          </w:p>
        </w:tc>
        <w:tc>
          <w:tcPr>
            <w:tcW w:w="873" w:type="dxa"/>
            <w:tcBorders>
              <w:top w:val="nil"/>
              <w:left w:val="nil"/>
              <w:bottom w:val="nil"/>
              <w:right w:val="nil"/>
            </w:tcBorders>
          </w:tcPr>
          <w:p w:rsidR="00461796" w:rsidRPr="00FC60D2" w:rsidRDefault="00461796" w:rsidP="00BC5669">
            <w:pPr>
              <w:pStyle w:val="TableTextRight"/>
            </w:pPr>
            <w:r w:rsidRPr="00FC60D2">
              <w:t>75.00</w:t>
            </w:r>
          </w:p>
        </w:tc>
        <w:tc>
          <w:tcPr>
            <w:tcW w:w="873" w:type="dxa"/>
            <w:tcBorders>
              <w:top w:val="nil"/>
              <w:left w:val="nil"/>
              <w:bottom w:val="nil"/>
              <w:right w:val="nil"/>
            </w:tcBorders>
          </w:tcPr>
          <w:p w:rsidR="00461796" w:rsidRPr="00FC60D2" w:rsidRDefault="00461796" w:rsidP="00BC5669">
            <w:pPr>
              <w:pStyle w:val="TableTextRight"/>
            </w:pPr>
            <w:r w:rsidRPr="00FC60D2">
              <w:t>75.00</w:t>
            </w:r>
          </w:p>
        </w:tc>
      </w:tr>
      <w:tr w:rsidR="00461796" w:rsidRPr="0084729D" w:rsidTr="00071545">
        <w:trPr>
          <w:trHeight w:val="300"/>
        </w:trPr>
        <w:tc>
          <w:tcPr>
            <w:tcW w:w="2812" w:type="dxa"/>
            <w:tcBorders>
              <w:top w:val="nil"/>
              <w:left w:val="nil"/>
              <w:bottom w:val="nil"/>
              <w:right w:val="nil"/>
            </w:tcBorders>
            <w:shd w:val="clear" w:color="auto" w:fill="auto"/>
            <w:vAlign w:val="bottom"/>
            <w:hideMark/>
          </w:tcPr>
          <w:p w:rsidR="00461796" w:rsidRPr="00FC60D2" w:rsidRDefault="00461796" w:rsidP="00BC5669">
            <w:pPr>
              <w:pStyle w:val="TableTextLeft"/>
            </w:pPr>
            <w:r w:rsidRPr="00FC60D2">
              <w:t>Tier 1 price ($/kL)</w:t>
            </w:r>
          </w:p>
        </w:tc>
        <w:tc>
          <w:tcPr>
            <w:tcW w:w="873" w:type="dxa"/>
            <w:tcBorders>
              <w:top w:val="nil"/>
              <w:left w:val="nil"/>
              <w:bottom w:val="nil"/>
              <w:right w:val="nil"/>
            </w:tcBorders>
            <w:shd w:val="clear" w:color="auto" w:fill="auto"/>
            <w:hideMark/>
          </w:tcPr>
          <w:p w:rsidR="00461796" w:rsidRPr="00FC60D2" w:rsidRDefault="00461796" w:rsidP="00BC5669">
            <w:pPr>
              <w:pStyle w:val="TableTextRight"/>
            </w:pPr>
            <w:r w:rsidRPr="00FC60D2">
              <w:t>0.37</w:t>
            </w:r>
          </w:p>
        </w:tc>
        <w:tc>
          <w:tcPr>
            <w:tcW w:w="1037" w:type="dxa"/>
            <w:tcBorders>
              <w:top w:val="nil"/>
              <w:left w:val="nil"/>
              <w:bottom w:val="nil"/>
              <w:right w:val="nil"/>
            </w:tcBorders>
            <w:shd w:val="clear" w:color="auto" w:fill="auto"/>
            <w:hideMark/>
          </w:tcPr>
          <w:p w:rsidR="00461796" w:rsidRPr="00FC60D2" w:rsidRDefault="00461796" w:rsidP="00BC5669">
            <w:pPr>
              <w:pStyle w:val="TableTextRight"/>
            </w:pPr>
            <w:r w:rsidRPr="00FC60D2">
              <w:t>0.38</w:t>
            </w:r>
          </w:p>
        </w:tc>
        <w:tc>
          <w:tcPr>
            <w:tcW w:w="873" w:type="dxa"/>
            <w:tcBorders>
              <w:top w:val="nil"/>
              <w:left w:val="nil"/>
              <w:bottom w:val="nil"/>
              <w:right w:val="nil"/>
            </w:tcBorders>
            <w:shd w:val="clear" w:color="auto" w:fill="auto"/>
            <w:hideMark/>
          </w:tcPr>
          <w:p w:rsidR="00461796" w:rsidRPr="00FC60D2" w:rsidRDefault="00461796" w:rsidP="00BC5669">
            <w:pPr>
              <w:pStyle w:val="TableTextRight"/>
            </w:pPr>
            <w:r w:rsidRPr="00FC60D2">
              <w:t>0.38</w:t>
            </w:r>
          </w:p>
        </w:tc>
        <w:tc>
          <w:tcPr>
            <w:tcW w:w="873" w:type="dxa"/>
            <w:tcBorders>
              <w:top w:val="nil"/>
              <w:left w:val="nil"/>
              <w:bottom w:val="nil"/>
              <w:right w:val="nil"/>
            </w:tcBorders>
            <w:shd w:val="clear" w:color="auto" w:fill="auto"/>
            <w:hideMark/>
          </w:tcPr>
          <w:p w:rsidR="00461796" w:rsidRPr="00FC60D2" w:rsidRDefault="00461796" w:rsidP="00BC5669">
            <w:pPr>
              <w:pStyle w:val="TableTextRight"/>
            </w:pPr>
            <w:r w:rsidRPr="00FC60D2">
              <w:t>0.40</w:t>
            </w:r>
          </w:p>
        </w:tc>
        <w:tc>
          <w:tcPr>
            <w:tcW w:w="873" w:type="dxa"/>
            <w:tcBorders>
              <w:top w:val="nil"/>
              <w:left w:val="nil"/>
              <w:bottom w:val="nil"/>
              <w:right w:val="nil"/>
            </w:tcBorders>
            <w:shd w:val="clear" w:color="auto" w:fill="auto"/>
            <w:hideMark/>
          </w:tcPr>
          <w:p w:rsidR="00461796" w:rsidRPr="00FC60D2" w:rsidRDefault="00461796" w:rsidP="00BC5669">
            <w:pPr>
              <w:pStyle w:val="TableTextRight"/>
            </w:pPr>
            <w:r w:rsidRPr="00FC60D2">
              <w:t>0.41</w:t>
            </w:r>
          </w:p>
        </w:tc>
        <w:tc>
          <w:tcPr>
            <w:tcW w:w="873" w:type="dxa"/>
            <w:tcBorders>
              <w:top w:val="nil"/>
              <w:left w:val="nil"/>
              <w:bottom w:val="nil"/>
              <w:right w:val="nil"/>
            </w:tcBorders>
          </w:tcPr>
          <w:p w:rsidR="00461796" w:rsidRPr="00FC60D2" w:rsidRDefault="00461796" w:rsidP="00BC5669">
            <w:pPr>
              <w:pStyle w:val="TableTextRight"/>
            </w:pPr>
            <w:r w:rsidRPr="00FC60D2">
              <w:t>0.43</w:t>
            </w:r>
          </w:p>
        </w:tc>
        <w:tc>
          <w:tcPr>
            <w:tcW w:w="873" w:type="dxa"/>
            <w:tcBorders>
              <w:top w:val="nil"/>
              <w:left w:val="nil"/>
              <w:bottom w:val="nil"/>
              <w:right w:val="nil"/>
            </w:tcBorders>
          </w:tcPr>
          <w:p w:rsidR="00461796" w:rsidRPr="00FC60D2" w:rsidRDefault="00461796" w:rsidP="00BC5669">
            <w:pPr>
              <w:pStyle w:val="TableTextRight"/>
            </w:pPr>
            <w:r w:rsidRPr="00FC60D2">
              <w:t>0.515</w:t>
            </w:r>
          </w:p>
        </w:tc>
        <w:tc>
          <w:tcPr>
            <w:tcW w:w="873" w:type="dxa"/>
            <w:tcBorders>
              <w:top w:val="nil"/>
              <w:left w:val="nil"/>
              <w:bottom w:val="nil"/>
              <w:right w:val="nil"/>
            </w:tcBorders>
          </w:tcPr>
          <w:p w:rsidR="00461796" w:rsidRPr="00FC60D2" w:rsidRDefault="00461796" w:rsidP="00BC5669">
            <w:pPr>
              <w:pStyle w:val="TableTextRight"/>
            </w:pPr>
            <w:r w:rsidRPr="00FC60D2">
              <w:t>0.58</w:t>
            </w:r>
          </w:p>
        </w:tc>
        <w:tc>
          <w:tcPr>
            <w:tcW w:w="873" w:type="dxa"/>
            <w:tcBorders>
              <w:top w:val="nil"/>
              <w:left w:val="nil"/>
              <w:bottom w:val="nil"/>
              <w:right w:val="nil"/>
            </w:tcBorders>
          </w:tcPr>
          <w:p w:rsidR="00461796" w:rsidRPr="00FC60D2" w:rsidRDefault="00461796" w:rsidP="00BC5669">
            <w:pPr>
              <w:pStyle w:val="TableTextRight"/>
            </w:pPr>
            <w:r w:rsidRPr="00FC60D2">
              <w:t>0.66</w:t>
            </w:r>
          </w:p>
        </w:tc>
        <w:tc>
          <w:tcPr>
            <w:tcW w:w="873" w:type="dxa"/>
            <w:tcBorders>
              <w:top w:val="nil"/>
              <w:left w:val="nil"/>
              <w:bottom w:val="nil"/>
              <w:right w:val="nil"/>
            </w:tcBorders>
          </w:tcPr>
          <w:p w:rsidR="00461796" w:rsidRPr="00FC60D2" w:rsidRDefault="00461796" w:rsidP="00BC5669">
            <w:pPr>
              <w:pStyle w:val="TableTextRight"/>
            </w:pPr>
            <w:r w:rsidRPr="00FC60D2">
              <w:t>0.78</w:t>
            </w:r>
          </w:p>
        </w:tc>
      </w:tr>
      <w:tr w:rsidR="00461796" w:rsidRPr="0084729D" w:rsidTr="00071545">
        <w:trPr>
          <w:trHeight w:val="300"/>
        </w:trPr>
        <w:tc>
          <w:tcPr>
            <w:tcW w:w="2812" w:type="dxa"/>
            <w:tcBorders>
              <w:top w:val="nil"/>
              <w:left w:val="nil"/>
              <w:bottom w:val="nil"/>
              <w:right w:val="nil"/>
            </w:tcBorders>
            <w:shd w:val="clear" w:color="auto" w:fill="auto"/>
            <w:vAlign w:val="bottom"/>
            <w:hideMark/>
          </w:tcPr>
          <w:p w:rsidR="00461796" w:rsidRPr="00FC60D2" w:rsidRDefault="00461796" w:rsidP="00BC5669">
            <w:pPr>
              <w:pStyle w:val="TableTextLeft"/>
            </w:pPr>
            <w:r w:rsidRPr="00FC60D2">
              <w:t>Tier 2 price ($/kL)</w:t>
            </w:r>
          </w:p>
        </w:tc>
        <w:tc>
          <w:tcPr>
            <w:tcW w:w="873" w:type="dxa"/>
            <w:tcBorders>
              <w:top w:val="nil"/>
              <w:left w:val="nil"/>
              <w:bottom w:val="nil"/>
              <w:right w:val="nil"/>
            </w:tcBorders>
            <w:shd w:val="clear" w:color="auto" w:fill="auto"/>
            <w:hideMark/>
          </w:tcPr>
          <w:p w:rsidR="00461796" w:rsidRPr="00FC60D2" w:rsidRDefault="00461796" w:rsidP="00BC5669">
            <w:pPr>
              <w:pStyle w:val="TableTextRight"/>
            </w:pPr>
            <w:r w:rsidRPr="00FC60D2">
              <w:t>0.76</w:t>
            </w:r>
          </w:p>
        </w:tc>
        <w:tc>
          <w:tcPr>
            <w:tcW w:w="1037" w:type="dxa"/>
            <w:tcBorders>
              <w:top w:val="nil"/>
              <w:left w:val="nil"/>
              <w:bottom w:val="nil"/>
              <w:right w:val="nil"/>
            </w:tcBorders>
            <w:shd w:val="clear" w:color="auto" w:fill="auto"/>
            <w:hideMark/>
          </w:tcPr>
          <w:p w:rsidR="00461796" w:rsidRPr="00FC60D2" w:rsidRDefault="00461796" w:rsidP="00BC5669">
            <w:pPr>
              <w:pStyle w:val="TableTextRight"/>
            </w:pPr>
            <w:r w:rsidRPr="00FC60D2">
              <w:t>0.83</w:t>
            </w:r>
          </w:p>
        </w:tc>
        <w:tc>
          <w:tcPr>
            <w:tcW w:w="873" w:type="dxa"/>
            <w:tcBorders>
              <w:top w:val="nil"/>
              <w:left w:val="nil"/>
              <w:bottom w:val="nil"/>
              <w:right w:val="nil"/>
            </w:tcBorders>
            <w:shd w:val="clear" w:color="auto" w:fill="auto"/>
            <w:hideMark/>
          </w:tcPr>
          <w:p w:rsidR="00461796" w:rsidRPr="00FC60D2" w:rsidRDefault="00461796" w:rsidP="00BC5669">
            <w:pPr>
              <w:pStyle w:val="TableTextRight"/>
            </w:pPr>
            <w:r w:rsidRPr="00FC60D2">
              <w:t>0.86</w:t>
            </w:r>
          </w:p>
        </w:tc>
        <w:tc>
          <w:tcPr>
            <w:tcW w:w="873" w:type="dxa"/>
            <w:tcBorders>
              <w:top w:val="nil"/>
              <w:left w:val="nil"/>
              <w:bottom w:val="nil"/>
              <w:right w:val="nil"/>
            </w:tcBorders>
            <w:shd w:val="clear" w:color="auto" w:fill="auto"/>
            <w:hideMark/>
          </w:tcPr>
          <w:p w:rsidR="00461796" w:rsidRPr="00FC60D2" w:rsidRDefault="00461796" w:rsidP="00BC5669">
            <w:pPr>
              <w:pStyle w:val="TableTextRight"/>
            </w:pPr>
            <w:r w:rsidRPr="00FC60D2">
              <w:t>0.94</w:t>
            </w:r>
          </w:p>
        </w:tc>
        <w:tc>
          <w:tcPr>
            <w:tcW w:w="873" w:type="dxa"/>
            <w:tcBorders>
              <w:top w:val="nil"/>
              <w:left w:val="nil"/>
              <w:bottom w:val="nil"/>
              <w:right w:val="nil"/>
            </w:tcBorders>
            <w:shd w:val="clear" w:color="auto" w:fill="auto"/>
            <w:hideMark/>
          </w:tcPr>
          <w:p w:rsidR="00461796" w:rsidRPr="00FC60D2" w:rsidRDefault="00461796" w:rsidP="00BC5669">
            <w:pPr>
              <w:pStyle w:val="TableTextRight"/>
            </w:pPr>
            <w:r w:rsidRPr="00FC60D2">
              <w:t>0.97</w:t>
            </w:r>
          </w:p>
        </w:tc>
        <w:tc>
          <w:tcPr>
            <w:tcW w:w="873" w:type="dxa"/>
            <w:tcBorders>
              <w:top w:val="nil"/>
              <w:left w:val="nil"/>
              <w:bottom w:val="nil"/>
              <w:right w:val="nil"/>
            </w:tcBorders>
          </w:tcPr>
          <w:p w:rsidR="00461796" w:rsidRPr="00FC60D2" w:rsidRDefault="00461796" w:rsidP="00BC5669">
            <w:pPr>
              <w:pStyle w:val="TableTextRight"/>
            </w:pPr>
            <w:r w:rsidRPr="00FC60D2">
              <w:t>1.05</w:t>
            </w:r>
          </w:p>
        </w:tc>
        <w:tc>
          <w:tcPr>
            <w:tcW w:w="873" w:type="dxa"/>
            <w:tcBorders>
              <w:top w:val="nil"/>
              <w:left w:val="nil"/>
              <w:bottom w:val="nil"/>
              <w:right w:val="nil"/>
            </w:tcBorders>
          </w:tcPr>
          <w:p w:rsidR="00461796" w:rsidRPr="00FC60D2" w:rsidRDefault="00461796" w:rsidP="00BC5669">
            <w:pPr>
              <w:pStyle w:val="TableTextRight"/>
            </w:pPr>
            <w:r w:rsidRPr="00FC60D2">
              <w:t>1.00</w:t>
            </w:r>
          </w:p>
        </w:tc>
        <w:tc>
          <w:tcPr>
            <w:tcW w:w="873" w:type="dxa"/>
            <w:tcBorders>
              <w:top w:val="nil"/>
              <w:left w:val="nil"/>
              <w:bottom w:val="nil"/>
              <w:right w:val="nil"/>
            </w:tcBorders>
          </w:tcPr>
          <w:p w:rsidR="00461796" w:rsidRPr="00FC60D2" w:rsidRDefault="00461796" w:rsidP="00BC5669">
            <w:pPr>
              <w:pStyle w:val="TableTextRight"/>
            </w:pPr>
            <w:r w:rsidRPr="00FC60D2">
              <w:t>1.135</w:t>
            </w:r>
          </w:p>
        </w:tc>
        <w:tc>
          <w:tcPr>
            <w:tcW w:w="873" w:type="dxa"/>
            <w:tcBorders>
              <w:top w:val="nil"/>
              <w:left w:val="nil"/>
              <w:bottom w:val="nil"/>
              <w:right w:val="nil"/>
            </w:tcBorders>
          </w:tcPr>
          <w:p w:rsidR="00461796" w:rsidRPr="00FC60D2" w:rsidRDefault="00461796" w:rsidP="00BC5669">
            <w:pPr>
              <w:pStyle w:val="TableTextRight"/>
            </w:pPr>
            <w:r w:rsidRPr="00FC60D2">
              <w:t>1.29</w:t>
            </w:r>
          </w:p>
        </w:tc>
        <w:tc>
          <w:tcPr>
            <w:tcW w:w="873" w:type="dxa"/>
            <w:tcBorders>
              <w:top w:val="nil"/>
              <w:left w:val="nil"/>
              <w:bottom w:val="nil"/>
              <w:right w:val="nil"/>
            </w:tcBorders>
          </w:tcPr>
          <w:p w:rsidR="00461796" w:rsidRPr="00FC60D2" w:rsidRDefault="00461796" w:rsidP="00BC5669">
            <w:pPr>
              <w:pStyle w:val="TableTextRight"/>
            </w:pPr>
            <w:r w:rsidRPr="00FC60D2">
              <w:t>1.67</w:t>
            </w:r>
          </w:p>
        </w:tc>
      </w:tr>
      <w:tr w:rsidR="00461796" w:rsidRPr="0084729D" w:rsidTr="00071545">
        <w:trPr>
          <w:trHeight w:val="300"/>
        </w:trPr>
        <w:tc>
          <w:tcPr>
            <w:tcW w:w="2812" w:type="dxa"/>
            <w:tcBorders>
              <w:top w:val="nil"/>
              <w:left w:val="nil"/>
              <w:bottom w:val="nil"/>
              <w:right w:val="nil"/>
            </w:tcBorders>
            <w:shd w:val="clear" w:color="auto" w:fill="auto"/>
            <w:vAlign w:val="bottom"/>
            <w:hideMark/>
          </w:tcPr>
          <w:p w:rsidR="00461796" w:rsidRPr="00FC60D2" w:rsidRDefault="00461796" w:rsidP="00BC5669">
            <w:pPr>
              <w:pStyle w:val="TableTextLeft"/>
            </w:pPr>
            <w:r w:rsidRPr="00FC60D2">
              <w:t>Tier 3 price ($/kL)</w:t>
            </w:r>
          </w:p>
        </w:tc>
        <w:tc>
          <w:tcPr>
            <w:tcW w:w="873" w:type="dxa"/>
            <w:tcBorders>
              <w:top w:val="nil"/>
              <w:left w:val="nil"/>
              <w:bottom w:val="nil"/>
              <w:right w:val="nil"/>
            </w:tcBorders>
            <w:shd w:val="clear" w:color="auto" w:fill="auto"/>
            <w:hideMark/>
          </w:tcPr>
          <w:p w:rsidR="00461796" w:rsidRPr="00FC60D2" w:rsidRDefault="00461796" w:rsidP="00BC5669">
            <w:pPr>
              <w:pStyle w:val="TableTextRight"/>
            </w:pPr>
          </w:p>
        </w:tc>
        <w:tc>
          <w:tcPr>
            <w:tcW w:w="1037" w:type="dxa"/>
            <w:tcBorders>
              <w:top w:val="nil"/>
              <w:left w:val="nil"/>
              <w:bottom w:val="nil"/>
              <w:right w:val="nil"/>
            </w:tcBorders>
            <w:shd w:val="clear" w:color="auto" w:fill="auto"/>
            <w:hideMark/>
          </w:tcPr>
          <w:p w:rsidR="00461796" w:rsidRPr="00FC60D2" w:rsidRDefault="00461796" w:rsidP="00BC5669">
            <w:pPr>
              <w:pStyle w:val="TableTextRight"/>
            </w:pPr>
          </w:p>
        </w:tc>
        <w:tc>
          <w:tcPr>
            <w:tcW w:w="873" w:type="dxa"/>
            <w:tcBorders>
              <w:top w:val="nil"/>
              <w:left w:val="nil"/>
              <w:bottom w:val="nil"/>
              <w:right w:val="nil"/>
            </w:tcBorders>
            <w:shd w:val="clear" w:color="auto" w:fill="auto"/>
            <w:hideMark/>
          </w:tcPr>
          <w:p w:rsidR="00461796" w:rsidRPr="00FC60D2" w:rsidRDefault="00461796" w:rsidP="00BC5669">
            <w:pPr>
              <w:pStyle w:val="TableTextRight"/>
            </w:pPr>
          </w:p>
        </w:tc>
        <w:tc>
          <w:tcPr>
            <w:tcW w:w="873" w:type="dxa"/>
            <w:tcBorders>
              <w:top w:val="nil"/>
              <w:left w:val="nil"/>
              <w:bottom w:val="nil"/>
              <w:right w:val="nil"/>
            </w:tcBorders>
            <w:shd w:val="clear" w:color="auto" w:fill="auto"/>
            <w:hideMark/>
          </w:tcPr>
          <w:p w:rsidR="00461796" w:rsidRPr="00FC60D2" w:rsidRDefault="00461796" w:rsidP="00BC5669">
            <w:pPr>
              <w:pStyle w:val="TableTextRight"/>
            </w:pPr>
          </w:p>
        </w:tc>
        <w:tc>
          <w:tcPr>
            <w:tcW w:w="873" w:type="dxa"/>
            <w:tcBorders>
              <w:top w:val="nil"/>
              <w:left w:val="nil"/>
              <w:bottom w:val="nil"/>
              <w:right w:val="nil"/>
            </w:tcBorders>
            <w:shd w:val="clear" w:color="auto" w:fill="auto"/>
            <w:hideMark/>
          </w:tcPr>
          <w:p w:rsidR="00461796" w:rsidRPr="00FC60D2" w:rsidRDefault="00461796" w:rsidP="00BC5669">
            <w:pPr>
              <w:pStyle w:val="TableTextRight"/>
            </w:pPr>
          </w:p>
        </w:tc>
        <w:tc>
          <w:tcPr>
            <w:tcW w:w="873" w:type="dxa"/>
            <w:tcBorders>
              <w:top w:val="nil"/>
              <w:left w:val="nil"/>
              <w:bottom w:val="nil"/>
              <w:right w:val="nil"/>
            </w:tcBorders>
          </w:tcPr>
          <w:p w:rsidR="00461796" w:rsidRPr="00FC60D2" w:rsidRDefault="00461796" w:rsidP="00BC5669">
            <w:pPr>
              <w:pStyle w:val="TableTextRight"/>
            </w:pPr>
          </w:p>
        </w:tc>
        <w:tc>
          <w:tcPr>
            <w:tcW w:w="873" w:type="dxa"/>
            <w:tcBorders>
              <w:top w:val="nil"/>
              <w:left w:val="nil"/>
              <w:bottom w:val="nil"/>
              <w:right w:val="nil"/>
            </w:tcBorders>
          </w:tcPr>
          <w:p w:rsidR="00461796" w:rsidRPr="00FC60D2" w:rsidRDefault="00461796" w:rsidP="00BC5669">
            <w:pPr>
              <w:pStyle w:val="TableTextRight"/>
            </w:pPr>
            <w:r w:rsidRPr="00FC60D2">
              <w:t>1.35</w:t>
            </w:r>
          </w:p>
        </w:tc>
        <w:tc>
          <w:tcPr>
            <w:tcW w:w="873" w:type="dxa"/>
            <w:tcBorders>
              <w:top w:val="nil"/>
              <w:left w:val="nil"/>
              <w:bottom w:val="nil"/>
              <w:right w:val="nil"/>
            </w:tcBorders>
          </w:tcPr>
          <w:p w:rsidR="00461796" w:rsidRPr="00FC60D2" w:rsidRDefault="00461796" w:rsidP="00BC5669">
            <w:pPr>
              <w:pStyle w:val="TableTextRight"/>
            </w:pPr>
            <w:r w:rsidRPr="00FC60D2">
              <w:t>1.53</w:t>
            </w:r>
          </w:p>
        </w:tc>
        <w:tc>
          <w:tcPr>
            <w:tcW w:w="873" w:type="dxa"/>
            <w:tcBorders>
              <w:top w:val="nil"/>
              <w:left w:val="nil"/>
              <w:bottom w:val="nil"/>
              <w:right w:val="nil"/>
            </w:tcBorders>
          </w:tcPr>
          <w:p w:rsidR="00461796" w:rsidRPr="00FC60D2" w:rsidRDefault="00461796" w:rsidP="00BC5669">
            <w:pPr>
              <w:pStyle w:val="TableTextRight"/>
            </w:pPr>
            <w:r w:rsidRPr="00FC60D2">
              <w:t>1.74</w:t>
            </w:r>
          </w:p>
        </w:tc>
        <w:tc>
          <w:tcPr>
            <w:tcW w:w="873" w:type="dxa"/>
            <w:tcBorders>
              <w:top w:val="nil"/>
              <w:left w:val="nil"/>
              <w:bottom w:val="nil"/>
              <w:right w:val="nil"/>
            </w:tcBorders>
          </w:tcPr>
          <w:p w:rsidR="00461796" w:rsidRPr="00FC60D2" w:rsidRDefault="00461796" w:rsidP="00BC5669">
            <w:pPr>
              <w:pStyle w:val="TableTextRight"/>
            </w:pPr>
            <w:r w:rsidRPr="00FC60D2">
              <w:t>2.57</w:t>
            </w:r>
          </w:p>
        </w:tc>
      </w:tr>
      <w:tr w:rsidR="00461796" w:rsidRPr="0084729D" w:rsidTr="00071545">
        <w:trPr>
          <w:trHeight w:val="300"/>
        </w:trPr>
        <w:tc>
          <w:tcPr>
            <w:tcW w:w="2812" w:type="dxa"/>
            <w:tcBorders>
              <w:top w:val="nil"/>
              <w:left w:val="nil"/>
              <w:bottom w:val="nil"/>
              <w:right w:val="nil"/>
            </w:tcBorders>
            <w:shd w:val="clear" w:color="auto" w:fill="auto"/>
            <w:vAlign w:val="bottom"/>
            <w:hideMark/>
          </w:tcPr>
          <w:p w:rsidR="00461796" w:rsidRPr="00FC60D2" w:rsidRDefault="00461796" w:rsidP="00793F1A">
            <w:pPr>
              <w:pStyle w:val="TableTextLeft"/>
            </w:pPr>
            <w:r w:rsidRPr="00FC60D2">
              <w:t xml:space="preserve">Plus </w:t>
            </w:r>
            <w:r w:rsidR="00DC1ED9">
              <w:t>water abstraction charge</w:t>
            </w:r>
            <w:r w:rsidRPr="00FC60D2">
              <w:t xml:space="preserve"> ($/kL)</w:t>
            </w:r>
            <w:r w:rsidR="00793F1A" w:rsidRPr="00793F1A">
              <w:rPr>
                <w:vertAlign w:val="superscript"/>
              </w:rPr>
              <w:t>(a)</w:t>
            </w:r>
          </w:p>
        </w:tc>
        <w:tc>
          <w:tcPr>
            <w:tcW w:w="873" w:type="dxa"/>
            <w:tcBorders>
              <w:top w:val="nil"/>
              <w:left w:val="nil"/>
              <w:bottom w:val="nil"/>
              <w:right w:val="nil"/>
            </w:tcBorders>
            <w:shd w:val="clear" w:color="auto" w:fill="auto"/>
            <w:hideMark/>
          </w:tcPr>
          <w:p w:rsidR="00461796" w:rsidRPr="00FC60D2" w:rsidRDefault="00461796" w:rsidP="00BC5669">
            <w:pPr>
              <w:pStyle w:val="TableTextRight"/>
            </w:pPr>
          </w:p>
        </w:tc>
        <w:tc>
          <w:tcPr>
            <w:tcW w:w="1037" w:type="dxa"/>
            <w:tcBorders>
              <w:top w:val="nil"/>
              <w:left w:val="nil"/>
              <w:bottom w:val="nil"/>
              <w:right w:val="nil"/>
            </w:tcBorders>
            <w:shd w:val="clear" w:color="auto" w:fill="auto"/>
            <w:hideMark/>
          </w:tcPr>
          <w:p w:rsidR="00461796" w:rsidRPr="00FC60D2" w:rsidRDefault="00461796" w:rsidP="00BC5669">
            <w:pPr>
              <w:pStyle w:val="TableTextRight"/>
            </w:pPr>
            <w:r w:rsidRPr="00FC60D2">
              <w:t>0.10</w:t>
            </w:r>
          </w:p>
        </w:tc>
        <w:tc>
          <w:tcPr>
            <w:tcW w:w="873" w:type="dxa"/>
            <w:tcBorders>
              <w:top w:val="nil"/>
              <w:left w:val="nil"/>
              <w:bottom w:val="nil"/>
              <w:right w:val="nil"/>
            </w:tcBorders>
            <w:shd w:val="clear" w:color="auto" w:fill="auto"/>
            <w:hideMark/>
          </w:tcPr>
          <w:p w:rsidR="00461796" w:rsidRPr="00FC60D2" w:rsidRDefault="00461796" w:rsidP="00BC5669">
            <w:pPr>
              <w:pStyle w:val="TableTextRight"/>
            </w:pPr>
            <w:r w:rsidRPr="00FC60D2">
              <w:t>0.10</w:t>
            </w:r>
          </w:p>
        </w:tc>
        <w:tc>
          <w:tcPr>
            <w:tcW w:w="873" w:type="dxa"/>
            <w:tcBorders>
              <w:top w:val="nil"/>
              <w:left w:val="nil"/>
              <w:bottom w:val="nil"/>
              <w:right w:val="nil"/>
            </w:tcBorders>
            <w:shd w:val="clear" w:color="auto" w:fill="auto"/>
            <w:hideMark/>
          </w:tcPr>
          <w:p w:rsidR="00461796" w:rsidRPr="00FC60D2" w:rsidRDefault="00461796" w:rsidP="00BC5669">
            <w:pPr>
              <w:pStyle w:val="TableTextRight"/>
            </w:pPr>
            <w:r w:rsidRPr="00FC60D2">
              <w:t>0.10</w:t>
            </w:r>
          </w:p>
        </w:tc>
        <w:tc>
          <w:tcPr>
            <w:tcW w:w="873" w:type="dxa"/>
            <w:tcBorders>
              <w:top w:val="nil"/>
              <w:left w:val="nil"/>
              <w:bottom w:val="nil"/>
              <w:right w:val="nil"/>
            </w:tcBorders>
            <w:shd w:val="clear" w:color="auto" w:fill="auto"/>
            <w:hideMark/>
          </w:tcPr>
          <w:p w:rsidR="00461796" w:rsidRPr="00FC60D2" w:rsidRDefault="00461796" w:rsidP="00BC5669">
            <w:pPr>
              <w:pStyle w:val="TableTextRight"/>
            </w:pPr>
            <w:r w:rsidRPr="00FC60D2">
              <w:t>0.10</w:t>
            </w:r>
          </w:p>
        </w:tc>
        <w:tc>
          <w:tcPr>
            <w:tcW w:w="873" w:type="dxa"/>
            <w:tcBorders>
              <w:top w:val="nil"/>
              <w:left w:val="nil"/>
              <w:bottom w:val="nil"/>
              <w:right w:val="nil"/>
            </w:tcBorders>
          </w:tcPr>
          <w:p w:rsidR="00461796" w:rsidRPr="00FC60D2" w:rsidRDefault="00461796" w:rsidP="00BC5669">
            <w:pPr>
              <w:pStyle w:val="TableTextRight"/>
            </w:pPr>
            <w:r w:rsidRPr="00FC60D2">
              <w:t>0.15</w:t>
            </w:r>
          </w:p>
        </w:tc>
        <w:tc>
          <w:tcPr>
            <w:tcW w:w="873" w:type="dxa"/>
            <w:tcBorders>
              <w:top w:val="nil"/>
              <w:left w:val="nil"/>
              <w:bottom w:val="nil"/>
              <w:right w:val="nil"/>
            </w:tcBorders>
          </w:tcPr>
          <w:p w:rsidR="00461796" w:rsidRPr="00FC60D2" w:rsidRDefault="00461796" w:rsidP="00BC5669">
            <w:pPr>
              <w:pStyle w:val="TableTextRight"/>
            </w:pPr>
            <w:r w:rsidRPr="00FC60D2">
              <w:t>0.20</w:t>
            </w:r>
          </w:p>
        </w:tc>
        <w:tc>
          <w:tcPr>
            <w:tcW w:w="873" w:type="dxa"/>
            <w:tcBorders>
              <w:top w:val="nil"/>
              <w:left w:val="nil"/>
              <w:bottom w:val="nil"/>
              <w:right w:val="nil"/>
            </w:tcBorders>
          </w:tcPr>
          <w:p w:rsidR="00461796" w:rsidRPr="00FC60D2" w:rsidRDefault="00461796" w:rsidP="00BC5669">
            <w:pPr>
              <w:pStyle w:val="TableTextRight"/>
            </w:pPr>
            <w:r w:rsidRPr="00FC60D2">
              <w:t>0.25</w:t>
            </w:r>
          </w:p>
        </w:tc>
        <w:tc>
          <w:tcPr>
            <w:tcW w:w="873" w:type="dxa"/>
            <w:tcBorders>
              <w:top w:val="nil"/>
              <w:left w:val="nil"/>
              <w:bottom w:val="nil"/>
              <w:right w:val="nil"/>
            </w:tcBorders>
          </w:tcPr>
          <w:p w:rsidR="00461796" w:rsidRPr="00FC60D2" w:rsidRDefault="00461796" w:rsidP="00BC5669">
            <w:pPr>
              <w:pStyle w:val="TableTextRight"/>
            </w:pPr>
            <w:r w:rsidRPr="00FC60D2">
              <w:t>0.55</w:t>
            </w:r>
          </w:p>
        </w:tc>
        <w:tc>
          <w:tcPr>
            <w:tcW w:w="873" w:type="dxa"/>
            <w:tcBorders>
              <w:top w:val="nil"/>
              <w:left w:val="nil"/>
              <w:bottom w:val="nil"/>
              <w:right w:val="nil"/>
            </w:tcBorders>
          </w:tcPr>
          <w:p w:rsidR="00461796" w:rsidRPr="00FC60D2" w:rsidRDefault="00461796" w:rsidP="00BC5669">
            <w:pPr>
              <w:pStyle w:val="TableTextRight"/>
            </w:pPr>
            <w:r w:rsidRPr="00FC60D2">
              <w:t>0.55</w:t>
            </w:r>
          </w:p>
        </w:tc>
      </w:tr>
      <w:tr w:rsidR="00461796" w:rsidRPr="0084729D" w:rsidTr="00071545">
        <w:trPr>
          <w:trHeight w:val="300"/>
        </w:trPr>
        <w:tc>
          <w:tcPr>
            <w:tcW w:w="2812" w:type="dxa"/>
            <w:tcBorders>
              <w:top w:val="nil"/>
              <w:left w:val="nil"/>
              <w:bottom w:val="nil"/>
              <w:right w:val="nil"/>
            </w:tcBorders>
            <w:shd w:val="clear" w:color="auto" w:fill="auto"/>
            <w:vAlign w:val="bottom"/>
            <w:hideMark/>
          </w:tcPr>
          <w:p w:rsidR="00461796" w:rsidRPr="00FC60D2" w:rsidRDefault="00461796" w:rsidP="00BC5669">
            <w:pPr>
              <w:pStyle w:val="TableTextLeft"/>
            </w:pPr>
          </w:p>
        </w:tc>
        <w:tc>
          <w:tcPr>
            <w:tcW w:w="873" w:type="dxa"/>
            <w:tcBorders>
              <w:top w:val="nil"/>
              <w:left w:val="nil"/>
              <w:bottom w:val="nil"/>
              <w:right w:val="nil"/>
            </w:tcBorders>
            <w:shd w:val="clear" w:color="auto" w:fill="auto"/>
            <w:hideMark/>
          </w:tcPr>
          <w:p w:rsidR="00461796" w:rsidRPr="00FC60D2" w:rsidRDefault="00461796" w:rsidP="00BC5669">
            <w:pPr>
              <w:pStyle w:val="TableTextRight"/>
            </w:pPr>
          </w:p>
        </w:tc>
        <w:tc>
          <w:tcPr>
            <w:tcW w:w="1037" w:type="dxa"/>
            <w:tcBorders>
              <w:top w:val="nil"/>
              <w:left w:val="nil"/>
              <w:bottom w:val="nil"/>
              <w:right w:val="nil"/>
            </w:tcBorders>
            <w:shd w:val="clear" w:color="auto" w:fill="auto"/>
            <w:hideMark/>
          </w:tcPr>
          <w:p w:rsidR="00461796" w:rsidRPr="00FC60D2" w:rsidRDefault="00461796" w:rsidP="00BC5669">
            <w:pPr>
              <w:pStyle w:val="TableTextRight"/>
            </w:pPr>
          </w:p>
        </w:tc>
        <w:tc>
          <w:tcPr>
            <w:tcW w:w="873" w:type="dxa"/>
            <w:tcBorders>
              <w:top w:val="nil"/>
              <w:left w:val="nil"/>
              <w:bottom w:val="nil"/>
              <w:right w:val="nil"/>
            </w:tcBorders>
            <w:shd w:val="clear" w:color="auto" w:fill="auto"/>
            <w:hideMark/>
          </w:tcPr>
          <w:p w:rsidR="00461796" w:rsidRPr="00FC60D2" w:rsidRDefault="00461796" w:rsidP="00BC5669">
            <w:pPr>
              <w:pStyle w:val="TableTextRight"/>
            </w:pPr>
          </w:p>
        </w:tc>
        <w:tc>
          <w:tcPr>
            <w:tcW w:w="873" w:type="dxa"/>
            <w:tcBorders>
              <w:top w:val="nil"/>
              <w:left w:val="nil"/>
              <w:bottom w:val="nil"/>
              <w:right w:val="nil"/>
            </w:tcBorders>
            <w:shd w:val="clear" w:color="auto" w:fill="auto"/>
            <w:hideMark/>
          </w:tcPr>
          <w:p w:rsidR="00461796" w:rsidRPr="00FC60D2" w:rsidRDefault="00461796" w:rsidP="00BC5669">
            <w:pPr>
              <w:pStyle w:val="TableTextRight"/>
            </w:pPr>
          </w:p>
        </w:tc>
        <w:tc>
          <w:tcPr>
            <w:tcW w:w="873" w:type="dxa"/>
            <w:tcBorders>
              <w:top w:val="nil"/>
              <w:left w:val="nil"/>
              <w:bottom w:val="nil"/>
              <w:right w:val="nil"/>
            </w:tcBorders>
            <w:shd w:val="clear" w:color="auto" w:fill="auto"/>
            <w:hideMark/>
          </w:tcPr>
          <w:p w:rsidR="00461796" w:rsidRPr="00FC60D2" w:rsidRDefault="00461796" w:rsidP="00BC5669">
            <w:pPr>
              <w:pStyle w:val="TableTextRight"/>
            </w:pPr>
          </w:p>
        </w:tc>
        <w:tc>
          <w:tcPr>
            <w:tcW w:w="873" w:type="dxa"/>
            <w:tcBorders>
              <w:top w:val="nil"/>
              <w:left w:val="nil"/>
              <w:bottom w:val="nil"/>
              <w:right w:val="nil"/>
            </w:tcBorders>
          </w:tcPr>
          <w:p w:rsidR="00461796" w:rsidRPr="00FC60D2" w:rsidRDefault="00461796" w:rsidP="00BC5669">
            <w:pPr>
              <w:pStyle w:val="TableTextRight"/>
            </w:pPr>
          </w:p>
        </w:tc>
        <w:tc>
          <w:tcPr>
            <w:tcW w:w="873" w:type="dxa"/>
            <w:tcBorders>
              <w:top w:val="nil"/>
              <w:left w:val="nil"/>
              <w:bottom w:val="nil"/>
              <w:right w:val="nil"/>
            </w:tcBorders>
          </w:tcPr>
          <w:p w:rsidR="00461796" w:rsidRPr="00FC60D2" w:rsidRDefault="00461796" w:rsidP="00BC5669">
            <w:pPr>
              <w:pStyle w:val="TableTextRight"/>
            </w:pPr>
          </w:p>
        </w:tc>
        <w:tc>
          <w:tcPr>
            <w:tcW w:w="873" w:type="dxa"/>
            <w:tcBorders>
              <w:top w:val="nil"/>
              <w:left w:val="nil"/>
              <w:bottom w:val="nil"/>
              <w:right w:val="nil"/>
            </w:tcBorders>
          </w:tcPr>
          <w:p w:rsidR="00461796" w:rsidRPr="00FC60D2" w:rsidRDefault="00461796" w:rsidP="00BC5669">
            <w:pPr>
              <w:pStyle w:val="TableTextRight"/>
            </w:pPr>
          </w:p>
        </w:tc>
        <w:tc>
          <w:tcPr>
            <w:tcW w:w="873" w:type="dxa"/>
            <w:tcBorders>
              <w:top w:val="nil"/>
              <w:left w:val="nil"/>
              <w:bottom w:val="nil"/>
              <w:right w:val="nil"/>
            </w:tcBorders>
          </w:tcPr>
          <w:p w:rsidR="00461796" w:rsidRPr="00FC60D2" w:rsidRDefault="00461796" w:rsidP="00BC5669">
            <w:pPr>
              <w:pStyle w:val="TableTextRight"/>
            </w:pPr>
          </w:p>
        </w:tc>
        <w:tc>
          <w:tcPr>
            <w:tcW w:w="873" w:type="dxa"/>
            <w:tcBorders>
              <w:top w:val="nil"/>
              <w:left w:val="nil"/>
              <w:bottom w:val="nil"/>
              <w:right w:val="nil"/>
            </w:tcBorders>
          </w:tcPr>
          <w:p w:rsidR="00461796" w:rsidRPr="00FC60D2" w:rsidRDefault="00461796" w:rsidP="00BC5669">
            <w:pPr>
              <w:pStyle w:val="TableTextRight"/>
            </w:pPr>
          </w:p>
        </w:tc>
      </w:tr>
      <w:tr w:rsidR="00461796" w:rsidRPr="0084729D" w:rsidTr="00071545">
        <w:trPr>
          <w:trHeight w:val="300"/>
        </w:trPr>
        <w:tc>
          <w:tcPr>
            <w:tcW w:w="2812" w:type="dxa"/>
            <w:tcBorders>
              <w:top w:val="nil"/>
              <w:left w:val="nil"/>
              <w:bottom w:val="nil"/>
              <w:right w:val="nil"/>
            </w:tcBorders>
            <w:shd w:val="clear" w:color="auto" w:fill="auto"/>
            <w:vAlign w:val="bottom"/>
            <w:hideMark/>
          </w:tcPr>
          <w:p w:rsidR="00461796" w:rsidRPr="00FC60D2" w:rsidRDefault="00461796" w:rsidP="00BC5669">
            <w:pPr>
              <w:pStyle w:val="TableTextLeft"/>
            </w:pPr>
            <w:r w:rsidRPr="00FC60D2">
              <w:t xml:space="preserve">First consumption step </w:t>
            </w:r>
            <w:r w:rsidR="00793F1A">
              <w:t>(</w:t>
            </w:r>
            <w:r w:rsidRPr="00FC60D2">
              <w:t>kL/a</w:t>
            </w:r>
            <w:r w:rsidR="00793F1A">
              <w:t>)</w:t>
            </w:r>
          </w:p>
        </w:tc>
        <w:tc>
          <w:tcPr>
            <w:tcW w:w="873" w:type="dxa"/>
            <w:tcBorders>
              <w:top w:val="nil"/>
              <w:left w:val="nil"/>
              <w:bottom w:val="nil"/>
              <w:right w:val="nil"/>
            </w:tcBorders>
            <w:shd w:val="clear" w:color="auto" w:fill="auto"/>
            <w:hideMark/>
          </w:tcPr>
          <w:p w:rsidR="00461796" w:rsidRPr="00FC60D2" w:rsidRDefault="00461796" w:rsidP="00BC5669">
            <w:pPr>
              <w:pStyle w:val="TableTextRight"/>
            </w:pPr>
            <w:r w:rsidRPr="00FC60D2">
              <w:t>300</w:t>
            </w:r>
          </w:p>
        </w:tc>
        <w:tc>
          <w:tcPr>
            <w:tcW w:w="1037" w:type="dxa"/>
            <w:tcBorders>
              <w:top w:val="nil"/>
              <w:left w:val="nil"/>
              <w:bottom w:val="nil"/>
              <w:right w:val="nil"/>
            </w:tcBorders>
            <w:shd w:val="clear" w:color="auto" w:fill="auto"/>
            <w:hideMark/>
          </w:tcPr>
          <w:p w:rsidR="00461796" w:rsidRPr="00FC60D2" w:rsidRDefault="00461796" w:rsidP="00BC5669">
            <w:pPr>
              <w:pStyle w:val="TableTextRight"/>
            </w:pPr>
            <w:r w:rsidRPr="00FC60D2">
              <w:t>275</w:t>
            </w:r>
          </w:p>
        </w:tc>
        <w:tc>
          <w:tcPr>
            <w:tcW w:w="873" w:type="dxa"/>
            <w:tcBorders>
              <w:top w:val="nil"/>
              <w:left w:val="nil"/>
              <w:bottom w:val="nil"/>
              <w:right w:val="nil"/>
            </w:tcBorders>
            <w:shd w:val="clear" w:color="auto" w:fill="auto"/>
            <w:hideMark/>
          </w:tcPr>
          <w:p w:rsidR="00461796" w:rsidRPr="00FC60D2" w:rsidRDefault="00461796" w:rsidP="00BC5669">
            <w:pPr>
              <w:pStyle w:val="TableTextRight"/>
            </w:pPr>
            <w:r w:rsidRPr="00FC60D2">
              <w:t>250</w:t>
            </w:r>
          </w:p>
        </w:tc>
        <w:tc>
          <w:tcPr>
            <w:tcW w:w="873" w:type="dxa"/>
            <w:tcBorders>
              <w:top w:val="nil"/>
              <w:left w:val="nil"/>
              <w:bottom w:val="nil"/>
              <w:right w:val="nil"/>
            </w:tcBorders>
            <w:shd w:val="clear" w:color="auto" w:fill="auto"/>
            <w:hideMark/>
          </w:tcPr>
          <w:p w:rsidR="00461796" w:rsidRPr="00FC60D2" w:rsidRDefault="00461796" w:rsidP="00BC5669">
            <w:pPr>
              <w:pStyle w:val="TableTextRight"/>
            </w:pPr>
            <w:r w:rsidRPr="00FC60D2">
              <w:t>225</w:t>
            </w:r>
          </w:p>
        </w:tc>
        <w:tc>
          <w:tcPr>
            <w:tcW w:w="873" w:type="dxa"/>
            <w:tcBorders>
              <w:top w:val="nil"/>
              <w:left w:val="nil"/>
              <w:bottom w:val="nil"/>
              <w:right w:val="nil"/>
            </w:tcBorders>
            <w:shd w:val="clear" w:color="auto" w:fill="auto"/>
            <w:hideMark/>
          </w:tcPr>
          <w:p w:rsidR="00461796" w:rsidRPr="00FC60D2" w:rsidRDefault="00461796" w:rsidP="00BC5669">
            <w:pPr>
              <w:pStyle w:val="TableTextRight"/>
            </w:pPr>
            <w:r w:rsidRPr="00FC60D2">
              <w:t>200</w:t>
            </w:r>
          </w:p>
        </w:tc>
        <w:tc>
          <w:tcPr>
            <w:tcW w:w="873" w:type="dxa"/>
            <w:tcBorders>
              <w:top w:val="nil"/>
              <w:left w:val="nil"/>
              <w:bottom w:val="nil"/>
              <w:right w:val="nil"/>
            </w:tcBorders>
          </w:tcPr>
          <w:p w:rsidR="00461796" w:rsidRPr="00FC60D2" w:rsidRDefault="00461796" w:rsidP="00BC5669">
            <w:pPr>
              <w:pStyle w:val="TableTextRight"/>
            </w:pPr>
            <w:r w:rsidRPr="00FC60D2">
              <w:t>175</w:t>
            </w:r>
          </w:p>
        </w:tc>
        <w:tc>
          <w:tcPr>
            <w:tcW w:w="873" w:type="dxa"/>
            <w:tcBorders>
              <w:top w:val="nil"/>
              <w:left w:val="nil"/>
              <w:bottom w:val="nil"/>
              <w:right w:val="nil"/>
            </w:tcBorders>
          </w:tcPr>
          <w:p w:rsidR="00461796" w:rsidRPr="00FC60D2" w:rsidRDefault="00461796" w:rsidP="00BC5669">
            <w:pPr>
              <w:pStyle w:val="TableTextRight"/>
            </w:pPr>
            <w:r w:rsidRPr="00FC60D2">
              <w:t>100</w:t>
            </w:r>
          </w:p>
        </w:tc>
        <w:tc>
          <w:tcPr>
            <w:tcW w:w="873" w:type="dxa"/>
            <w:tcBorders>
              <w:top w:val="nil"/>
              <w:left w:val="nil"/>
              <w:bottom w:val="nil"/>
              <w:right w:val="nil"/>
            </w:tcBorders>
          </w:tcPr>
          <w:p w:rsidR="00461796" w:rsidRPr="00FC60D2" w:rsidRDefault="00461796" w:rsidP="00BC5669">
            <w:pPr>
              <w:pStyle w:val="TableTextRight"/>
            </w:pPr>
            <w:r w:rsidRPr="00FC60D2">
              <w:t>100</w:t>
            </w:r>
          </w:p>
        </w:tc>
        <w:tc>
          <w:tcPr>
            <w:tcW w:w="873" w:type="dxa"/>
            <w:tcBorders>
              <w:top w:val="nil"/>
              <w:left w:val="nil"/>
              <w:bottom w:val="nil"/>
              <w:right w:val="nil"/>
            </w:tcBorders>
          </w:tcPr>
          <w:p w:rsidR="00461796" w:rsidRPr="00FC60D2" w:rsidRDefault="00461796" w:rsidP="00BC5669">
            <w:pPr>
              <w:pStyle w:val="TableTextRight"/>
            </w:pPr>
            <w:r w:rsidRPr="00FC60D2">
              <w:t>100</w:t>
            </w:r>
          </w:p>
        </w:tc>
        <w:tc>
          <w:tcPr>
            <w:tcW w:w="873" w:type="dxa"/>
            <w:tcBorders>
              <w:top w:val="nil"/>
              <w:left w:val="nil"/>
              <w:bottom w:val="nil"/>
              <w:right w:val="nil"/>
            </w:tcBorders>
          </w:tcPr>
          <w:p w:rsidR="00461796" w:rsidRPr="00FC60D2" w:rsidRDefault="00461796" w:rsidP="00BC5669">
            <w:pPr>
              <w:pStyle w:val="TableTextRight"/>
            </w:pPr>
            <w:r w:rsidRPr="00FC60D2">
              <w:t>100</w:t>
            </w:r>
          </w:p>
        </w:tc>
      </w:tr>
      <w:tr w:rsidR="00461796" w:rsidRPr="0084729D" w:rsidTr="00071545">
        <w:trPr>
          <w:trHeight w:val="315"/>
        </w:trPr>
        <w:tc>
          <w:tcPr>
            <w:tcW w:w="2812" w:type="dxa"/>
            <w:tcBorders>
              <w:top w:val="nil"/>
              <w:left w:val="nil"/>
              <w:right w:val="nil"/>
            </w:tcBorders>
            <w:shd w:val="clear" w:color="auto" w:fill="auto"/>
            <w:vAlign w:val="bottom"/>
            <w:hideMark/>
          </w:tcPr>
          <w:p w:rsidR="00461796" w:rsidRPr="00FC60D2" w:rsidRDefault="00461796" w:rsidP="00BC5669">
            <w:pPr>
              <w:pStyle w:val="TableTextLeft"/>
            </w:pPr>
            <w:r w:rsidRPr="00FC60D2">
              <w:t>Second step (kL/a)</w:t>
            </w:r>
          </w:p>
        </w:tc>
        <w:tc>
          <w:tcPr>
            <w:tcW w:w="873" w:type="dxa"/>
            <w:tcBorders>
              <w:top w:val="nil"/>
              <w:left w:val="nil"/>
              <w:right w:val="nil"/>
            </w:tcBorders>
            <w:shd w:val="clear" w:color="auto" w:fill="auto"/>
            <w:hideMark/>
          </w:tcPr>
          <w:p w:rsidR="00461796" w:rsidRPr="00FC60D2" w:rsidRDefault="00461796" w:rsidP="00BC5669">
            <w:pPr>
              <w:pStyle w:val="TableTextRight"/>
            </w:pPr>
          </w:p>
        </w:tc>
        <w:tc>
          <w:tcPr>
            <w:tcW w:w="1037" w:type="dxa"/>
            <w:tcBorders>
              <w:top w:val="nil"/>
              <w:left w:val="nil"/>
              <w:right w:val="nil"/>
            </w:tcBorders>
            <w:shd w:val="clear" w:color="auto" w:fill="auto"/>
            <w:hideMark/>
          </w:tcPr>
          <w:p w:rsidR="00461796" w:rsidRPr="00FC60D2" w:rsidRDefault="00461796" w:rsidP="00BC5669">
            <w:pPr>
              <w:pStyle w:val="TableTextRight"/>
            </w:pPr>
          </w:p>
        </w:tc>
        <w:tc>
          <w:tcPr>
            <w:tcW w:w="873" w:type="dxa"/>
            <w:tcBorders>
              <w:top w:val="nil"/>
              <w:left w:val="nil"/>
              <w:right w:val="nil"/>
            </w:tcBorders>
            <w:shd w:val="clear" w:color="auto" w:fill="auto"/>
            <w:hideMark/>
          </w:tcPr>
          <w:p w:rsidR="00461796" w:rsidRPr="00FC60D2" w:rsidRDefault="00461796" w:rsidP="00BC5669">
            <w:pPr>
              <w:pStyle w:val="TableTextRight"/>
            </w:pPr>
          </w:p>
        </w:tc>
        <w:tc>
          <w:tcPr>
            <w:tcW w:w="873" w:type="dxa"/>
            <w:tcBorders>
              <w:top w:val="nil"/>
              <w:left w:val="nil"/>
              <w:right w:val="nil"/>
            </w:tcBorders>
            <w:shd w:val="clear" w:color="auto" w:fill="auto"/>
            <w:hideMark/>
          </w:tcPr>
          <w:p w:rsidR="00461796" w:rsidRPr="00FC60D2" w:rsidRDefault="00461796" w:rsidP="00BC5669">
            <w:pPr>
              <w:pStyle w:val="TableTextRight"/>
            </w:pPr>
          </w:p>
        </w:tc>
        <w:tc>
          <w:tcPr>
            <w:tcW w:w="873" w:type="dxa"/>
            <w:tcBorders>
              <w:top w:val="nil"/>
              <w:left w:val="nil"/>
              <w:right w:val="nil"/>
            </w:tcBorders>
            <w:shd w:val="clear" w:color="auto" w:fill="auto"/>
            <w:hideMark/>
          </w:tcPr>
          <w:p w:rsidR="00461796" w:rsidRPr="00FC60D2" w:rsidRDefault="00461796" w:rsidP="00BC5669">
            <w:pPr>
              <w:pStyle w:val="TableTextRight"/>
            </w:pPr>
          </w:p>
        </w:tc>
        <w:tc>
          <w:tcPr>
            <w:tcW w:w="873" w:type="dxa"/>
            <w:tcBorders>
              <w:top w:val="nil"/>
              <w:left w:val="nil"/>
              <w:right w:val="nil"/>
            </w:tcBorders>
          </w:tcPr>
          <w:p w:rsidR="00461796" w:rsidRPr="00FC60D2" w:rsidRDefault="00461796" w:rsidP="00BC5669">
            <w:pPr>
              <w:pStyle w:val="TableTextRight"/>
            </w:pPr>
          </w:p>
        </w:tc>
        <w:tc>
          <w:tcPr>
            <w:tcW w:w="873" w:type="dxa"/>
            <w:tcBorders>
              <w:top w:val="nil"/>
              <w:left w:val="nil"/>
              <w:right w:val="nil"/>
            </w:tcBorders>
          </w:tcPr>
          <w:p w:rsidR="00461796" w:rsidRPr="00FC60D2" w:rsidRDefault="00461796" w:rsidP="00BC5669">
            <w:pPr>
              <w:pStyle w:val="TableTextRight"/>
            </w:pPr>
            <w:r w:rsidRPr="00FC60D2">
              <w:t>300</w:t>
            </w:r>
          </w:p>
        </w:tc>
        <w:tc>
          <w:tcPr>
            <w:tcW w:w="873" w:type="dxa"/>
            <w:tcBorders>
              <w:top w:val="nil"/>
              <w:left w:val="nil"/>
              <w:right w:val="nil"/>
            </w:tcBorders>
          </w:tcPr>
          <w:p w:rsidR="00461796" w:rsidRPr="00FC60D2" w:rsidRDefault="00461796" w:rsidP="00BC5669">
            <w:pPr>
              <w:pStyle w:val="TableTextRight"/>
            </w:pPr>
            <w:r w:rsidRPr="00FC60D2">
              <w:t>300</w:t>
            </w:r>
          </w:p>
        </w:tc>
        <w:tc>
          <w:tcPr>
            <w:tcW w:w="873" w:type="dxa"/>
            <w:tcBorders>
              <w:top w:val="nil"/>
              <w:left w:val="nil"/>
              <w:right w:val="nil"/>
            </w:tcBorders>
          </w:tcPr>
          <w:p w:rsidR="00461796" w:rsidRPr="00FC60D2" w:rsidRDefault="00461796" w:rsidP="00BC5669">
            <w:pPr>
              <w:pStyle w:val="TableTextRight"/>
            </w:pPr>
            <w:r w:rsidRPr="00FC60D2">
              <w:t>300</w:t>
            </w:r>
          </w:p>
        </w:tc>
        <w:tc>
          <w:tcPr>
            <w:tcW w:w="873" w:type="dxa"/>
            <w:tcBorders>
              <w:top w:val="nil"/>
              <w:left w:val="nil"/>
              <w:right w:val="nil"/>
            </w:tcBorders>
          </w:tcPr>
          <w:p w:rsidR="00461796" w:rsidRPr="00FC60D2" w:rsidRDefault="00461796" w:rsidP="00BC5669">
            <w:pPr>
              <w:pStyle w:val="TableTextRight"/>
            </w:pPr>
            <w:r w:rsidRPr="00FC60D2">
              <w:t>300</w:t>
            </w:r>
          </w:p>
        </w:tc>
      </w:tr>
      <w:tr w:rsidR="00461796" w:rsidRPr="0084729D" w:rsidTr="00071545">
        <w:trPr>
          <w:trHeight w:val="315"/>
        </w:trPr>
        <w:tc>
          <w:tcPr>
            <w:tcW w:w="2812" w:type="dxa"/>
            <w:tcBorders>
              <w:top w:val="single" w:sz="12" w:space="0" w:color="1F497D"/>
              <w:left w:val="nil"/>
              <w:bottom w:val="single" w:sz="8" w:space="0" w:color="1F497D"/>
              <w:right w:val="nil"/>
            </w:tcBorders>
            <w:shd w:val="clear" w:color="000000" w:fill="DBE5F1"/>
            <w:vAlign w:val="bottom"/>
            <w:hideMark/>
          </w:tcPr>
          <w:p w:rsidR="00461796" w:rsidRPr="00542C27" w:rsidRDefault="00461796" w:rsidP="00BC5669"/>
        </w:tc>
        <w:tc>
          <w:tcPr>
            <w:tcW w:w="873" w:type="dxa"/>
            <w:tcBorders>
              <w:top w:val="single" w:sz="12" w:space="0" w:color="1F497D"/>
              <w:left w:val="nil"/>
              <w:bottom w:val="single" w:sz="8" w:space="0" w:color="1F497D"/>
              <w:right w:val="nil"/>
            </w:tcBorders>
            <w:shd w:val="clear" w:color="000000" w:fill="DBE5F1"/>
            <w:hideMark/>
          </w:tcPr>
          <w:p w:rsidR="00461796" w:rsidRPr="00542C27" w:rsidRDefault="00461796" w:rsidP="00BC5669">
            <w:pPr>
              <w:pStyle w:val="TableHeadingRight"/>
            </w:pPr>
            <w:r w:rsidRPr="00542C27">
              <w:t>2008–09</w:t>
            </w:r>
          </w:p>
        </w:tc>
        <w:tc>
          <w:tcPr>
            <w:tcW w:w="1037" w:type="dxa"/>
            <w:tcBorders>
              <w:top w:val="single" w:sz="12" w:space="0" w:color="1F497D"/>
              <w:left w:val="nil"/>
              <w:bottom w:val="single" w:sz="8" w:space="0" w:color="1F497D"/>
              <w:right w:val="nil"/>
            </w:tcBorders>
            <w:shd w:val="clear" w:color="000000" w:fill="DBE5F1"/>
            <w:hideMark/>
          </w:tcPr>
          <w:p w:rsidR="00461796" w:rsidRPr="00542C27" w:rsidRDefault="00461796" w:rsidP="00BC5669">
            <w:pPr>
              <w:pStyle w:val="TableHeadingRight"/>
            </w:pPr>
            <w:r w:rsidRPr="00542C27">
              <w:t>2009–10</w:t>
            </w:r>
          </w:p>
        </w:tc>
        <w:tc>
          <w:tcPr>
            <w:tcW w:w="873" w:type="dxa"/>
            <w:tcBorders>
              <w:top w:val="single" w:sz="12" w:space="0" w:color="1F497D"/>
              <w:left w:val="nil"/>
              <w:bottom w:val="single" w:sz="8" w:space="0" w:color="1F497D"/>
              <w:right w:val="nil"/>
            </w:tcBorders>
            <w:shd w:val="clear" w:color="000000" w:fill="DBE5F1"/>
            <w:hideMark/>
          </w:tcPr>
          <w:p w:rsidR="00461796" w:rsidRPr="00542C27" w:rsidRDefault="00461796" w:rsidP="00BC5669">
            <w:pPr>
              <w:pStyle w:val="TableHeadingRight"/>
            </w:pPr>
            <w:r w:rsidRPr="00542C27">
              <w:t>2010–11</w:t>
            </w:r>
          </w:p>
        </w:tc>
        <w:tc>
          <w:tcPr>
            <w:tcW w:w="873" w:type="dxa"/>
            <w:tcBorders>
              <w:top w:val="single" w:sz="12" w:space="0" w:color="1F497D"/>
              <w:left w:val="nil"/>
              <w:bottom w:val="single" w:sz="8" w:space="0" w:color="1F497D"/>
              <w:right w:val="nil"/>
            </w:tcBorders>
            <w:shd w:val="clear" w:color="000000" w:fill="DBE5F1"/>
            <w:hideMark/>
          </w:tcPr>
          <w:p w:rsidR="00461796" w:rsidRPr="00542C27" w:rsidRDefault="00461796" w:rsidP="00BC5669">
            <w:pPr>
              <w:pStyle w:val="TableHeadingRight"/>
            </w:pPr>
            <w:r w:rsidRPr="00542C27">
              <w:t>2011–12</w:t>
            </w:r>
          </w:p>
        </w:tc>
        <w:tc>
          <w:tcPr>
            <w:tcW w:w="873" w:type="dxa"/>
            <w:tcBorders>
              <w:top w:val="single" w:sz="12" w:space="0" w:color="1F497D"/>
              <w:left w:val="nil"/>
              <w:bottom w:val="single" w:sz="8" w:space="0" w:color="1F497D"/>
              <w:right w:val="nil"/>
            </w:tcBorders>
            <w:shd w:val="clear" w:color="000000" w:fill="DBE5F1"/>
            <w:hideMark/>
          </w:tcPr>
          <w:p w:rsidR="00461796" w:rsidRPr="00542C27" w:rsidRDefault="00461796" w:rsidP="00BC5669">
            <w:pPr>
              <w:pStyle w:val="TableHeadingRight"/>
            </w:pPr>
            <w:r w:rsidRPr="00542C27">
              <w:t>2012–13</w:t>
            </w:r>
          </w:p>
        </w:tc>
        <w:tc>
          <w:tcPr>
            <w:tcW w:w="873" w:type="dxa"/>
            <w:tcBorders>
              <w:top w:val="single" w:sz="12" w:space="0" w:color="1F497D"/>
              <w:left w:val="nil"/>
              <w:bottom w:val="single" w:sz="8" w:space="0" w:color="1F497D"/>
              <w:right w:val="nil"/>
            </w:tcBorders>
            <w:shd w:val="clear" w:color="000000" w:fill="DBE5F1"/>
          </w:tcPr>
          <w:p w:rsidR="00461796" w:rsidRPr="00542C27" w:rsidRDefault="00461796" w:rsidP="00BC5669">
            <w:pPr>
              <w:pStyle w:val="TableHeadingRight"/>
            </w:pPr>
            <w:r w:rsidRPr="00542C27">
              <w:t>2013–14</w:t>
            </w:r>
          </w:p>
        </w:tc>
        <w:tc>
          <w:tcPr>
            <w:tcW w:w="873" w:type="dxa"/>
            <w:tcBorders>
              <w:top w:val="single" w:sz="12" w:space="0" w:color="1F497D"/>
              <w:left w:val="nil"/>
              <w:bottom w:val="single" w:sz="8" w:space="0" w:color="1F497D"/>
              <w:right w:val="nil"/>
            </w:tcBorders>
            <w:shd w:val="clear" w:color="000000" w:fill="DBE5F1"/>
          </w:tcPr>
          <w:p w:rsidR="00461796" w:rsidRPr="00542C27" w:rsidRDefault="006B1EEE" w:rsidP="00BC5669">
            <w:pPr>
              <w:pStyle w:val="TableHeadingRight"/>
            </w:pPr>
            <w:r>
              <w:t>2014–</w:t>
            </w:r>
            <w:r w:rsidR="00461796" w:rsidRPr="00542C27">
              <w:t>15</w:t>
            </w:r>
          </w:p>
        </w:tc>
        <w:tc>
          <w:tcPr>
            <w:tcW w:w="873" w:type="dxa"/>
            <w:tcBorders>
              <w:top w:val="single" w:sz="12" w:space="0" w:color="1F497D"/>
              <w:left w:val="nil"/>
              <w:bottom w:val="single" w:sz="8" w:space="0" w:color="1F497D"/>
              <w:right w:val="nil"/>
            </w:tcBorders>
            <w:shd w:val="clear" w:color="000000" w:fill="DBE5F1"/>
          </w:tcPr>
          <w:p w:rsidR="00461796" w:rsidRPr="00542C27" w:rsidRDefault="006B1EEE" w:rsidP="00BC5669">
            <w:pPr>
              <w:pStyle w:val="TableHeadingRight"/>
            </w:pPr>
            <w:r>
              <w:t>2015–</w:t>
            </w:r>
            <w:r w:rsidR="00461796" w:rsidRPr="00542C27">
              <w:t>16</w:t>
            </w:r>
          </w:p>
        </w:tc>
        <w:tc>
          <w:tcPr>
            <w:tcW w:w="873" w:type="dxa"/>
            <w:tcBorders>
              <w:top w:val="single" w:sz="12" w:space="0" w:color="1F497D"/>
              <w:left w:val="nil"/>
              <w:bottom w:val="single" w:sz="8" w:space="0" w:color="1F497D"/>
              <w:right w:val="nil"/>
            </w:tcBorders>
            <w:shd w:val="clear" w:color="000000" w:fill="DBE5F1"/>
          </w:tcPr>
          <w:p w:rsidR="00461796" w:rsidRPr="00542C27" w:rsidRDefault="00461796" w:rsidP="00BC5669">
            <w:pPr>
              <w:pStyle w:val="TableTextRight"/>
            </w:pPr>
          </w:p>
        </w:tc>
        <w:tc>
          <w:tcPr>
            <w:tcW w:w="873" w:type="dxa"/>
            <w:tcBorders>
              <w:top w:val="single" w:sz="12" w:space="0" w:color="1F497D"/>
              <w:left w:val="nil"/>
              <w:bottom w:val="single" w:sz="8" w:space="0" w:color="1F497D"/>
              <w:right w:val="nil"/>
            </w:tcBorders>
            <w:shd w:val="clear" w:color="000000" w:fill="DBE5F1"/>
          </w:tcPr>
          <w:p w:rsidR="00461796" w:rsidRPr="00542C27" w:rsidRDefault="00461796" w:rsidP="00BC5669">
            <w:pPr>
              <w:pStyle w:val="TableTextRight"/>
            </w:pPr>
          </w:p>
        </w:tc>
      </w:tr>
      <w:tr w:rsidR="00461796" w:rsidRPr="0084729D" w:rsidTr="00071545">
        <w:trPr>
          <w:trHeight w:hRule="exact" w:val="301"/>
        </w:trPr>
        <w:tc>
          <w:tcPr>
            <w:tcW w:w="2812" w:type="dxa"/>
            <w:tcBorders>
              <w:top w:val="single" w:sz="8" w:space="0" w:color="1F497D"/>
              <w:left w:val="nil"/>
              <w:bottom w:val="nil"/>
              <w:right w:val="nil"/>
            </w:tcBorders>
            <w:shd w:val="clear" w:color="auto" w:fill="auto"/>
            <w:vAlign w:val="bottom"/>
            <w:hideMark/>
          </w:tcPr>
          <w:p w:rsidR="00461796" w:rsidRPr="008A73A1" w:rsidRDefault="00461796" w:rsidP="00BC5669">
            <w:pPr>
              <w:pStyle w:val="TableTextLeft"/>
            </w:pPr>
            <w:r w:rsidRPr="008A73A1">
              <w:t>Fixed charge ($/a)</w:t>
            </w:r>
          </w:p>
        </w:tc>
        <w:tc>
          <w:tcPr>
            <w:tcW w:w="873" w:type="dxa"/>
            <w:tcBorders>
              <w:top w:val="single" w:sz="8" w:space="0" w:color="1F497D"/>
              <w:left w:val="nil"/>
              <w:bottom w:val="nil"/>
              <w:right w:val="nil"/>
            </w:tcBorders>
            <w:shd w:val="clear" w:color="auto" w:fill="auto"/>
            <w:hideMark/>
          </w:tcPr>
          <w:p w:rsidR="00461796" w:rsidRPr="00055E62" w:rsidRDefault="00461796" w:rsidP="00BC5669">
            <w:pPr>
              <w:pStyle w:val="TableTextRight"/>
            </w:pPr>
            <w:r w:rsidRPr="00055E62">
              <w:t>85.00</w:t>
            </w:r>
          </w:p>
        </w:tc>
        <w:tc>
          <w:tcPr>
            <w:tcW w:w="1037" w:type="dxa"/>
            <w:tcBorders>
              <w:top w:val="single" w:sz="8" w:space="0" w:color="1F497D"/>
              <w:left w:val="nil"/>
              <w:bottom w:val="nil"/>
              <w:right w:val="nil"/>
            </w:tcBorders>
            <w:shd w:val="clear" w:color="auto" w:fill="auto"/>
            <w:hideMark/>
          </w:tcPr>
          <w:p w:rsidR="00461796" w:rsidRPr="00055E62" w:rsidRDefault="00461796" w:rsidP="00BC5669">
            <w:pPr>
              <w:pStyle w:val="TableTextRight"/>
            </w:pPr>
            <w:r w:rsidRPr="00055E62">
              <w:t>89.55</w:t>
            </w:r>
          </w:p>
        </w:tc>
        <w:tc>
          <w:tcPr>
            <w:tcW w:w="873" w:type="dxa"/>
            <w:tcBorders>
              <w:top w:val="single" w:sz="8" w:space="0" w:color="1F497D"/>
              <w:left w:val="nil"/>
              <w:bottom w:val="nil"/>
              <w:right w:val="nil"/>
            </w:tcBorders>
            <w:shd w:val="clear" w:color="auto" w:fill="auto"/>
            <w:hideMark/>
          </w:tcPr>
          <w:p w:rsidR="00461796" w:rsidRPr="00055E62" w:rsidRDefault="00461796" w:rsidP="00BC5669">
            <w:pPr>
              <w:pStyle w:val="TableTextRight"/>
            </w:pPr>
            <w:r w:rsidRPr="00055E62">
              <w:t>92.08</w:t>
            </w:r>
          </w:p>
        </w:tc>
        <w:tc>
          <w:tcPr>
            <w:tcW w:w="873" w:type="dxa"/>
            <w:tcBorders>
              <w:top w:val="single" w:sz="8" w:space="0" w:color="1F497D"/>
              <w:left w:val="nil"/>
              <w:bottom w:val="nil"/>
              <w:right w:val="nil"/>
            </w:tcBorders>
            <w:shd w:val="clear" w:color="auto" w:fill="auto"/>
            <w:hideMark/>
          </w:tcPr>
          <w:p w:rsidR="00461796" w:rsidRPr="00055E62" w:rsidRDefault="00461796" w:rsidP="00BC5669">
            <w:pPr>
              <w:pStyle w:val="TableTextRight"/>
            </w:pPr>
            <w:r w:rsidRPr="00055E62">
              <w:t>95.63</w:t>
            </w:r>
          </w:p>
        </w:tc>
        <w:tc>
          <w:tcPr>
            <w:tcW w:w="873" w:type="dxa"/>
            <w:tcBorders>
              <w:top w:val="single" w:sz="8" w:space="0" w:color="1F497D"/>
              <w:left w:val="nil"/>
              <w:bottom w:val="nil"/>
              <w:right w:val="nil"/>
            </w:tcBorders>
            <w:shd w:val="clear" w:color="auto" w:fill="auto"/>
            <w:hideMark/>
          </w:tcPr>
          <w:p w:rsidR="00461796" w:rsidRPr="00055E62" w:rsidRDefault="00461796" w:rsidP="00BC5669">
            <w:pPr>
              <w:pStyle w:val="TableTextRight"/>
            </w:pPr>
            <w:r w:rsidRPr="00055E62">
              <w:t>99.83</w:t>
            </w:r>
          </w:p>
        </w:tc>
        <w:tc>
          <w:tcPr>
            <w:tcW w:w="873" w:type="dxa"/>
            <w:tcBorders>
              <w:top w:val="single" w:sz="8" w:space="0" w:color="1F497D"/>
              <w:left w:val="nil"/>
              <w:bottom w:val="nil"/>
              <w:right w:val="nil"/>
            </w:tcBorders>
          </w:tcPr>
          <w:p w:rsidR="00461796" w:rsidRPr="00055E62" w:rsidRDefault="00461796" w:rsidP="00BC5669">
            <w:pPr>
              <w:pStyle w:val="TableTextRight"/>
            </w:pPr>
            <w:r w:rsidRPr="00055E62">
              <w:t>100.00</w:t>
            </w:r>
          </w:p>
        </w:tc>
        <w:tc>
          <w:tcPr>
            <w:tcW w:w="873" w:type="dxa"/>
            <w:tcBorders>
              <w:top w:val="single" w:sz="8" w:space="0" w:color="1F497D"/>
              <w:left w:val="nil"/>
              <w:bottom w:val="nil"/>
              <w:right w:val="nil"/>
            </w:tcBorders>
          </w:tcPr>
          <w:p w:rsidR="00461796" w:rsidRPr="00055E62" w:rsidRDefault="00461796" w:rsidP="00BC5669">
            <w:pPr>
              <w:pStyle w:val="TableTextRight"/>
            </w:pPr>
            <w:r w:rsidRPr="00055E62">
              <w:t>102.56</w:t>
            </w:r>
          </w:p>
        </w:tc>
        <w:tc>
          <w:tcPr>
            <w:tcW w:w="873" w:type="dxa"/>
            <w:tcBorders>
              <w:top w:val="single" w:sz="8" w:space="0" w:color="1F497D"/>
              <w:left w:val="nil"/>
              <w:bottom w:val="nil"/>
              <w:right w:val="nil"/>
            </w:tcBorders>
          </w:tcPr>
          <w:p w:rsidR="00461796" w:rsidRPr="00055E62" w:rsidRDefault="00461796" w:rsidP="00BC5669">
            <w:pPr>
              <w:pStyle w:val="TableTextRight"/>
            </w:pPr>
            <w:r w:rsidRPr="00055E62">
              <w:t>101.14</w:t>
            </w:r>
          </w:p>
        </w:tc>
        <w:tc>
          <w:tcPr>
            <w:tcW w:w="873" w:type="dxa"/>
            <w:tcBorders>
              <w:top w:val="single" w:sz="8" w:space="0" w:color="1F497D"/>
              <w:left w:val="nil"/>
              <w:bottom w:val="nil"/>
              <w:right w:val="nil"/>
            </w:tcBorders>
          </w:tcPr>
          <w:p w:rsidR="00461796" w:rsidRPr="008A73A1" w:rsidRDefault="00461796" w:rsidP="00BC5669">
            <w:pPr>
              <w:pStyle w:val="TableTextRight"/>
            </w:pPr>
          </w:p>
        </w:tc>
        <w:tc>
          <w:tcPr>
            <w:tcW w:w="873" w:type="dxa"/>
            <w:tcBorders>
              <w:top w:val="single" w:sz="8" w:space="0" w:color="1F497D"/>
              <w:left w:val="nil"/>
              <w:bottom w:val="nil"/>
              <w:right w:val="nil"/>
            </w:tcBorders>
          </w:tcPr>
          <w:p w:rsidR="00461796" w:rsidRPr="008A73A1" w:rsidRDefault="00461796" w:rsidP="00BC5669"/>
        </w:tc>
      </w:tr>
      <w:tr w:rsidR="00461796" w:rsidRPr="0084729D" w:rsidTr="00071545">
        <w:trPr>
          <w:trHeight w:hRule="exact" w:val="301"/>
        </w:trPr>
        <w:tc>
          <w:tcPr>
            <w:tcW w:w="2812" w:type="dxa"/>
            <w:tcBorders>
              <w:top w:val="nil"/>
              <w:left w:val="nil"/>
              <w:bottom w:val="nil"/>
              <w:right w:val="nil"/>
            </w:tcBorders>
            <w:shd w:val="clear" w:color="auto" w:fill="auto"/>
            <w:vAlign w:val="bottom"/>
            <w:hideMark/>
          </w:tcPr>
          <w:p w:rsidR="00461796" w:rsidRPr="008A73A1" w:rsidRDefault="00461796" w:rsidP="00BC5669">
            <w:pPr>
              <w:pStyle w:val="TableTextLeft"/>
            </w:pPr>
            <w:r w:rsidRPr="008A73A1">
              <w:t>Tier 1 price ($/kL)</w:t>
            </w:r>
          </w:p>
        </w:tc>
        <w:tc>
          <w:tcPr>
            <w:tcW w:w="873" w:type="dxa"/>
            <w:tcBorders>
              <w:top w:val="nil"/>
              <w:left w:val="nil"/>
              <w:bottom w:val="nil"/>
              <w:right w:val="nil"/>
            </w:tcBorders>
            <w:shd w:val="clear" w:color="auto" w:fill="auto"/>
            <w:hideMark/>
          </w:tcPr>
          <w:p w:rsidR="00461796" w:rsidRPr="00055E62" w:rsidRDefault="00461796" w:rsidP="00BC5669">
            <w:pPr>
              <w:pStyle w:val="TableTextRight"/>
            </w:pPr>
            <w:r w:rsidRPr="00055E62">
              <w:t>1.85</w:t>
            </w:r>
          </w:p>
        </w:tc>
        <w:tc>
          <w:tcPr>
            <w:tcW w:w="1037" w:type="dxa"/>
            <w:tcBorders>
              <w:top w:val="nil"/>
              <w:left w:val="nil"/>
              <w:bottom w:val="nil"/>
              <w:right w:val="nil"/>
            </w:tcBorders>
            <w:shd w:val="clear" w:color="auto" w:fill="auto"/>
            <w:hideMark/>
          </w:tcPr>
          <w:p w:rsidR="00461796" w:rsidRPr="00055E62" w:rsidRDefault="00461796" w:rsidP="00BC5669">
            <w:pPr>
              <w:pStyle w:val="TableTextRight"/>
            </w:pPr>
            <w:r w:rsidRPr="00055E62">
              <w:t>1.95</w:t>
            </w:r>
          </w:p>
        </w:tc>
        <w:tc>
          <w:tcPr>
            <w:tcW w:w="873" w:type="dxa"/>
            <w:tcBorders>
              <w:top w:val="nil"/>
              <w:left w:val="nil"/>
              <w:bottom w:val="nil"/>
              <w:right w:val="nil"/>
            </w:tcBorders>
            <w:shd w:val="clear" w:color="auto" w:fill="auto"/>
            <w:hideMark/>
          </w:tcPr>
          <w:p w:rsidR="00461796" w:rsidRPr="00055E62" w:rsidRDefault="00461796" w:rsidP="00BC5669">
            <w:pPr>
              <w:pStyle w:val="TableTextRight"/>
            </w:pPr>
            <w:r w:rsidRPr="00055E62">
              <w:t>2.00</w:t>
            </w:r>
          </w:p>
        </w:tc>
        <w:tc>
          <w:tcPr>
            <w:tcW w:w="873" w:type="dxa"/>
            <w:tcBorders>
              <w:top w:val="nil"/>
              <w:left w:val="nil"/>
              <w:bottom w:val="nil"/>
              <w:right w:val="nil"/>
            </w:tcBorders>
            <w:shd w:val="clear" w:color="auto" w:fill="auto"/>
            <w:hideMark/>
          </w:tcPr>
          <w:p w:rsidR="00461796" w:rsidRPr="00055E62" w:rsidRDefault="00461796" w:rsidP="00BC5669">
            <w:pPr>
              <w:pStyle w:val="TableTextRight"/>
            </w:pPr>
            <w:r w:rsidRPr="00055E62">
              <w:t>2.33</w:t>
            </w:r>
          </w:p>
        </w:tc>
        <w:tc>
          <w:tcPr>
            <w:tcW w:w="873" w:type="dxa"/>
            <w:tcBorders>
              <w:top w:val="nil"/>
              <w:left w:val="nil"/>
              <w:bottom w:val="nil"/>
              <w:right w:val="nil"/>
            </w:tcBorders>
            <w:shd w:val="clear" w:color="auto" w:fill="auto"/>
            <w:hideMark/>
          </w:tcPr>
          <w:p w:rsidR="00461796" w:rsidRPr="00055E62" w:rsidRDefault="00461796" w:rsidP="00BC5669">
            <w:pPr>
              <w:pStyle w:val="TableTextRight"/>
            </w:pPr>
            <w:r w:rsidRPr="00055E62">
              <w:t>2.43</w:t>
            </w:r>
          </w:p>
        </w:tc>
        <w:tc>
          <w:tcPr>
            <w:tcW w:w="873" w:type="dxa"/>
            <w:tcBorders>
              <w:top w:val="nil"/>
              <w:left w:val="nil"/>
              <w:bottom w:val="nil"/>
              <w:right w:val="nil"/>
            </w:tcBorders>
          </w:tcPr>
          <w:p w:rsidR="00461796" w:rsidRPr="00055E62" w:rsidRDefault="00461796" w:rsidP="00BC5669">
            <w:pPr>
              <w:pStyle w:val="TableTextRight"/>
            </w:pPr>
            <w:r w:rsidRPr="00055E62">
              <w:t>2.55</w:t>
            </w:r>
          </w:p>
        </w:tc>
        <w:tc>
          <w:tcPr>
            <w:tcW w:w="873" w:type="dxa"/>
            <w:tcBorders>
              <w:top w:val="nil"/>
              <w:left w:val="nil"/>
              <w:bottom w:val="nil"/>
              <w:right w:val="nil"/>
            </w:tcBorders>
          </w:tcPr>
          <w:p w:rsidR="00461796" w:rsidRPr="00055E62" w:rsidRDefault="00461796" w:rsidP="00BC5669">
            <w:pPr>
              <w:pStyle w:val="TableTextRight"/>
            </w:pPr>
            <w:r w:rsidRPr="00055E62">
              <w:t>2.64</w:t>
            </w:r>
          </w:p>
        </w:tc>
        <w:tc>
          <w:tcPr>
            <w:tcW w:w="873" w:type="dxa"/>
            <w:tcBorders>
              <w:top w:val="nil"/>
              <w:left w:val="nil"/>
              <w:bottom w:val="nil"/>
              <w:right w:val="nil"/>
            </w:tcBorders>
          </w:tcPr>
          <w:p w:rsidR="00461796" w:rsidRPr="00055E62" w:rsidRDefault="00461796" w:rsidP="00BC5669">
            <w:pPr>
              <w:pStyle w:val="TableTextRight"/>
            </w:pPr>
            <w:r w:rsidRPr="00055E62">
              <w:t>2.60</w:t>
            </w:r>
          </w:p>
        </w:tc>
        <w:tc>
          <w:tcPr>
            <w:tcW w:w="873" w:type="dxa"/>
            <w:tcBorders>
              <w:top w:val="nil"/>
              <w:left w:val="nil"/>
              <w:bottom w:val="nil"/>
              <w:right w:val="nil"/>
            </w:tcBorders>
          </w:tcPr>
          <w:p w:rsidR="00461796" w:rsidRPr="008A73A1" w:rsidRDefault="00461796" w:rsidP="00BC5669">
            <w:pPr>
              <w:pStyle w:val="TableTextRight"/>
            </w:pPr>
          </w:p>
        </w:tc>
        <w:tc>
          <w:tcPr>
            <w:tcW w:w="873" w:type="dxa"/>
            <w:tcBorders>
              <w:top w:val="nil"/>
              <w:left w:val="nil"/>
              <w:bottom w:val="nil"/>
              <w:right w:val="nil"/>
            </w:tcBorders>
          </w:tcPr>
          <w:p w:rsidR="00461796" w:rsidRPr="008A73A1" w:rsidRDefault="00461796" w:rsidP="00BC5669"/>
        </w:tc>
      </w:tr>
      <w:tr w:rsidR="00461796" w:rsidRPr="0084729D" w:rsidTr="00071545">
        <w:trPr>
          <w:trHeight w:hRule="exact" w:val="301"/>
        </w:trPr>
        <w:tc>
          <w:tcPr>
            <w:tcW w:w="2812" w:type="dxa"/>
            <w:tcBorders>
              <w:top w:val="nil"/>
              <w:left w:val="nil"/>
              <w:bottom w:val="nil"/>
              <w:right w:val="nil"/>
            </w:tcBorders>
            <w:shd w:val="clear" w:color="auto" w:fill="auto"/>
            <w:vAlign w:val="bottom"/>
            <w:hideMark/>
          </w:tcPr>
          <w:p w:rsidR="00461796" w:rsidRPr="008A73A1" w:rsidRDefault="00461796" w:rsidP="00BC5669">
            <w:pPr>
              <w:pStyle w:val="TableTextLeft"/>
            </w:pPr>
            <w:r w:rsidRPr="008A73A1">
              <w:t>Tier 2 price ($/kL)</w:t>
            </w:r>
          </w:p>
        </w:tc>
        <w:tc>
          <w:tcPr>
            <w:tcW w:w="873" w:type="dxa"/>
            <w:tcBorders>
              <w:top w:val="nil"/>
              <w:left w:val="nil"/>
              <w:bottom w:val="nil"/>
              <w:right w:val="nil"/>
            </w:tcBorders>
            <w:shd w:val="clear" w:color="auto" w:fill="auto"/>
            <w:hideMark/>
          </w:tcPr>
          <w:p w:rsidR="00461796" w:rsidRPr="00055E62" w:rsidRDefault="00461796" w:rsidP="00BC5669">
            <w:pPr>
              <w:pStyle w:val="TableTextRight"/>
            </w:pPr>
            <w:r w:rsidRPr="00055E62">
              <w:t>3.70</w:t>
            </w:r>
          </w:p>
        </w:tc>
        <w:tc>
          <w:tcPr>
            <w:tcW w:w="1037" w:type="dxa"/>
            <w:tcBorders>
              <w:top w:val="nil"/>
              <w:left w:val="nil"/>
              <w:bottom w:val="nil"/>
              <w:right w:val="nil"/>
            </w:tcBorders>
            <w:shd w:val="clear" w:color="auto" w:fill="auto"/>
            <w:hideMark/>
          </w:tcPr>
          <w:p w:rsidR="00461796" w:rsidRPr="00055E62" w:rsidRDefault="00461796" w:rsidP="00BC5669">
            <w:pPr>
              <w:pStyle w:val="TableTextRight"/>
            </w:pPr>
            <w:r w:rsidRPr="00055E62">
              <w:t>3.90</w:t>
            </w:r>
          </w:p>
        </w:tc>
        <w:tc>
          <w:tcPr>
            <w:tcW w:w="873" w:type="dxa"/>
            <w:tcBorders>
              <w:top w:val="nil"/>
              <w:left w:val="nil"/>
              <w:bottom w:val="nil"/>
              <w:right w:val="nil"/>
            </w:tcBorders>
            <w:shd w:val="clear" w:color="auto" w:fill="auto"/>
            <w:hideMark/>
          </w:tcPr>
          <w:p w:rsidR="00461796" w:rsidRPr="00055E62" w:rsidRDefault="00461796" w:rsidP="00BC5669">
            <w:pPr>
              <w:pStyle w:val="TableTextRight"/>
            </w:pPr>
            <w:r w:rsidRPr="00055E62">
              <w:t>4.01</w:t>
            </w:r>
          </w:p>
        </w:tc>
        <w:tc>
          <w:tcPr>
            <w:tcW w:w="873" w:type="dxa"/>
            <w:tcBorders>
              <w:top w:val="nil"/>
              <w:left w:val="nil"/>
              <w:bottom w:val="nil"/>
              <w:right w:val="nil"/>
            </w:tcBorders>
            <w:shd w:val="clear" w:color="auto" w:fill="auto"/>
            <w:hideMark/>
          </w:tcPr>
          <w:p w:rsidR="00461796" w:rsidRPr="00055E62" w:rsidRDefault="00461796" w:rsidP="00BC5669">
            <w:pPr>
              <w:pStyle w:val="TableTextRight"/>
            </w:pPr>
            <w:r w:rsidRPr="00055E62">
              <w:t>4.66</w:t>
            </w:r>
          </w:p>
        </w:tc>
        <w:tc>
          <w:tcPr>
            <w:tcW w:w="873" w:type="dxa"/>
            <w:tcBorders>
              <w:top w:val="nil"/>
              <w:left w:val="nil"/>
              <w:bottom w:val="nil"/>
              <w:right w:val="nil"/>
            </w:tcBorders>
            <w:shd w:val="clear" w:color="auto" w:fill="auto"/>
            <w:hideMark/>
          </w:tcPr>
          <w:p w:rsidR="00461796" w:rsidRPr="00055E62" w:rsidRDefault="00461796" w:rsidP="00BC5669">
            <w:pPr>
              <w:pStyle w:val="TableTextRight"/>
            </w:pPr>
            <w:r w:rsidRPr="00055E62">
              <w:t>4.86</w:t>
            </w:r>
          </w:p>
        </w:tc>
        <w:tc>
          <w:tcPr>
            <w:tcW w:w="873" w:type="dxa"/>
            <w:tcBorders>
              <w:top w:val="nil"/>
              <w:left w:val="nil"/>
              <w:bottom w:val="nil"/>
              <w:right w:val="nil"/>
            </w:tcBorders>
          </w:tcPr>
          <w:p w:rsidR="00461796" w:rsidRPr="00055E62" w:rsidRDefault="00461796" w:rsidP="00BC5669">
            <w:pPr>
              <w:pStyle w:val="TableTextRight"/>
            </w:pPr>
            <w:r w:rsidRPr="00055E62">
              <w:t>5.10</w:t>
            </w:r>
          </w:p>
        </w:tc>
        <w:tc>
          <w:tcPr>
            <w:tcW w:w="873" w:type="dxa"/>
            <w:tcBorders>
              <w:top w:val="nil"/>
              <w:left w:val="nil"/>
              <w:bottom w:val="nil"/>
              <w:right w:val="nil"/>
            </w:tcBorders>
          </w:tcPr>
          <w:p w:rsidR="00461796" w:rsidRPr="00055E62" w:rsidRDefault="00461796" w:rsidP="00BC5669">
            <w:pPr>
              <w:pStyle w:val="TableTextRight"/>
            </w:pPr>
            <w:r w:rsidRPr="00055E62">
              <w:t>5.29</w:t>
            </w:r>
          </w:p>
        </w:tc>
        <w:tc>
          <w:tcPr>
            <w:tcW w:w="873" w:type="dxa"/>
            <w:tcBorders>
              <w:top w:val="nil"/>
              <w:left w:val="nil"/>
              <w:bottom w:val="nil"/>
              <w:right w:val="nil"/>
            </w:tcBorders>
          </w:tcPr>
          <w:p w:rsidR="00461796" w:rsidRPr="00055E62" w:rsidRDefault="00461796" w:rsidP="00BC5669">
            <w:pPr>
              <w:pStyle w:val="TableTextRight"/>
            </w:pPr>
            <w:r w:rsidRPr="00055E62">
              <w:t>5.22</w:t>
            </w:r>
          </w:p>
        </w:tc>
        <w:tc>
          <w:tcPr>
            <w:tcW w:w="873" w:type="dxa"/>
            <w:tcBorders>
              <w:top w:val="nil"/>
              <w:left w:val="nil"/>
              <w:bottom w:val="nil"/>
              <w:right w:val="nil"/>
            </w:tcBorders>
          </w:tcPr>
          <w:p w:rsidR="00461796" w:rsidRPr="008A73A1" w:rsidRDefault="00461796" w:rsidP="00BC5669">
            <w:pPr>
              <w:pStyle w:val="TableTextRight"/>
            </w:pPr>
          </w:p>
        </w:tc>
        <w:tc>
          <w:tcPr>
            <w:tcW w:w="873" w:type="dxa"/>
            <w:tcBorders>
              <w:top w:val="nil"/>
              <w:left w:val="nil"/>
              <w:bottom w:val="nil"/>
              <w:right w:val="nil"/>
            </w:tcBorders>
          </w:tcPr>
          <w:p w:rsidR="00461796" w:rsidRPr="008A73A1" w:rsidRDefault="00461796" w:rsidP="00BC5669"/>
        </w:tc>
      </w:tr>
      <w:tr w:rsidR="00461796" w:rsidRPr="0084729D" w:rsidTr="00071545">
        <w:trPr>
          <w:trHeight w:hRule="exact" w:val="301"/>
        </w:trPr>
        <w:tc>
          <w:tcPr>
            <w:tcW w:w="2812" w:type="dxa"/>
            <w:tcBorders>
              <w:top w:val="nil"/>
              <w:left w:val="nil"/>
              <w:bottom w:val="nil"/>
              <w:right w:val="nil"/>
            </w:tcBorders>
            <w:shd w:val="clear" w:color="auto" w:fill="auto"/>
            <w:vAlign w:val="bottom"/>
            <w:hideMark/>
          </w:tcPr>
          <w:p w:rsidR="00461796" w:rsidRPr="008A73A1" w:rsidRDefault="00461796" w:rsidP="00BC5669">
            <w:pPr>
              <w:pStyle w:val="TableTextLeft"/>
            </w:pPr>
            <w:r w:rsidRPr="008A73A1">
              <w:t>Tier 3 price ($/kL)</w:t>
            </w:r>
          </w:p>
        </w:tc>
        <w:tc>
          <w:tcPr>
            <w:tcW w:w="873" w:type="dxa"/>
            <w:tcBorders>
              <w:top w:val="nil"/>
              <w:left w:val="nil"/>
              <w:bottom w:val="nil"/>
              <w:right w:val="nil"/>
            </w:tcBorders>
            <w:shd w:val="clear" w:color="auto" w:fill="auto"/>
            <w:hideMark/>
          </w:tcPr>
          <w:p w:rsidR="00461796" w:rsidRPr="00055E62" w:rsidRDefault="00461796" w:rsidP="00BC5669">
            <w:pPr>
              <w:pStyle w:val="TableTextRight"/>
            </w:pPr>
          </w:p>
        </w:tc>
        <w:tc>
          <w:tcPr>
            <w:tcW w:w="1037" w:type="dxa"/>
            <w:tcBorders>
              <w:top w:val="nil"/>
              <w:left w:val="nil"/>
              <w:bottom w:val="nil"/>
              <w:right w:val="nil"/>
            </w:tcBorders>
            <w:shd w:val="clear" w:color="auto" w:fill="auto"/>
            <w:hideMark/>
          </w:tcPr>
          <w:p w:rsidR="00461796" w:rsidRPr="00055E62" w:rsidRDefault="00461796" w:rsidP="00BC5669">
            <w:pPr>
              <w:pStyle w:val="TableTextRight"/>
            </w:pPr>
          </w:p>
        </w:tc>
        <w:tc>
          <w:tcPr>
            <w:tcW w:w="873" w:type="dxa"/>
            <w:tcBorders>
              <w:top w:val="nil"/>
              <w:left w:val="nil"/>
              <w:bottom w:val="nil"/>
              <w:right w:val="nil"/>
            </w:tcBorders>
            <w:shd w:val="clear" w:color="auto" w:fill="auto"/>
            <w:hideMark/>
          </w:tcPr>
          <w:p w:rsidR="00461796" w:rsidRPr="00055E62" w:rsidRDefault="00461796" w:rsidP="00BC5669">
            <w:pPr>
              <w:pStyle w:val="TableTextRight"/>
            </w:pPr>
          </w:p>
        </w:tc>
        <w:tc>
          <w:tcPr>
            <w:tcW w:w="873" w:type="dxa"/>
            <w:tcBorders>
              <w:top w:val="nil"/>
              <w:left w:val="nil"/>
              <w:bottom w:val="nil"/>
              <w:right w:val="nil"/>
            </w:tcBorders>
            <w:shd w:val="clear" w:color="auto" w:fill="auto"/>
            <w:hideMark/>
          </w:tcPr>
          <w:p w:rsidR="00461796" w:rsidRPr="00055E62" w:rsidRDefault="00461796" w:rsidP="00BC5669">
            <w:pPr>
              <w:pStyle w:val="TableTextRight"/>
            </w:pPr>
          </w:p>
        </w:tc>
        <w:tc>
          <w:tcPr>
            <w:tcW w:w="873" w:type="dxa"/>
            <w:tcBorders>
              <w:top w:val="nil"/>
              <w:left w:val="nil"/>
              <w:bottom w:val="nil"/>
              <w:right w:val="nil"/>
            </w:tcBorders>
            <w:shd w:val="clear" w:color="auto" w:fill="auto"/>
            <w:hideMark/>
          </w:tcPr>
          <w:p w:rsidR="00461796" w:rsidRPr="00055E62" w:rsidRDefault="00461796" w:rsidP="00BC5669">
            <w:pPr>
              <w:pStyle w:val="TableTextRight"/>
            </w:pPr>
          </w:p>
        </w:tc>
        <w:tc>
          <w:tcPr>
            <w:tcW w:w="873" w:type="dxa"/>
            <w:tcBorders>
              <w:top w:val="nil"/>
              <w:left w:val="nil"/>
              <w:bottom w:val="nil"/>
              <w:right w:val="nil"/>
            </w:tcBorders>
          </w:tcPr>
          <w:p w:rsidR="00461796" w:rsidRPr="00055E62" w:rsidRDefault="00461796" w:rsidP="00BC5669">
            <w:pPr>
              <w:pStyle w:val="TableTextRight"/>
            </w:pPr>
          </w:p>
        </w:tc>
        <w:tc>
          <w:tcPr>
            <w:tcW w:w="873" w:type="dxa"/>
            <w:tcBorders>
              <w:top w:val="nil"/>
              <w:left w:val="nil"/>
              <w:bottom w:val="nil"/>
              <w:right w:val="nil"/>
            </w:tcBorders>
          </w:tcPr>
          <w:p w:rsidR="00461796" w:rsidRPr="00055E62" w:rsidRDefault="00461796" w:rsidP="00BC5669">
            <w:pPr>
              <w:pStyle w:val="TableTextRight"/>
            </w:pPr>
          </w:p>
        </w:tc>
        <w:tc>
          <w:tcPr>
            <w:tcW w:w="873" w:type="dxa"/>
            <w:tcBorders>
              <w:top w:val="nil"/>
              <w:left w:val="nil"/>
              <w:bottom w:val="nil"/>
              <w:right w:val="nil"/>
            </w:tcBorders>
          </w:tcPr>
          <w:p w:rsidR="00461796" w:rsidRPr="00055E62" w:rsidRDefault="00461796" w:rsidP="00BC5669">
            <w:pPr>
              <w:pStyle w:val="TableTextRight"/>
            </w:pPr>
          </w:p>
        </w:tc>
        <w:tc>
          <w:tcPr>
            <w:tcW w:w="873" w:type="dxa"/>
            <w:tcBorders>
              <w:top w:val="nil"/>
              <w:left w:val="nil"/>
              <w:bottom w:val="nil"/>
              <w:right w:val="nil"/>
            </w:tcBorders>
          </w:tcPr>
          <w:p w:rsidR="00461796" w:rsidRPr="008A73A1" w:rsidRDefault="00461796" w:rsidP="00BC5669">
            <w:pPr>
              <w:pStyle w:val="TableTextRight"/>
            </w:pPr>
          </w:p>
        </w:tc>
        <w:tc>
          <w:tcPr>
            <w:tcW w:w="873" w:type="dxa"/>
            <w:tcBorders>
              <w:top w:val="nil"/>
              <w:left w:val="nil"/>
              <w:bottom w:val="nil"/>
              <w:right w:val="nil"/>
            </w:tcBorders>
          </w:tcPr>
          <w:p w:rsidR="00461796" w:rsidRPr="008A73A1" w:rsidRDefault="00461796" w:rsidP="00BC5669"/>
        </w:tc>
      </w:tr>
      <w:tr w:rsidR="00461796" w:rsidRPr="0084729D" w:rsidTr="00071545">
        <w:trPr>
          <w:trHeight w:hRule="exact" w:val="301"/>
        </w:trPr>
        <w:tc>
          <w:tcPr>
            <w:tcW w:w="2812" w:type="dxa"/>
            <w:tcBorders>
              <w:top w:val="nil"/>
              <w:left w:val="nil"/>
              <w:bottom w:val="nil"/>
              <w:right w:val="nil"/>
            </w:tcBorders>
            <w:shd w:val="clear" w:color="auto" w:fill="auto"/>
            <w:vAlign w:val="bottom"/>
            <w:hideMark/>
          </w:tcPr>
          <w:p w:rsidR="00461796" w:rsidRPr="008A73A1" w:rsidRDefault="00DC1ED9" w:rsidP="00BC5669">
            <w:pPr>
              <w:pStyle w:val="TableTextLeft"/>
            </w:pPr>
            <w:r>
              <w:t>Plus water abstraction charge</w:t>
            </w:r>
            <w:r w:rsidR="00461796" w:rsidRPr="003C306C">
              <w:t xml:space="preserve"> ($/kL)</w:t>
            </w:r>
          </w:p>
        </w:tc>
        <w:tc>
          <w:tcPr>
            <w:tcW w:w="7148" w:type="dxa"/>
            <w:gridSpan w:val="8"/>
            <w:tcBorders>
              <w:top w:val="nil"/>
              <w:left w:val="nil"/>
              <w:bottom w:val="nil"/>
              <w:right w:val="nil"/>
            </w:tcBorders>
            <w:shd w:val="clear" w:color="auto" w:fill="auto"/>
            <w:vAlign w:val="center"/>
            <w:hideMark/>
          </w:tcPr>
          <w:p w:rsidR="00363880" w:rsidRDefault="00DC1ED9">
            <w:pPr>
              <w:pStyle w:val="TableTextRight"/>
              <w:jc w:val="center"/>
            </w:pPr>
            <w:r>
              <w:t xml:space="preserve">WAC incorporated </w:t>
            </w:r>
            <w:r w:rsidR="006B1EEE">
              <w:t>directly in prices from 2008–</w:t>
            </w:r>
            <w:r w:rsidR="00461796" w:rsidRPr="00055E62">
              <w:t>09</w:t>
            </w:r>
          </w:p>
        </w:tc>
        <w:tc>
          <w:tcPr>
            <w:tcW w:w="873" w:type="dxa"/>
            <w:tcBorders>
              <w:top w:val="nil"/>
              <w:left w:val="nil"/>
              <w:bottom w:val="nil"/>
              <w:right w:val="nil"/>
            </w:tcBorders>
          </w:tcPr>
          <w:p w:rsidR="00461796" w:rsidRPr="008A73A1" w:rsidRDefault="00461796" w:rsidP="00BC5669">
            <w:pPr>
              <w:pStyle w:val="TableTextRight"/>
            </w:pPr>
          </w:p>
        </w:tc>
        <w:tc>
          <w:tcPr>
            <w:tcW w:w="873" w:type="dxa"/>
            <w:tcBorders>
              <w:top w:val="nil"/>
              <w:left w:val="nil"/>
              <w:bottom w:val="nil"/>
              <w:right w:val="nil"/>
            </w:tcBorders>
          </w:tcPr>
          <w:p w:rsidR="00461796" w:rsidRPr="008A73A1" w:rsidRDefault="00461796" w:rsidP="00BC5669"/>
        </w:tc>
      </w:tr>
      <w:tr w:rsidR="00461796" w:rsidRPr="0084729D" w:rsidTr="00071545">
        <w:trPr>
          <w:trHeight w:hRule="exact" w:val="301"/>
        </w:trPr>
        <w:tc>
          <w:tcPr>
            <w:tcW w:w="2812" w:type="dxa"/>
            <w:tcBorders>
              <w:top w:val="nil"/>
              <w:left w:val="nil"/>
              <w:bottom w:val="nil"/>
              <w:right w:val="nil"/>
            </w:tcBorders>
            <w:shd w:val="clear" w:color="auto" w:fill="auto"/>
            <w:vAlign w:val="bottom"/>
            <w:hideMark/>
          </w:tcPr>
          <w:p w:rsidR="00461796" w:rsidRPr="008A73A1" w:rsidRDefault="00461796" w:rsidP="00BC5669">
            <w:pPr>
              <w:pStyle w:val="TableTextLeft"/>
            </w:pPr>
          </w:p>
        </w:tc>
        <w:tc>
          <w:tcPr>
            <w:tcW w:w="873" w:type="dxa"/>
            <w:tcBorders>
              <w:top w:val="nil"/>
              <w:left w:val="nil"/>
              <w:bottom w:val="nil"/>
              <w:right w:val="nil"/>
            </w:tcBorders>
            <w:shd w:val="clear" w:color="auto" w:fill="auto"/>
            <w:hideMark/>
          </w:tcPr>
          <w:p w:rsidR="00461796" w:rsidRPr="00055E62" w:rsidRDefault="00461796" w:rsidP="00BC5669">
            <w:pPr>
              <w:pStyle w:val="TableTextRight"/>
            </w:pPr>
          </w:p>
        </w:tc>
        <w:tc>
          <w:tcPr>
            <w:tcW w:w="1037" w:type="dxa"/>
            <w:tcBorders>
              <w:top w:val="nil"/>
              <w:left w:val="nil"/>
              <w:bottom w:val="nil"/>
              <w:right w:val="nil"/>
            </w:tcBorders>
            <w:shd w:val="clear" w:color="auto" w:fill="auto"/>
            <w:hideMark/>
          </w:tcPr>
          <w:p w:rsidR="00461796" w:rsidRPr="00055E62" w:rsidRDefault="00461796" w:rsidP="00BC5669">
            <w:pPr>
              <w:pStyle w:val="TableTextRight"/>
            </w:pPr>
          </w:p>
        </w:tc>
        <w:tc>
          <w:tcPr>
            <w:tcW w:w="873" w:type="dxa"/>
            <w:tcBorders>
              <w:top w:val="nil"/>
              <w:left w:val="nil"/>
              <w:bottom w:val="nil"/>
              <w:right w:val="nil"/>
            </w:tcBorders>
            <w:shd w:val="clear" w:color="auto" w:fill="auto"/>
            <w:hideMark/>
          </w:tcPr>
          <w:p w:rsidR="00461796" w:rsidRPr="00055E62" w:rsidRDefault="00461796" w:rsidP="00BC5669">
            <w:pPr>
              <w:pStyle w:val="TableTextRight"/>
            </w:pPr>
          </w:p>
        </w:tc>
        <w:tc>
          <w:tcPr>
            <w:tcW w:w="873" w:type="dxa"/>
            <w:tcBorders>
              <w:top w:val="nil"/>
              <w:left w:val="nil"/>
              <w:bottom w:val="nil"/>
              <w:right w:val="nil"/>
            </w:tcBorders>
            <w:shd w:val="clear" w:color="auto" w:fill="auto"/>
            <w:hideMark/>
          </w:tcPr>
          <w:p w:rsidR="00461796" w:rsidRPr="00055E62" w:rsidRDefault="00461796" w:rsidP="00BC5669">
            <w:pPr>
              <w:pStyle w:val="TableTextRight"/>
            </w:pPr>
          </w:p>
        </w:tc>
        <w:tc>
          <w:tcPr>
            <w:tcW w:w="873" w:type="dxa"/>
            <w:tcBorders>
              <w:top w:val="nil"/>
              <w:left w:val="nil"/>
              <w:bottom w:val="nil"/>
              <w:right w:val="nil"/>
            </w:tcBorders>
            <w:shd w:val="clear" w:color="auto" w:fill="auto"/>
            <w:hideMark/>
          </w:tcPr>
          <w:p w:rsidR="00461796" w:rsidRPr="00055E62" w:rsidRDefault="00461796" w:rsidP="00BC5669">
            <w:pPr>
              <w:pStyle w:val="TableTextRight"/>
            </w:pPr>
          </w:p>
        </w:tc>
        <w:tc>
          <w:tcPr>
            <w:tcW w:w="873" w:type="dxa"/>
            <w:tcBorders>
              <w:top w:val="nil"/>
              <w:left w:val="nil"/>
              <w:bottom w:val="nil"/>
              <w:right w:val="nil"/>
            </w:tcBorders>
          </w:tcPr>
          <w:p w:rsidR="00461796" w:rsidRPr="00055E62" w:rsidRDefault="00461796" w:rsidP="00BC5669">
            <w:pPr>
              <w:pStyle w:val="TableTextRight"/>
            </w:pPr>
          </w:p>
        </w:tc>
        <w:tc>
          <w:tcPr>
            <w:tcW w:w="873" w:type="dxa"/>
            <w:tcBorders>
              <w:top w:val="nil"/>
              <w:left w:val="nil"/>
              <w:bottom w:val="nil"/>
              <w:right w:val="nil"/>
            </w:tcBorders>
          </w:tcPr>
          <w:p w:rsidR="00461796" w:rsidRPr="00055E62" w:rsidRDefault="00461796" w:rsidP="00BC5669">
            <w:pPr>
              <w:pStyle w:val="TableTextRight"/>
            </w:pPr>
          </w:p>
        </w:tc>
        <w:tc>
          <w:tcPr>
            <w:tcW w:w="873" w:type="dxa"/>
            <w:tcBorders>
              <w:top w:val="nil"/>
              <w:left w:val="nil"/>
              <w:bottom w:val="nil"/>
              <w:right w:val="nil"/>
            </w:tcBorders>
          </w:tcPr>
          <w:p w:rsidR="00461796" w:rsidRPr="00055E62" w:rsidRDefault="00461796" w:rsidP="00BC5669">
            <w:pPr>
              <w:pStyle w:val="TableTextRight"/>
            </w:pPr>
          </w:p>
        </w:tc>
        <w:tc>
          <w:tcPr>
            <w:tcW w:w="873" w:type="dxa"/>
            <w:tcBorders>
              <w:top w:val="nil"/>
              <w:left w:val="nil"/>
              <w:bottom w:val="nil"/>
              <w:right w:val="nil"/>
            </w:tcBorders>
          </w:tcPr>
          <w:p w:rsidR="00461796" w:rsidRPr="008A73A1" w:rsidRDefault="00461796" w:rsidP="00BC5669">
            <w:pPr>
              <w:pStyle w:val="TableTextRight"/>
            </w:pPr>
          </w:p>
        </w:tc>
        <w:tc>
          <w:tcPr>
            <w:tcW w:w="873" w:type="dxa"/>
            <w:tcBorders>
              <w:top w:val="nil"/>
              <w:left w:val="nil"/>
              <w:bottom w:val="nil"/>
              <w:right w:val="nil"/>
            </w:tcBorders>
          </w:tcPr>
          <w:p w:rsidR="00461796" w:rsidRPr="008A73A1" w:rsidRDefault="00461796" w:rsidP="00BC5669"/>
        </w:tc>
      </w:tr>
      <w:tr w:rsidR="00461796" w:rsidRPr="0084729D" w:rsidTr="00071545">
        <w:trPr>
          <w:trHeight w:hRule="exact" w:val="301"/>
        </w:trPr>
        <w:tc>
          <w:tcPr>
            <w:tcW w:w="2812" w:type="dxa"/>
            <w:tcBorders>
              <w:top w:val="nil"/>
              <w:left w:val="nil"/>
              <w:bottom w:val="nil"/>
              <w:right w:val="nil"/>
            </w:tcBorders>
            <w:shd w:val="clear" w:color="auto" w:fill="auto"/>
            <w:vAlign w:val="bottom"/>
            <w:hideMark/>
          </w:tcPr>
          <w:p w:rsidR="00461796" w:rsidRPr="008A73A1" w:rsidRDefault="00461796" w:rsidP="00BC5669">
            <w:pPr>
              <w:pStyle w:val="TableTextLeft"/>
            </w:pPr>
            <w:r w:rsidRPr="008A73A1">
              <w:t xml:space="preserve">First consumption step </w:t>
            </w:r>
            <w:r w:rsidR="00793F1A">
              <w:t>(</w:t>
            </w:r>
            <w:r w:rsidRPr="008A73A1">
              <w:t>kL/a</w:t>
            </w:r>
            <w:r w:rsidR="00793F1A">
              <w:t>)</w:t>
            </w:r>
          </w:p>
        </w:tc>
        <w:tc>
          <w:tcPr>
            <w:tcW w:w="873" w:type="dxa"/>
            <w:tcBorders>
              <w:top w:val="nil"/>
              <w:left w:val="nil"/>
              <w:bottom w:val="nil"/>
              <w:right w:val="nil"/>
            </w:tcBorders>
            <w:shd w:val="clear" w:color="auto" w:fill="auto"/>
            <w:hideMark/>
          </w:tcPr>
          <w:p w:rsidR="00461796" w:rsidRPr="00055E62" w:rsidRDefault="00461796" w:rsidP="00BC5669">
            <w:pPr>
              <w:pStyle w:val="TableTextRight"/>
            </w:pPr>
            <w:r w:rsidRPr="00055E62">
              <w:t>200</w:t>
            </w:r>
          </w:p>
        </w:tc>
        <w:tc>
          <w:tcPr>
            <w:tcW w:w="1037" w:type="dxa"/>
            <w:tcBorders>
              <w:top w:val="nil"/>
              <w:left w:val="nil"/>
              <w:bottom w:val="nil"/>
              <w:right w:val="nil"/>
            </w:tcBorders>
            <w:shd w:val="clear" w:color="auto" w:fill="auto"/>
            <w:hideMark/>
          </w:tcPr>
          <w:p w:rsidR="00461796" w:rsidRPr="00055E62" w:rsidRDefault="00461796" w:rsidP="00BC5669">
            <w:pPr>
              <w:pStyle w:val="TableTextRight"/>
            </w:pPr>
            <w:r w:rsidRPr="00055E62">
              <w:t>200</w:t>
            </w:r>
          </w:p>
        </w:tc>
        <w:tc>
          <w:tcPr>
            <w:tcW w:w="873" w:type="dxa"/>
            <w:tcBorders>
              <w:top w:val="nil"/>
              <w:left w:val="nil"/>
              <w:bottom w:val="nil"/>
              <w:right w:val="nil"/>
            </w:tcBorders>
            <w:shd w:val="clear" w:color="auto" w:fill="auto"/>
            <w:hideMark/>
          </w:tcPr>
          <w:p w:rsidR="00461796" w:rsidRPr="00055E62" w:rsidRDefault="00461796" w:rsidP="00BC5669">
            <w:pPr>
              <w:pStyle w:val="TableTextRight"/>
            </w:pPr>
            <w:r w:rsidRPr="00055E62">
              <w:t>200</w:t>
            </w:r>
          </w:p>
        </w:tc>
        <w:tc>
          <w:tcPr>
            <w:tcW w:w="873" w:type="dxa"/>
            <w:tcBorders>
              <w:top w:val="nil"/>
              <w:left w:val="nil"/>
              <w:bottom w:val="nil"/>
              <w:right w:val="nil"/>
            </w:tcBorders>
            <w:shd w:val="clear" w:color="auto" w:fill="auto"/>
            <w:hideMark/>
          </w:tcPr>
          <w:p w:rsidR="00461796" w:rsidRPr="00055E62" w:rsidRDefault="00461796" w:rsidP="00BC5669">
            <w:pPr>
              <w:pStyle w:val="TableTextRight"/>
            </w:pPr>
            <w:r w:rsidRPr="00055E62">
              <w:t>200</w:t>
            </w:r>
          </w:p>
        </w:tc>
        <w:tc>
          <w:tcPr>
            <w:tcW w:w="873" w:type="dxa"/>
            <w:tcBorders>
              <w:top w:val="nil"/>
              <w:left w:val="nil"/>
              <w:bottom w:val="nil"/>
              <w:right w:val="nil"/>
            </w:tcBorders>
            <w:shd w:val="clear" w:color="auto" w:fill="auto"/>
            <w:hideMark/>
          </w:tcPr>
          <w:p w:rsidR="00461796" w:rsidRPr="00055E62" w:rsidRDefault="00461796" w:rsidP="00BC5669">
            <w:pPr>
              <w:pStyle w:val="TableTextRight"/>
            </w:pPr>
            <w:r w:rsidRPr="00055E62">
              <w:t>200</w:t>
            </w:r>
          </w:p>
        </w:tc>
        <w:tc>
          <w:tcPr>
            <w:tcW w:w="873" w:type="dxa"/>
            <w:tcBorders>
              <w:top w:val="nil"/>
              <w:left w:val="nil"/>
              <w:bottom w:val="nil"/>
              <w:right w:val="nil"/>
            </w:tcBorders>
          </w:tcPr>
          <w:p w:rsidR="00461796" w:rsidRPr="00055E62" w:rsidRDefault="00461796" w:rsidP="00BC5669">
            <w:pPr>
              <w:pStyle w:val="TableTextRight"/>
            </w:pPr>
            <w:r w:rsidRPr="00055E62">
              <w:t>200</w:t>
            </w:r>
          </w:p>
        </w:tc>
        <w:tc>
          <w:tcPr>
            <w:tcW w:w="873" w:type="dxa"/>
            <w:tcBorders>
              <w:top w:val="nil"/>
              <w:left w:val="nil"/>
              <w:bottom w:val="nil"/>
              <w:right w:val="nil"/>
            </w:tcBorders>
          </w:tcPr>
          <w:p w:rsidR="00461796" w:rsidRPr="00055E62" w:rsidRDefault="00461796" w:rsidP="00BC5669">
            <w:pPr>
              <w:pStyle w:val="TableTextRight"/>
            </w:pPr>
            <w:r w:rsidRPr="00055E62">
              <w:t>200</w:t>
            </w:r>
          </w:p>
        </w:tc>
        <w:tc>
          <w:tcPr>
            <w:tcW w:w="873" w:type="dxa"/>
            <w:tcBorders>
              <w:top w:val="nil"/>
              <w:left w:val="nil"/>
              <w:bottom w:val="nil"/>
              <w:right w:val="nil"/>
            </w:tcBorders>
          </w:tcPr>
          <w:p w:rsidR="00461796" w:rsidRPr="00055E62" w:rsidRDefault="00461796" w:rsidP="00BC5669">
            <w:pPr>
              <w:pStyle w:val="TableTextRight"/>
            </w:pPr>
            <w:r w:rsidRPr="00055E62">
              <w:t>200</w:t>
            </w:r>
          </w:p>
        </w:tc>
        <w:tc>
          <w:tcPr>
            <w:tcW w:w="873" w:type="dxa"/>
            <w:tcBorders>
              <w:top w:val="nil"/>
              <w:left w:val="nil"/>
              <w:bottom w:val="nil"/>
              <w:right w:val="nil"/>
            </w:tcBorders>
          </w:tcPr>
          <w:p w:rsidR="00461796" w:rsidRPr="008A73A1" w:rsidRDefault="00461796" w:rsidP="00BC5669">
            <w:pPr>
              <w:pStyle w:val="TableTextRight"/>
            </w:pPr>
          </w:p>
        </w:tc>
        <w:tc>
          <w:tcPr>
            <w:tcW w:w="873" w:type="dxa"/>
            <w:tcBorders>
              <w:top w:val="nil"/>
              <w:left w:val="nil"/>
              <w:bottom w:val="nil"/>
              <w:right w:val="nil"/>
            </w:tcBorders>
          </w:tcPr>
          <w:p w:rsidR="00461796" w:rsidRPr="008A73A1" w:rsidRDefault="00461796" w:rsidP="00BC5669"/>
        </w:tc>
      </w:tr>
      <w:tr w:rsidR="00461796" w:rsidRPr="0084729D" w:rsidTr="00071545">
        <w:trPr>
          <w:trHeight w:hRule="exact" w:val="301"/>
        </w:trPr>
        <w:tc>
          <w:tcPr>
            <w:tcW w:w="2812" w:type="dxa"/>
            <w:tcBorders>
              <w:top w:val="nil"/>
              <w:left w:val="nil"/>
              <w:bottom w:val="single" w:sz="12" w:space="0" w:color="1F497D"/>
              <w:right w:val="nil"/>
            </w:tcBorders>
            <w:shd w:val="clear" w:color="auto" w:fill="auto"/>
            <w:vAlign w:val="bottom"/>
            <w:hideMark/>
          </w:tcPr>
          <w:p w:rsidR="00461796" w:rsidRPr="008A73A1" w:rsidRDefault="00461796" w:rsidP="00BC5669">
            <w:pPr>
              <w:pStyle w:val="TableTextLeft"/>
            </w:pPr>
            <w:r w:rsidRPr="008A73A1">
              <w:t>Second step (kL/a)</w:t>
            </w:r>
          </w:p>
        </w:tc>
        <w:tc>
          <w:tcPr>
            <w:tcW w:w="873" w:type="dxa"/>
            <w:tcBorders>
              <w:top w:val="nil"/>
              <w:left w:val="nil"/>
              <w:bottom w:val="single" w:sz="12" w:space="0" w:color="1F497D"/>
              <w:right w:val="nil"/>
            </w:tcBorders>
            <w:shd w:val="clear" w:color="auto" w:fill="auto"/>
            <w:hideMark/>
          </w:tcPr>
          <w:p w:rsidR="00461796" w:rsidRPr="00055E62" w:rsidRDefault="00461796" w:rsidP="00BC5669">
            <w:pPr>
              <w:pStyle w:val="TableTextRight"/>
            </w:pPr>
          </w:p>
        </w:tc>
        <w:tc>
          <w:tcPr>
            <w:tcW w:w="1037" w:type="dxa"/>
            <w:tcBorders>
              <w:top w:val="nil"/>
              <w:left w:val="nil"/>
              <w:bottom w:val="single" w:sz="12" w:space="0" w:color="1F497D"/>
              <w:right w:val="nil"/>
            </w:tcBorders>
            <w:shd w:val="clear" w:color="auto" w:fill="auto"/>
            <w:hideMark/>
          </w:tcPr>
          <w:p w:rsidR="00461796" w:rsidRPr="00055E62" w:rsidRDefault="00461796" w:rsidP="00BC5669">
            <w:pPr>
              <w:pStyle w:val="TableTextRight"/>
            </w:pPr>
          </w:p>
        </w:tc>
        <w:tc>
          <w:tcPr>
            <w:tcW w:w="873" w:type="dxa"/>
            <w:tcBorders>
              <w:top w:val="nil"/>
              <w:left w:val="nil"/>
              <w:bottom w:val="single" w:sz="12" w:space="0" w:color="1F497D"/>
              <w:right w:val="nil"/>
            </w:tcBorders>
            <w:shd w:val="clear" w:color="auto" w:fill="auto"/>
            <w:hideMark/>
          </w:tcPr>
          <w:p w:rsidR="00461796" w:rsidRPr="00055E62" w:rsidRDefault="00461796" w:rsidP="00BC5669">
            <w:pPr>
              <w:pStyle w:val="TableTextRight"/>
            </w:pPr>
          </w:p>
        </w:tc>
        <w:tc>
          <w:tcPr>
            <w:tcW w:w="873" w:type="dxa"/>
            <w:tcBorders>
              <w:top w:val="nil"/>
              <w:left w:val="nil"/>
              <w:bottom w:val="single" w:sz="12" w:space="0" w:color="1F497D"/>
              <w:right w:val="nil"/>
            </w:tcBorders>
            <w:shd w:val="clear" w:color="auto" w:fill="auto"/>
            <w:hideMark/>
          </w:tcPr>
          <w:p w:rsidR="00461796" w:rsidRPr="00055E62" w:rsidRDefault="00461796" w:rsidP="00BC5669">
            <w:pPr>
              <w:pStyle w:val="TableTextRight"/>
            </w:pPr>
          </w:p>
        </w:tc>
        <w:tc>
          <w:tcPr>
            <w:tcW w:w="873" w:type="dxa"/>
            <w:tcBorders>
              <w:top w:val="nil"/>
              <w:left w:val="nil"/>
              <w:bottom w:val="single" w:sz="12" w:space="0" w:color="1F497D"/>
              <w:right w:val="nil"/>
            </w:tcBorders>
            <w:shd w:val="clear" w:color="auto" w:fill="auto"/>
            <w:hideMark/>
          </w:tcPr>
          <w:p w:rsidR="00461796" w:rsidRPr="00055E62" w:rsidRDefault="00461796" w:rsidP="00BC5669">
            <w:pPr>
              <w:pStyle w:val="TableTextRight"/>
            </w:pPr>
          </w:p>
        </w:tc>
        <w:tc>
          <w:tcPr>
            <w:tcW w:w="873" w:type="dxa"/>
            <w:tcBorders>
              <w:top w:val="nil"/>
              <w:left w:val="nil"/>
              <w:bottom w:val="single" w:sz="12" w:space="0" w:color="1F497D"/>
              <w:right w:val="nil"/>
            </w:tcBorders>
          </w:tcPr>
          <w:p w:rsidR="00461796" w:rsidRPr="00055E62" w:rsidRDefault="00461796" w:rsidP="00BC5669">
            <w:pPr>
              <w:pStyle w:val="TableTextRight"/>
            </w:pPr>
          </w:p>
        </w:tc>
        <w:tc>
          <w:tcPr>
            <w:tcW w:w="873" w:type="dxa"/>
            <w:tcBorders>
              <w:top w:val="nil"/>
              <w:left w:val="nil"/>
              <w:bottom w:val="single" w:sz="12" w:space="0" w:color="1F497D"/>
              <w:right w:val="nil"/>
            </w:tcBorders>
          </w:tcPr>
          <w:p w:rsidR="00461796" w:rsidRPr="00055E62" w:rsidRDefault="00461796" w:rsidP="00BC5669">
            <w:pPr>
              <w:pStyle w:val="TableTextRight"/>
            </w:pPr>
          </w:p>
        </w:tc>
        <w:tc>
          <w:tcPr>
            <w:tcW w:w="873" w:type="dxa"/>
            <w:tcBorders>
              <w:top w:val="nil"/>
              <w:left w:val="nil"/>
              <w:bottom w:val="single" w:sz="12" w:space="0" w:color="1F497D"/>
              <w:right w:val="nil"/>
            </w:tcBorders>
          </w:tcPr>
          <w:p w:rsidR="00461796" w:rsidRDefault="00461796" w:rsidP="00BC5669">
            <w:pPr>
              <w:pStyle w:val="TableTextRight"/>
            </w:pPr>
          </w:p>
        </w:tc>
        <w:tc>
          <w:tcPr>
            <w:tcW w:w="873" w:type="dxa"/>
            <w:tcBorders>
              <w:top w:val="nil"/>
              <w:left w:val="nil"/>
              <w:bottom w:val="single" w:sz="12" w:space="0" w:color="1F497D"/>
              <w:right w:val="nil"/>
            </w:tcBorders>
          </w:tcPr>
          <w:p w:rsidR="00461796" w:rsidRPr="008A73A1" w:rsidRDefault="00461796" w:rsidP="00BC5669">
            <w:pPr>
              <w:pStyle w:val="TableTextRight"/>
            </w:pPr>
          </w:p>
        </w:tc>
        <w:tc>
          <w:tcPr>
            <w:tcW w:w="873" w:type="dxa"/>
            <w:tcBorders>
              <w:top w:val="nil"/>
              <w:left w:val="nil"/>
              <w:bottom w:val="single" w:sz="12" w:space="0" w:color="1F497D"/>
              <w:right w:val="nil"/>
            </w:tcBorders>
          </w:tcPr>
          <w:p w:rsidR="00461796" w:rsidRPr="008A73A1" w:rsidRDefault="00461796" w:rsidP="00BC5669"/>
        </w:tc>
      </w:tr>
    </w:tbl>
    <w:p w:rsidR="00461796" w:rsidRPr="009C2F8E" w:rsidRDefault="00793F1A" w:rsidP="00461796">
      <w:pPr>
        <w:rPr>
          <w:rFonts w:ascii="Arial Narrow" w:hAnsi="Arial Narrow"/>
          <w:sz w:val="16"/>
          <w:szCs w:val="16"/>
        </w:rPr>
      </w:pPr>
      <w:r w:rsidRPr="009C2F8E">
        <w:rPr>
          <w:rFonts w:ascii="Arial Narrow" w:hAnsi="Arial Narrow"/>
          <w:sz w:val="16"/>
          <w:szCs w:val="16"/>
        </w:rPr>
        <w:t>(a) The water abstraction charge in 2003</w:t>
      </w:r>
      <w:r w:rsidRPr="009C2F8E">
        <w:rPr>
          <w:rFonts w:ascii="Arial Narrow" w:hAnsi="Arial Narrow"/>
          <w:sz w:val="16"/>
          <w:szCs w:val="16"/>
        </w:rPr>
        <w:sym w:font="Symbol" w:char="F02D"/>
      </w:r>
      <w:r w:rsidRPr="009C2F8E">
        <w:rPr>
          <w:rFonts w:ascii="Arial Narrow" w:hAnsi="Arial Narrow"/>
          <w:sz w:val="16"/>
          <w:szCs w:val="16"/>
        </w:rPr>
        <w:t>04 was $0.10/kL for the first half of the financial year and $0.20/kL for the second half.</w:t>
      </w:r>
    </w:p>
    <w:p w:rsidR="00793F1A" w:rsidRDefault="00793F1A" w:rsidP="00461796"/>
    <w:p w:rsidR="00793F1A" w:rsidRDefault="00793F1A" w:rsidP="00461796">
      <w:pPr>
        <w:sectPr w:rsidR="00793F1A" w:rsidSect="00FC60D2">
          <w:endnotePr>
            <w:numFmt w:val="decimal"/>
          </w:endnotePr>
          <w:pgSz w:w="16840" w:h="11907" w:orient="landscape" w:code="9"/>
          <w:pgMar w:top="2098" w:right="2268" w:bottom="2098" w:left="1701" w:header="578" w:footer="578" w:gutter="0"/>
          <w:cols w:space="720"/>
          <w:docGrid w:linePitch="299"/>
        </w:sectPr>
      </w:pPr>
    </w:p>
    <w:p w:rsidR="00461796" w:rsidRDefault="00461796" w:rsidP="00461796">
      <w:bookmarkStart w:id="153" w:name="Four_other_pricing"/>
      <w:bookmarkStart w:id="154" w:name="_Ref430954229"/>
      <w:bookmarkStart w:id="155" w:name="_Ref430954233"/>
      <w:bookmarkEnd w:id="153"/>
      <w:r w:rsidRPr="006C3BC8">
        <w:lastRenderedPageBreak/>
        <w:t>In the determination of water tariffs</w:t>
      </w:r>
      <w:r>
        <w:t xml:space="preserve"> to date</w:t>
      </w:r>
      <w:r w:rsidRPr="006C3BC8">
        <w:t xml:space="preserve">, the Commission </w:t>
      </w:r>
      <w:r>
        <w:t xml:space="preserve">has </w:t>
      </w:r>
      <w:r w:rsidRPr="006C3BC8">
        <w:t xml:space="preserve">not distinguished between residential and </w:t>
      </w:r>
      <w:r>
        <w:t>business</w:t>
      </w:r>
      <w:r w:rsidRPr="006C3BC8">
        <w:t xml:space="preserve"> customers. That is, all water customers, regardless of their size and the use to which they put water, are charged the same prices.</w:t>
      </w:r>
      <w:r>
        <w:t xml:space="preserve"> The Commission has taken this approach on the basis that </w:t>
      </w:r>
      <w:r w:rsidRPr="006C3BC8">
        <w:t>a single tariff structure reduce</w:t>
      </w:r>
      <w:r>
        <w:t>s</w:t>
      </w:r>
      <w:r w:rsidRPr="006C3BC8">
        <w:t xml:space="preserve"> complexity in billing, improve</w:t>
      </w:r>
      <w:r>
        <w:t>s</w:t>
      </w:r>
      <w:r w:rsidRPr="006C3BC8">
        <w:t xml:space="preserve"> customer understanding of charges, and reflect</w:t>
      </w:r>
      <w:r>
        <w:t>s</w:t>
      </w:r>
      <w:r w:rsidRPr="006C3BC8">
        <w:t xml:space="preserve"> the fact that the cost of supplying a kilolitre of water does not vary according to the identity of the user.</w:t>
      </w:r>
    </w:p>
    <w:p w:rsidR="001A0FB7" w:rsidRPr="001A0FB7" w:rsidRDefault="00461796" w:rsidP="001A0FB7">
      <w:pPr>
        <w:pStyle w:val="Heading2"/>
      </w:pPr>
      <w:bookmarkStart w:id="156" w:name="_Ref434394632"/>
      <w:bookmarkStart w:id="157" w:name="_Toc435700168"/>
      <w:r>
        <w:t>Arrangements in other jurisdictions</w:t>
      </w:r>
      <w:bookmarkEnd w:id="154"/>
      <w:bookmarkEnd w:id="155"/>
      <w:bookmarkEnd w:id="156"/>
      <w:bookmarkEnd w:id="157"/>
    </w:p>
    <w:p w:rsidR="00461796" w:rsidRDefault="00461796" w:rsidP="00461796">
      <w:r w:rsidRPr="006050C3">
        <w:t xml:space="preserve">This section briefly introduces and compares </w:t>
      </w:r>
      <w:r>
        <w:t>water tariffs and prices for a number of different utilities in New South Wales, Victoria, South Australia and Tasmania</w:t>
      </w:r>
      <w:r w:rsidRPr="006050C3">
        <w:t>. The</w:t>
      </w:r>
      <w:r>
        <w:t xml:space="preserve"> selected utilities are all </w:t>
      </w:r>
      <w:r w:rsidRPr="006050C3">
        <w:t>priced by independent regulators in a manner similar to the ACT.</w:t>
      </w:r>
      <w:r w:rsidRPr="00C814F2">
        <w:t xml:space="preserve"> </w:t>
      </w:r>
      <w:r>
        <w:t>The 2015</w:t>
      </w:r>
      <w:r>
        <w:sym w:font="Symbol" w:char="F02D"/>
      </w:r>
      <w:r>
        <w:t xml:space="preserve">16 prices being charged by the various utilities, including Icon Water for comparison purposes, are detailed in </w:t>
      </w:r>
      <w:fldSimple w:instr=" REF _Ref430940761 \h  \* MERGEFORMAT ">
        <w:r w:rsidR="00E43227" w:rsidRPr="003C3AEA">
          <w:t>Table</w:t>
        </w:r>
        <w:r w:rsidR="00E43227" w:rsidRPr="00743208">
          <w:t xml:space="preserve"> </w:t>
        </w:r>
        <w:r w:rsidR="00E43227">
          <w:rPr>
            <w:noProof/>
          </w:rPr>
          <w:t>4</w:t>
        </w:r>
        <w:r w:rsidR="00E43227" w:rsidRPr="00743208">
          <w:rPr>
            <w:noProof/>
          </w:rPr>
          <w:t>.</w:t>
        </w:r>
        <w:r w:rsidR="00E43227">
          <w:rPr>
            <w:noProof/>
          </w:rPr>
          <w:t>2</w:t>
        </w:r>
      </w:fldSimple>
      <w:r>
        <w:t>.</w:t>
      </w:r>
    </w:p>
    <w:p w:rsidR="00461796" w:rsidRDefault="001A0FB7" w:rsidP="00101ADB">
      <w:pPr>
        <w:pStyle w:val="Heading3"/>
      </w:pPr>
      <w:r>
        <w:t>General o</w:t>
      </w:r>
      <w:r w:rsidR="00461796">
        <w:t>bservations</w:t>
      </w:r>
    </w:p>
    <w:p w:rsidR="00461796" w:rsidRDefault="00461796" w:rsidP="00461796">
      <w:r>
        <w:t xml:space="preserve">There are a few points worth noting from the comparison of prices charged by the utilities listed in </w:t>
      </w:r>
      <w:fldSimple w:instr=" REF _Ref430940761 \h  \* MERGEFORMAT ">
        <w:r w:rsidR="00E43227" w:rsidRPr="003C3AEA">
          <w:t>Table</w:t>
        </w:r>
        <w:r w:rsidR="00E43227" w:rsidRPr="00743208">
          <w:t xml:space="preserve"> </w:t>
        </w:r>
        <w:r w:rsidR="00E43227">
          <w:rPr>
            <w:noProof/>
          </w:rPr>
          <w:t>4</w:t>
        </w:r>
        <w:r w:rsidR="00E43227" w:rsidRPr="00743208">
          <w:rPr>
            <w:noProof/>
          </w:rPr>
          <w:t>.</w:t>
        </w:r>
        <w:r w:rsidR="00E43227">
          <w:rPr>
            <w:noProof/>
          </w:rPr>
          <w:t>2</w:t>
        </w:r>
      </w:fldSimple>
      <w:r>
        <w:t>:</w:t>
      </w:r>
    </w:p>
    <w:p w:rsidR="00461796" w:rsidRDefault="00461796" w:rsidP="00461796">
      <w:pPr>
        <w:pStyle w:val="Bullet"/>
      </w:pPr>
      <w:r>
        <w:t>All utilities have a two-part tariff with a fixed and volumetric charge.</w:t>
      </w:r>
    </w:p>
    <w:p w:rsidR="00461796" w:rsidRDefault="00461796" w:rsidP="00461796">
      <w:pPr>
        <w:pStyle w:val="Bullet"/>
      </w:pPr>
      <w:r>
        <w:t>A number of utilities have different prices for resid</w:t>
      </w:r>
      <w:r w:rsidR="00DC1ED9">
        <w:t>ential and business customers.</w:t>
      </w:r>
    </w:p>
    <w:p w:rsidR="00461796" w:rsidRDefault="00461796" w:rsidP="00461796">
      <w:pPr>
        <w:pStyle w:val="Bullet"/>
      </w:pPr>
      <w:r>
        <w:t>Annual fixed charges vary from $17.75 for Hunter Water residential customers to $116,582 for Sydney Water business customers with a 600</w:t>
      </w:r>
      <w:r w:rsidR="00820555">
        <w:t> </w:t>
      </w:r>
      <w:r>
        <w:t>mm connection.</w:t>
      </w:r>
    </w:p>
    <w:p w:rsidR="00461796" w:rsidRDefault="00461796" w:rsidP="00461796">
      <w:pPr>
        <w:pStyle w:val="Bullet"/>
      </w:pPr>
      <w:r>
        <w:t>A number of utilities differentiate fixed charges on the basis of water pipe connection size.</w:t>
      </w:r>
    </w:p>
    <w:p w:rsidR="00461796" w:rsidRDefault="00461796" w:rsidP="00461796">
      <w:pPr>
        <w:pStyle w:val="BulletLast"/>
      </w:pPr>
      <w:r>
        <w:t>Volumetric pricing arrangements include single and two</w:t>
      </w:r>
      <w:r w:rsidR="00820555">
        <w:t>-</w:t>
      </w:r>
      <w:r>
        <w:t xml:space="preserve"> and three</w:t>
      </w:r>
      <w:r w:rsidR="00820555">
        <w:t>-</w:t>
      </w:r>
      <w:r>
        <w:t>tier inclining block structures with differing volumetric steps.</w:t>
      </w:r>
    </w:p>
    <w:p w:rsidR="00461796" w:rsidRPr="00743208" w:rsidRDefault="00461796" w:rsidP="00461796">
      <w:pPr>
        <w:pStyle w:val="FigureName"/>
        <w:keepNext/>
      </w:pPr>
      <w:bookmarkStart w:id="158" w:name="_Ref430940761"/>
      <w:bookmarkStart w:id="159" w:name="_Toc435700185"/>
      <w:r w:rsidRPr="003C3AEA">
        <w:t>Table</w:t>
      </w:r>
      <w:r w:rsidRPr="00743208">
        <w:t xml:space="preserve"> </w:t>
      </w:r>
      <w:r w:rsidR="00A7215E">
        <w:fldChar w:fldCharType="begin"/>
      </w:r>
      <w:r>
        <w:instrText xml:space="preserve"> STYLEREF 1 \s </w:instrText>
      </w:r>
      <w:r w:rsidR="00A7215E">
        <w:fldChar w:fldCharType="separate"/>
      </w:r>
      <w:r w:rsidR="00E43227">
        <w:rPr>
          <w:noProof/>
        </w:rPr>
        <w:t>4</w:t>
      </w:r>
      <w:r w:rsidR="00A7215E">
        <w:fldChar w:fldCharType="end"/>
      </w:r>
      <w:r w:rsidRPr="00743208">
        <w:t>.</w:t>
      </w:r>
      <w:r w:rsidR="00A7215E" w:rsidRPr="00743208">
        <w:fldChar w:fldCharType="begin"/>
      </w:r>
      <w:r w:rsidRPr="00743208">
        <w:instrText xml:space="preserve"> SEQ Table \* ARABIC \s 1 </w:instrText>
      </w:r>
      <w:r w:rsidR="00A7215E" w:rsidRPr="00743208">
        <w:fldChar w:fldCharType="separate"/>
      </w:r>
      <w:r w:rsidR="00E43227">
        <w:rPr>
          <w:noProof/>
        </w:rPr>
        <w:t>2</w:t>
      </w:r>
      <w:r w:rsidR="00A7215E" w:rsidRPr="00743208">
        <w:fldChar w:fldCharType="end"/>
      </w:r>
      <w:bookmarkEnd w:id="158"/>
      <w:r w:rsidRPr="00743208">
        <w:tab/>
      </w:r>
      <w:r>
        <w:t>Water tariffs in various jurisdictions, 2015</w:t>
      </w:r>
      <w:r w:rsidR="006B1EEE">
        <w:t>–</w:t>
      </w:r>
      <w:r>
        <w:t>16</w:t>
      </w:r>
      <w:bookmarkEnd w:id="159"/>
    </w:p>
    <w:tbl>
      <w:tblPr>
        <w:tblW w:w="5178" w:type="pct"/>
        <w:tblBorders>
          <w:top w:val="single" w:sz="12" w:space="0" w:color="333399"/>
          <w:bottom w:val="single" w:sz="12" w:space="0" w:color="333399"/>
        </w:tblBorders>
        <w:tblCellMar>
          <w:left w:w="115" w:type="dxa"/>
          <w:right w:w="115" w:type="dxa"/>
        </w:tblCellMar>
        <w:tblLook w:val="0000"/>
      </w:tblPr>
      <w:tblGrid>
        <w:gridCol w:w="2223"/>
        <w:gridCol w:w="1116"/>
        <w:gridCol w:w="854"/>
        <w:gridCol w:w="855"/>
        <w:gridCol w:w="849"/>
        <w:gridCol w:w="854"/>
        <w:gridCol w:w="709"/>
        <w:gridCol w:w="764"/>
      </w:tblGrid>
      <w:tr w:rsidR="00960A17" w:rsidRPr="00144F8C" w:rsidTr="00960A17">
        <w:trPr>
          <w:cantSplit/>
        </w:trPr>
        <w:tc>
          <w:tcPr>
            <w:tcW w:w="1352"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461796" w:rsidRDefault="00461796" w:rsidP="00BC5669">
            <w:pPr>
              <w:keepNext/>
              <w:rPr>
                <w:rFonts w:cs="Arial"/>
                <w:b/>
                <w:color w:val="000033"/>
                <w:kern w:val="28"/>
                <w:szCs w:val="22"/>
              </w:rPr>
            </w:pPr>
          </w:p>
        </w:tc>
        <w:tc>
          <w:tcPr>
            <w:tcW w:w="679" w:type="pct"/>
            <w:tcBorders>
              <w:top w:val="single" w:sz="12" w:space="0" w:color="1F497D" w:themeColor="text2"/>
              <w:left w:val="nil"/>
              <w:bottom w:val="single" w:sz="8" w:space="0" w:color="1F497D" w:themeColor="text2"/>
              <w:right w:val="dotted" w:sz="4" w:space="0" w:color="auto"/>
            </w:tcBorders>
            <w:shd w:val="clear" w:color="auto" w:fill="DBE5F1" w:themeFill="accent1" w:themeFillTint="33"/>
            <w:vAlign w:val="bottom"/>
          </w:tcPr>
          <w:p w:rsidR="00960A17" w:rsidRDefault="00461796" w:rsidP="00960A17">
            <w:pPr>
              <w:pStyle w:val="TableHeadingRight"/>
              <w:keepNext/>
            </w:pPr>
            <w:r>
              <w:t>Fixed</w:t>
            </w:r>
            <w:r w:rsidR="00960A17">
              <w:t xml:space="preserve"> </w:t>
            </w:r>
            <w:r>
              <w:t>charge</w:t>
            </w:r>
            <w:r w:rsidR="00960A17">
              <w:t xml:space="preserve"> </w:t>
            </w:r>
          </w:p>
          <w:p w:rsidR="00461796" w:rsidRDefault="00461796" w:rsidP="00960A17">
            <w:pPr>
              <w:pStyle w:val="TableHeadingRight"/>
              <w:keepNext/>
            </w:pPr>
            <w:r>
              <w:t>($/a)</w:t>
            </w:r>
          </w:p>
        </w:tc>
        <w:tc>
          <w:tcPr>
            <w:tcW w:w="519" w:type="pct"/>
            <w:tcBorders>
              <w:top w:val="single" w:sz="12" w:space="0" w:color="1F497D" w:themeColor="text2"/>
              <w:left w:val="dotted" w:sz="4" w:space="0" w:color="auto"/>
              <w:bottom w:val="single" w:sz="8" w:space="0" w:color="1F497D" w:themeColor="text2"/>
              <w:right w:val="nil"/>
            </w:tcBorders>
            <w:shd w:val="clear" w:color="auto" w:fill="DBE5F1" w:themeFill="accent1" w:themeFillTint="33"/>
          </w:tcPr>
          <w:p w:rsidR="00461796" w:rsidRDefault="00461796" w:rsidP="00960A17">
            <w:pPr>
              <w:pStyle w:val="TableHeadingRight"/>
              <w:keepNext/>
            </w:pPr>
            <w:r w:rsidRPr="00FC60D2">
              <w:t>Tier 1 price</w:t>
            </w:r>
            <w:r w:rsidR="00960A17">
              <w:t xml:space="preserve"> </w:t>
            </w:r>
            <w:r w:rsidRPr="00FC60D2">
              <w:t>($/kL)</w:t>
            </w:r>
          </w:p>
        </w:tc>
        <w:tc>
          <w:tcPr>
            <w:tcW w:w="520" w:type="pct"/>
            <w:tcBorders>
              <w:top w:val="single" w:sz="12" w:space="0" w:color="1F497D" w:themeColor="text2"/>
              <w:left w:val="nil"/>
              <w:bottom w:val="single" w:sz="8" w:space="0" w:color="1F497D" w:themeColor="text2"/>
              <w:right w:val="nil"/>
            </w:tcBorders>
            <w:shd w:val="clear" w:color="auto" w:fill="DBE5F1" w:themeFill="accent1" w:themeFillTint="33"/>
          </w:tcPr>
          <w:p w:rsidR="00461796" w:rsidRDefault="00461796" w:rsidP="00BC5669">
            <w:pPr>
              <w:pStyle w:val="TableHeadingRight"/>
              <w:keepNext/>
            </w:pPr>
            <w:r w:rsidRPr="00FC60D2">
              <w:t xml:space="preserve">Tier </w:t>
            </w:r>
            <w:r>
              <w:t>2</w:t>
            </w:r>
            <w:r w:rsidRPr="00FC60D2">
              <w:t xml:space="preserve"> price</w:t>
            </w:r>
          </w:p>
          <w:p w:rsidR="00461796" w:rsidRDefault="00461796" w:rsidP="00BC5669">
            <w:pPr>
              <w:pStyle w:val="TableHeadingRight"/>
              <w:keepNext/>
            </w:pPr>
            <w:r w:rsidRPr="00FC60D2">
              <w:t>($/kL)</w:t>
            </w:r>
          </w:p>
        </w:tc>
        <w:tc>
          <w:tcPr>
            <w:tcW w:w="516" w:type="pct"/>
            <w:tcBorders>
              <w:top w:val="single" w:sz="12" w:space="0" w:color="1F497D" w:themeColor="text2"/>
              <w:left w:val="nil"/>
              <w:bottom w:val="single" w:sz="8" w:space="0" w:color="1F497D" w:themeColor="text2"/>
              <w:right w:val="dotted" w:sz="4" w:space="0" w:color="auto"/>
            </w:tcBorders>
            <w:shd w:val="clear" w:color="auto" w:fill="DBE5F1" w:themeFill="accent1" w:themeFillTint="33"/>
          </w:tcPr>
          <w:p w:rsidR="00461796" w:rsidRDefault="00461796" w:rsidP="00BC5669">
            <w:pPr>
              <w:pStyle w:val="TableHeadingRight"/>
              <w:keepNext/>
            </w:pPr>
            <w:r w:rsidRPr="00FC60D2">
              <w:t xml:space="preserve">Tier </w:t>
            </w:r>
            <w:r>
              <w:t>3</w:t>
            </w:r>
            <w:r w:rsidRPr="00FC60D2">
              <w:t xml:space="preserve"> price</w:t>
            </w:r>
          </w:p>
          <w:p w:rsidR="00461796" w:rsidRDefault="00461796" w:rsidP="00BC5669">
            <w:pPr>
              <w:pStyle w:val="TableHeadingRight"/>
              <w:keepNext/>
            </w:pPr>
            <w:r w:rsidRPr="00FC60D2">
              <w:t>($/kL)</w:t>
            </w:r>
          </w:p>
        </w:tc>
        <w:tc>
          <w:tcPr>
            <w:tcW w:w="519" w:type="pct"/>
            <w:tcBorders>
              <w:top w:val="single" w:sz="12" w:space="0" w:color="1F497D" w:themeColor="text2"/>
              <w:left w:val="dotted" w:sz="4" w:space="0" w:color="auto"/>
              <w:bottom w:val="single" w:sz="8" w:space="0" w:color="1F497D" w:themeColor="text2"/>
              <w:right w:val="nil"/>
            </w:tcBorders>
            <w:shd w:val="clear" w:color="auto" w:fill="DBE5F1" w:themeFill="accent1" w:themeFillTint="33"/>
          </w:tcPr>
          <w:p w:rsidR="00461796" w:rsidRDefault="00461796" w:rsidP="00BC5669">
            <w:pPr>
              <w:pStyle w:val="TableHeadingRight"/>
              <w:keepNext/>
            </w:pPr>
            <w:r>
              <w:t>Step 1</w:t>
            </w:r>
          </w:p>
          <w:p w:rsidR="00461796" w:rsidRDefault="00461796" w:rsidP="00BC5669">
            <w:pPr>
              <w:pStyle w:val="TableHeadingRight"/>
              <w:keepNext/>
            </w:pPr>
            <w:r>
              <w:t>(kL/a)</w:t>
            </w:r>
          </w:p>
        </w:tc>
        <w:tc>
          <w:tcPr>
            <w:tcW w:w="431" w:type="pct"/>
            <w:tcBorders>
              <w:top w:val="single" w:sz="12" w:space="0" w:color="1F497D" w:themeColor="text2"/>
              <w:left w:val="nil"/>
              <w:bottom w:val="single" w:sz="8" w:space="0" w:color="1F497D" w:themeColor="text2"/>
              <w:right w:val="nil"/>
            </w:tcBorders>
            <w:shd w:val="clear" w:color="auto" w:fill="DBE5F1" w:themeFill="accent1" w:themeFillTint="33"/>
          </w:tcPr>
          <w:p w:rsidR="00461796" w:rsidRDefault="00461796" w:rsidP="00BC5669">
            <w:pPr>
              <w:pStyle w:val="TableHeadingRight"/>
              <w:keepNext/>
            </w:pPr>
            <w:r>
              <w:t>Step 2</w:t>
            </w:r>
          </w:p>
          <w:p w:rsidR="00461796" w:rsidRDefault="00461796" w:rsidP="00BC5669">
            <w:pPr>
              <w:pStyle w:val="TableHeadingRight"/>
              <w:keepNext/>
            </w:pPr>
            <w:r>
              <w:t>(kL/a)</w:t>
            </w:r>
          </w:p>
        </w:tc>
        <w:tc>
          <w:tcPr>
            <w:tcW w:w="465" w:type="pct"/>
            <w:tcBorders>
              <w:top w:val="single" w:sz="12" w:space="0" w:color="1F497D" w:themeColor="text2"/>
              <w:left w:val="nil"/>
              <w:bottom w:val="single" w:sz="8" w:space="0" w:color="1F497D" w:themeColor="text2"/>
              <w:right w:val="nil"/>
            </w:tcBorders>
            <w:shd w:val="clear" w:color="auto" w:fill="DBE5F1" w:themeFill="accent1" w:themeFillTint="33"/>
          </w:tcPr>
          <w:p w:rsidR="00461796" w:rsidRDefault="00461796" w:rsidP="00BC5669">
            <w:pPr>
              <w:pStyle w:val="TableHeadingRight"/>
              <w:keepNext/>
            </w:pPr>
            <w:r>
              <w:t>200 kL/a bill ($)</w:t>
            </w:r>
          </w:p>
        </w:tc>
      </w:tr>
      <w:tr w:rsidR="00960A17" w:rsidRPr="00144F8C" w:rsidTr="00960A17">
        <w:trPr>
          <w:cantSplit/>
        </w:trPr>
        <w:tc>
          <w:tcPr>
            <w:tcW w:w="1352" w:type="pct"/>
            <w:tcBorders>
              <w:top w:val="nil"/>
              <w:left w:val="nil"/>
              <w:bottom w:val="nil"/>
              <w:right w:val="nil"/>
            </w:tcBorders>
          </w:tcPr>
          <w:p w:rsidR="00461796" w:rsidRPr="00C07517" w:rsidRDefault="00461796" w:rsidP="00BC5669">
            <w:pPr>
              <w:pStyle w:val="TableHeadingLeft"/>
              <w:keepNext/>
              <w:rPr>
                <w:b w:val="0"/>
              </w:rPr>
            </w:pPr>
            <w:r w:rsidRPr="00C07517">
              <w:rPr>
                <w:b w:val="0"/>
              </w:rPr>
              <w:t xml:space="preserve">City West Water </w:t>
            </w:r>
            <w:r w:rsidRPr="00C07517">
              <w:rPr>
                <w:b w:val="0"/>
              </w:rPr>
              <w:sym w:font="Symbol" w:char="F02D"/>
            </w:r>
            <w:r w:rsidRPr="00C07517">
              <w:rPr>
                <w:b w:val="0"/>
              </w:rPr>
              <w:t xml:space="preserve"> residential</w:t>
            </w:r>
          </w:p>
        </w:tc>
        <w:tc>
          <w:tcPr>
            <w:tcW w:w="679" w:type="pct"/>
            <w:tcBorders>
              <w:top w:val="nil"/>
              <w:left w:val="nil"/>
              <w:bottom w:val="nil"/>
              <w:right w:val="dotted" w:sz="4" w:space="0" w:color="auto"/>
            </w:tcBorders>
            <w:vAlign w:val="bottom"/>
          </w:tcPr>
          <w:p w:rsidR="00461796" w:rsidRDefault="00461796" w:rsidP="00BC5669">
            <w:pPr>
              <w:pStyle w:val="TableTextRight"/>
              <w:keepNext/>
            </w:pPr>
            <w:r w:rsidRPr="00A37607">
              <w:t>228.00</w:t>
            </w:r>
          </w:p>
        </w:tc>
        <w:tc>
          <w:tcPr>
            <w:tcW w:w="519" w:type="pct"/>
            <w:tcBorders>
              <w:top w:val="nil"/>
              <w:left w:val="dotted" w:sz="4" w:space="0" w:color="auto"/>
              <w:bottom w:val="nil"/>
              <w:right w:val="nil"/>
            </w:tcBorders>
            <w:vAlign w:val="bottom"/>
          </w:tcPr>
          <w:p w:rsidR="00461796" w:rsidRDefault="00461796" w:rsidP="00BC5669">
            <w:pPr>
              <w:pStyle w:val="TableTextRight"/>
              <w:keepNext/>
            </w:pPr>
            <w:r w:rsidRPr="00A37607">
              <w:t>2.39</w:t>
            </w:r>
          </w:p>
        </w:tc>
        <w:tc>
          <w:tcPr>
            <w:tcW w:w="520" w:type="pct"/>
            <w:tcBorders>
              <w:top w:val="nil"/>
              <w:left w:val="nil"/>
              <w:bottom w:val="nil"/>
              <w:right w:val="nil"/>
            </w:tcBorders>
            <w:vAlign w:val="bottom"/>
          </w:tcPr>
          <w:p w:rsidR="00461796" w:rsidRDefault="00461796" w:rsidP="00BC5669">
            <w:pPr>
              <w:pStyle w:val="TableTextRight"/>
              <w:keepNext/>
            </w:pPr>
            <w:r w:rsidRPr="00A37607">
              <w:t>2.82</w:t>
            </w:r>
          </w:p>
        </w:tc>
        <w:tc>
          <w:tcPr>
            <w:tcW w:w="516" w:type="pct"/>
            <w:tcBorders>
              <w:top w:val="nil"/>
              <w:left w:val="nil"/>
              <w:bottom w:val="nil"/>
              <w:right w:val="dotted" w:sz="4" w:space="0" w:color="auto"/>
            </w:tcBorders>
            <w:vAlign w:val="bottom"/>
          </w:tcPr>
          <w:p w:rsidR="00461796" w:rsidRDefault="00461796" w:rsidP="00BC5669">
            <w:pPr>
              <w:pStyle w:val="TableTextRight"/>
              <w:keepNext/>
            </w:pPr>
            <w:r w:rsidRPr="00A37607">
              <w:t>4.19</w:t>
            </w:r>
          </w:p>
        </w:tc>
        <w:tc>
          <w:tcPr>
            <w:tcW w:w="519" w:type="pct"/>
            <w:tcBorders>
              <w:top w:val="nil"/>
              <w:left w:val="dotted" w:sz="4" w:space="0" w:color="auto"/>
              <w:bottom w:val="nil"/>
              <w:right w:val="nil"/>
            </w:tcBorders>
          </w:tcPr>
          <w:p w:rsidR="00461796" w:rsidRDefault="00461796" w:rsidP="00BC5669">
            <w:pPr>
              <w:pStyle w:val="TableTextRight"/>
              <w:keepNext/>
            </w:pPr>
            <w:r>
              <w:t>161</w:t>
            </w:r>
          </w:p>
        </w:tc>
        <w:tc>
          <w:tcPr>
            <w:tcW w:w="431" w:type="pct"/>
            <w:tcBorders>
              <w:top w:val="nil"/>
              <w:left w:val="nil"/>
              <w:bottom w:val="nil"/>
              <w:right w:val="nil"/>
            </w:tcBorders>
          </w:tcPr>
          <w:p w:rsidR="00461796" w:rsidRDefault="00461796" w:rsidP="00BC5669">
            <w:pPr>
              <w:pStyle w:val="TableTextRight"/>
              <w:keepNext/>
            </w:pPr>
            <w:r>
              <w:t>321</w:t>
            </w:r>
          </w:p>
        </w:tc>
        <w:tc>
          <w:tcPr>
            <w:tcW w:w="465" w:type="pct"/>
            <w:tcBorders>
              <w:top w:val="nil"/>
              <w:left w:val="nil"/>
              <w:bottom w:val="nil"/>
              <w:right w:val="nil"/>
            </w:tcBorders>
          </w:tcPr>
          <w:p w:rsidR="00461796" w:rsidRDefault="00461796" w:rsidP="00BC5669">
            <w:pPr>
              <w:pStyle w:val="TableTextRight"/>
              <w:keepNext/>
            </w:pPr>
            <w:r>
              <w:t>723</w:t>
            </w:r>
          </w:p>
        </w:tc>
      </w:tr>
      <w:tr w:rsidR="00960A17" w:rsidRPr="00144F8C" w:rsidTr="00960A17">
        <w:trPr>
          <w:cantSplit/>
        </w:trPr>
        <w:tc>
          <w:tcPr>
            <w:tcW w:w="1352" w:type="pct"/>
            <w:tcBorders>
              <w:top w:val="nil"/>
              <w:left w:val="nil"/>
              <w:bottom w:val="nil"/>
              <w:right w:val="nil"/>
            </w:tcBorders>
          </w:tcPr>
          <w:p w:rsidR="00461796" w:rsidRPr="00C07517" w:rsidRDefault="00C07517" w:rsidP="00BC5669">
            <w:pPr>
              <w:pStyle w:val="TableHeadingLeft"/>
              <w:keepNext/>
              <w:rPr>
                <w:b w:val="0"/>
              </w:rPr>
            </w:pPr>
            <w:r>
              <w:rPr>
                <w:b w:val="0"/>
              </w:rPr>
              <w:t xml:space="preserve">                         </w:t>
            </w:r>
            <w:r w:rsidR="00461796" w:rsidRPr="00C07517">
              <w:rPr>
                <w:b w:val="0"/>
              </w:rPr>
              <w:t xml:space="preserve">  </w:t>
            </w:r>
            <w:r w:rsidR="00461796" w:rsidRPr="00C07517">
              <w:rPr>
                <w:b w:val="0"/>
              </w:rPr>
              <w:sym w:font="Symbol" w:char="F02D"/>
            </w:r>
            <w:r w:rsidR="00461796" w:rsidRPr="00C07517">
              <w:rPr>
                <w:b w:val="0"/>
              </w:rPr>
              <w:t xml:space="preserve"> business</w:t>
            </w:r>
          </w:p>
        </w:tc>
        <w:tc>
          <w:tcPr>
            <w:tcW w:w="679" w:type="pct"/>
            <w:tcBorders>
              <w:top w:val="nil"/>
              <w:left w:val="nil"/>
              <w:bottom w:val="nil"/>
              <w:right w:val="dotted" w:sz="4" w:space="0" w:color="auto"/>
            </w:tcBorders>
            <w:vAlign w:val="bottom"/>
          </w:tcPr>
          <w:p w:rsidR="00461796" w:rsidRDefault="00461796" w:rsidP="00BC5669">
            <w:pPr>
              <w:pStyle w:val="TableTextRight"/>
              <w:keepNext/>
            </w:pPr>
            <w:r w:rsidRPr="00B75821">
              <w:t>332.08</w:t>
            </w:r>
          </w:p>
        </w:tc>
        <w:tc>
          <w:tcPr>
            <w:tcW w:w="519" w:type="pct"/>
            <w:tcBorders>
              <w:top w:val="nil"/>
              <w:left w:val="dotted" w:sz="4" w:space="0" w:color="auto"/>
              <w:bottom w:val="nil"/>
              <w:right w:val="nil"/>
            </w:tcBorders>
            <w:vAlign w:val="bottom"/>
          </w:tcPr>
          <w:p w:rsidR="00461796" w:rsidRDefault="00461796" w:rsidP="00BC5669">
            <w:pPr>
              <w:pStyle w:val="TableTextRight"/>
              <w:keepNext/>
            </w:pPr>
            <w:r w:rsidRPr="00B75821">
              <w:t>2.66</w:t>
            </w:r>
          </w:p>
        </w:tc>
        <w:tc>
          <w:tcPr>
            <w:tcW w:w="520" w:type="pct"/>
            <w:tcBorders>
              <w:top w:val="nil"/>
              <w:left w:val="nil"/>
              <w:bottom w:val="nil"/>
              <w:right w:val="nil"/>
            </w:tcBorders>
          </w:tcPr>
          <w:p w:rsidR="00461796" w:rsidRDefault="00461796" w:rsidP="00BC5669">
            <w:pPr>
              <w:pStyle w:val="TableTextRight"/>
              <w:keepNext/>
              <w:rPr>
                <w:rFonts w:cs="Arial"/>
                <w:b/>
                <w:color w:val="000033"/>
                <w:szCs w:val="22"/>
              </w:rPr>
            </w:pPr>
          </w:p>
        </w:tc>
        <w:tc>
          <w:tcPr>
            <w:tcW w:w="516" w:type="pct"/>
            <w:tcBorders>
              <w:top w:val="nil"/>
              <w:left w:val="nil"/>
              <w:bottom w:val="nil"/>
              <w:right w:val="dotted" w:sz="4" w:space="0" w:color="auto"/>
            </w:tcBorders>
          </w:tcPr>
          <w:p w:rsidR="00461796" w:rsidRDefault="00461796" w:rsidP="00BC5669">
            <w:pPr>
              <w:pStyle w:val="TableTextRight"/>
              <w:keepNext/>
              <w:rPr>
                <w:rFonts w:cs="Arial"/>
                <w:b/>
                <w:color w:val="000033"/>
                <w:szCs w:val="22"/>
              </w:rPr>
            </w:pPr>
          </w:p>
        </w:tc>
        <w:tc>
          <w:tcPr>
            <w:tcW w:w="519" w:type="pct"/>
            <w:tcBorders>
              <w:top w:val="nil"/>
              <w:left w:val="dotted" w:sz="4" w:space="0" w:color="auto"/>
              <w:bottom w:val="nil"/>
              <w:right w:val="nil"/>
            </w:tcBorders>
          </w:tcPr>
          <w:p w:rsidR="00461796" w:rsidRDefault="00461796" w:rsidP="00BC5669">
            <w:pPr>
              <w:pStyle w:val="TableTextRight"/>
              <w:keepNext/>
              <w:rPr>
                <w:rFonts w:cs="Arial"/>
                <w:b/>
                <w:color w:val="000033"/>
                <w:szCs w:val="22"/>
              </w:rPr>
            </w:pPr>
          </w:p>
        </w:tc>
        <w:tc>
          <w:tcPr>
            <w:tcW w:w="431" w:type="pct"/>
            <w:tcBorders>
              <w:top w:val="nil"/>
              <w:left w:val="nil"/>
              <w:bottom w:val="nil"/>
              <w:right w:val="nil"/>
            </w:tcBorders>
          </w:tcPr>
          <w:p w:rsidR="00461796" w:rsidRDefault="00461796" w:rsidP="00BC5669">
            <w:pPr>
              <w:pStyle w:val="TableTextRight"/>
              <w:keepNext/>
              <w:rPr>
                <w:rFonts w:cs="Arial"/>
                <w:b/>
                <w:color w:val="000033"/>
                <w:szCs w:val="22"/>
              </w:rPr>
            </w:pPr>
          </w:p>
        </w:tc>
        <w:tc>
          <w:tcPr>
            <w:tcW w:w="465" w:type="pct"/>
            <w:tcBorders>
              <w:top w:val="nil"/>
              <w:left w:val="nil"/>
              <w:bottom w:val="nil"/>
              <w:right w:val="nil"/>
            </w:tcBorders>
          </w:tcPr>
          <w:p w:rsidR="00461796" w:rsidRPr="00B75821" w:rsidRDefault="00461796" w:rsidP="00BC5669">
            <w:pPr>
              <w:pStyle w:val="TableTextRight"/>
              <w:keepNext/>
            </w:pPr>
            <w:r>
              <w:t>865</w:t>
            </w:r>
          </w:p>
        </w:tc>
      </w:tr>
      <w:tr w:rsidR="00960A17" w:rsidRPr="00144F8C" w:rsidTr="00960A17">
        <w:trPr>
          <w:cantSplit/>
        </w:trPr>
        <w:tc>
          <w:tcPr>
            <w:tcW w:w="1352" w:type="pct"/>
            <w:tcBorders>
              <w:top w:val="nil"/>
              <w:left w:val="nil"/>
              <w:bottom w:val="nil"/>
              <w:right w:val="nil"/>
            </w:tcBorders>
          </w:tcPr>
          <w:p w:rsidR="00461796" w:rsidRPr="00C07517" w:rsidRDefault="00461796" w:rsidP="00BC5669">
            <w:pPr>
              <w:pStyle w:val="TableHeadingLeft"/>
              <w:keepNext/>
              <w:rPr>
                <w:b w:val="0"/>
              </w:rPr>
            </w:pPr>
          </w:p>
        </w:tc>
        <w:tc>
          <w:tcPr>
            <w:tcW w:w="679" w:type="pct"/>
            <w:tcBorders>
              <w:top w:val="nil"/>
              <w:left w:val="nil"/>
              <w:bottom w:val="nil"/>
              <w:right w:val="dotted" w:sz="4" w:space="0" w:color="auto"/>
            </w:tcBorders>
            <w:vAlign w:val="bottom"/>
          </w:tcPr>
          <w:p w:rsidR="00461796" w:rsidRDefault="00461796" w:rsidP="00BC5669">
            <w:pPr>
              <w:pStyle w:val="TableTextRight"/>
              <w:keepNext/>
            </w:pPr>
          </w:p>
        </w:tc>
        <w:tc>
          <w:tcPr>
            <w:tcW w:w="519" w:type="pct"/>
            <w:tcBorders>
              <w:top w:val="nil"/>
              <w:left w:val="dotted" w:sz="4" w:space="0" w:color="auto"/>
              <w:bottom w:val="nil"/>
              <w:right w:val="nil"/>
            </w:tcBorders>
            <w:vAlign w:val="bottom"/>
          </w:tcPr>
          <w:p w:rsidR="00461796" w:rsidRDefault="00461796" w:rsidP="00BC5669">
            <w:pPr>
              <w:pStyle w:val="TableTextRight"/>
              <w:keepNext/>
            </w:pPr>
          </w:p>
        </w:tc>
        <w:tc>
          <w:tcPr>
            <w:tcW w:w="520" w:type="pct"/>
            <w:tcBorders>
              <w:top w:val="nil"/>
              <w:left w:val="nil"/>
              <w:bottom w:val="nil"/>
              <w:right w:val="nil"/>
            </w:tcBorders>
          </w:tcPr>
          <w:p w:rsidR="00461796" w:rsidRDefault="00461796" w:rsidP="00BC5669">
            <w:pPr>
              <w:pStyle w:val="TableTextRight"/>
              <w:keepNext/>
            </w:pPr>
          </w:p>
        </w:tc>
        <w:tc>
          <w:tcPr>
            <w:tcW w:w="516" w:type="pct"/>
            <w:tcBorders>
              <w:top w:val="nil"/>
              <w:left w:val="nil"/>
              <w:bottom w:val="nil"/>
              <w:right w:val="dotted" w:sz="4" w:space="0" w:color="auto"/>
            </w:tcBorders>
          </w:tcPr>
          <w:p w:rsidR="00461796" w:rsidRDefault="00461796" w:rsidP="00BC5669">
            <w:pPr>
              <w:pStyle w:val="TableTextRight"/>
              <w:keepNext/>
            </w:pPr>
          </w:p>
        </w:tc>
        <w:tc>
          <w:tcPr>
            <w:tcW w:w="519" w:type="pct"/>
            <w:tcBorders>
              <w:top w:val="nil"/>
              <w:left w:val="dotted" w:sz="4" w:space="0" w:color="auto"/>
              <w:bottom w:val="nil"/>
              <w:right w:val="nil"/>
            </w:tcBorders>
          </w:tcPr>
          <w:p w:rsidR="00461796" w:rsidRDefault="00461796" w:rsidP="00BC5669">
            <w:pPr>
              <w:pStyle w:val="TableTextRight"/>
              <w:keepNext/>
            </w:pPr>
          </w:p>
        </w:tc>
        <w:tc>
          <w:tcPr>
            <w:tcW w:w="431" w:type="pct"/>
            <w:tcBorders>
              <w:top w:val="nil"/>
              <w:left w:val="nil"/>
              <w:bottom w:val="nil"/>
              <w:right w:val="nil"/>
            </w:tcBorders>
          </w:tcPr>
          <w:p w:rsidR="00461796" w:rsidRDefault="00461796" w:rsidP="00BC5669">
            <w:pPr>
              <w:pStyle w:val="TableTextRight"/>
              <w:keepNext/>
            </w:pPr>
          </w:p>
        </w:tc>
        <w:tc>
          <w:tcPr>
            <w:tcW w:w="465" w:type="pct"/>
            <w:tcBorders>
              <w:top w:val="nil"/>
              <w:left w:val="nil"/>
              <w:bottom w:val="nil"/>
              <w:right w:val="nil"/>
            </w:tcBorders>
          </w:tcPr>
          <w:p w:rsidR="00461796" w:rsidRPr="00236981" w:rsidRDefault="00461796" w:rsidP="00BC5669">
            <w:pPr>
              <w:pStyle w:val="TableTextRight"/>
              <w:keepNext/>
            </w:pPr>
          </w:p>
        </w:tc>
      </w:tr>
      <w:tr w:rsidR="00960A17" w:rsidRPr="00144F8C" w:rsidTr="00960A17">
        <w:trPr>
          <w:cantSplit/>
        </w:trPr>
        <w:tc>
          <w:tcPr>
            <w:tcW w:w="1352" w:type="pct"/>
            <w:tcBorders>
              <w:top w:val="nil"/>
              <w:left w:val="nil"/>
              <w:bottom w:val="nil"/>
              <w:right w:val="nil"/>
            </w:tcBorders>
          </w:tcPr>
          <w:p w:rsidR="00461796" w:rsidRPr="00C07517" w:rsidRDefault="00461796" w:rsidP="00BC5669">
            <w:pPr>
              <w:pStyle w:val="TableHeadingLeft"/>
              <w:keepNext/>
              <w:rPr>
                <w:b w:val="0"/>
              </w:rPr>
            </w:pPr>
            <w:r w:rsidRPr="00C07517">
              <w:rPr>
                <w:b w:val="0"/>
              </w:rPr>
              <w:t xml:space="preserve">Hunter Water </w:t>
            </w:r>
            <w:r w:rsidRPr="00C07517">
              <w:rPr>
                <w:b w:val="0"/>
              </w:rPr>
              <w:sym w:font="Symbol" w:char="F02D"/>
            </w:r>
            <w:r w:rsidRPr="00C07517">
              <w:rPr>
                <w:b w:val="0"/>
              </w:rPr>
              <w:t xml:space="preserve"> residential</w:t>
            </w:r>
          </w:p>
        </w:tc>
        <w:tc>
          <w:tcPr>
            <w:tcW w:w="679" w:type="pct"/>
            <w:tcBorders>
              <w:top w:val="nil"/>
              <w:left w:val="nil"/>
              <w:bottom w:val="nil"/>
              <w:right w:val="dotted" w:sz="4" w:space="0" w:color="auto"/>
            </w:tcBorders>
            <w:vAlign w:val="bottom"/>
          </w:tcPr>
          <w:p w:rsidR="00461796" w:rsidRDefault="00461796" w:rsidP="00BC5669">
            <w:pPr>
              <w:pStyle w:val="TableTextRight"/>
              <w:keepNext/>
            </w:pPr>
            <w:r w:rsidRPr="00236981">
              <w:t>17.75</w:t>
            </w:r>
          </w:p>
        </w:tc>
        <w:tc>
          <w:tcPr>
            <w:tcW w:w="519" w:type="pct"/>
            <w:tcBorders>
              <w:top w:val="nil"/>
              <w:left w:val="dotted" w:sz="4" w:space="0" w:color="auto"/>
              <w:bottom w:val="nil"/>
              <w:right w:val="nil"/>
            </w:tcBorders>
            <w:vAlign w:val="bottom"/>
          </w:tcPr>
          <w:p w:rsidR="00461796" w:rsidRDefault="00461796" w:rsidP="00BC5669">
            <w:pPr>
              <w:pStyle w:val="TableTextRight"/>
              <w:keepNext/>
            </w:pPr>
            <w:r w:rsidRPr="00236981">
              <w:t>2.22</w:t>
            </w:r>
          </w:p>
        </w:tc>
        <w:tc>
          <w:tcPr>
            <w:tcW w:w="520" w:type="pct"/>
            <w:tcBorders>
              <w:top w:val="nil"/>
              <w:left w:val="nil"/>
              <w:bottom w:val="nil"/>
              <w:right w:val="nil"/>
            </w:tcBorders>
          </w:tcPr>
          <w:p w:rsidR="00461796" w:rsidRDefault="00461796" w:rsidP="00BC5669">
            <w:pPr>
              <w:pStyle w:val="TableTextRight"/>
              <w:keepNext/>
              <w:rPr>
                <w:rFonts w:cs="Arial"/>
                <w:b/>
                <w:color w:val="000033"/>
                <w:szCs w:val="22"/>
              </w:rPr>
            </w:pPr>
          </w:p>
        </w:tc>
        <w:tc>
          <w:tcPr>
            <w:tcW w:w="516" w:type="pct"/>
            <w:tcBorders>
              <w:top w:val="nil"/>
              <w:left w:val="nil"/>
              <w:bottom w:val="nil"/>
              <w:right w:val="dotted" w:sz="4" w:space="0" w:color="auto"/>
            </w:tcBorders>
          </w:tcPr>
          <w:p w:rsidR="00461796" w:rsidRDefault="00461796" w:rsidP="00BC5669">
            <w:pPr>
              <w:pStyle w:val="TableTextRight"/>
              <w:keepNext/>
              <w:rPr>
                <w:rFonts w:cs="Arial"/>
                <w:b/>
                <w:color w:val="000033"/>
                <w:szCs w:val="22"/>
              </w:rPr>
            </w:pPr>
          </w:p>
        </w:tc>
        <w:tc>
          <w:tcPr>
            <w:tcW w:w="519" w:type="pct"/>
            <w:tcBorders>
              <w:top w:val="nil"/>
              <w:left w:val="dotted" w:sz="4" w:space="0" w:color="auto"/>
              <w:bottom w:val="nil"/>
              <w:right w:val="nil"/>
            </w:tcBorders>
          </w:tcPr>
          <w:p w:rsidR="00461796" w:rsidRDefault="00461796" w:rsidP="00BC5669">
            <w:pPr>
              <w:pStyle w:val="TableTextRight"/>
              <w:keepNext/>
              <w:rPr>
                <w:rFonts w:cs="Arial"/>
                <w:b/>
                <w:color w:val="000033"/>
                <w:szCs w:val="22"/>
              </w:rPr>
            </w:pPr>
          </w:p>
        </w:tc>
        <w:tc>
          <w:tcPr>
            <w:tcW w:w="431" w:type="pct"/>
            <w:tcBorders>
              <w:top w:val="nil"/>
              <w:left w:val="nil"/>
              <w:bottom w:val="nil"/>
              <w:right w:val="nil"/>
            </w:tcBorders>
          </w:tcPr>
          <w:p w:rsidR="00461796" w:rsidRDefault="00461796" w:rsidP="00BC5669">
            <w:pPr>
              <w:pStyle w:val="TableTextRight"/>
              <w:keepNext/>
              <w:rPr>
                <w:rFonts w:cs="Arial"/>
                <w:b/>
                <w:color w:val="000033"/>
                <w:szCs w:val="22"/>
              </w:rPr>
            </w:pPr>
          </w:p>
        </w:tc>
        <w:tc>
          <w:tcPr>
            <w:tcW w:w="465" w:type="pct"/>
            <w:tcBorders>
              <w:top w:val="nil"/>
              <w:left w:val="nil"/>
              <w:bottom w:val="nil"/>
              <w:right w:val="nil"/>
            </w:tcBorders>
          </w:tcPr>
          <w:p w:rsidR="00461796" w:rsidRPr="003A12C3" w:rsidRDefault="00461796" w:rsidP="00BC5669">
            <w:pPr>
              <w:pStyle w:val="TableTextRight"/>
              <w:keepNext/>
              <w:spacing w:line="280" w:lineRule="atLeast"/>
            </w:pPr>
            <w:r>
              <w:t>462</w:t>
            </w:r>
          </w:p>
        </w:tc>
      </w:tr>
      <w:tr w:rsidR="00960A17" w:rsidRPr="00144F8C" w:rsidTr="00960A17">
        <w:trPr>
          <w:cantSplit/>
        </w:trPr>
        <w:tc>
          <w:tcPr>
            <w:tcW w:w="1352" w:type="pct"/>
            <w:tcBorders>
              <w:top w:val="nil"/>
              <w:left w:val="nil"/>
              <w:bottom w:val="nil"/>
              <w:right w:val="nil"/>
            </w:tcBorders>
          </w:tcPr>
          <w:p w:rsidR="00461796" w:rsidRPr="00C07517" w:rsidRDefault="00C07517" w:rsidP="00BC5669">
            <w:pPr>
              <w:pStyle w:val="TableHeadingLeft"/>
              <w:keepNext/>
              <w:rPr>
                <w:b w:val="0"/>
              </w:rPr>
            </w:pPr>
            <w:r>
              <w:rPr>
                <w:b w:val="0"/>
              </w:rPr>
              <w:t xml:space="preserve">                    </w:t>
            </w:r>
            <w:r w:rsidR="00461796" w:rsidRPr="00C07517">
              <w:rPr>
                <w:b w:val="0"/>
              </w:rPr>
              <w:t xml:space="preserve">   </w:t>
            </w:r>
            <w:r w:rsidR="00461796" w:rsidRPr="00C07517">
              <w:rPr>
                <w:b w:val="0"/>
              </w:rPr>
              <w:sym w:font="Symbol" w:char="F02D"/>
            </w:r>
            <w:r w:rsidR="00461796" w:rsidRPr="00C07517">
              <w:rPr>
                <w:b w:val="0"/>
              </w:rPr>
              <w:t xml:space="preserve"> business</w:t>
            </w:r>
            <w:r w:rsidR="001A0FB7" w:rsidRPr="00C07517">
              <w:rPr>
                <w:b w:val="0"/>
                <w:vertAlign w:val="superscript"/>
              </w:rPr>
              <w:t>(</w:t>
            </w:r>
            <w:r w:rsidR="00461796" w:rsidRPr="00C07517">
              <w:rPr>
                <w:b w:val="0"/>
                <w:vertAlign w:val="superscript"/>
              </w:rPr>
              <w:t>a</w:t>
            </w:r>
            <w:r w:rsidR="001A0FB7" w:rsidRPr="00C07517">
              <w:rPr>
                <w:b w:val="0"/>
                <w:vertAlign w:val="superscript"/>
              </w:rPr>
              <w:t>)</w:t>
            </w:r>
          </w:p>
        </w:tc>
        <w:tc>
          <w:tcPr>
            <w:tcW w:w="679" w:type="pct"/>
            <w:tcBorders>
              <w:top w:val="nil"/>
              <w:left w:val="nil"/>
              <w:bottom w:val="nil"/>
              <w:right w:val="dotted" w:sz="4" w:space="0" w:color="auto"/>
            </w:tcBorders>
          </w:tcPr>
          <w:p w:rsidR="00461796" w:rsidRDefault="00461796" w:rsidP="00BC5669">
            <w:pPr>
              <w:pStyle w:val="TableTextRight"/>
              <w:keepNext/>
            </w:pPr>
            <w:r>
              <w:t>18.54</w:t>
            </w:r>
          </w:p>
        </w:tc>
        <w:tc>
          <w:tcPr>
            <w:tcW w:w="519" w:type="pct"/>
            <w:tcBorders>
              <w:top w:val="nil"/>
              <w:left w:val="dotted" w:sz="4" w:space="0" w:color="auto"/>
              <w:bottom w:val="nil"/>
              <w:right w:val="nil"/>
            </w:tcBorders>
          </w:tcPr>
          <w:p w:rsidR="00461796" w:rsidRDefault="00461796" w:rsidP="00BC5669">
            <w:pPr>
              <w:pStyle w:val="TableTextRight"/>
              <w:keepNext/>
            </w:pPr>
            <w:r>
              <w:t>2.22</w:t>
            </w:r>
          </w:p>
        </w:tc>
        <w:tc>
          <w:tcPr>
            <w:tcW w:w="520" w:type="pct"/>
            <w:tcBorders>
              <w:top w:val="nil"/>
              <w:left w:val="nil"/>
              <w:bottom w:val="nil"/>
              <w:right w:val="nil"/>
            </w:tcBorders>
          </w:tcPr>
          <w:p w:rsidR="00461796" w:rsidRDefault="00461796" w:rsidP="00BC5669">
            <w:pPr>
              <w:pStyle w:val="TableTextRight"/>
              <w:keepNext/>
              <w:rPr>
                <w:rFonts w:cs="Arial"/>
                <w:b/>
                <w:color w:val="000033"/>
                <w:szCs w:val="22"/>
              </w:rPr>
            </w:pPr>
          </w:p>
        </w:tc>
        <w:tc>
          <w:tcPr>
            <w:tcW w:w="516" w:type="pct"/>
            <w:tcBorders>
              <w:top w:val="nil"/>
              <w:left w:val="nil"/>
              <w:bottom w:val="nil"/>
              <w:right w:val="dotted" w:sz="4" w:space="0" w:color="auto"/>
            </w:tcBorders>
          </w:tcPr>
          <w:p w:rsidR="00461796" w:rsidRDefault="00461796" w:rsidP="00BC5669">
            <w:pPr>
              <w:pStyle w:val="TableTextRight"/>
              <w:keepNext/>
              <w:rPr>
                <w:rFonts w:cs="Arial"/>
                <w:b/>
                <w:color w:val="000033"/>
                <w:szCs w:val="22"/>
              </w:rPr>
            </w:pPr>
          </w:p>
        </w:tc>
        <w:tc>
          <w:tcPr>
            <w:tcW w:w="519" w:type="pct"/>
            <w:tcBorders>
              <w:top w:val="nil"/>
              <w:left w:val="dotted" w:sz="4" w:space="0" w:color="auto"/>
              <w:bottom w:val="nil"/>
              <w:right w:val="nil"/>
            </w:tcBorders>
          </w:tcPr>
          <w:p w:rsidR="00461796" w:rsidRDefault="00461796" w:rsidP="00BC5669">
            <w:pPr>
              <w:pStyle w:val="TableTextRight"/>
              <w:keepNext/>
              <w:rPr>
                <w:rFonts w:cs="Arial"/>
                <w:b/>
                <w:color w:val="000033"/>
                <w:szCs w:val="22"/>
              </w:rPr>
            </w:pPr>
          </w:p>
        </w:tc>
        <w:tc>
          <w:tcPr>
            <w:tcW w:w="431" w:type="pct"/>
            <w:tcBorders>
              <w:top w:val="nil"/>
              <w:left w:val="nil"/>
              <w:bottom w:val="nil"/>
              <w:right w:val="nil"/>
            </w:tcBorders>
          </w:tcPr>
          <w:p w:rsidR="00461796" w:rsidRDefault="00461796" w:rsidP="00BC5669">
            <w:pPr>
              <w:pStyle w:val="TableTextRight"/>
              <w:keepNext/>
              <w:rPr>
                <w:rFonts w:cs="Arial"/>
                <w:b/>
                <w:color w:val="000033"/>
                <w:szCs w:val="22"/>
              </w:rPr>
            </w:pPr>
          </w:p>
        </w:tc>
        <w:tc>
          <w:tcPr>
            <w:tcW w:w="465" w:type="pct"/>
            <w:tcBorders>
              <w:top w:val="nil"/>
              <w:left w:val="nil"/>
              <w:bottom w:val="nil"/>
              <w:right w:val="nil"/>
            </w:tcBorders>
          </w:tcPr>
          <w:p w:rsidR="00461796" w:rsidRPr="003A12C3" w:rsidRDefault="00461796" w:rsidP="00BC5669">
            <w:pPr>
              <w:pStyle w:val="TableTextRight"/>
              <w:keepNext/>
              <w:spacing w:line="280" w:lineRule="atLeast"/>
            </w:pPr>
            <w:r>
              <w:t>463</w:t>
            </w:r>
          </w:p>
        </w:tc>
      </w:tr>
      <w:tr w:rsidR="00960A17" w:rsidRPr="00144F8C" w:rsidTr="00960A17">
        <w:trPr>
          <w:cantSplit/>
        </w:trPr>
        <w:tc>
          <w:tcPr>
            <w:tcW w:w="1352" w:type="pct"/>
            <w:tcBorders>
              <w:top w:val="nil"/>
              <w:left w:val="nil"/>
              <w:bottom w:val="nil"/>
              <w:right w:val="nil"/>
            </w:tcBorders>
          </w:tcPr>
          <w:p w:rsidR="00461796" w:rsidRPr="00C07517" w:rsidRDefault="00C07517" w:rsidP="00BC5669">
            <w:pPr>
              <w:pStyle w:val="TableHeadingLeft"/>
              <w:keepNext/>
              <w:rPr>
                <w:b w:val="0"/>
              </w:rPr>
            </w:pPr>
            <w:r>
              <w:rPr>
                <w:b w:val="0"/>
              </w:rPr>
              <w:t xml:space="preserve">                      </w:t>
            </w:r>
            <w:r w:rsidR="00461796" w:rsidRPr="00C07517">
              <w:rPr>
                <w:b w:val="0"/>
              </w:rPr>
              <w:t xml:space="preserve"> </w:t>
            </w:r>
            <w:r w:rsidR="00461796" w:rsidRPr="00C07517">
              <w:rPr>
                <w:b w:val="0"/>
              </w:rPr>
              <w:sym w:font="Symbol" w:char="F02D"/>
            </w:r>
            <w:r w:rsidR="00461796" w:rsidRPr="00C07517">
              <w:rPr>
                <w:b w:val="0"/>
              </w:rPr>
              <w:t xml:space="preserve"> business</w:t>
            </w:r>
            <w:r w:rsidR="001A0FB7" w:rsidRPr="00C07517">
              <w:rPr>
                <w:b w:val="0"/>
                <w:vertAlign w:val="superscript"/>
              </w:rPr>
              <w:t>(</w:t>
            </w:r>
            <w:r w:rsidR="00461796" w:rsidRPr="00C07517">
              <w:rPr>
                <w:b w:val="0"/>
                <w:vertAlign w:val="superscript"/>
              </w:rPr>
              <w:t>b</w:t>
            </w:r>
            <w:r w:rsidR="001A0FB7" w:rsidRPr="00C07517">
              <w:rPr>
                <w:b w:val="0"/>
                <w:vertAlign w:val="superscript"/>
              </w:rPr>
              <w:t>)</w:t>
            </w:r>
          </w:p>
        </w:tc>
        <w:tc>
          <w:tcPr>
            <w:tcW w:w="679" w:type="pct"/>
            <w:tcBorders>
              <w:top w:val="nil"/>
              <w:left w:val="nil"/>
              <w:bottom w:val="nil"/>
              <w:right w:val="dotted" w:sz="4" w:space="0" w:color="auto"/>
            </w:tcBorders>
          </w:tcPr>
          <w:p w:rsidR="00461796" w:rsidRDefault="00461796" w:rsidP="00BC5669">
            <w:pPr>
              <w:pStyle w:val="TableTextRight"/>
              <w:keepNext/>
            </w:pPr>
            <w:r>
              <w:t>28.27</w:t>
            </w:r>
          </w:p>
        </w:tc>
        <w:tc>
          <w:tcPr>
            <w:tcW w:w="519" w:type="pct"/>
            <w:tcBorders>
              <w:top w:val="nil"/>
              <w:left w:val="dotted" w:sz="4" w:space="0" w:color="auto"/>
              <w:bottom w:val="nil"/>
              <w:right w:val="nil"/>
            </w:tcBorders>
          </w:tcPr>
          <w:p w:rsidR="00461796" w:rsidRDefault="00461796" w:rsidP="00BC5669">
            <w:pPr>
              <w:pStyle w:val="TableTextRight"/>
              <w:keepNext/>
            </w:pPr>
            <w:r>
              <w:t>2.22</w:t>
            </w:r>
          </w:p>
        </w:tc>
        <w:tc>
          <w:tcPr>
            <w:tcW w:w="520" w:type="pct"/>
            <w:tcBorders>
              <w:top w:val="nil"/>
              <w:left w:val="nil"/>
              <w:bottom w:val="nil"/>
              <w:right w:val="nil"/>
            </w:tcBorders>
          </w:tcPr>
          <w:p w:rsidR="00461796" w:rsidRDefault="00461796" w:rsidP="00BC5669">
            <w:pPr>
              <w:pStyle w:val="TableTextRight"/>
              <w:keepNext/>
              <w:rPr>
                <w:rFonts w:cs="Arial"/>
                <w:b/>
                <w:color w:val="000033"/>
                <w:szCs w:val="22"/>
              </w:rPr>
            </w:pPr>
          </w:p>
        </w:tc>
        <w:tc>
          <w:tcPr>
            <w:tcW w:w="516" w:type="pct"/>
            <w:tcBorders>
              <w:top w:val="nil"/>
              <w:left w:val="nil"/>
              <w:bottom w:val="nil"/>
              <w:right w:val="dotted" w:sz="4" w:space="0" w:color="auto"/>
            </w:tcBorders>
          </w:tcPr>
          <w:p w:rsidR="00461796" w:rsidRDefault="00461796" w:rsidP="00BC5669">
            <w:pPr>
              <w:pStyle w:val="TableTextRight"/>
              <w:keepNext/>
              <w:rPr>
                <w:rFonts w:cs="Arial"/>
                <w:b/>
                <w:color w:val="000033"/>
                <w:szCs w:val="22"/>
              </w:rPr>
            </w:pPr>
          </w:p>
        </w:tc>
        <w:tc>
          <w:tcPr>
            <w:tcW w:w="519" w:type="pct"/>
            <w:tcBorders>
              <w:top w:val="nil"/>
              <w:left w:val="dotted" w:sz="4" w:space="0" w:color="auto"/>
              <w:bottom w:val="nil"/>
              <w:right w:val="nil"/>
            </w:tcBorders>
          </w:tcPr>
          <w:p w:rsidR="00461796" w:rsidRDefault="00461796" w:rsidP="00BC5669">
            <w:pPr>
              <w:pStyle w:val="TableTextRight"/>
              <w:keepNext/>
              <w:rPr>
                <w:rFonts w:cs="Arial"/>
                <w:b/>
                <w:color w:val="000033"/>
                <w:szCs w:val="22"/>
              </w:rPr>
            </w:pPr>
          </w:p>
        </w:tc>
        <w:tc>
          <w:tcPr>
            <w:tcW w:w="431" w:type="pct"/>
            <w:tcBorders>
              <w:top w:val="nil"/>
              <w:left w:val="nil"/>
              <w:bottom w:val="nil"/>
              <w:right w:val="nil"/>
            </w:tcBorders>
          </w:tcPr>
          <w:p w:rsidR="00461796" w:rsidRDefault="00461796" w:rsidP="00BC5669">
            <w:pPr>
              <w:pStyle w:val="TableTextRight"/>
              <w:keepNext/>
              <w:rPr>
                <w:rFonts w:cs="Arial"/>
                <w:b/>
                <w:color w:val="000033"/>
                <w:szCs w:val="22"/>
              </w:rPr>
            </w:pPr>
          </w:p>
        </w:tc>
        <w:tc>
          <w:tcPr>
            <w:tcW w:w="465" w:type="pct"/>
            <w:tcBorders>
              <w:top w:val="nil"/>
              <w:left w:val="nil"/>
              <w:bottom w:val="nil"/>
              <w:right w:val="nil"/>
            </w:tcBorders>
          </w:tcPr>
          <w:p w:rsidR="00461796" w:rsidRPr="003A12C3" w:rsidRDefault="00461796" w:rsidP="00BC5669">
            <w:pPr>
              <w:pStyle w:val="TableTextRight"/>
              <w:keepNext/>
              <w:spacing w:line="280" w:lineRule="atLeast"/>
            </w:pPr>
            <w:r>
              <w:t>472</w:t>
            </w:r>
          </w:p>
        </w:tc>
      </w:tr>
      <w:tr w:rsidR="00960A17" w:rsidRPr="00144F8C" w:rsidTr="00960A17">
        <w:trPr>
          <w:cantSplit/>
        </w:trPr>
        <w:tc>
          <w:tcPr>
            <w:tcW w:w="1352" w:type="pct"/>
            <w:tcBorders>
              <w:top w:val="nil"/>
              <w:left w:val="nil"/>
              <w:bottom w:val="nil"/>
              <w:right w:val="nil"/>
            </w:tcBorders>
          </w:tcPr>
          <w:p w:rsidR="00461796" w:rsidRPr="00C07517" w:rsidRDefault="00461796" w:rsidP="00BC5669">
            <w:pPr>
              <w:pStyle w:val="TableHeadingLeft"/>
              <w:keepNext/>
              <w:rPr>
                <w:b w:val="0"/>
              </w:rPr>
            </w:pPr>
          </w:p>
        </w:tc>
        <w:tc>
          <w:tcPr>
            <w:tcW w:w="679" w:type="pct"/>
            <w:tcBorders>
              <w:top w:val="nil"/>
              <w:left w:val="nil"/>
              <w:bottom w:val="nil"/>
              <w:right w:val="dotted" w:sz="4" w:space="0" w:color="auto"/>
            </w:tcBorders>
          </w:tcPr>
          <w:p w:rsidR="00461796" w:rsidRDefault="00461796" w:rsidP="00BC5669">
            <w:pPr>
              <w:pStyle w:val="TableTextRight"/>
              <w:keepNext/>
            </w:pPr>
          </w:p>
        </w:tc>
        <w:tc>
          <w:tcPr>
            <w:tcW w:w="519" w:type="pct"/>
            <w:tcBorders>
              <w:top w:val="nil"/>
              <w:left w:val="dotted" w:sz="4" w:space="0" w:color="auto"/>
              <w:bottom w:val="nil"/>
              <w:right w:val="nil"/>
            </w:tcBorders>
          </w:tcPr>
          <w:p w:rsidR="00461796" w:rsidRDefault="00461796" w:rsidP="00BC5669">
            <w:pPr>
              <w:pStyle w:val="TableTextRight"/>
              <w:keepNext/>
            </w:pPr>
          </w:p>
        </w:tc>
        <w:tc>
          <w:tcPr>
            <w:tcW w:w="520" w:type="pct"/>
            <w:tcBorders>
              <w:top w:val="nil"/>
              <w:left w:val="nil"/>
              <w:bottom w:val="nil"/>
              <w:right w:val="nil"/>
            </w:tcBorders>
          </w:tcPr>
          <w:p w:rsidR="00461796" w:rsidRDefault="00461796" w:rsidP="00BC5669">
            <w:pPr>
              <w:pStyle w:val="TableTextRight"/>
              <w:keepNext/>
            </w:pPr>
          </w:p>
        </w:tc>
        <w:tc>
          <w:tcPr>
            <w:tcW w:w="516" w:type="pct"/>
            <w:tcBorders>
              <w:top w:val="nil"/>
              <w:left w:val="nil"/>
              <w:bottom w:val="nil"/>
              <w:right w:val="dotted" w:sz="4" w:space="0" w:color="auto"/>
            </w:tcBorders>
          </w:tcPr>
          <w:p w:rsidR="00461796" w:rsidRDefault="00461796" w:rsidP="00BC5669">
            <w:pPr>
              <w:pStyle w:val="TableTextRight"/>
              <w:keepNext/>
            </w:pPr>
          </w:p>
        </w:tc>
        <w:tc>
          <w:tcPr>
            <w:tcW w:w="519" w:type="pct"/>
            <w:tcBorders>
              <w:top w:val="nil"/>
              <w:left w:val="dotted" w:sz="4" w:space="0" w:color="auto"/>
              <w:bottom w:val="nil"/>
              <w:right w:val="nil"/>
            </w:tcBorders>
          </w:tcPr>
          <w:p w:rsidR="00461796" w:rsidRDefault="00461796" w:rsidP="00BC5669">
            <w:pPr>
              <w:pStyle w:val="TableTextRight"/>
              <w:keepNext/>
            </w:pPr>
          </w:p>
        </w:tc>
        <w:tc>
          <w:tcPr>
            <w:tcW w:w="431" w:type="pct"/>
            <w:tcBorders>
              <w:top w:val="nil"/>
              <w:left w:val="nil"/>
              <w:bottom w:val="nil"/>
              <w:right w:val="nil"/>
            </w:tcBorders>
          </w:tcPr>
          <w:p w:rsidR="00461796" w:rsidRDefault="00461796" w:rsidP="00BC5669">
            <w:pPr>
              <w:pStyle w:val="TableTextRight"/>
              <w:keepNext/>
            </w:pPr>
          </w:p>
        </w:tc>
        <w:tc>
          <w:tcPr>
            <w:tcW w:w="465" w:type="pct"/>
            <w:tcBorders>
              <w:top w:val="nil"/>
              <w:left w:val="nil"/>
              <w:bottom w:val="nil"/>
              <w:right w:val="nil"/>
            </w:tcBorders>
          </w:tcPr>
          <w:p w:rsidR="00461796" w:rsidRPr="00B75821" w:rsidRDefault="00461796" w:rsidP="00BC5669">
            <w:pPr>
              <w:pStyle w:val="TableTextRight"/>
              <w:keepNext/>
            </w:pPr>
          </w:p>
        </w:tc>
      </w:tr>
      <w:tr w:rsidR="00960A17" w:rsidRPr="00144F8C" w:rsidTr="00960A17">
        <w:trPr>
          <w:cantSplit/>
        </w:trPr>
        <w:tc>
          <w:tcPr>
            <w:tcW w:w="1352" w:type="pct"/>
            <w:tcBorders>
              <w:top w:val="nil"/>
              <w:left w:val="nil"/>
              <w:bottom w:val="nil"/>
              <w:right w:val="nil"/>
            </w:tcBorders>
            <w:shd w:val="clear" w:color="auto" w:fill="FBD4B4" w:themeFill="accent6" w:themeFillTint="66"/>
          </w:tcPr>
          <w:p w:rsidR="00461796" w:rsidRPr="00C07517" w:rsidRDefault="00461796" w:rsidP="00BC5669">
            <w:pPr>
              <w:pStyle w:val="TableHeadingLeft"/>
              <w:keepNext/>
              <w:rPr>
                <w:b w:val="0"/>
              </w:rPr>
            </w:pPr>
            <w:r w:rsidRPr="00C07517">
              <w:rPr>
                <w:b w:val="0"/>
              </w:rPr>
              <w:t xml:space="preserve">Icon Water </w:t>
            </w:r>
            <w:r w:rsidRPr="00C07517">
              <w:rPr>
                <w:b w:val="0"/>
              </w:rPr>
              <w:sym w:font="Symbol" w:char="F02D"/>
            </w:r>
            <w:r w:rsidRPr="00C07517">
              <w:rPr>
                <w:b w:val="0"/>
              </w:rPr>
              <w:t xml:space="preserve"> res &amp; business</w:t>
            </w:r>
          </w:p>
        </w:tc>
        <w:tc>
          <w:tcPr>
            <w:tcW w:w="679" w:type="pct"/>
            <w:tcBorders>
              <w:top w:val="nil"/>
              <w:left w:val="nil"/>
              <w:bottom w:val="nil"/>
              <w:right w:val="dotted" w:sz="4" w:space="0" w:color="auto"/>
            </w:tcBorders>
            <w:shd w:val="clear" w:color="auto" w:fill="FBD4B4" w:themeFill="accent6" w:themeFillTint="66"/>
            <w:vAlign w:val="bottom"/>
          </w:tcPr>
          <w:p w:rsidR="00461796" w:rsidRDefault="00461796" w:rsidP="00BC5669">
            <w:pPr>
              <w:pStyle w:val="TableTextRight"/>
              <w:keepNext/>
            </w:pPr>
            <w:r>
              <w:t>101.14</w:t>
            </w:r>
          </w:p>
        </w:tc>
        <w:tc>
          <w:tcPr>
            <w:tcW w:w="519" w:type="pct"/>
            <w:tcBorders>
              <w:top w:val="nil"/>
              <w:left w:val="dotted" w:sz="4" w:space="0" w:color="auto"/>
              <w:bottom w:val="nil"/>
              <w:right w:val="nil"/>
            </w:tcBorders>
            <w:shd w:val="clear" w:color="auto" w:fill="FBD4B4" w:themeFill="accent6" w:themeFillTint="66"/>
            <w:vAlign w:val="bottom"/>
          </w:tcPr>
          <w:p w:rsidR="00461796" w:rsidRDefault="00461796" w:rsidP="00BC5669">
            <w:pPr>
              <w:pStyle w:val="TableTextRight"/>
              <w:keepNext/>
            </w:pPr>
            <w:r>
              <w:t>2.60</w:t>
            </w:r>
          </w:p>
        </w:tc>
        <w:tc>
          <w:tcPr>
            <w:tcW w:w="520" w:type="pct"/>
            <w:tcBorders>
              <w:top w:val="nil"/>
              <w:left w:val="nil"/>
              <w:bottom w:val="nil"/>
              <w:right w:val="nil"/>
            </w:tcBorders>
            <w:shd w:val="clear" w:color="auto" w:fill="FBD4B4" w:themeFill="accent6" w:themeFillTint="66"/>
            <w:vAlign w:val="bottom"/>
          </w:tcPr>
          <w:p w:rsidR="00461796" w:rsidRDefault="00461796" w:rsidP="00BC5669">
            <w:pPr>
              <w:pStyle w:val="TableTextRight"/>
              <w:keepNext/>
            </w:pPr>
            <w:r>
              <w:t>5.22</w:t>
            </w:r>
          </w:p>
        </w:tc>
        <w:tc>
          <w:tcPr>
            <w:tcW w:w="516" w:type="pct"/>
            <w:tcBorders>
              <w:top w:val="nil"/>
              <w:left w:val="nil"/>
              <w:bottom w:val="nil"/>
              <w:right w:val="dotted" w:sz="4" w:space="0" w:color="auto"/>
            </w:tcBorders>
            <w:shd w:val="clear" w:color="auto" w:fill="FBD4B4" w:themeFill="accent6" w:themeFillTint="66"/>
          </w:tcPr>
          <w:p w:rsidR="00461796" w:rsidRDefault="00461796" w:rsidP="00BC5669">
            <w:pPr>
              <w:pStyle w:val="TableTextRight"/>
              <w:keepNext/>
              <w:rPr>
                <w:rFonts w:cs="Arial"/>
                <w:b/>
                <w:color w:val="000033"/>
                <w:szCs w:val="22"/>
              </w:rPr>
            </w:pPr>
          </w:p>
        </w:tc>
        <w:tc>
          <w:tcPr>
            <w:tcW w:w="519" w:type="pct"/>
            <w:tcBorders>
              <w:top w:val="nil"/>
              <w:left w:val="dotted" w:sz="4" w:space="0" w:color="auto"/>
              <w:bottom w:val="nil"/>
              <w:right w:val="nil"/>
            </w:tcBorders>
            <w:shd w:val="clear" w:color="auto" w:fill="FBD4B4" w:themeFill="accent6" w:themeFillTint="66"/>
          </w:tcPr>
          <w:p w:rsidR="00461796" w:rsidRDefault="00461796" w:rsidP="00BC5669">
            <w:pPr>
              <w:pStyle w:val="TableTextRight"/>
              <w:keepNext/>
            </w:pPr>
            <w:r>
              <w:t>200</w:t>
            </w:r>
          </w:p>
        </w:tc>
        <w:tc>
          <w:tcPr>
            <w:tcW w:w="431" w:type="pct"/>
            <w:tcBorders>
              <w:top w:val="nil"/>
              <w:left w:val="nil"/>
              <w:bottom w:val="nil"/>
              <w:right w:val="nil"/>
            </w:tcBorders>
            <w:shd w:val="clear" w:color="auto" w:fill="FBD4B4" w:themeFill="accent6" w:themeFillTint="66"/>
          </w:tcPr>
          <w:p w:rsidR="00461796" w:rsidRDefault="00461796" w:rsidP="00BC5669">
            <w:pPr>
              <w:pStyle w:val="TableTextRight"/>
              <w:keepNext/>
              <w:rPr>
                <w:rFonts w:cs="Arial"/>
                <w:b/>
                <w:color w:val="000033"/>
                <w:szCs w:val="22"/>
              </w:rPr>
            </w:pPr>
          </w:p>
        </w:tc>
        <w:tc>
          <w:tcPr>
            <w:tcW w:w="465" w:type="pct"/>
            <w:tcBorders>
              <w:top w:val="nil"/>
              <w:left w:val="nil"/>
              <w:bottom w:val="nil"/>
              <w:right w:val="nil"/>
            </w:tcBorders>
            <w:shd w:val="clear" w:color="auto" w:fill="FBD4B4" w:themeFill="accent6" w:themeFillTint="66"/>
          </w:tcPr>
          <w:p w:rsidR="00461796" w:rsidRPr="00B75821" w:rsidRDefault="00461796" w:rsidP="00BC5669">
            <w:pPr>
              <w:pStyle w:val="TableTextRight"/>
              <w:keepNext/>
            </w:pPr>
            <w:r>
              <w:t>621</w:t>
            </w:r>
          </w:p>
        </w:tc>
      </w:tr>
      <w:tr w:rsidR="00960A17" w:rsidRPr="00144F8C" w:rsidTr="00960A17">
        <w:trPr>
          <w:cantSplit/>
        </w:trPr>
        <w:tc>
          <w:tcPr>
            <w:tcW w:w="1352" w:type="pct"/>
            <w:tcBorders>
              <w:top w:val="nil"/>
              <w:left w:val="nil"/>
              <w:bottom w:val="nil"/>
              <w:right w:val="nil"/>
            </w:tcBorders>
          </w:tcPr>
          <w:p w:rsidR="00461796" w:rsidRPr="00C07517" w:rsidRDefault="00461796" w:rsidP="00BC5669">
            <w:pPr>
              <w:pStyle w:val="TableHeadingLeft"/>
              <w:keepNext/>
              <w:rPr>
                <w:b w:val="0"/>
              </w:rPr>
            </w:pPr>
          </w:p>
        </w:tc>
        <w:tc>
          <w:tcPr>
            <w:tcW w:w="679" w:type="pct"/>
            <w:tcBorders>
              <w:top w:val="nil"/>
              <w:left w:val="nil"/>
              <w:bottom w:val="nil"/>
              <w:right w:val="dotted" w:sz="4" w:space="0" w:color="auto"/>
            </w:tcBorders>
          </w:tcPr>
          <w:p w:rsidR="00461796" w:rsidRDefault="00461796" w:rsidP="00BC5669">
            <w:pPr>
              <w:pStyle w:val="TableTextRight"/>
              <w:keepNext/>
            </w:pPr>
          </w:p>
        </w:tc>
        <w:tc>
          <w:tcPr>
            <w:tcW w:w="519" w:type="pct"/>
            <w:tcBorders>
              <w:top w:val="nil"/>
              <w:left w:val="dotted" w:sz="4" w:space="0" w:color="auto"/>
              <w:bottom w:val="nil"/>
              <w:right w:val="nil"/>
            </w:tcBorders>
          </w:tcPr>
          <w:p w:rsidR="00461796" w:rsidRDefault="00461796" w:rsidP="00BC5669">
            <w:pPr>
              <w:pStyle w:val="TableTextRight"/>
              <w:keepNext/>
            </w:pPr>
          </w:p>
        </w:tc>
        <w:tc>
          <w:tcPr>
            <w:tcW w:w="520" w:type="pct"/>
            <w:tcBorders>
              <w:top w:val="nil"/>
              <w:left w:val="nil"/>
              <w:bottom w:val="nil"/>
              <w:right w:val="nil"/>
            </w:tcBorders>
          </w:tcPr>
          <w:p w:rsidR="00461796" w:rsidRDefault="00461796" w:rsidP="00BC5669">
            <w:pPr>
              <w:pStyle w:val="TableTextRight"/>
              <w:keepNext/>
            </w:pPr>
          </w:p>
        </w:tc>
        <w:tc>
          <w:tcPr>
            <w:tcW w:w="516" w:type="pct"/>
            <w:tcBorders>
              <w:top w:val="nil"/>
              <w:left w:val="nil"/>
              <w:bottom w:val="nil"/>
              <w:right w:val="dotted" w:sz="4" w:space="0" w:color="auto"/>
            </w:tcBorders>
          </w:tcPr>
          <w:p w:rsidR="00461796" w:rsidRDefault="00461796" w:rsidP="00BC5669">
            <w:pPr>
              <w:pStyle w:val="TableTextRight"/>
              <w:keepNext/>
            </w:pPr>
          </w:p>
        </w:tc>
        <w:tc>
          <w:tcPr>
            <w:tcW w:w="519" w:type="pct"/>
            <w:tcBorders>
              <w:top w:val="nil"/>
              <w:left w:val="dotted" w:sz="4" w:space="0" w:color="auto"/>
              <w:bottom w:val="nil"/>
              <w:right w:val="nil"/>
            </w:tcBorders>
          </w:tcPr>
          <w:p w:rsidR="00461796" w:rsidRDefault="00461796" w:rsidP="00BC5669">
            <w:pPr>
              <w:pStyle w:val="TableTextRight"/>
              <w:keepNext/>
            </w:pPr>
          </w:p>
        </w:tc>
        <w:tc>
          <w:tcPr>
            <w:tcW w:w="431" w:type="pct"/>
            <w:tcBorders>
              <w:top w:val="nil"/>
              <w:left w:val="nil"/>
              <w:bottom w:val="nil"/>
              <w:right w:val="nil"/>
            </w:tcBorders>
          </w:tcPr>
          <w:p w:rsidR="00461796" w:rsidRDefault="00461796" w:rsidP="00BC5669">
            <w:pPr>
              <w:pStyle w:val="TableTextRight"/>
              <w:keepNext/>
            </w:pPr>
          </w:p>
        </w:tc>
        <w:tc>
          <w:tcPr>
            <w:tcW w:w="465" w:type="pct"/>
            <w:tcBorders>
              <w:top w:val="nil"/>
              <w:left w:val="nil"/>
              <w:bottom w:val="nil"/>
              <w:right w:val="nil"/>
            </w:tcBorders>
          </w:tcPr>
          <w:p w:rsidR="00461796" w:rsidRPr="00B75821" w:rsidRDefault="00461796" w:rsidP="00BC5669">
            <w:pPr>
              <w:pStyle w:val="TableTextRight"/>
              <w:keepNext/>
            </w:pPr>
          </w:p>
        </w:tc>
      </w:tr>
      <w:tr w:rsidR="00960A17" w:rsidRPr="00144F8C" w:rsidTr="00960A17">
        <w:trPr>
          <w:cantSplit/>
          <w:trHeight w:val="318"/>
        </w:trPr>
        <w:tc>
          <w:tcPr>
            <w:tcW w:w="1352" w:type="pct"/>
            <w:tcBorders>
              <w:top w:val="nil"/>
              <w:left w:val="nil"/>
              <w:bottom w:val="nil"/>
              <w:right w:val="nil"/>
            </w:tcBorders>
          </w:tcPr>
          <w:p w:rsidR="00461796" w:rsidRPr="00C07517" w:rsidRDefault="00461796" w:rsidP="00BC5669">
            <w:pPr>
              <w:pStyle w:val="TableHeadingLeft"/>
              <w:keepNext/>
              <w:rPr>
                <w:b w:val="0"/>
              </w:rPr>
            </w:pPr>
            <w:r w:rsidRPr="00C07517">
              <w:rPr>
                <w:b w:val="0"/>
              </w:rPr>
              <w:t xml:space="preserve">SA Water </w:t>
            </w:r>
            <w:r w:rsidRPr="00C07517">
              <w:rPr>
                <w:b w:val="0"/>
              </w:rPr>
              <w:sym w:font="Symbol" w:char="F02D"/>
            </w:r>
            <w:r w:rsidRPr="00C07517">
              <w:rPr>
                <w:b w:val="0"/>
              </w:rPr>
              <w:t xml:space="preserve"> residential</w:t>
            </w:r>
          </w:p>
        </w:tc>
        <w:tc>
          <w:tcPr>
            <w:tcW w:w="679" w:type="pct"/>
            <w:tcBorders>
              <w:top w:val="nil"/>
              <w:left w:val="nil"/>
              <w:bottom w:val="nil"/>
              <w:right w:val="dotted" w:sz="4" w:space="0" w:color="auto"/>
            </w:tcBorders>
          </w:tcPr>
          <w:p w:rsidR="00461796" w:rsidRDefault="00461796" w:rsidP="00BC5669">
            <w:pPr>
              <w:pStyle w:val="TableTextRight"/>
              <w:keepNext/>
            </w:pPr>
            <w:r>
              <w:t>286.40</w:t>
            </w:r>
          </w:p>
        </w:tc>
        <w:tc>
          <w:tcPr>
            <w:tcW w:w="519" w:type="pct"/>
            <w:tcBorders>
              <w:top w:val="nil"/>
              <w:left w:val="dotted" w:sz="4" w:space="0" w:color="auto"/>
              <w:bottom w:val="nil"/>
              <w:right w:val="nil"/>
            </w:tcBorders>
          </w:tcPr>
          <w:p w:rsidR="00461796" w:rsidRDefault="00461796" w:rsidP="00BC5669">
            <w:pPr>
              <w:pStyle w:val="TableTextRight"/>
              <w:keepNext/>
            </w:pPr>
            <w:r>
              <w:t>2.35</w:t>
            </w:r>
          </w:p>
        </w:tc>
        <w:tc>
          <w:tcPr>
            <w:tcW w:w="520" w:type="pct"/>
            <w:tcBorders>
              <w:top w:val="nil"/>
              <w:left w:val="nil"/>
              <w:bottom w:val="nil"/>
              <w:right w:val="nil"/>
            </w:tcBorders>
          </w:tcPr>
          <w:p w:rsidR="00461796" w:rsidRDefault="00461796" w:rsidP="00BC5669">
            <w:pPr>
              <w:pStyle w:val="TableTextRight"/>
              <w:keepNext/>
            </w:pPr>
            <w:r>
              <w:t>3.36</w:t>
            </w:r>
          </w:p>
        </w:tc>
        <w:tc>
          <w:tcPr>
            <w:tcW w:w="516" w:type="pct"/>
            <w:tcBorders>
              <w:top w:val="nil"/>
              <w:left w:val="nil"/>
              <w:bottom w:val="nil"/>
              <w:right w:val="dotted" w:sz="4" w:space="0" w:color="auto"/>
            </w:tcBorders>
          </w:tcPr>
          <w:p w:rsidR="00461796" w:rsidRDefault="00461796" w:rsidP="00BC5669">
            <w:pPr>
              <w:pStyle w:val="TableTextRight"/>
              <w:keepNext/>
            </w:pPr>
            <w:r>
              <w:t>3.63</w:t>
            </w:r>
          </w:p>
        </w:tc>
        <w:tc>
          <w:tcPr>
            <w:tcW w:w="519" w:type="pct"/>
            <w:tcBorders>
              <w:top w:val="nil"/>
              <w:left w:val="dotted" w:sz="4" w:space="0" w:color="auto"/>
              <w:bottom w:val="nil"/>
              <w:right w:val="nil"/>
            </w:tcBorders>
          </w:tcPr>
          <w:p w:rsidR="00461796" w:rsidRDefault="00461796" w:rsidP="00BC5669">
            <w:pPr>
              <w:pStyle w:val="TableTextRight"/>
              <w:keepNext/>
            </w:pPr>
            <w:r>
              <w:t>120</w:t>
            </w:r>
          </w:p>
        </w:tc>
        <w:tc>
          <w:tcPr>
            <w:tcW w:w="431" w:type="pct"/>
            <w:tcBorders>
              <w:top w:val="nil"/>
              <w:left w:val="nil"/>
              <w:bottom w:val="nil"/>
              <w:right w:val="nil"/>
            </w:tcBorders>
          </w:tcPr>
          <w:p w:rsidR="00461796" w:rsidRDefault="00461796" w:rsidP="00BC5669">
            <w:pPr>
              <w:pStyle w:val="TableTextRight"/>
              <w:keepNext/>
            </w:pPr>
            <w:r>
              <w:t>520</w:t>
            </w:r>
          </w:p>
        </w:tc>
        <w:tc>
          <w:tcPr>
            <w:tcW w:w="465" w:type="pct"/>
            <w:tcBorders>
              <w:top w:val="nil"/>
              <w:left w:val="nil"/>
              <w:bottom w:val="nil"/>
              <w:right w:val="nil"/>
            </w:tcBorders>
          </w:tcPr>
          <w:p w:rsidR="00461796" w:rsidRDefault="00461796" w:rsidP="00BC5669">
            <w:pPr>
              <w:pStyle w:val="TableTextRight"/>
              <w:keepNext/>
            </w:pPr>
            <w:r>
              <w:t>837</w:t>
            </w:r>
          </w:p>
        </w:tc>
      </w:tr>
      <w:tr w:rsidR="00960A17" w:rsidRPr="00144F8C" w:rsidTr="00960A17">
        <w:trPr>
          <w:cantSplit/>
          <w:trHeight w:val="200"/>
        </w:trPr>
        <w:tc>
          <w:tcPr>
            <w:tcW w:w="1352" w:type="pct"/>
            <w:tcBorders>
              <w:top w:val="nil"/>
              <w:left w:val="nil"/>
              <w:bottom w:val="nil"/>
              <w:right w:val="nil"/>
            </w:tcBorders>
          </w:tcPr>
          <w:p w:rsidR="00461796" w:rsidRPr="00C07517" w:rsidRDefault="00461796" w:rsidP="00BC5669">
            <w:pPr>
              <w:pStyle w:val="TableHeadingLeft"/>
              <w:keepNext/>
              <w:rPr>
                <w:b w:val="0"/>
              </w:rPr>
            </w:pPr>
            <w:r w:rsidRPr="00C07517">
              <w:rPr>
                <w:b w:val="0"/>
              </w:rPr>
              <w:t xml:space="preserve">                 </w:t>
            </w:r>
            <w:r w:rsidRPr="00C07517">
              <w:rPr>
                <w:b w:val="0"/>
              </w:rPr>
              <w:sym w:font="Symbol" w:char="F02D"/>
            </w:r>
            <w:r w:rsidRPr="00C07517">
              <w:rPr>
                <w:b w:val="0"/>
              </w:rPr>
              <w:t xml:space="preserve"> business</w:t>
            </w:r>
          </w:p>
        </w:tc>
        <w:tc>
          <w:tcPr>
            <w:tcW w:w="679" w:type="pct"/>
            <w:tcBorders>
              <w:top w:val="nil"/>
              <w:left w:val="nil"/>
              <w:bottom w:val="nil"/>
              <w:right w:val="dotted" w:sz="4" w:space="0" w:color="auto"/>
            </w:tcBorders>
          </w:tcPr>
          <w:p w:rsidR="00461796" w:rsidRDefault="00461796" w:rsidP="00BC5669">
            <w:pPr>
              <w:pStyle w:val="TableTextRight"/>
              <w:keepNext/>
            </w:pPr>
            <w:r>
              <w:t>286.40</w:t>
            </w:r>
          </w:p>
        </w:tc>
        <w:tc>
          <w:tcPr>
            <w:tcW w:w="519" w:type="pct"/>
            <w:tcBorders>
              <w:top w:val="nil"/>
              <w:left w:val="dotted" w:sz="4" w:space="0" w:color="auto"/>
              <w:bottom w:val="nil"/>
              <w:right w:val="nil"/>
            </w:tcBorders>
          </w:tcPr>
          <w:p w:rsidR="00461796" w:rsidRDefault="00461796" w:rsidP="00BC5669">
            <w:pPr>
              <w:pStyle w:val="TableTextRight"/>
              <w:keepNext/>
            </w:pPr>
            <w:r>
              <w:t>3.36</w:t>
            </w:r>
          </w:p>
        </w:tc>
        <w:tc>
          <w:tcPr>
            <w:tcW w:w="520" w:type="pct"/>
            <w:tcBorders>
              <w:top w:val="nil"/>
              <w:left w:val="nil"/>
              <w:bottom w:val="nil"/>
              <w:right w:val="nil"/>
            </w:tcBorders>
          </w:tcPr>
          <w:p w:rsidR="00461796" w:rsidRDefault="00461796" w:rsidP="00BC5669">
            <w:pPr>
              <w:pStyle w:val="TableTextRight"/>
              <w:keepNext/>
              <w:rPr>
                <w:rFonts w:cs="Arial"/>
                <w:b/>
                <w:color w:val="000033"/>
                <w:szCs w:val="22"/>
              </w:rPr>
            </w:pPr>
          </w:p>
        </w:tc>
        <w:tc>
          <w:tcPr>
            <w:tcW w:w="516" w:type="pct"/>
            <w:tcBorders>
              <w:top w:val="nil"/>
              <w:left w:val="nil"/>
              <w:bottom w:val="nil"/>
              <w:right w:val="dotted" w:sz="4" w:space="0" w:color="auto"/>
            </w:tcBorders>
          </w:tcPr>
          <w:p w:rsidR="00461796" w:rsidRDefault="00461796" w:rsidP="00BC5669">
            <w:pPr>
              <w:pStyle w:val="TableTextRight"/>
              <w:keepNext/>
              <w:rPr>
                <w:rFonts w:cs="Arial"/>
                <w:b/>
                <w:color w:val="000033"/>
                <w:szCs w:val="22"/>
              </w:rPr>
            </w:pPr>
          </w:p>
        </w:tc>
        <w:tc>
          <w:tcPr>
            <w:tcW w:w="519" w:type="pct"/>
            <w:tcBorders>
              <w:top w:val="nil"/>
              <w:left w:val="dotted" w:sz="4" w:space="0" w:color="auto"/>
              <w:bottom w:val="nil"/>
              <w:right w:val="nil"/>
            </w:tcBorders>
          </w:tcPr>
          <w:p w:rsidR="00461796" w:rsidRDefault="00461796" w:rsidP="00BC5669">
            <w:pPr>
              <w:pStyle w:val="TableTextRight"/>
              <w:keepNext/>
              <w:rPr>
                <w:rFonts w:cs="Arial"/>
                <w:b/>
                <w:color w:val="000033"/>
                <w:szCs w:val="22"/>
              </w:rPr>
            </w:pPr>
          </w:p>
        </w:tc>
        <w:tc>
          <w:tcPr>
            <w:tcW w:w="431" w:type="pct"/>
            <w:tcBorders>
              <w:top w:val="nil"/>
              <w:left w:val="nil"/>
              <w:bottom w:val="nil"/>
              <w:right w:val="nil"/>
            </w:tcBorders>
          </w:tcPr>
          <w:p w:rsidR="00461796" w:rsidRDefault="00461796" w:rsidP="00BC5669">
            <w:pPr>
              <w:pStyle w:val="TableTextRight"/>
              <w:keepNext/>
              <w:rPr>
                <w:rFonts w:cs="Arial"/>
                <w:b/>
                <w:color w:val="000033"/>
                <w:szCs w:val="22"/>
              </w:rPr>
            </w:pPr>
          </w:p>
        </w:tc>
        <w:tc>
          <w:tcPr>
            <w:tcW w:w="465" w:type="pct"/>
            <w:tcBorders>
              <w:top w:val="nil"/>
              <w:left w:val="nil"/>
              <w:bottom w:val="nil"/>
              <w:right w:val="nil"/>
            </w:tcBorders>
          </w:tcPr>
          <w:p w:rsidR="00461796" w:rsidRPr="00B75821" w:rsidRDefault="00461796" w:rsidP="00BC5669">
            <w:pPr>
              <w:pStyle w:val="TableTextRight"/>
              <w:keepNext/>
            </w:pPr>
            <w:r>
              <w:t>958</w:t>
            </w:r>
          </w:p>
        </w:tc>
      </w:tr>
      <w:tr w:rsidR="00960A17" w:rsidRPr="00144F8C" w:rsidTr="00960A17">
        <w:trPr>
          <w:cantSplit/>
        </w:trPr>
        <w:tc>
          <w:tcPr>
            <w:tcW w:w="1352" w:type="pct"/>
            <w:tcBorders>
              <w:top w:val="nil"/>
              <w:left w:val="nil"/>
              <w:bottom w:val="nil"/>
              <w:right w:val="nil"/>
            </w:tcBorders>
          </w:tcPr>
          <w:p w:rsidR="00461796" w:rsidRPr="00C07517" w:rsidRDefault="00461796" w:rsidP="00BC5669">
            <w:pPr>
              <w:pStyle w:val="TableHeadingLeft"/>
              <w:keepNext/>
              <w:rPr>
                <w:b w:val="0"/>
              </w:rPr>
            </w:pPr>
          </w:p>
        </w:tc>
        <w:tc>
          <w:tcPr>
            <w:tcW w:w="679" w:type="pct"/>
            <w:tcBorders>
              <w:top w:val="nil"/>
              <w:left w:val="nil"/>
              <w:bottom w:val="nil"/>
              <w:right w:val="dotted" w:sz="4" w:space="0" w:color="auto"/>
            </w:tcBorders>
          </w:tcPr>
          <w:p w:rsidR="00461796" w:rsidRDefault="00461796" w:rsidP="00BC5669">
            <w:pPr>
              <w:pStyle w:val="TableTextRight"/>
              <w:keepNext/>
            </w:pPr>
          </w:p>
        </w:tc>
        <w:tc>
          <w:tcPr>
            <w:tcW w:w="519" w:type="pct"/>
            <w:tcBorders>
              <w:top w:val="nil"/>
              <w:left w:val="dotted" w:sz="4" w:space="0" w:color="auto"/>
              <w:bottom w:val="nil"/>
              <w:right w:val="nil"/>
            </w:tcBorders>
          </w:tcPr>
          <w:p w:rsidR="00461796" w:rsidRDefault="00461796" w:rsidP="00BC5669">
            <w:pPr>
              <w:pStyle w:val="TableTextRight"/>
              <w:keepNext/>
            </w:pPr>
          </w:p>
        </w:tc>
        <w:tc>
          <w:tcPr>
            <w:tcW w:w="520" w:type="pct"/>
            <w:tcBorders>
              <w:top w:val="nil"/>
              <w:left w:val="nil"/>
              <w:bottom w:val="nil"/>
              <w:right w:val="nil"/>
            </w:tcBorders>
          </w:tcPr>
          <w:p w:rsidR="00461796" w:rsidRDefault="00461796" w:rsidP="00BC5669">
            <w:pPr>
              <w:pStyle w:val="TableTextRight"/>
              <w:keepNext/>
            </w:pPr>
          </w:p>
        </w:tc>
        <w:tc>
          <w:tcPr>
            <w:tcW w:w="516" w:type="pct"/>
            <w:tcBorders>
              <w:top w:val="nil"/>
              <w:left w:val="nil"/>
              <w:bottom w:val="nil"/>
              <w:right w:val="dotted" w:sz="4" w:space="0" w:color="auto"/>
            </w:tcBorders>
          </w:tcPr>
          <w:p w:rsidR="00461796" w:rsidRDefault="00461796" w:rsidP="00BC5669">
            <w:pPr>
              <w:pStyle w:val="TableTextRight"/>
              <w:keepNext/>
            </w:pPr>
          </w:p>
        </w:tc>
        <w:tc>
          <w:tcPr>
            <w:tcW w:w="519" w:type="pct"/>
            <w:tcBorders>
              <w:top w:val="nil"/>
              <w:left w:val="dotted" w:sz="4" w:space="0" w:color="auto"/>
              <w:bottom w:val="nil"/>
              <w:right w:val="nil"/>
            </w:tcBorders>
          </w:tcPr>
          <w:p w:rsidR="00461796" w:rsidRDefault="00461796" w:rsidP="00BC5669">
            <w:pPr>
              <w:pStyle w:val="TableTextRight"/>
              <w:keepNext/>
            </w:pPr>
          </w:p>
        </w:tc>
        <w:tc>
          <w:tcPr>
            <w:tcW w:w="431" w:type="pct"/>
            <w:tcBorders>
              <w:top w:val="nil"/>
              <w:left w:val="nil"/>
              <w:bottom w:val="nil"/>
              <w:right w:val="nil"/>
            </w:tcBorders>
          </w:tcPr>
          <w:p w:rsidR="00461796" w:rsidRDefault="00461796" w:rsidP="00BC5669">
            <w:pPr>
              <w:pStyle w:val="TableTextRight"/>
              <w:keepNext/>
            </w:pPr>
          </w:p>
        </w:tc>
        <w:tc>
          <w:tcPr>
            <w:tcW w:w="465" w:type="pct"/>
            <w:tcBorders>
              <w:top w:val="nil"/>
              <w:left w:val="nil"/>
              <w:bottom w:val="nil"/>
              <w:right w:val="nil"/>
            </w:tcBorders>
          </w:tcPr>
          <w:p w:rsidR="00461796" w:rsidRPr="00B75821" w:rsidRDefault="00461796" w:rsidP="00BC5669">
            <w:pPr>
              <w:pStyle w:val="TableTextRight"/>
              <w:keepNext/>
            </w:pPr>
          </w:p>
        </w:tc>
      </w:tr>
      <w:tr w:rsidR="00960A17" w:rsidRPr="00144F8C" w:rsidTr="00960A17">
        <w:trPr>
          <w:cantSplit/>
        </w:trPr>
        <w:tc>
          <w:tcPr>
            <w:tcW w:w="1352" w:type="pct"/>
            <w:tcBorders>
              <w:top w:val="nil"/>
              <w:left w:val="nil"/>
              <w:bottom w:val="nil"/>
              <w:right w:val="nil"/>
            </w:tcBorders>
          </w:tcPr>
          <w:p w:rsidR="00461796" w:rsidRPr="00C07517" w:rsidRDefault="00461796" w:rsidP="008A0348">
            <w:pPr>
              <w:pStyle w:val="TableHeadingLeft"/>
              <w:keepNext/>
              <w:rPr>
                <w:b w:val="0"/>
              </w:rPr>
            </w:pPr>
            <w:r w:rsidRPr="00C07517">
              <w:rPr>
                <w:b w:val="0"/>
              </w:rPr>
              <w:t xml:space="preserve">Sydney Water </w:t>
            </w:r>
            <w:r w:rsidRPr="00C07517">
              <w:rPr>
                <w:b w:val="0"/>
              </w:rPr>
              <w:sym w:font="Symbol" w:char="F02D"/>
            </w:r>
            <w:r w:rsidRPr="00C07517">
              <w:rPr>
                <w:b w:val="0"/>
              </w:rPr>
              <w:t xml:space="preserve"> residential</w:t>
            </w:r>
          </w:p>
        </w:tc>
        <w:tc>
          <w:tcPr>
            <w:tcW w:w="679" w:type="pct"/>
            <w:tcBorders>
              <w:top w:val="nil"/>
              <w:left w:val="nil"/>
              <w:bottom w:val="nil"/>
              <w:right w:val="dotted" w:sz="4" w:space="0" w:color="auto"/>
            </w:tcBorders>
            <w:vAlign w:val="bottom"/>
          </w:tcPr>
          <w:p w:rsidR="00461796" w:rsidRDefault="00461796" w:rsidP="00BC5669">
            <w:pPr>
              <w:pStyle w:val="TableTextRight"/>
              <w:keepNext/>
            </w:pPr>
            <w:r>
              <w:t>102.54</w:t>
            </w:r>
          </w:p>
        </w:tc>
        <w:tc>
          <w:tcPr>
            <w:tcW w:w="519" w:type="pct"/>
            <w:tcBorders>
              <w:top w:val="nil"/>
              <w:left w:val="dotted" w:sz="4" w:space="0" w:color="auto"/>
              <w:bottom w:val="nil"/>
              <w:right w:val="nil"/>
            </w:tcBorders>
            <w:vAlign w:val="bottom"/>
          </w:tcPr>
          <w:p w:rsidR="00461796" w:rsidRDefault="00461796" w:rsidP="00BC5669">
            <w:pPr>
              <w:pStyle w:val="TableTextRight"/>
              <w:keepNext/>
            </w:pPr>
            <w:r>
              <w:t>$2.28</w:t>
            </w:r>
          </w:p>
        </w:tc>
        <w:tc>
          <w:tcPr>
            <w:tcW w:w="520" w:type="pct"/>
            <w:tcBorders>
              <w:top w:val="nil"/>
              <w:left w:val="nil"/>
              <w:bottom w:val="nil"/>
              <w:right w:val="nil"/>
            </w:tcBorders>
          </w:tcPr>
          <w:p w:rsidR="00461796" w:rsidRDefault="00461796" w:rsidP="00BC5669">
            <w:pPr>
              <w:pStyle w:val="TableTextRight"/>
              <w:keepNext/>
              <w:rPr>
                <w:rFonts w:cs="Arial"/>
                <w:b/>
                <w:color w:val="000033"/>
                <w:szCs w:val="22"/>
              </w:rPr>
            </w:pPr>
          </w:p>
        </w:tc>
        <w:tc>
          <w:tcPr>
            <w:tcW w:w="516" w:type="pct"/>
            <w:tcBorders>
              <w:top w:val="nil"/>
              <w:left w:val="nil"/>
              <w:bottom w:val="nil"/>
              <w:right w:val="dotted" w:sz="4" w:space="0" w:color="auto"/>
            </w:tcBorders>
          </w:tcPr>
          <w:p w:rsidR="00461796" w:rsidRDefault="00461796" w:rsidP="00BC5669">
            <w:pPr>
              <w:pStyle w:val="TableTextRight"/>
              <w:keepNext/>
              <w:rPr>
                <w:rFonts w:cs="Arial"/>
                <w:b/>
                <w:color w:val="000033"/>
                <w:szCs w:val="22"/>
              </w:rPr>
            </w:pPr>
          </w:p>
        </w:tc>
        <w:tc>
          <w:tcPr>
            <w:tcW w:w="519" w:type="pct"/>
            <w:tcBorders>
              <w:top w:val="nil"/>
              <w:left w:val="dotted" w:sz="4" w:space="0" w:color="auto"/>
              <w:bottom w:val="nil"/>
              <w:right w:val="nil"/>
            </w:tcBorders>
          </w:tcPr>
          <w:p w:rsidR="00461796" w:rsidRDefault="00461796" w:rsidP="00BC5669">
            <w:pPr>
              <w:pStyle w:val="TableTextRight"/>
              <w:keepNext/>
              <w:rPr>
                <w:rFonts w:cs="Arial"/>
                <w:b/>
                <w:color w:val="000033"/>
                <w:szCs w:val="22"/>
              </w:rPr>
            </w:pPr>
          </w:p>
        </w:tc>
        <w:tc>
          <w:tcPr>
            <w:tcW w:w="431" w:type="pct"/>
            <w:tcBorders>
              <w:top w:val="nil"/>
              <w:left w:val="nil"/>
              <w:bottom w:val="nil"/>
              <w:right w:val="nil"/>
            </w:tcBorders>
          </w:tcPr>
          <w:p w:rsidR="00461796" w:rsidRDefault="00461796" w:rsidP="00BC5669">
            <w:pPr>
              <w:pStyle w:val="TableTextRight"/>
              <w:keepNext/>
              <w:rPr>
                <w:rFonts w:cs="Arial"/>
                <w:b/>
                <w:color w:val="000033"/>
                <w:szCs w:val="22"/>
              </w:rPr>
            </w:pPr>
          </w:p>
        </w:tc>
        <w:tc>
          <w:tcPr>
            <w:tcW w:w="465" w:type="pct"/>
            <w:tcBorders>
              <w:top w:val="nil"/>
              <w:left w:val="nil"/>
              <w:bottom w:val="nil"/>
              <w:right w:val="nil"/>
            </w:tcBorders>
          </w:tcPr>
          <w:p w:rsidR="00461796" w:rsidRPr="00B75821" w:rsidRDefault="00461796" w:rsidP="00BC5669">
            <w:pPr>
              <w:pStyle w:val="TableTextRight"/>
              <w:keepNext/>
            </w:pPr>
            <w:r>
              <w:t>558</w:t>
            </w:r>
          </w:p>
        </w:tc>
      </w:tr>
      <w:tr w:rsidR="00960A17" w:rsidRPr="00144F8C" w:rsidTr="00960A17">
        <w:trPr>
          <w:cantSplit/>
        </w:trPr>
        <w:tc>
          <w:tcPr>
            <w:tcW w:w="1352" w:type="pct"/>
            <w:tcBorders>
              <w:top w:val="nil"/>
              <w:left w:val="nil"/>
              <w:bottom w:val="nil"/>
              <w:right w:val="nil"/>
            </w:tcBorders>
          </w:tcPr>
          <w:p w:rsidR="00461796" w:rsidRPr="00C07517" w:rsidRDefault="00C07517" w:rsidP="00BC5669">
            <w:pPr>
              <w:pStyle w:val="TableHeadingLeft"/>
              <w:keepNext/>
              <w:rPr>
                <w:b w:val="0"/>
              </w:rPr>
            </w:pPr>
            <w:r>
              <w:rPr>
                <w:b w:val="0"/>
              </w:rPr>
              <w:t xml:space="preserve">                       </w:t>
            </w:r>
            <w:r w:rsidR="00461796" w:rsidRPr="00C07517">
              <w:rPr>
                <w:b w:val="0"/>
              </w:rPr>
              <w:t xml:space="preserve"> </w:t>
            </w:r>
            <w:r w:rsidR="00461796" w:rsidRPr="00C07517">
              <w:rPr>
                <w:b w:val="0"/>
              </w:rPr>
              <w:sym w:font="Symbol" w:char="F02D"/>
            </w:r>
            <w:r w:rsidR="00461796" w:rsidRPr="00C07517">
              <w:rPr>
                <w:b w:val="0"/>
              </w:rPr>
              <w:t xml:space="preserve"> business</w:t>
            </w:r>
            <w:r w:rsidR="001A0FB7" w:rsidRPr="00C07517">
              <w:rPr>
                <w:b w:val="0"/>
                <w:vertAlign w:val="superscript"/>
              </w:rPr>
              <w:t>(</w:t>
            </w:r>
            <w:r w:rsidR="00461796" w:rsidRPr="00C07517">
              <w:rPr>
                <w:b w:val="0"/>
                <w:vertAlign w:val="superscript"/>
              </w:rPr>
              <w:t>c</w:t>
            </w:r>
            <w:r w:rsidR="001A0FB7" w:rsidRPr="00C07517">
              <w:rPr>
                <w:b w:val="0"/>
                <w:vertAlign w:val="superscript"/>
              </w:rPr>
              <w:t>)</w:t>
            </w:r>
          </w:p>
        </w:tc>
        <w:tc>
          <w:tcPr>
            <w:tcW w:w="679" w:type="pct"/>
            <w:tcBorders>
              <w:top w:val="nil"/>
              <w:left w:val="nil"/>
              <w:bottom w:val="nil"/>
              <w:right w:val="dotted" w:sz="4" w:space="0" w:color="auto"/>
            </w:tcBorders>
            <w:vAlign w:val="bottom"/>
          </w:tcPr>
          <w:p w:rsidR="00461796" w:rsidRDefault="00461796" w:rsidP="00BC5669">
            <w:pPr>
              <w:pStyle w:val="TableTextRight"/>
              <w:keepNext/>
            </w:pPr>
            <w:r>
              <w:t>149.86</w:t>
            </w:r>
          </w:p>
        </w:tc>
        <w:tc>
          <w:tcPr>
            <w:tcW w:w="519" w:type="pct"/>
            <w:tcBorders>
              <w:top w:val="nil"/>
              <w:left w:val="dotted" w:sz="4" w:space="0" w:color="auto"/>
              <w:bottom w:val="nil"/>
              <w:right w:val="nil"/>
            </w:tcBorders>
            <w:vAlign w:val="bottom"/>
          </w:tcPr>
          <w:p w:rsidR="00461796" w:rsidRDefault="00461796" w:rsidP="00BC5669">
            <w:pPr>
              <w:pStyle w:val="TableTextRight"/>
              <w:keepNext/>
            </w:pPr>
            <w:r>
              <w:t>$2.28</w:t>
            </w:r>
          </w:p>
        </w:tc>
        <w:tc>
          <w:tcPr>
            <w:tcW w:w="520" w:type="pct"/>
            <w:tcBorders>
              <w:top w:val="nil"/>
              <w:left w:val="nil"/>
              <w:bottom w:val="nil"/>
              <w:right w:val="nil"/>
            </w:tcBorders>
          </w:tcPr>
          <w:p w:rsidR="00461796" w:rsidRDefault="00461796" w:rsidP="00BC5669">
            <w:pPr>
              <w:pStyle w:val="TableTextRight"/>
              <w:keepNext/>
              <w:rPr>
                <w:rFonts w:cs="Arial"/>
                <w:b/>
                <w:color w:val="000033"/>
                <w:szCs w:val="22"/>
              </w:rPr>
            </w:pPr>
          </w:p>
        </w:tc>
        <w:tc>
          <w:tcPr>
            <w:tcW w:w="516" w:type="pct"/>
            <w:tcBorders>
              <w:top w:val="nil"/>
              <w:left w:val="nil"/>
              <w:bottom w:val="nil"/>
              <w:right w:val="dotted" w:sz="4" w:space="0" w:color="auto"/>
            </w:tcBorders>
          </w:tcPr>
          <w:p w:rsidR="00461796" w:rsidRDefault="00461796" w:rsidP="00BC5669">
            <w:pPr>
              <w:pStyle w:val="TableTextRight"/>
              <w:keepNext/>
              <w:rPr>
                <w:rFonts w:cs="Arial"/>
                <w:b/>
                <w:color w:val="000033"/>
                <w:szCs w:val="22"/>
              </w:rPr>
            </w:pPr>
          </w:p>
        </w:tc>
        <w:tc>
          <w:tcPr>
            <w:tcW w:w="519" w:type="pct"/>
            <w:tcBorders>
              <w:top w:val="nil"/>
              <w:left w:val="dotted" w:sz="4" w:space="0" w:color="auto"/>
              <w:bottom w:val="nil"/>
              <w:right w:val="nil"/>
            </w:tcBorders>
          </w:tcPr>
          <w:p w:rsidR="00461796" w:rsidRDefault="00461796" w:rsidP="00BC5669">
            <w:pPr>
              <w:pStyle w:val="TableTextRight"/>
              <w:keepNext/>
              <w:rPr>
                <w:rFonts w:cs="Arial"/>
                <w:b/>
                <w:color w:val="000033"/>
                <w:szCs w:val="22"/>
              </w:rPr>
            </w:pPr>
          </w:p>
        </w:tc>
        <w:tc>
          <w:tcPr>
            <w:tcW w:w="431" w:type="pct"/>
            <w:tcBorders>
              <w:top w:val="nil"/>
              <w:left w:val="nil"/>
              <w:bottom w:val="nil"/>
              <w:right w:val="nil"/>
            </w:tcBorders>
          </w:tcPr>
          <w:p w:rsidR="00461796" w:rsidRDefault="00461796" w:rsidP="00BC5669">
            <w:pPr>
              <w:pStyle w:val="TableTextRight"/>
              <w:keepNext/>
              <w:rPr>
                <w:rFonts w:cs="Arial"/>
                <w:b/>
                <w:color w:val="000033"/>
                <w:szCs w:val="22"/>
              </w:rPr>
            </w:pPr>
          </w:p>
        </w:tc>
        <w:tc>
          <w:tcPr>
            <w:tcW w:w="465" w:type="pct"/>
            <w:tcBorders>
              <w:top w:val="nil"/>
              <w:left w:val="nil"/>
              <w:bottom w:val="nil"/>
              <w:right w:val="nil"/>
            </w:tcBorders>
          </w:tcPr>
          <w:p w:rsidR="00461796" w:rsidRPr="00B75821" w:rsidRDefault="00461796" w:rsidP="00BC5669">
            <w:pPr>
              <w:pStyle w:val="TableTextRight"/>
              <w:keepNext/>
            </w:pPr>
            <w:r>
              <w:t>605</w:t>
            </w:r>
          </w:p>
        </w:tc>
      </w:tr>
      <w:tr w:rsidR="00960A17" w:rsidRPr="00144F8C" w:rsidTr="00960A17">
        <w:trPr>
          <w:cantSplit/>
        </w:trPr>
        <w:tc>
          <w:tcPr>
            <w:tcW w:w="1352" w:type="pct"/>
            <w:tcBorders>
              <w:top w:val="nil"/>
              <w:left w:val="nil"/>
              <w:bottom w:val="nil"/>
              <w:right w:val="nil"/>
            </w:tcBorders>
          </w:tcPr>
          <w:p w:rsidR="00461796" w:rsidRPr="00C07517" w:rsidRDefault="00C07517" w:rsidP="00BC5669">
            <w:pPr>
              <w:pStyle w:val="TableHeadingLeft"/>
              <w:keepNext/>
              <w:rPr>
                <w:b w:val="0"/>
              </w:rPr>
            </w:pPr>
            <w:r>
              <w:rPr>
                <w:b w:val="0"/>
              </w:rPr>
              <w:t xml:space="preserve">                      </w:t>
            </w:r>
            <w:r w:rsidR="00461796" w:rsidRPr="00C07517">
              <w:rPr>
                <w:b w:val="0"/>
              </w:rPr>
              <w:t xml:space="preserve">  </w:t>
            </w:r>
            <w:r w:rsidR="00461796" w:rsidRPr="00C07517">
              <w:rPr>
                <w:b w:val="0"/>
              </w:rPr>
              <w:sym w:font="Symbol" w:char="F02D"/>
            </w:r>
            <w:r w:rsidR="00461796" w:rsidRPr="00C07517">
              <w:rPr>
                <w:b w:val="0"/>
              </w:rPr>
              <w:t xml:space="preserve"> business</w:t>
            </w:r>
            <w:r w:rsidR="001A0FB7" w:rsidRPr="00C07517">
              <w:rPr>
                <w:b w:val="0"/>
                <w:vertAlign w:val="superscript"/>
              </w:rPr>
              <w:t>(</w:t>
            </w:r>
            <w:r w:rsidR="00461796" w:rsidRPr="00C07517">
              <w:rPr>
                <w:b w:val="0"/>
                <w:vertAlign w:val="superscript"/>
              </w:rPr>
              <w:t>d</w:t>
            </w:r>
            <w:r w:rsidR="001A0FB7" w:rsidRPr="00C07517">
              <w:rPr>
                <w:b w:val="0"/>
                <w:vertAlign w:val="superscript"/>
              </w:rPr>
              <w:t>)</w:t>
            </w:r>
          </w:p>
        </w:tc>
        <w:tc>
          <w:tcPr>
            <w:tcW w:w="679" w:type="pct"/>
            <w:tcBorders>
              <w:top w:val="nil"/>
              <w:left w:val="nil"/>
              <w:bottom w:val="nil"/>
              <w:right w:val="dotted" w:sz="4" w:space="0" w:color="auto"/>
            </w:tcBorders>
            <w:vAlign w:val="bottom"/>
          </w:tcPr>
          <w:p w:rsidR="00461796" w:rsidRDefault="00461796" w:rsidP="00BC5669">
            <w:pPr>
              <w:pStyle w:val="TableTextRight"/>
              <w:keepNext/>
            </w:pPr>
            <w:r>
              <w:t>116,852.18</w:t>
            </w:r>
          </w:p>
        </w:tc>
        <w:tc>
          <w:tcPr>
            <w:tcW w:w="519" w:type="pct"/>
            <w:tcBorders>
              <w:top w:val="nil"/>
              <w:left w:val="dotted" w:sz="4" w:space="0" w:color="auto"/>
              <w:bottom w:val="nil"/>
              <w:right w:val="nil"/>
            </w:tcBorders>
            <w:vAlign w:val="bottom"/>
          </w:tcPr>
          <w:p w:rsidR="00461796" w:rsidRDefault="00461796" w:rsidP="00BC5669">
            <w:pPr>
              <w:pStyle w:val="TableTextRight"/>
              <w:keepNext/>
            </w:pPr>
            <w:r>
              <w:t>$2.28</w:t>
            </w:r>
          </w:p>
        </w:tc>
        <w:tc>
          <w:tcPr>
            <w:tcW w:w="520" w:type="pct"/>
            <w:tcBorders>
              <w:top w:val="nil"/>
              <w:left w:val="nil"/>
              <w:bottom w:val="nil"/>
              <w:right w:val="nil"/>
            </w:tcBorders>
          </w:tcPr>
          <w:p w:rsidR="00461796" w:rsidRDefault="00461796" w:rsidP="00BC5669">
            <w:pPr>
              <w:pStyle w:val="TableTextRight"/>
              <w:keepNext/>
              <w:rPr>
                <w:rFonts w:cs="Arial"/>
                <w:b/>
                <w:color w:val="000033"/>
                <w:szCs w:val="22"/>
              </w:rPr>
            </w:pPr>
          </w:p>
        </w:tc>
        <w:tc>
          <w:tcPr>
            <w:tcW w:w="516" w:type="pct"/>
            <w:tcBorders>
              <w:top w:val="nil"/>
              <w:left w:val="nil"/>
              <w:bottom w:val="nil"/>
              <w:right w:val="dotted" w:sz="4" w:space="0" w:color="auto"/>
            </w:tcBorders>
          </w:tcPr>
          <w:p w:rsidR="00461796" w:rsidRDefault="00461796" w:rsidP="00BC5669">
            <w:pPr>
              <w:pStyle w:val="TableTextRight"/>
              <w:keepNext/>
              <w:rPr>
                <w:rFonts w:cs="Arial"/>
                <w:b/>
                <w:color w:val="000033"/>
                <w:szCs w:val="22"/>
              </w:rPr>
            </w:pPr>
          </w:p>
        </w:tc>
        <w:tc>
          <w:tcPr>
            <w:tcW w:w="519" w:type="pct"/>
            <w:tcBorders>
              <w:top w:val="nil"/>
              <w:left w:val="dotted" w:sz="4" w:space="0" w:color="auto"/>
              <w:bottom w:val="nil"/>
              <w:right w:val="nil"/>
            </w:tcBorders>
          </w:tcPr>
          <w:p w:rsidR="00461796" w:rsidRDefault="00461796" w:rsidP="00BC5669">
            <w:pPr>
              <w:pStyle w:val="TableTextRight"/>
              <w:keepNext/>
              <w:rPr>
                <w:rFonts w:cs="Arial"/>
                <w:b/>
                <w:color w:val="000033"/>
                <w:szCs w:val="22"/>
              </w:rPr>
            </w:pPr>
          </w:p>
        </w:tc>
        <w:tc>
          <w:tcPr>
            <w:tcW w:w="431" w:type="pct"/>
            <w:tcBorders>
              <w:top w:val="nil"/>
              <w:left w:val="nil"/>
              <w:bottom w:val="nil"/>
              <w:right w:val="nil"/>
            </w:tcBorders>
          </w:tcPr>
          <w:p w:rsidR="00461796" w:rsidRDefault="00461796" w:rsidP="00BC5669">
            <w:pPr>
              <w:pStyle w:val="TableTextRight"/>
              <w:keepNext/>
              <w:rPr>
                <w:rFonts w:cs="Arial"/>
                <w:b/>
                <w:color w:val="000033"/>
                <w:szCs w:val="22"/>
              </w:rPr>
            </w:pPr>
          </w:p>
        </w:tc>
        <w:tc>
          <w:tcPr>
            <w:tcW w:w="465" w:type="pct"/>
            <w:tcBorders>
              <w:top w:val="nil"/>
              <w:left w:val="nil"/>
              <w:bottom w:val="nil"/>
              <w:right w:val="nil"/>
            </w:tcBorders>
          </w:tcPr>
          <w:p w:rsidR="00461796" w:rsidRPr="00B75821" w:rsidRDefault="00461796" w:rsidP="00BC5669">
            <w:pPr>
              <w:pStyle w:val="TableTextRight"/>
              <w:keepNext/>
            </w:pPr>
            <w:r>
              <w:t>117,308</w:t>
            </w:r>
          </w:p>
        </w:tc>
      </w:tr>
      <w:tr w:rsidR="00960A17" w:rsidRPr="00144F8C" w:rsidTr="00960A17">
        <w:trPr>
          <w:cantSplit/>
        </w:trPr>
        <w:tc>
          <w:tcPr>
            <w:tcW w:w="1352" w:type="pct"/>
            <w:tcBorders>
              <w:top w:val="nil"/>
              <w:left w:val="nil"/>
              <w:bottom w:val="nil"/>
              <w:right w:val="nil"/>
            </w:tcBorders>
          </w:tcPr>
          <w:p w:rsidR="00461796" w:rsidRPr="00C07517" w:rsidRDefault="00461796" w:rsidP="00BC5669">
            <w:pPr>
              <w:pStyle w:val="TableHeadingLeft"/>
              <w:keepNext/>
              <w:rPr>
                <w:b w:val="0"/>
              </w:rPr>
            </w:pPr>
          </w:p>
        </w:tc>
        <w:tc>
          <w:tcPr>
            <w:tcW w:w="679" w:type="pct"/>
            <w:tcBorders>
              <w:top w:val="nil"/>
              <w:left w:val="nil"/>
              <w:bottom w:val="nil"/>
              <w:right w:val="dotted" w:sz="4" w:space="0" w:color="auto"/>
            </w:tcBorders>
          </w:tcPr>
          <w:p w:rsidR="00461796" w:rsidRDefault="00461796" w:rsidP="00BC5669">
            <w:pPr>
              <w:pStyle w:val="TableTextRight"/>
              <w:keepNext/>
            </w:pPr>
          </w:p>
        </w:tc>
        <w:tc>
          <w:tcPr>
            <w:tcW w:w="519" w:type="pct"/>
            <w:tcBorders>
              <w:top w:val="nil"/>
              <w:left w:val="dotted" w:sz="4" w:space="0" w:color="auto"/>
              <w:bottom w:val="nil"/>
              <w:right w:val="nil"/>
            </w:tcBorders>
          </w:tcPr>
          <w:p w:rsidR="00461796" w:rsidRDefault="00461796" w:rsidP="00BC5669">
            <w:pPr>
              <w:pStyle w:val="TableTextRight"/>
              <w:keepNext/>
            </w:pPr>
          </w:p>
        </w:tc>
        <w:tc>
          <w:tcPr>
            <w:tcW w:w="520" w:type="pct"/>
            <w:tcBorders>
              <w:top w:val="nil"/>
              <w:left w:val="nil"/>
              <w:bottom w:val="nil"/>
              <w:right w:val="nil"/>
            </w:tcBorders>
          </w:tcPr>
          <w:p w:rsidR="00461796" w:rsidRDefault="00461796" w:rsidP="00BC5669">
            <w:pPr>
              <w:pStyle w:val="TableTextRight"/>
              <w:keepNext/>
            </w:pPr>
          </w:p>
        </w:tc>
        <w:tc>
          <w:tcPr>
            <w:tcW w:w="516" w:type="pct"/>
            <w:tcBorders>
              <w:top w:val="nil"/>
              <w:left w:val="nil"/>
              <w:bottom w:val="nil"/>
              <w:right w:val="dotted" w:sz="4" w:space="0" w:color="auto"/>
            </w:tcBorders>
          </w:tcPr>
          <w:p w:rsidR="00461796" w:rsidRDefault="00461796" w:rsidP="00BC5669">
            <w:pPr>
              <w:pStyle w:val="TableTextRight"/>
              <w:keepNext/>
            </w:pPr>
          </w:p>
        </w:tc>
        <w:tc>
          <w:tcPr>
            <w:tcW w:w="519" w:type="pct"/>
            <w:tcBorders>
              <w:top w:val="nil"/>
              <w:left w:val="dotted" w:sz="4" w:space="0" w:color="auto"/>
              <w:bottom w:val="nil"/>
              <w:right w:val="nil"/>
            </w:tcBorders>
          </w:tcPr>
          <w:p w:rsidR="00461796" w:rsidRDefault="00461796" w:rsidP="00BC5669">
            <w:pPr>
              <w:pStyle w:val="TableTextRight"/>
              <w:keepNext/>
            </w:pPr>
          </w:p>
        </w:tc>
        <w:tc>
          <w:tcPr>
            <w:tcW w:w="431" w:type="pct"/>
            <w:tcBorders>
              <w:top w:val="nil"/>
              <w:left w:val="nil"/>
              <w:bottom w:val="nil"/>
              <w:right w:val="nil"/>
            </w:tcBorders>
          </w:tcPr>
          <w:p w:rsidR="00461796" w:rsidRDefault="00461796" w:rsidP="00BC5669">
            <w:pPr>
              <w:pStyle w:val="TableTextRight"/>
              <w:keepNext/>
            </w:pPr>
          </w:p>
        </w:tc>
        <w:tc>
          <w:tcPr>
            <w:tcW w:w="465" w:type="pct"/>
            <w:tcBorders>
              <w:top w:val="nil"/>
              <w:left w:val="nil"/>
              <w:bottom w:val="nil"/>
              <w:right w:val="nil"/>
            </w:tcBorders>
          </w:tcPr>
          <w:p w:rsidR="00461796" w:rsidRPr="00B75821" w:rsidRDefault="00461796" w:rsidP="00BC5669">
            <w:pPr>
              <w:pStyle w:val="TableTextRight"/>
              <w:keepNext/>
            </w:pPr>
          </w:p>
        </w:tc>
      </w:tr>
      <w:tr w:rsidR="00960A17" w:rsidRPr="00144F8C" w:rsidTr="00960A17">
        <w:trPr>
          <w:cantSplit/>
        </w:trPr>
        <w:tc>
          <w:tcPr>
            <w:tcW w:w="1352" w:type="pct"/>
            <w:tcBorders>
              <w:top w:val="nil"/>
              <w:left w:val="nil"/>
              <w:bottom w:val="nil"/>
              <w:right w:val="nil"/>
            </w:tcBorders>
          </w:tcPr>
          <w:p w:rsidR="00461796" w:rsidRPr="00C07517" w:rsidRDefault="00461796" w:rsidP="008A0348">
            <w:pPr>
              <w:pStyle w:val="TableHeadingLeft"/>
              <w:keepNext/>
              <w:rPr>
                <w:b w:val="0"/>
              </w:rPr>
            </w:pPr>
            <w:r w:rsidRPr="00C07517">
              <w:rPr>
                <w:b w:val="0"/>
              </w:rPr>
              <w:t xml:space="preserve">TasWater </w:t>
            </w:r>
            <w:r w:rsidRPr="00C07517">
              <w:rPr>
                <w:b w:val="0"/>
              </w:rPr>
              <w:sym w:font="Symbol" w:char="F02D"/>
            </w:r>
            <w:r w:rsidRPr="00C07517">
              <w:rPr>
                <w:b w:val="0"/>
              </w:rPr>
              <w:t xml:space="preserve"> res &amp; business</w:t>
            </w:r>
            <w:r w:rsidR="001A0FB7" w:rsidRPr="00C07517">
              <w:rPr>
                <w:b w:val="0"/>
                <w:vertAlign w:val="superscript"/>
              </w:rPr>
              <w:t>(</w:t>
            </w:r>
            <w:r w:rsidRPr="00C07517">
              <w:rPr>
                <w:b w:val="0"/>
                <w:vertAlign w:val="superscript"/>
              </w:rPr>
              <w:t>e</w:t>
            </w:r>
            <w:r w:rsidR="001A0FB7" w:rsidRPr="00C07517">
              <w:rPr>
                <w:b w:val="0"/>
                <w:vertAlign w:val="superscript"/>
              </w:rPr>
              <w:t>)</w:t>
            </w:r>
          </w:p>
        </w:tc>
        <w:tc>
          <w:tcPr>
            <w:tcW w:w="679" w:type="pct"/>
            <w:tcBorders>
              <w:top w:val="nil"/>
              <w:left w:val="nil"/>
              <w:bottom w:val="nil"/>
              <w:right w:val="dotted" w:sz="4" w:space="0" w:color="auto"/>
            </w:tcBorders>
            <w:vAlign w:val="bottom"/>
          </w:tcPr>
          <w:p w:rsidR="00461796" w:rsidRDefault="00461796" w:rsidP="00BC5669">
            <w:pPr>
              <w:pStyle w:val="TableTextRight"/>
              <w:keepNext/>
            </w:pPr>
            <w:r>
              <w:t>329.48</w:t>
            </w:r>
          </w:p>
        </w:tc>
        <w:tc>
          <w:tcPr>
            <w:tcW w:w="519" w:type="pct"/>
            <w:tcBorders>
              <w:top w:val="nil"/>
              <w:left w:val="dotted" w:sz="4" w:space="0" w:color="auto"/>
              <w:bottom w:val="nil"/>
              <w:right w:val="nil"/>
            </w:tcBorders>
            <w:vAlign w:val="bottom"/>
          </w:tcPr>
          <w:p w:rsidR="00461796" w:rsidRDefault="00461796" w:rsidP="00BC5669">
            <w:pPr>
              <w:pStyle w:val="TableTextRight"/>
              <w:keepNext/>
            </w:pPr>
            <w:r>
              <w:t>$0.97</w:t>
            </w:r>
          </w:p>
        </w:tc>
        <w:tc>
          <w:tcPr>
            <w:tcW w:w="520" w:type="pct"/>
            <w:tcBorders>
              <w:top w:val="nil"/>
              <w:left w:val="nil"/>
              <w:bottom w:val="nil"/>
              <w:right w:val="nil"/>
            </w:tcBorders>
          </w:tcPr>
          <w:p w:rsidR="00461796" w:rsidRDefault="00461796" w:rsidP="00BC5669">
            <w:pPr>
              <w:pStyle w:val="TableTextRight"/>
              <w:keepNext/>
              <w:rPr>
                <w:rFonts w:cs="Arial"/>
                <w:b/>
                <w:color w:val="000033"/>
                <w:szCs w:val="22"/>
              </w:rPr>
            </w:pPr>
          </w:p>
        </w:tc>
        <w:tc>
          <w:tcPr>
            <w:tcW w:w="516" w:type="pct"/>
            <w:tcBorders>
              <w:top w:val="nil"/>
              <w:left w:val="nil"/>
              <w:bottom w:val="nil"/>
              <w:right w:val="dotted" w:sz="4" w:space="0" w:color="auto"/>
            </w:tcBorders>
          </w:tcPr>
          <w:p w:rsidR="00461796" w:rsidRDefault="00461796" w:rsidP="00BC5669">
            <w:pPr>
              <w:pStyle w:val="TableTextRight"/>
              <w:keepNext/>
              <w:rPr>
                <w:rFonts w:cs="Arial"/>
                <w:b/>
                <w:color w:val="000033"/>
                <w:szCs w:val="22"/>
              </w:rPr>
            </w:pPr>
          </w:p>
        </w:tc>
        <w:tc>
          <w:tcPr>
            <w:tcW w:w="519" w:type="pct"/>
            <w:tcBorders>
              <w:top w:val="nil"/>
              <w:left w:val="dotted" w:sz="4" w:space="0" w:color="auto"/>
              <w:bottom w:val="nil"/>
              <w:right w:val="nil"/>
            </w:tcBorders>
          </w:tcPr>
          <w:p w:rsidR="00461796" w:rsidRDefault="00461796" w:rsidP="00BC5669">
            <w:pPr>
              <w:pStyle w:val="TableTextRight"/>
              <w:keepNext/>
              <w:rPr>
                <w:rFonts w:cs="Arial"/>
                <w:b/>
                <w:color w:val="000033"/>
                <w:szCs w:val="22"/>
              </w:rPr>
            </w:pPr>
          </w:p>
        </w:tc>
        <w:tc>
          <w:tcPr>
            <w:tcW w:w="431" w:type="pct"/>
            <w:tcBorders>
              <w:top w:val="nil"/>
              <w:left w:val="nil"/>
              <w:bottom w:val="nil"/>
              <w:right w:val="nil"/>
            </w:tcBorders>
          </w:tcPr>
          <w:p w:rsidR="00461796" w:rsidRDefault="00461796" w:rsidP="00BC5669">
            <w:pPr>
              <w:pStyle w:val="TableTextRight"/>
              <w:keepNext/>
              <w:rPr>
                <w:rFonts w:cs="Arial"/>
                <w:b/>
                <w:color w:val="000033"/>
                <w:szCs w:val="22"/>
              </w:rPr>
            </w:pPr>
          </w:p>
        </w:tc>
        <w:tc>
          <w:tcPr>
            <w:tcW w:w="465" w:type="pct"/>
            <w:tcBorders>
              <w:top w:val="nil"/>
              <w:left w:val="nil"/>
              <w:bottom w:val="nil"/>
              <w:right w:val="nil"/>
            </w:tcBorders>
          </w:tcPr>
          <w:p w:rsidR="00461796" w:rsidRPr="00B75821" w:rsidRDefault="00461796" w:rsidP="00BC5669">
            <w:pPr>
              <w:pStyle w:val="TableTextRight"/>
              <w:keepNext/>
            </w:pPr>
            <w:r>
              <w:t>524</w:t>
            </w:r>
          </w:p>
        </w:tc>
      </w:tr>
      <w:tr w:rsidR="00960A17" w:rsidRPr="00144F8C" w:rsidTr="00960A17">
        <w:trPr>
          <w:cantSplit/>
        </w:trPr>
        <w:tc>
          <w:tcPr>
            <w:tcW w:w="1352" w:type="pct"/>
            <w:tcBorders>
              <w:top w:val="nil"/>
              <w:left w:val="nil"/>
              <w:bottom w:val="single" w:sz="12" w:space="0" w:color="1F497D" w:themeColor="text2"/>
              <w:right w:val="nil"/>
            </w:tcBorders>
          </w:tcPr>
          <w:p w:rsidR="00461796" w:rsidRPr="00C07517" w:rsidRDefault="00C07517" w:rsidP="00BC5669">
            <w:pPr>
              <w:pStyle w:val="TableHeadingLeft"/>
              <w:keepNext/>
              <w:rPr>
                <w:b w:val="0"/>
              </w:rPr>
            </w:pPr>
            <w:r>
              <w:rPr>
                <w:b w:val="0"/>
              </w:rPr>
              <w:t xml:space="preserve">                 </w:t>
            </w:r>
            <w:r w:rsidR="00461796" w:rsidRPr="00C07517">
              <w:rPr>
                <w:b w:val="0"/>
              </w:rPr>
              <w:sym w:font="Symbol" w:char="F02D"/>
            </w:r>
            <w:r w:rsidR="00461796" w:rsidRPr="00C07517">
              <w:rPr>
                <w:b w:val="0"/>
              </w:rPr>
              <w:t xml:space="preserve"> res &amp; business</w:t>
            </w:r>
            <w:r w:rsidR="001A0FB7" w:rsidRPr="00C07517">
              <w:rPr>
                <w:b w:val="0"/>
                <w:vertAlign w:val="superscript"/>
              </w:rPr>
              <w:t>(</w:t>
            </w:r>
            <w:r w:rsidR="00461796" w:rsidRPr="00C07517">
              <w:rPr>
                <w:b w:val="0"/>
                <w:vertAlign w:val="superscript"/>
              </w:rPr>
              <w:t>f</w:t>
            </w:r>
            <w:r w:rsidR="001A0FB7" w:rsidRPr="00C07517">
              <w:rPr>
                <w:b w:val="0"/>
                <w:vertAlign w:val="superscript"/>
              </w:rPr>
              <w:t>)</w:t>
            </w:r>
          </w:p>
        </w:tc>
        <w:tc>
          <w:tcPr>
            <w:tcW w:w="679" w:type="pct"/>
            <w:tcBorders>
              <w:top w:val="nil"/>
              <w:left w:val="nil"/>
              <w:bottom w:val="single" w:sz="12" w:space="0" w:color="1F497D" w:themeColor="text2"/>
              <w:right w:val="dotted" w:sz="4" w:space="0" w:color="auto"/>
            </w:tcBorders>
            <w:vAlign w:val="bottom"/>
          </w:tcPr>
          <w:p w:rsidR="00461796" w:rsidRDefault="00461796" w:rsidP="00BC5669">
            <w:pPr>
              <w:pStyle w:val="TableTextRight"/>
              <w:keepNext/>
            </w:pPr>
            <w:r>
              <w:t>51,481.25</w:t>
            </w:r>
          </w:p>
        </w:tc>
        <w:tc>
          <w:tcPr>
            <w:tcW w:w="519" w:type="pct"/>
            <w:tcBorders>
              <w:top w:val="nil"/>
              <w:left w:val="dotted" w:sz="4" w:space="0" w:color="auto"/>
              <w:bottom w:val="single" w:sz="12" w:space="0" w:color="1F497D" w:themeColor="text2"/>
              <w:right w:val="nil"/>
            </w:tcBorders>
            <w:vAlign w:val="bottom"/>
          </w:tcPr>
          <w:p w:rsidR="00461796" w:rsidRDefault="00461796" w:rsidP="00BC5669">
            <w:pPr>
              <w:pStyle w:val="TableTextRight"/>
              <w:keepNext/>
            </w:pPr>
            <w:r>
              <w:t>$0.97</w:t>
            </w:r>
          </w:p>
        </w:tc>
        <w:tc>
          <w:tcPr>
            <w:tcW w:w="520" w:type="pct"/>
            <w:tcBorders>
              <w:top w:val="nil"/>
              <w:left w:val="nil"/>
              <w:bottom w:val="single" w:sz="12" w:space="0" w:color="1F497D" w:themeColor="text2"/>
              <w:right w:val="nil"/>
            </w:tcBorders>
          </w:tcPr>
          <w:p w:rsidR="00461796" w:rsidRDefault="00461796" w:rsidP="00BC5669">
            <w:pPr>
              <w:pStyle w:val="TableTextRight"/>
              <w:keepNext/>
              <w:rPr>
                <w:rFonts w:cs="Arial"/>
                <w:b/>
                <w:color w:val="000033"/>
                <w:szCs w:val="22"/>
              </w:rPr>
            </w:pPr>
          </w:p>
        </w:tc>
        <w:tc>
          <w:tcPr>
            <w:tcW w:w="516" w:type="pct"/>
            <w:tcBorders>
              <w:top w:val="nil"/>
              <w:left w:val="nil"/>
              <w:bottom w:val="single" w:sz="12" w:space="0" w:color="1F497D" w:themeColor="text2"/>
              <w:right w:val="dotted" w:sz="4" w:space="0" w:color="auto"/>
            </w:tcBorders>
          </w:tcPr>
          <w:p w:rsidR="00461796" w:rsidRDefault="00461796" w:rsidP="00BC5669">
            <w:pPr>
              <w:pStyle w:val="TableTextRight"/>
              <w:keepNext/>
              <w:rPr>
                <w:rFonts w:cs="Arial"/>
                <w:b/>
                <w:color w:val="000033"/>
                <w:szCs w:val="22"/>
              </w:rPr>
            </w:pPr>
          </w:p>
        </w:tc>
        <w:tc>
          <w:tcPr>
            <w:tcW w:w="519" w:type="pct"/>
            <w:tcBorders>
              <w:top w:val="nil"/>
              <w:left w:val="dotted" w:sz="4" w:space="0" w:color="auto"/>
              <w:bottom w:val="single" w:sz="12" w:space="0" w:color="1F497D" w:themeColor="text2"/>
              <w:right w:val="nil"/>
            </w:tcBorders>
          </w:tcPr>
          <w:p w:rsidR="00461796" w:rsidRDefault="00461796" w:rsidP="00BC5669">
            <w:pPr>
              <w:pStyle w:val="TableTextRight"/>
              <w:keepNext/>
              <w:rPr>
                <w:rFonts w:cs="Arial"/>
                <w:b/>
                <w:color w:val="000033"/>
                <w:szCs w:val="22"/>
              </w:rPr>
            </w:pPr>
          </w:p>
        </w:tc>
        <w:tc>
          <w:tcPr>
            <w:tcW w:w="431" w:type="pct"/>
            <w:tcBorders>
              <w:top w:val="nil"/>
              <w:left w:val="nil"/>
              <w:bottom w:val="single" w:sz="12" w:space="0" w:color="1F497D" w:themeColor="text2"/>
              <w:right w:val="nil"/>
            </w:tcBorders>
          </w:tcPr>
          <w:p w:rsidR="00461796" w:rsidRDefault="00461796" w:rsidP="00BC5669">
            <w:pPr>
              <w:pStyle w:val="TableTextRight"/>
              <w:keepNext/>
              <w:rPr>
                <w:rFonts w:cs="Arial"/>
                <w:b/>
                <w:color w:val="000033"/>
                <w:szCs w:val="22"/>
              </w:rPr>
            </w:pPr>
          </w:p>
        </w:tc>
        <w:tc>
          <w:tcPr>
            <w:tcW w:w="465" w:type="pct"/>
            <w:tcBorders>
              <w:top w:val="nil"/>
              <w:left w:val="nil"/>
              <w:bottom w:val="single" w:sz="12" w:space="0" w:color="1F497D" w:themeColor="text2"/>
              <w:right w:val="nil"/>
            </w:tcBorders>
          </w:tcPr>
          <w:p w:rsidR="00461796" w:rsidRPr="00B75821" w:rsidRDefault="00461796" w:rsidP="00BC5669">
            <w:pPr>
              <w:pStyle w:val="TableTextRight"/>
              <w:keepNext/>
            </w:pPr>
            <w:r>
              <w:t>51,675</w:t>
            </w:r>
          </w:p>
        </w:tc>
      </w:tr>
    </w:tbl>
    <w:p w:rsidR="008A0348" w:rsidRDefault="008A0348" w:rsidP="008A0348">
      <w:pPr>
        <w:pStyle w:val="TableNotesHanging"/>
        <w:keepLines w:val="0"/>
      </w:pPr>
      <w:r>
        <w:t>(a)</w:t>
      </w:r>
      <w:r w:rsidRPr="008A0348">
        <w:t xml:space="preserve"> </w:t>
      </w:r>
      <w:r>
        <w:t>More than one 20</w:t>
      </w:r>
      <w:r w:rsidR="00E92184">
        <w:t xml:space="preserve"> </w:t>
      </w:r>
      <w:r>
        <w:t>mm connection</w:t>
      </w:r>
      <w:r w:rsidR="00271830">
        <w:t>.</w:t>
      </w:r>
    </w:p>
    <w:p w:rsidR="008A0348" w:rsidRDefault="008A0348" w:rsidP="008A0348">
      <w:pPr>
        <w:pStyle w:val="TableNotesHanging"/>
        <w:keepLines w:val="0"/>
      </w:pPr>
      <w:r>
        <w:t>(b)</w:t>
      </w:r>
      <w:r w:rsidRPr="008A0348">
        <w:t xml:space="preserve"> </w:t>
      </w:r>
      <w:r>
        <w:t>25</w:t>
      </w:r>
      <w:r w:rsidR="00E92184">
        <w:t xml:space="preserve"> </w:t>
      </w:r>
      <w:r>
        <w:t>mm connection or greater</w:t>
      </w:r>
      <w:r w:rsidR="00271830">
        <w:t>.</w:t>
      </w:r>
    </w:p>
    <w:p w:rsidR="008A0348" w:rsidRDefault="008A0348" w:rsidP="008A0348">
      <w:pPr>
        <w:pStyle w:val="TableNotesHanging"/>
        <w:keepLines w:val="0"/>
        <w:ind w:left="0" w:firstLine="0"/>
      </w:pPr>
      <w:r>
        <w:t>(c)</w:t>
      </w:r>
      <w:r w:rsidRPr="008A0348">
        <w:t xml:space="preserve"> </w:t>
      </w:r>
      <w:r>
        <w:t>One 20</w:t>
      </w:r>
      <w:r w:rsidR="00E92184">
        <w:t xml:space="preserve"> </w:t>
      </w:r>
      <w:r>
        <w:t>mm connection</w:t>
      </w:r>
      <w:r w:rsidR="00271830">
        <w:t>.</w:t>
      </w:r>
    </w:p>
    <w:p w:rsidR="008A0348" w:rsidRDefault="008A0348" w:rsidP="008A0348">
      <w:pPr>
        <w:pStyle w:val="TableNotesHanging"/>
        <w:keepLines w:val="0"/>
        <w:ind w:left="0" w:firstLine="0"/>
      </w:pPr>
      <w:r>
        <w:t>(d)</w:t>
      </w:r>
      <w:r w:rsidRPr="008A0348">
        <w:t xml:space="preserve"> </w:t>
      </w:r>
      <w:r>
        <w:t>600</w:t>
      </w:r>
      <w:r w:rsidR="00E92184">
        <w:t xml:space="preserve"> </w:t>
      </w:r>
      <w:r>
        <w:t>mm connection</w:t>
      </w:r>
      <w:r w:rsidR="00271830">
        <w:t>.</w:t>
      </w:r>
    </w:p>
    <w:p w:rsidR="008A0348" w:rsidRDefault="008A0348" w:rsidP="008A0348">
      <w:pPr>
        <w:pStyle w:val="TableNotesHanging"/>
        <w:keepLines w:val="0"/>
        <w:ind w:left="0" w:firstLine="0"/>
      </w:pPr>
      <w:r>
        <w:t>(e)</w:t>
      </w:r>
      <w:r w:rsidRPr="008A0348">
        <w:t xml:space="preserve"> </w:t>
      </w:r>
      <w:r>
        <w:t>One 20</w:t>
      </w:r>
      <w:r w:rsidR="00E92184">
        <w:t xml:space="preserve"> </w:t>
      </w:r>
      <w:r>
        <w:t>mm connection</w:t>
      </w:r>
      <w:r w:rsidR="00271830">
        <w:t>.</w:t>
      </w:r>
    </w:p>
    <w:p w:rsidR="008A0348" w:rsidRDefault="008A0348" w:rsidP="008A0348">
      <w:pPr>
        <w:pStyle w:val="TableNotesHanging"/>
        <w:keepLines w:val="0"/>
        <w:ind w:left="0" w:firstLine="0"/>
      </w:pPr>
      <w:r>
        <w:t>(f)</w:t>
      </w:r>
      <w:r w:rsidRPr="008A0348">
        <w:t xml:space="preserve"> </w:t>
      </w:r>
      <w:r>
        <w:t>250</w:t>
      </w:r>
      <w:r w:rsidR="00E92184">
        <w:t xml:space="preserve"> </w:t>
      </w:r>
      <w:r>
        <w:t>mm connection</w:t>
      </w:r>
      <w:r w:rsidR="00271830">
        <w:t>.</w:t>
      </w:r>
    </w:p>
    <w:p w:rsidR="00363880" w:rsidRDefault="00461796">
      <w:pPr>
        <w:pStyle w:val="TableNotesHangingLast"/>
        <w:keepLines w:val="0"/>
        <w:spacing w:after="0"/>
      </w:pPr>
      <w:r>
        <w:t>Note:</w:t>
      </w:r>
      <w:r>
        <w:tab/>
      </w:r>
      <w:r w:rsidR="008A0348">
        <w:t xml:space="preserve">This table only contains a sample of the fixed water charges by connection size for Sydney Water and TasWater. For the full lists, see </w:t>
      </w:r>
      <w:hyperlink r:id="rId50" w:history="1">
        <w:r w:rsidR="008A0348" w:rsidRPr="008A0348">
          <w:t>www.sydneywater.com.au/SW/accounts-billing/understanding-your-bill/our-prices/index.htm</w:t>
        </w:r>
      </w:hyperlink>
      <w:r w:rsidR="008A0348">
        <w:t xml:space="preserve"> and </w:t>
      </w:r>
      <w:r w:rsidR="008A0348" w:rsidRPr="005D4C2D">
        <w:t>www.taswater.com.au/Your-Account/Water-and-Sewerage-Charges</w:t>
      </w:r>
      <w:r w:rsidR="008A0348">
        <w:t>.</w:t>
      </w:r>
    </w:p>
    <w:p w:rsidR="00461796" w:rsidRDefault="00461796" w:rsidP="008A0348">
      <w:pPr>
        <w:pStyle w:val="TableNotesHangingLast"/>
        <w:keepLines w:val="0"/>
      </w:pPr>
      <w:r>
        <w:t>Source:</w:t>
      </w:r>
      <w:r>
        <w:tab/>
      </w:r>
      <w:r>
        <w:rPr>
          <w:noProof/>
        </w:rPr>
        <w:t>Sydney Water (2015c)</w:t>
      </w:r>
      <w:r>
        <w:t xml:space="preserve">; </w:t>
      </w:r>
      <w:r>
        <w:rPr>
          <w:noProof/>
        </w:rPr>
        <w:t>Sydney Water (2015b)</w:t>
      </w:r>
      <w:r>
        <w:t xml:space="preserve">; </w:t>
      </w:r>
      <w:r>
        <w:rPr>
          <w:noProof/>
        </w:rPr>
        <w:t>City West Water (2015a)</w:t>
      </w:r>
      <w:r>
        <w:t xml:space="preserve">; </w:t>
      </w:r>
      <w:r>
        <w:rPr>
          <w:noProof/>
        </w:rPr>
        <w:t>Hunter Water (2015a</w:t>
      </w:r>
      <w:r w:rsidR="008A0348">
        <w:rPr>
          <w:noProof/>
        </w:rPr>
        <w:t>)</w:t>
      </w:r>
      <w:r>
        <w:rPr>
          <w:noProof/>
        </w:rPr>
        <w:t>; Hunter Water (2015b)</w:t>
      </w:r>
      <w:r>
        <w:t xml:space="preserve">; </w:t>
      </w:r>
      <w:r>
        <w:rPr>
          <w:noProof/>
        </w:rPr>
        <w:t>TasWater (2015)</w:t>
      </w:r>
      <w:r>
        <w:t xml:space="preserve">; </w:t>
      </w:r>
      <w:r>
        <w:rPr>
          <w:noProof/>
        </w:rPr>
        <w:t>SA Water (2015)</w:t>
      </w:r>
      <w:r>
        <w:t>.</w:t>
      </w:r>
    </w:p>
    <w:p w:rsidR="00363880" w:rsidRDefault="00461796">
      <w:pPr>
        <w:pStyle w:val="Heading3"/>
      </w:pPr>
      <w:r>
        <w:t>Mechanisms for setting the volumetric price</w:t>
      </w:r>
    </w:p>
    <w:p w:rsidR="00461796" w:rsidRDefault="00461796" w:rsidP="00461796">
      <w:r>
        <w:t>A review of the jurisdictional regulatory determinations for the various utilities shows that volumetric prices for Hunter Water, Sydney Water and TasWater were set w</w:t>
      </w:r>
      <w:r w:rsidR="00820555">
        <w:t>ith reference to marginal cost.</w:t>
      </w:r>
    </w:p>
    <w:p w:rsidR="00461796" w:rsidRDefault="00461796" w:rsidP="00461796">
      <w:r>
        <w:t>In the case of Syd</w:t>
      </w:r>
      <w:r w:rsidR="00DC1ED9">
        <w:t>ney Water, IPART noted that it ‘</w:t>
      </w:r>
      <w:r w:rsidRPr="0074374E">
        <w:t>usually set the</w:t>
      </w:r>
      <w:r>
        <w:t xml:space="preserve"> </w:t>
      </w:r>
      <w:r w:rsidRPr="0074374E">
        <w:t>usage price of water for retail customers with reference to the long</w:t>
      </w:r>
      <w:r>
        <w:t>-</w:t>
      </w:r>
      <w:r w:rsidRPr="0074374E">
        <w:t>run marginal cost</w:t>
      </w:r>
      <w:r>
        <w:t xml:space="preserve"> </w:t>
      </w:r>
      <w:r w:rsidRPr="0074374E">
        <w:t>of the next increment of augmentation (LRMC), to provide a price signal of the</w:t>
      </w:r>
      <w:r>
        <w:t xml:space="preserve"> </w:t>
      </w:r>
      <w:r w:rsidRPr="0074374E">
        <w:t>incremental costs of consumption</w:t>
      </w:r>
      <w:r w:rsidR="00DC1ED9">
        <w:t>’</w:t>
      </w:r>
      <w:r w:rsidRPr="0074374E">
        <w:t>.</w:t>
      </w:r>
      <w:r>
        <w:rPr>
          <w:rStyle w:val="FootnoteReference"/>
        </w:rPr>
        <w:footnoteReference w:id="73"/>
      </w:r>
      <w:r w:rsidRPr="0074374E">
        <w:t xml:space="preserve"> </w:t>
      </w:r>
      <w:r w:rsidR="006B1EEE">
        <w:t>IPART estimated Sydney Water’</w:t>
      </w:r>
      <w:r>
        <w:t>s long</w:t>
      </w:r>
      <w:r w:rsidR="006B1EEE">
        <w:t>-</w:t>
      </w:r>
      <w:r>
        <w:t xml:space="preserve">run marginal cost at between $1.82 and </w:t>
      </w:r>
      <w:r w:rsidR="00820555">
        <w:t>$</w:t>
      </w:r>
      <w:r>
        <w:t>2.54/kL</w:t>
      </w:r>
      <w:r w:rsidR="00820555">
        <w:t>,</w:t>
      </w:r>
      <w:r>
        <w:t xml:space="preserve"> with a mid-point of $2.18/kL</w:t>
      </w:r>
      <w:r w:rsidRPr="0074374E">
        <w:t>.</w:t>
      </w:r>
      <w:r>
        <w:rPr>
          <w:rStyle w:val="FootnoteReference"/>
        </w:rPr>
        <w:footnoteReference w:id="74"/>
      </w:r>
      <w:r>
        <w:t xml:space="preserve"> In the Hunter Water case, IPART used a long-run marginal cost calculation from a previous determination for reference purposes.</w:t>
      </w:r>
    </w:p>
    <w:p w:rsidR="00461796" w:rsidRDefault="00461796" w:rsidP="00461796">
      <w:r>
        <w:t xml:space="preserve">In contrast, the Office of the Tasmanian </w:t>
      </w:r>
      <w:r w:rsidR="00820555">
        <w:t xml:space="preserve">Economic </w:t>
      </w:r>
      <w:r>
        <w:t>Regula</w:t>
      </w:r>
      <w:r w:rsidR="006B1EEE">
        <w:t>tor (OTTER) determined TasWater’</w:t>
      </w:r>
      <w:r>
        <w:t>s prices with reference to short-run marginal cost</w:t>
      </w:r>
      <w:r w:rsidRPr="00947D19">
        <w:t xml:space="preserve"> </w:t>
      </w:r>
      <w:r>
        <w:t>estimates which ranged from $0.29 to $0.45/kL. More accur</w:t>
      </w:r>
      <w:r w:rsidR="006B1EEE">
        <w:t>ately, OTTER agreed to TasWater’</w:t>
      </w:r>
      <w:r>
        <w:t>s proposal to set the volumetric price above the s</w:t>
      </w:r>
      <w:r w:rsidR="006B1EEE">
        <w:t>hort-run marginal cost</w:t>
      </w:r>
      <w:r w:rsidR="00F907A7">
        <w:t>,</w:t>
      </w:r>
      <w:r w:rsidR="006B1EEE">
        <w:t xml:space="preserve"> stating:</w:t>
      </w:r>
    </w:p>
    <w:p w:rsidR="00461796" w:rsidRDefault="00461796" w:rsidP="00461796">
      <w:pPr>
        <w:pStyle w:val="Quote"/>
      </w:pPr>
      <w:r w:rsidRPr="00947D19">
        <w:t>The extent to which variable charges may be set above cost is a matter of</w:t>
      </w:r>
      <w:r>
        <w:t xml:space="preserve"> </w:t>
      </w:r>
      <w:r w:rsidRPr="00947D19">
        <w:t>judgement. It should be noted that setting variable charges at levels above cost</w:t>
      </w:r>
      <w:r>
        <w:t xml:space="preserve"> </w:t>
      </w:r>
      <w:r w:rsidRPr="00947D19">
        <w:t>results in large water users (such as industrial customers, hospitals and schools)</w:t>
      </w:r>
      <w:r>
        <w:t xml:space="preserve"> </w:t>
      </w:r>
      <w:r w:rsidRPr="00947D19">
        <w:t>subsidising low use customers (residences and office blocks). This has the effect of</w:t>
      </w:r>
      <w:r>
        <w:t xml:space="preserve"> </w:t>
      </w:r>
      <w:r w:rsidRPr="00947D19">
        <w:t>creating a cross subsidy and is inconsistent with the Pricing Principles in relation to</w:t>
      </w:r>
      <w:r>
        <w:t xml:space="preserve"> </w:t>
      </w:r>
      <w:r w:rsidRPr="00947D19">
        <w:t>cost reflective charging.</w:t>
      </w:r>
      <w:r>
        <w:rPr>
          <w:rStyle w:val="FootnoteReference"/>
        </w:rPr>
        <w:footnoteReference w:id="75"/>
      </w:r>
    </w:p>
    <w:p w:rsidR="00461796" w:rsidRPr="00947D19" w:rsidRDefault="00461796" w:rsidP="00461796">
      <w:r>
        <w:t>OTTER</w:t>
      </w:r>
      <w:r w:rsidRPr="00FC7ACA">
        <w:t xml:space="preserve"> decided </w:t>
      </w:r>
      <w:r>
        <w:t xml:space="preserve">to </w:t>
      </w:r>
      <w:r w:rsidRPr="00FC7ACA">
        <w:t>set the variable charge at</w:t>
      </w:r>
      <w:r>
        <w:t xml:space="preserve"> </w:t>
      </w:r>
      <w:r w:rsidRPr="00FC7ACA">
        <w:t>around $1.00</w:t>
      </w:r>
      <w:r w:rsidR="00F907A7">
        <w:t>/kL</w:t>
      </w:r>
      <w:r>
        <w:t>, double the highest short-run marginal cost estimate.</w:t>
      </w:r>
    </w:p>
    <w:p w:rsidR="00461796" w:rsidRDefault="00461796" w:rsidP="00461796">
      <w:pPr>
        <w:pStyle w:val="Heading2"/>
      </w:pPr>
      <w:bookmarkStart w:id="160" w:name="Four_ACT_water_market"/>
      <w:bookmarkStart w:id="161" w:name="_Toc435700169"/>
      <w:bookmarkEnd w:id="160"/>
      <w:r>
        <w:t>The market for water in the ACT</w:t>
      </w:r>
      <w:bookmarkEnd w:id="161"/>
    </w:p>
    <w:p w:rsidR="00461796" w:rsidRDefault="00461796" w:rsidP="00101ADB">
      <w:pPr>
        <w:pStyle w:val="Heading3"/>
      </w:pPr>
      <w:r>
        <w:t>Introduction</w:t>
      </w:r>
    </w:p>
    <w:p w:rsidR="00461796" w:rsidRDefault="00461796" w:rsidP="00461796">
      <w:r w:rsidRPr="00FC1365">
        <w:t>The first step in an economic analysis of the pricing of a good or service is to describe the characteristics of the market for that good or service.</w:t>
      </w:r>
    </w:p>
    <w:p w:rsidR="00461796" w:rsidRDefault="00461796" w:rsidP="00461796">
      <w:r>
        <w:t xml:space="preserve">In its 2008 merger guidelines, the </w:t>
      </w:r>
      <w:r w:rsidR="00F907A7">
        <w:t>Australian Competition and Consumer Commission (</w:t>
      </w:r>
      <w:r>
        <w:t>ACCC</w:t>
      </w:r>
      <w:r w:rsidR="00F907A7">
        <w:t>)</w:t>
      </w:r>
      <w:r>
        <w:t xml:space="preserve"> defines a</w:t>
      </w:r>
      <w:r w:rsidR="006B1EEE">
        <w:t xml:space="preserve"> market as ‘</w:t>
      </w:r>
      <w:r w:rsidRPr="00FC1365">
        <w:t>the product and geographic space in which rivalry and competition take place</w:t>
      </w:r>
      <w:r w:rsidR="006B1EEE">
        <w:t>’</w:t>
      </w:r>
      <w:r>
        <w:t>. In relation to the product dimensio</w:t>
      </w:r>
      <w:r w:rsidR="006B1EEE">
        <w:t>n, the ACCC further notes that ‘</w:t>
      </w:r>
      <w:r w:rsidRPr="00FC1365">
        <w:t>a market includes goods or services that are substitutable for, or otherwise competitive with, the goods or services under analysis</w:t>
      </w:r>
      <w:r w:rsidR="006B1EEE">
        <w:t>’.</w:t>
      </w:r>
      <w:r>
        <w:rPr>
          <w:rStyle w:val="FootnoteReference"/>
        </w:rPr>
        <w:footnoteReference w:id="76"/>
      </w:r>
      <w:r>
        <w:t xml:space="preserve"> The guidelines also consider a range other market characteristics, a number of which are relevant to this review, including concentration and market s</w:t>
      </w:r>
      <w:r w:rsidR="006B1EEE">
        <w:t>hares and vertical integration.</w:t>
      </w:r>
    </w:p>
    <w:p w:rsidR="00461796" w:rsidRDefault="00461796" w:rsidP="00461796">
      <w:r>
        <w:t>The ACCC guidelines provide a useful framework for describing the characteristics of the ACT water market for the purposes of this review. The implications of the defining characteristics of the ACT water market and its regulated monopoly structure are discu</w:t>
      </w:r>
      <w:r w:rsidR="00DC1ED9">
        <w:t>ssed in turn below.</w:t>
      </w:r>
    </w:p>
    <w:p w:rsidR="00461796" w:rsidRDefault="00461796" w:rsidP="00101ADB">
      <w:pPr>
        <w:pStyle w:val="Heading3"/>
      </w:pPr>
      <w:r>
        <w:t>Market characteristics</w:t>
      </w:r>
    </w:p>
    <w:p w:rsidR="00461796" w:rsidRPr="00764FB9" w:rsidRDefault="00461796" w:rsidP="00461796">
      <w:pPr>
        <w:pStyle w:val="Heading4"/>
      </w:pPr>
      <w:r>
        <w:t>Geographic dimension</w:t>
      </w:r>
    </w:p>
    <w:p w:rsidR="00461796" w:rsidRDefault="00461796" w:rsidP="00461796">
      <w:r>
        <w:t>From a geographic perspective, the market for water for the purposes of this tariff review can be defi</w:t>
      </w:r>
      <w:r w:rsidR="00F907A7">
        <w:t>ned by the extent of Icon Water’</w:t>
      </w:r>
      <w:r>
        <w:t>s water supply and delivery network in the ACT. The area can be extended to include Queanbeyan</w:t>
      </w:r>
      <w:r w:rsidR="00F907A7">
        <w:t>,</w:t>
      </w:r>
      <w:r>
        <w:t xml:space="preserve"> as Icon Water also provides a bulk water service to the Queanbeyan City Council.</w:t>
      </w:r>
      <w:r>
        <w:rPr>
          <w:rStyle w:val="FootnoteReference"/>
        </w:rPr>
        <w:footnoteReference w:id="77"/>
      </w:r>
    </w:p>
    <w:p w:rsidR="00461796" w:rsidRDefault="00461796" w:rsidP="00461796">
      <w:r>
        <w:t xml:space="preserve">The schematic in </w:t>
      </w:r>
      <w:fldSimple w:instr=" REF _Ref431891235 \h  \* MERGEFORMAT ">
        <w:r w:rsidR="00E43227" w:rsidRPr="00DB3C19">
          <w:t xml:space="preserve">Figure </w:t>
        </w:r>
        <w:r w:rsidR="00E43227">
          <w:rPr>
            <w:noProof/>
          </w:rPr>
          <w:t>4</w:t>
        </w:r>
        <w:r w:rsidR="00E43227" w:rsidRPr="00DA3207">
          <w:rPr>
            <w:noProof/>
          </w:rPr>
          <w:t>.</w:t>
        </w:r>
        <w:r w:rsidR="00E43227">
          <w:rPr>
            <w:noProof/>
          </w:rPr>
          <w:t>1</w:t>
        </w:r>
      </w:fldSimple>
      <w:r>
        <w:t xml:space="preserve"> illustrates the k</w:t>
      </w:r>
      <w:r w:rsidR="006B1EEE">
        <w:t>ey components of the Icon Water’</w:t>
      </w:r>
      <w:r>
        <w:t>s water and sewerage network in the ACT and across the border into New South Wales.</w:t>
      </w:r>
    </w:p>
    <w:p w:rsidR="00461796" w:rsidRPr="00DA3207" w:rsidRDefault="00461796" w:rsidP="00461796">
      <w:pPr>
        <w:pStyle w:val="FigureName"/>
        <w:keepNext/>
      </w:pPr>
      <w:bookmarkStart w:id="162" w:name="_Ref431891235"/>
      <w:bookmarkStart w:id="163" w:name="_Toc435700195"/>
      <w:r w:rsidRPr="00DB3C19">
        <w:t xml:space="preserve">Figure </w:t>
      </w:r>
      <w:r w:rsidR="00A7215E">
        <w:fldChar w:fldCharType="begin"/>
      </w:r>
      <w:r>
        <w:instrText xml:space="preserve"> STYLEREF 1 \s </w:instrText>
      </w:r>
      <w:r w:rsidR="00A7215E">
        <w:fldChar w:fldCharType="separate"/>
      </w:r>
      <w:r w:rsidR="00E43227">
        <w:rPr>
          <w:noProof/>
        </w:rPr>
        <w:t>4</w:t>
      </w:r>
      <w:r w:rsidR="00A7215E">
        <w:fldChar w:fldCharType="end"/>
      </w:r>
      <w:r w:rsidRPr="00DA3207">
        <w:t>.</w:t>
      </w:r>
      <w:r w:rsidR="00A7215E" w:rsidRPr="00DA3207">
        <w:fldChar w:fldCharType="begin"/>
      </w:r>
      <w:r w:rsidRPr="00DA3207">
        <w:instrText xml:space="preserve"> SEQ Figure \* ARABIC \s 1 </w:instrText>
      </w:r>
      <w:r w:rsidR="00A7215E" w:rsidRPr="00DA3207">
        <w:fldChar w:fldCharType="separate"/>
      </w:r>
      <w:r w:rsidR="00E43227">
        <w:rPr>
          <w:noProof/>
        </w:rPr>
        <w:t>1</w:t>
      </w:r>
      <w:r w:rsidR="00A7215E" w:rsidRPr="00DA3207">
        <w:fldChar w:fldCharType="end"/>
      </w:r>
      <w:bookmarkEnd w:id="162"/>
      <w:r w:rsidRPr="00DA3207">
        <w:tab/>
      </w:r>
      <w:r>
        <w:t>ACT water and sewerage network</w:t>
      </w:r>
      <w:bookmarkEnd w:id="163"/>
    </w:p>
    <w:p w:rsidR="00461796" w:rsidRPr="00DA3207" w:rsidRDefault="00461796" w:rsidP="00461796">
      <w:pPr>
        <w:keepNext/>
      </w:pPr>
      <w:r w:rsidRPr="00492403">
        <w:rPr>
          <w:noProof/>
          <w:lang w:val="en-AU" w:eastAsia="en-AU"/>
        </w:rPr>
        <w:drawing>
          <wp:inline distT="0" distB="0" distL="0" distR="0">
            <wp:extent cx="4896485" cy="3691489"/>
            <wp:effectExtent l="19050" t="19050" r="18415" b="23261"/>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a:stretch>
                      <a:fillRect/>
                    </a:stretch>
                  </pic:blipFill>
                  <pic:spPr bwMode="auto">
                    <a:xfrm>
                      <a:off x="0" y="0"/>
                      <a:ext cx="4896485" cy="3691489"/>
                    </a:xfrm>
                    <a:prstGeom prst="rect">
                      <a:avLst/>
                    </a:prstGeom>
                    <a:noFill/>
                    <a:ln w="9525">
                      <a:solidFill>
                        <a:schemeClr val="bg1">
                          <a:lumMod val="50000"/>
                        </a:schemeClr>
                      </a:solidFill>
                      <a:miter lim="800000"/>
                      <a:headEnd/>
                      <a:tailEnd/>
                    </a:ln>
                  </pic:spPr>
                </pic:pic>
              </a:graphicData>
            </a:graphic>
          </wp:inline>
        </w:drawing>
      </w:r>
    </w:p>
    <w:p w:rsidR="00F907A7" w:rsidRDefault="00F907A7" w:rsidP="00F907A7">
      <w:pPr>
        <w:pStyle w:val="TableNotesLast"/>
        <w:keepLines w:val="0"/>
        <w:spacing w:after="0"/>
      </w:pPr>
      <w:r>
        <w:t>CIUW = Canberra Integrated Urban Waterways</w:t>
      </w:r>
    </w:p>
    <w:p w:rsidR="00F907A7" w:rsidRPr="00F907A7" w:rsidRDefault="00F907A7" w:rsidP="00F907A7">
      <w:pPr>
        <w:pStyle w:val="TableNotesLast"/>
        <w:keepLines w:val="0"/>
        <w:spacing w:after="0"/>
      </w:pPr>
      <w:r>
        <w:t xml:space="preserve">LMWQCC = </w:t>
      </w:r>
      <w:r w:rsidRPr="00F907A7">
        <w:t>Lower Molonglo Water Quality Control Centre</w:t>
      </w:r>
    </w:p>
    <w:p w:rsidR="00461796" w:rsidRPr="00DA3207" w:rsidRDefault="00461796" w:rsidP="00F907A7">
      <w:pPr>
        <w:pStyle w:val="TableNotesLast"/>
        <w:keepLines w:val="0"/>
      </w:pPr>
      <w:r>
        <w:t>Source:</w:t>
      </w:r>
      <w:r w:rsidRPr="00DA3207">
        <w:tab/>
        <w:t>Commission.</w:t>
      </w:r>
    </w:p>
    <w:p w:rsidR="00461796" w:rsidRDefault="00461796" w:rsidP="00461796">
      <w:pPr>
        <w:pStyle w:val="Heading4"/>
      </w:pPr>
      <w:r>
        <w:t>Product dimension</w:t>
      </w:r>
    </w:p>
    <w:p w:rsidR="00461796" w:rsidRDefault="00461796" w:rsidP="00461796">
      <w:r>
        <w:t>In terms of the water product or service being provided, the ACT water market can be split into primary and secondary water services.</w:t>
      </w:r>
    </w:p>
    <w:p w:rsidR="00461796" w:rsidRPr="002C5A28" w:rsidRDefault="00461796" w:rsidP="00461796">
      <w:r>
        <w:t xml:space="preserve">Primary water </w:t>
      </w:r>
      <w:r w:rsidRPr="00D84212">
        <w:t xml:space="preserve">is potable water provided through </w:t>
      </w:r>
      <w:r w:rsidR="00E4687D">
        <w:t>Icon Water’</w:t>
      </w:r>
      <w:r>
        <w:t xml:space="preserve">s </w:t>
      </w:r>
      <w:r w:rsidRPr="00D84212">
        <w:t>reticulat</w:t>
      </w:r>
      <w:r>
        <w:t>ed water s</w:t>
      </w:r>
      <w:r w:rsidRPr="002C5A28">
        <w:t>upply network.</w:t>
      </w:r>
      <w:r>
        <w:t xml:space="preserve"> </w:t>
      </w:r>
      <w:r w:rsidRPr="0021761F">
        <w:t>Potable water is water suitable for human consumption (alternatively termed drinking water) as defined by standards established by the National Healt</w:t>
      </w:r>
      <w:r w:rsidR="006B1EEE">
        <w:t>h and Medical Research Council.</w:t>
      </w:r>
    </w:p>
    <w:p w:rsidR="00461796" w:rsidRDefault="00461796" w:rsidP="00461796">
      <w:r w:rsidRPr="002C5A28">
        <w:t>Secondary water is water provided from a</w:t>
      </w:r>
      <w:r w:rsidR="00E4687D">
        <w:t>ny source other than Icon Water’</w:t>
      </w:r>
      <w:r w:rsidRPr="002C5A28">
        <w:t>s primary water network. It includes water sourced from wastewater (such as tre</w:t>
      </w:r>
      <w:r w:rsidRPr="00D84212">
        <w:t>ated effluent from a water treatment plant and greywater from bathrooms and laundr</w:t>
      </w:r>
      <w:r>
        <w:t>ies), stormwater and rainwater. All secondary water currently available in the ACT is non-potable as none of it meets the required standards for human consumption.</w:t>
      </w:r>
    </w:p>
    <w:p w:rsidR="00461796" w:rsidRDefault="00461796" w:rsidP="00461796">
      <w:r>
        <w:t>A good or service that satisfies the same needs as another good or service is known as a substitute. Generally, two goods are substitutes if the quantity demanded of one is positively related to the price of the other.</w:t>
      </w:r>
      <w:r>
        <w:rPr>
          <w:rStyle w:val="FootnoteReference"/>
        </w:rPr>
        <w:footnoteReference w:id="78"/>
      </w:r>
    </w:p>
    <w:p w:rsidR="00461796" w:rsidRDefault="00461796" w:rsidP="00461796">
      <w:r>
        <w:t>Primary water is used for drinking purposes, other indoor uses such as bathing, toilet flushing and dish and clothes washing, and outdoor uses such as garden irrigation. Secondary water is non-potable and therefore mainly used for outdoor irrigation purposes. Therefore, for the purposes of the tariff review, secondary water can be considered a demand-side substitute for the outdoor usage of primary water. That is, the higher the primary water price, the greater the demand for secondary water for irrigation purposes.</w:t>
      </w:r>
    </w:p>
    <w:p w:rsidR="00461796" w:rsidRDefault="00461796" w:rsidP="00461796">
      <w:pPr>
        <w:pStyle w:val="Heading4"/>
      </w:pPr>
      <w:bookmarkStart w:id="164" w:name="Four_monopoly_struct"/>
      <w:bookmarkEnd w:id="164"/>
      <w:r>
        <w:t>Monopoly structure</w:t>
      </w:r>
    </w:p>
    <w:p w:rsidR="00461796" w:rsidRDefault="00461796" w:rsidP="00461796">
      <w:r>
        <w:t>The other key market characteristic is that the market for potable or primary water in the ACT is a regulated monopoly market. The industry is in the hands of a single regulated firm, Icon Water. In addition, Icon Water is a vertically integrated water business that provides both bulk water and retail services to the ACT community. There are a number of implications for the tariff review process that flow in particular from the regulated monopoly structure of the water market.</w:t>
      </w:r>
    </w:p>
    <w:p w:rsidR="00461796" w:rsidRDefault="00461796" w:rsidP="00461796">
      <w:r>
        <w:t>The first is that, under the current regulatory model, water prices are set well before the level of water demand is known. The Commission applies a typical or average-year approach to forecasting demand</w:t>
      </w:r>
      <w:r w:rsidR="00E04CEF">
        <w:t>,</w:t>
      </w:r>
      <w:r>
        <w:t xml:space="preserve"> which </w:t>
      </w:r>
      <w:r w:rsidRPr="00E13D4A">
        <w:t>assumes that the quantity of water demanded will be equal to the amount demanded under typical climate conditions</w:t>
      </w:r>
      <w:r>
        <w:t xml:space="preserve">. Actual demand will of course </w:t>
      </w:r>
      <w:r w:rsidRPr="00E13D4A">
        <w:t>vary considerably from year to year</w:t>
      </w:r>
      <w:r>
        <w:t xml:space="preserve"> depending on actual</w:t>
      </w:r>
      <w:r w:rsidRPr="00E13D4A">
        <w:t xml:space="preserve"> </w:t>
      </w:r>
      <w:r>
        <w:t>weather</w:t>
      </w:r>
      <w:r w:rsidRPr="00E13D4A">
        <w:t xml:space="preserve"> conditions. </w:t>
      </w:r>
      <w:r w:rsidRPr="003F33E6">
        <w:t xml:space="preserve">Prices are set before demand is known and there is no market mechanism to adjust prices based on changes in demand due to external factors such as </w:t>
      </w:r>
      <w:r>
        <w:t>unseasonal heat or rain</w:t>
      </w:r>
      <w:r w:rsidRPr="003F33E6">
        <w:t xml:space="preserve">. </w:t>
      </w:r>
      <w:r>
        <w:t>This contrasts with, for example, the</w:t>
      </w:r>
      <w:r w:rsidRPr="003F33E6">
        <w:t xml:space="preserve"> price of petrol</w:t>
      </w:r>
      <w:r w:rsidR="00E04CEF">
        <w:t>,</w:t>
      </w:r>
      <w:r w:rsidRPr="003F33E6">
        <w:t xml:space="preserve"> </w:t>
      </w:r>
      <w:r>
        <w:t xml:space="preserve">which </w:t>
      </w:r>
      <w:r w:rsidRPr="003F33E6">
        <w:t>varies more frequently in response to changes in worldwide and local supply and demand factors.</w:t>
      </w:r>
    </w:p>
    <w:p w:rsidR="00461796" w:rsidRDefault="00461796" w:rsidP="00461796">
      <w:r>
        <w:t>Second, o</w:t>
      </w:r>
      <w:r w:rsidRPr="0041071B">
        <w:t>n the supply side of the market, the cost of water, or more importantly the marginal cost of water, is potentially unknown at the time when prices are determined. In the ACT, water sourced from the Googong Dam has a different average and marginal cost than water sourced from the Cotter Dam and this is different from the cost of obtain</w:t>
      </w:r>
      <w:r>
        <w:t>ing water from the Bendora Dam.</w:t>
      </w:r>
    </w:p>
    <w:p w:rsidR="00461796" w:rsidRDefault="00461796" w:rsidP="00461796">
      <w:r>
        <w:t xml:space="preserve">The third implication relates to the monopoly structure of the water market and the use of a two-part tariff (discussed in section </w:t>
      </w:r>
      <w:fldSimple w:instr=" REF _Ref431910934 \r \h  \* MERGEFORMAT ">
        <w:r w:rsidR="00E43227">
          <w:t>3.3.1</w:t>
        </w:r>
      </w:fldSimple>
      <w:r>
        <w:t>) coupled wi</w:t>
      </w:r>
      <w:r w:rsidR="00DC1ED9">
        <w:t xml:space="preserve">th a quarterly billing system. </w:t>
      </w:r>
      <w:r>
        <w:t>While economic theory generally assumes that consumers respond to marginal prices when making economic choices, e</w:t>
      </w:r>
      <w:r w:rsidRPr="007E3549">
        <w:t xml:space="preserve">mpirical studies of </w:t>
      </w:r>
      <w:r>
        <w:t xml:space="preserve">electricity and water </w:t>
      </w:r>
      <w:r w:rsidRPr="007E3549">
        <w:t>demand have often found that, when faced with multipart tariffs, consumers behave as if they are responding to the average price and not the marginal price.</w:t>
      </w:r>
      <w:r>
        <w:rPr>
          <w:rStyle w:val="FootnoteReference"/>
        </w:rPr>
        <w:footnoteReference w:id="79"/>
      </w:r>
      <w:r w:rsidRPr="00DA396B">
        <w:rPr>
          <w:vertAlign w:val="superscript"/>
        </w:rPr>
        <w:t>,</w:t>
      </w:r>
      <w:r>
        <w:rPr>
          <w:rStyle w:val="FootnoteReference"/>
        </w:rPr>
        <w:footnoteReference w:id="80"/>
      </w:r>
    </w:p>
    <w:p w:rsidR="00461796" w:rsidRDefault="00461796" w:rsidP="00101ADB">
      <w:pPr>
        <w:pStyle w:val="Heading3"/>
      </w:pPr>
      <w:r>
        <w:t>Conclusion</w:t>
      </w:r>
    </w:p>
    <w:p w:rsidR="00461796" w:rsidRDefault="00461796" w:rsidP="00461796">
      <w:r>
        <w:t>T</w:t>
      </w:r>
      <w:r w:rsidRPr="002D4002">
        <w:t xml:space="preserve">he Commission takes the view that careful consideration of the </w:t>
      </w:r>
      <w:r>
        <w:t xml:space="preserve">ACT </w:t>
      </w:r>
      <w:r w:rsidRPr="002D4002">
        <w:t xml:space="preserve">water market, including the regulatory process and any potential government policy considerations, is necessary when considering the structure of tariffs. </w:t>
      </w:r>
      <w:r>
        <w:t>U</w:t>
      </w:r>
      <w:r w:rsidRPr="002D4002">
        <w:t>nless the complexities of the market are understood</w:t>
      </w:r>
      <w:r>
        <w:t>, s</w:t>
      </w:r>
      <w:r w:rsidRPr="002D4002">
        <w:t>tandard</w:t>
      </w:r>
      <w:r>
        <w:t xml:space="preserve"> economic approaches to setting prices may fail to deliver the best outcomes</w:t>
      </w:r>
      <w:r w:rsidRPr="002D4002">
        <w:t xml:space="preserve">. </w:t>
      </w:r>
      <w:r>
        <w:t>For example, i</w:t>
      </w:r>
      <w:r w:rsidRPr="002D4002">
        <w:t xml:space="preserve">f </w:t>
      </w:r>
      <w:r>
        <w:t xml:space="preserve">consumers </w:t>
      </w:r>
      <w:r w:rsidRPr="002D4002">
        <w:t xml:space="preserve">respond not to marginal </w:t>
      </w:r>
      <w:r>
        <w:t xml:space="preserve">costs </w:t>
      </w:r>
      <w:r w:rsidRPr="002D4002">
        <w:t xml:space="preserve">but to average </w:t>
      </w:r>
      <w:r>
        <w:t>costs</w:t>
      </w:r>
      <w:r w:rsidRPr="002D4002">
        <w:t xml:space="preserve">, setting price equal to marginal cost </w:t>
      </w:r>
      <w:r>
        <w:t>may not elicit the anticipated response</w:t>
      </w:r>
      <w:r w:rsidRPr="002D4002">
        <w:t>.</w:t>
      </w:r>
    </w:p>
    <w:p w:rsidR="00461796" w:rsidRDefault="00461796" w:rsidP="00461796">
      <w:r w:rsidRPr="002D4002">
        <w:t xml:space="preserve">In the following discussion, the Commission attempts to </w:t>
      </w:r>
      <w:r>
        <w:t xml:space="preserve">tease out </w:t>
      </w:r>
      <w:r w:rsidRPr="002D4002">
        <w:t xml:space="preserve">some of these complexities </w:t>
      </w:r>
      <w:r>
        <w:t>in more detail.</w:t>
      </w:r>
    </w:p>
    <w:p w:rsidR="00461796" w:rsidRDefault="00461796" w:rsidP="00461796">
      <w:pPr>
        <w:pStyle w:val="Heading2"/>
      </w:pPr>
      <w:bookmarkStart w:id="165" w:name="_Toc435700170"/>
      <w:r>
        <w:t>Theoretical and practical issues</w:t>
      </w:r>
      <w:bookmarkEnd w:id="165"/>
    </w:p>
    <w:p w:rsidR="00461796" w:rsidRDefault="00461796" w:rsidP="00101ADB">
      <w:pPr>
        <w:pStyle w:val="Heading3"/>
      </w:pPr>
      <w:bookmarkStart w:id="166" w:name="Four_MCost"/>
      <w:bookmarkStart w:id="167" w:name="_Ref430855425"/>
      <w:bookmarkStart w:id="168" w:name="_Ref432163289"/>
      <w:bookmarkEnd w:id="166"/>
      <w:r>
        <w:t>Marginal cost pricing</w:t>
      </w:r>
      <w:bookmarkEnd w:id="167"/>
      <w:r>
        <w:t xml:space="preserve"> in a monopoly situation</w:t>
      </w:r>
      <w:bookmarkEnd w:id="168"/>
    </w:p>
    <w:p w:rsidR="00461796" w:rsidRDefault="00461796" w:rsidP="00461796">
      <w:r>
        <w:t xml:space="preserve">As noted in section </w:t>
      </w:r>
      <w:fldSimple w:instr=" REF _Ref431910934 \r \h  \* MERGEFORMAT ">
        <w:r w:rsidR="00E43227">
          <w:t>3.3.1</w:t>
        </w:r>
      </w:fldSimple>
      <w:r>
        <w:t>, marginal cost pricing is a common approach applied when regulating monopoly utility prices as a means to promote the efficient use of utility infrastructure. There are a number of theoretical issues related to marginal cost pricing that have implications for setting water prices for a monopoly utility. These issues are discussed below.</w:t>
      </w:r>
    </w:p>
    <w:p w:rsidR="00461796" w:rsidRDefault="00461796" w:rsidP="00461796">
      <w:pPr>
        <w:pStyle w:val="Heading4"/>
      </w:pPr>
      <w:r>
        <w:t>Benchmarking the socially optimal outcome</w:t>
      </w:r>
    </w:p>
    <w:p w:rsidR="00461796" w:rsidRDefault="00461796" w:rsidP="00461796">
      <w:r>
        <w:t xml:space="preserve">Returning to the economic welfare concept first introduced in Chapter </w:t>
      </w:r>
      <w:r w:rsidR="00A7215E">
        <w:fldChar w:fldCharType="begin"/>
      </w:r>
      <w:r>
        <w:instrText xml:space="preserve"> REF _Ref429472647 \r \h </w:instrText>
      </w:r>
      <w:r w:rsidR="00A7215E">
        <w:fldChar w:fldCharType="separate"/>
      </w:r>
      <w:r w:rsidR="00E43227">
        <w:t>3</w:t>
      </w:r>
      <w:r w:rsidR="00A7215E">
        <w:fldChar w:fldCharType="end"/>
      </w:r>
      <w:r>
        <w:t>, we start with the first fundamental theorem of welfare economics.</w:t>
      </w:r>
    </w:p>
    <w:p w:rsidR="00461796" w:rsidRDefault="00461796" w:rsidP="00461796">
      <w:r>
        <w:t>The first theorem is that when markets are complete, any competitive equilibrium is necessarily Pareto optimal.</w:t>
      </w:r>
      <w:r w:rsidRPr="00ED004E">
        <w:t xml:space="preserve"> </w:t>
      </w:r>
      <w:r>
        <w:t>This theorem is a demonstration of Adam Smith’s ‘invisible hand’ of the market</w:t>
      </w:r>
      <w:r w:rsidR="00E04CEF">
        <w:t>,</w:t>
      </w:r>
      <w:r>
        <w:t xml:space="preserve"> which equates private goals with optimum social outcomes. The first theorem establishes the perfectly competitive case as a benchmark for considering optimal outcomes in market economies, and, perhaps more importantly, for thinking about optimal outcomes in cases of market failure, such as the natural monopoly example. As noted by </w:t>
      </w:r>
      <w:r>
        <w:rPr>
          <w:noProof/>
        </w:rPr>
        <w:t>Mas-Colell et al. (1995)</w:t>
      </w:r>
      <w:r>
        <w:t>:</w:t>
      </w:r>
    </w:p>
    <w:p w:rsidR="00461796" w:rsidRDefault="00461796" w:rsidP="00461796">
      <w:pPr>
        <w:pStyle w:val="Quote"/>
      </w:pPr>
      <w:r>
        <w:t>In particular, any inefficiencies that arise in a market economy, and hence any role for a Pareto-improving intervention, must be traceable to a violation of at least one of the assumptions of this theorem.</w:t>
      </w:r>
      <w:r>
        <w:rPr>
          <w:rStyle w:val="FootnoteReference"/>
        </w:rPr>
        <w:footnoteReference w:id="81"/>
      </w:r>
    </w:p>
    <w:p w:rsidR="00461796" w:rsidRDefault="00461796" w:rsidP="00461796">
      <w:r>
        <w:t>Whil</w:t>
      </w:r>
      <w:r w:rsidR="00995B92">
        <w:t>e,</w:t>
      </w:r>
      <w:r>
        <w:t xml:space="preserve"> in principle, the analysis of Pareto optimal outcomes requires general equilibrium analysis </w:t>
      </w:r>
      <w:r>
        <w:sym w:font="Symbol" w:char="F02D"/>
      </w:r>
      <w:r>
        <w:t xml:space="preserve"> that is</w:t>
      </w:r>
      <w:r w:rsidR="00E04CEF">
        <w:t>,</w:t>
      </w:r>
      <w:r>
        <w:t xml:space="preserve"> simultaneous consideration of the whole economy </w:t>
      </w:r>
      <w:r>
        <w:sym w:font="Symbol" w:char="F02D"/>
      </w:r>
      <w:r>
        <w:t xml:space="preserve"> partial equilibrium analysis allows us to consider equilibrium outcomes in a particular market in isolation from all other markets.</w:t>
      </w:r>
      <w:r>
        <w:rPr>
          <w:rStyle w:val="FootnoteReference"/>
        </w:rPr>
        <w:footnoteReference w:id="82"/>
      </w:r>
      <w:r>
        <w:t xml:space="preserve"> It also allows us to apply the concept of Marshallian surplus, which conveniently lends itself to graphic representation, as shown by the competitive equilibrium demonstrated in </w:t>
      </w:r>
      <w:r w:rsidR="00A7215E">
        <w:fldChar w:fldCharType="begin"/>
      </w:r>
      <w:r>
        <w:instrText xml:space="preserve"> REF _Ref434494664 \h </w:instrText>
      </w:r>
      <w:r w:rsidR="00A7215E">
        <w:fldChar w:fldCharType="separate"/>
      </w:r>
      <w:r w:rsidR="00E43227" w:rsidRPr="00DB3C19">
        <w:t xml:space="preserve">Figure </w:t>
      </w:r>
      <w:r w:rsidR="00E43227">
        <w:rPr>
          <w:noProof/>
        </w:rPr>
        <w:t>4</w:t>
      </w:r>
      <w:r w:rsidR="00E43227" w:rsidRPr="00721138">
        <w:t>.</w:t>
      </w:r>
      <w:r w:rsidR="00E43227">
        <w:rPr>
          <w:noProof/>
        </w:rPr>
        <w:t>2</w:t>
      </w:r>
      <w:r w:rsidR="00A7215E">
        <w:fldChar w:fldCharType="end"/>
      </w:r>
      <w:r>
        <w:t>.</w:t>
      </w:r>
      <w:r>
        <w:rPr>
          <w:rStyle w:val="FootnoteReference"/>
        </w:rPr>
        <w:footnoteReference w:id="83"/>
      </w:r>
    </w:p>
    <w:p w:rsidR="00461796" w:rsidRPr="00721138" w:rsidRDefault="00461796" w:rsidP="00461796">
      <w:pPr>
        <w:pStyle w:val="FigureName"/>
        <w:keepNext/>
      </w:pPr>
      <w:bookmarkStart w:id="169" w:name="_Ref434494664"/>
      <w:bookmarkStart w:id="170" w:name="_Toc435700196"/>
      <w:r w:rsidRPr="00DB3C19">
        <w:t xml:space="preserve">Figure </w:t>
      </w:r>
      <w:r w:rsidR="00A7215E">
        <w:fldChar w:fldCharType="begin"/>
      </w:r>
      <w:r>
        <w:instrText xml:space="preserve"> STYLEREF 1 \s </w:instrText>
      </w:r>
      <w:r w:rsidR="00A7215E">
        <w:fldChar w:fldCharType="separate"/>
      </w:r>
      <w:r w:rsidR="00E43227">
        <w:rPr>
          <w:noProof/>
        </w:rPr>
        <w:t>4</w:t>
      </w:r>
      <w:r w:rsidR="00A7215E">
        <w:fldChar w:fldCharType="end"/>
      </w:r>
      <w:r w:rsidRPr="00721138">
        <w:t>.</w:t>
      </w:r>
      <w:r w:rsidR="00A7215E" w:rsidRPr="00721138">
        <w:fldChar w:fldCharType="begin"/>
      </w:r>
      <w:r w:rsidRPr="00721138">
        <w:instrText xml:space="preserve"> SEQ Figure \* ARABIC \s 1 </w:instrText>
      </w:r>
      <w:r w:rsidR="00A7215E" w:rsidRPr="00721138">
        <w:fldChar w:fldCharType="separate"/>
      </w:r>
      <w:r w:rsidR="00E43227">
        <w:rPr>
          <w:noProof/>
        </w:rPr>
        <w:t>2</w:t>
      </w:r>
      <w:r w:rsidR="00A7215E" w:rsidRPr="00721138">
        <w:fldChar w:fldCharType="end"/>
      </w:r>
      <w:bookmarkEnd w:id="169"/>
      <w:r w:rsidRPr="00721138">
        <w:tab/>
      </w:r>
      <w:r>
        <w:t>The socially optimal competitive equilibrium</w:t>
      </w:r>
      <w:bookmarkEnd w:id="170"/>
    </w:p>
    <w:p w:rsidR="00461796" w:rsidRPr="00721138" w:rsidRDefault="00461796" w:rsidP="00461796">
      <w:pPr>
        <w:keepNext/>
      </w:pPr>
      <w:r>
        <w:rPr>
          <w:noProof/>
          <w:lang w:val="en-AU" w:eastAsia="en-AU"/>
        </w:rPr>
        <w:drawing>
          <wp:inline distT="0" distB="0" distL="0" distR="0">
            <wp:extent cx="4896485" cy="3347737"/>
            <wp:effectExtent l="19050" t="19050" r="18415" b="24113"/>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srcRect/>
                    <a:stretch>
                      <a:fillRect/>
                    </a:stretch>
                  </pic:blipFill>
                  <pic:spPr bwMode="auto">
                    <a:xfrm>
                      <a:off x="0" y="0"/>
                      <a:ext cx="4896485" cy="3347737"/>
                    </a:xfrm>
                    <a:prstGeom prst="rect">
                      <a:avLst/>
                    </a:prstGeom>
                    <a:noFill/>
                    <a:ln w="9525">
                      <a:solidFill>
                        <a:schemeClr val="bg1">
                          <a:lumMod val="50000"/>
                        </a:schemeClr>
                      </a:solidFill>
                      <a:miter lim="800000"/>
                      <a:headEnd/>
                      <a:tailEnd/>
                    </a:ln>
                  </pic:spPr>
                </pic:pic>
              </a:graphicData>
            </a:graphic>
          </wp:inline>
        </w:drawing>
      </w:r>
    </w:p>
    <w:p w:rsidR="00461796" w:rsidRDefault="00461796" w:rsidP="00461796">
      <w:r>
        <w:t>Consumers’ surplus, the blue</w:t>
      </w:r>
      <w:r w:rsidR="003640DA">
        <w:t>-</w:t>
      </w:r>
      <w:r>
        <w:t>shaded area under the demand curve and above the market price line P</w:t>
      </w:r>
      <w:r w:rsidRPr="008243FF">
        <w:rPr>
          <w:vertAlign w:val="subscript"/>
        </w:rPr>
        <w:t>c</w:t>
      </w:r>
      <w:r>
        <w:t xml:space="preserve">, is the difference between the total value consumers place on the all the units consumed of some good and the total amount they are required </w:t>
      </w:r>
      <w:r w:rsidR="00D742E6">
        <w:t xml:space="preserve">to </w:t>
      </w:r>
      <w:r>
        <w:t>pay for the good.</w:t>
      </w:r>
      <w:r>
        <w:rPr>
          <w:rStyle w:val="FootnoteReference"/>
        </w:rPr>
        <w:footnoteReference w:id="84"/>
      </w:r>
      <w:r>
        <w:t xml:space="preserve"> Producers</w:t>
      </w:r>
      <w:r w:rsidR="00D742E6">
        <w:t>’</w:t>
      </w:r>
      <w:r>
        <w:t xml:space="preserve"> surplus, the pink</w:t>
      </w:r>
      <w:r w:rsidR="003640DA">
        <w:t>-</w:t>
      </w:r>
      <w:r>
        <w:t>shaded area under the price line and above the supply curve, is the difference between the total value of all the units sold of some good at the market price and the total value at the minimum price at which the seller would be prepared to sell the good.</w:t>
      </w:r>
      <w:r>
        <w:rPr>
          <w:rStyle w:val="FootnoteReference"/>
        </w:rPr>
        <w:footnoteReference w:id="85"/>
      </w:r>
      <w:r>
        <w:t xml:space="preserve"> Marshallian aggregate surplus is the sum of the con</w:t>
      </w:r>
      <w:r w:rsidR="006B1EEE">
        <w:t>sumers’ and producers’ surplus.</w:t>
      </w:r>
    </w:p>
    <w:p w:rsidR="00461796" w:rsidRDefault="00461796" w:rsidP="00461796">
      <w:r>
        <w:t xml:space="preserve">In the perfectly competitive case, firms equate marginal cost to price in order to maximise their profits, which produces a market outcome where the demand and supply curves intersect, the point E in </w:t>
      </w:r>
      <w:r w:rsidR="00A7215E">
        <w:fldChar w:fldCharType="begin"/>
      </w:r>
      <w:r>
        <w:instrText xml:space="preserve"> REF _Ref434494664 \h </w:instrText>
      </w:r>
      <w:r w:rsidR="00A7215E">
        <w:fldChar w:fldCharType="separate"/>
      </w:r>
      <w:r w:rsidR="00E43227" w:rsidRPr="00DB3C19">
        <w:t xml:space="preserve">Figure </w:t>
      </w:r>
      <w:r w:rsidR="00E43227">
        <w:rPr>
          <w:noProof/>
        </w:rPr>
        <w:t>4</w:t>
      </w:r>
      <w:r w:rsidR="00E43227" w:rsidRPr="00721138">
        <w:t>.</w:t>
      </w:r>
      <w:r w:rsidR="00E43227">
        <w:rPr>
          <w:noProof/>
        </w:rPr>
        <w:t>2</w:t>
      </w:r>
      <w:r w:rsidR="00A7215E">
        <w:fldChar w:fldCharType="end"/>
      </w:r>
      <w:r>
        <w:t xml:space="preserve">. The Marshallian aggregate surplus is maximised at the same point. Recalling that the socially optimal outcome is the one in which Marshallian aggregate surplus is maximised, </w:t>
      </w:r>
      <w:r>
        <w:rPr>
          <w:rStyle w:val="Italic"/>
        </w:rPr>
        <w:t>i</w:t>
      </w:r>
      <w:r w:rsidRPr="00C43741">
        <w:rPr>
          <w:rStyle w:val="Italic"/>
        </w:rPr>
        <w:t>pso facto</w:t>
      </w:r>
      <w:r>
        <w:t>, the economically efficient outcome achieved by setting price equal to marginal cost is the one which maximises social welfare.</w:t>
      </w:r>
      <w:r>
        <w:rPr>
          <w:rStyle w:val="FootnoteReference"/>
        </w:rPr>
        <w:footnoteReference w:id="86"/>
      </w:r>
    </w:p>
    <w:p w:rsidR="00461796" w:rsidRDefault="00461796" w:rsidP="00461796">
      <w:pPr>
        <w:pStyle w:val="Heading4"/>
      </w:pPr>
      <w:r>
        <w:t>Market failure and deadweight loss</w:t>
      </w:r>
    </w:p>
    <w:p w:rsidR="00461796" w:rsidRDefault="00461796" w:rsidP="00461796">
      <w:r>
        <w:t xml:space="preserve">Natural monopoly is the classic case of a market failure. </w:t>
      </w:r>
      <w:r>
        <w:rPr>
          <w:noProof/>
        </w:rPr>
        <w:t>Train (1991)</w:t>
      </w:r>
      <w:r>
        <w:t xml:space="preserve"> loosely defines a natural monopoly as existing ‘when the costs of production are such that it is less expensive for market demand to be met with one firm than with more than one</w:t>
      </w:r>
      <w:r w:rsidR="00D742E6">
        <w:t>’.</w:t>
      </w:r>
      <w:r>
        <w:rPr>
          <w:rStyle w:val="FootnoteReference"/>
        </w:rPr>
        <w:footnoteReference w:id="87"/>
      </w:r>
      <w:r>
        <w:t xml:space="preserve"> Natural monopolies arise due to economies of scale or scope. The former, in which we are primarily interested here, arises when the average cost of production decreases as output expands </w:t>
      </w:r>
      <w:r>
        <w:sym w:font="Symbol" w:char="F02D"/>
      </w:r>
      <w:r>
        <w:t xml:space="preserve"> that is, the average cost curve slopes downwards up to and perhaps beyond the overall size of the market.</w:t>
      </w:r>
    </w:p>
    <w:p w:rsidR="00461796" w:rsidRDefault="00461796" w:rsidP="00461796">
      <w:r>
        <w:t>The monopoly situation, which req</w:t>
      </w:r>
      <w:r w:rsidR="00D742E6">
        <w:t>uires one firm to achieve least-</w:t>
      </w:r>
      <w:r>
        <w:t xml:space="preserve">cost production and is characterised by market power, violates the first fundamental welfare theorem’s assumption that all agents act as price takers. As such, the market equilibrium will not be Pareto optimal with a resulting welfare loss. This can be demonstrated graphically by recourse once again to Marshallian aggregate surplus, as shown in </w:t>
      </w:r>
      <w:fldSimple w:instr=" REF _Ref431986072 \h  \* MERGEFORMAT ">
        <w:r w:rsidR="00E43227" w:rsidRPr="00DB3C19">
          <w:t xml:space="preserve">Figure </w:t>
        </w:r>
        <w:r w:rsidR="00E43227">
          <w:rPr>
            <w:noProof/>
          </w:rPr>
          <w:t>4</w:t>
        </w:r>
        <w:r w:rsidR="00E43227" w:rsidRPr="00003E12">
          <w:rPr>
            <w:noProof/>
          </w:rPr>
          <w:t>.</w:t>
        </w:r>
        <w:r w:rsidR="00E43227">
          <w:rPr>
            <w:noProof/>
          </w:rPr>
          <w:t>3</w:t>
        </w:r>
      </w:fldSimple>
      <w:r>
        <w:t>.</w:t>
      </w:r>
    </w:p>
    <w:p w:rsidR="00461796" w:rsidRPr="00003E12" w:rsidRDefault="00461796" w:rsidP="00461796">
      <w:pPr>
        <w:pStyle w:val="FigureName"/>
        <w:keepNext/>
      </w:pPr>
      <w:bookmarkStart w:id="171" w:name="_Ref431986072"/>
      <w:bookmarkStart w:id="172" w:name="_Toc435700197"/>
      <w:r w:rsidRPr="00DB3C19">
        <w:t xml:space="preserve">Figure </w:t>
      </w:r>
      <w:r w:rsidR="00A7215E">
        <w:fldChar w:fldCharType="begin"/>
      </w:r>
      <w:r>
        <w:instrText xml:space="preserve"> STYLEREF 1 \s </w:instrText>
      </w:r>
      <w:r w:rsidR="00A7215E">
        <w:fldChar w:fldCharType="separate"/>
      </w:r>
      <w:r w:rsidR="00E43227">
        <w:rPr>
          <w:noProof/>
        </w:rPr>
        <w:t>4</w:t>
      </w:r>
      <w:r w:rsidR="00A7215E">
        <w:fldChar w:fldCharType="end"/>
      </w:r>
      <w:r w:rsidRPr="00003E12">
        <w:t>.</w:t>
      </w:r>
      <w:r w:rsidR="00A7215E" w:rsidRPr="00003E12">
        <w:fldChar w:fldCharType="begin"/>
      </w:r>
      <w:r w:rsidRPr="00003E12">
        <w:instrText xml:space="preserve"> SEQ Figure \* ARABIC \s 1 </w:instrText>
      </w:r>
      <w:r w:rsidR="00A7215E" w:rsidRPr="00003E12">
        <w:fldChar w:fldCharType="separate"/>
      </w:r>
      <w:r w:rsidR="00E43227">
        <w:rPr>
          <w:noProof/>
        </w:rPr>
        <w:t>3</w:t>
      </w:r>
      <w:r w:rsidR="00A7215E" w:rsidRPr="00003E12">
        <w:fldChar w:fldCharType="end"/>
      </w:r>
      <w:bookmarkEnd w:id="171"/>
      <w:r w:rsidRPr="00003E12">
        <w:tab/>
      </w:r>
      <w:r>
        <w:t>Deadweight welfare loss under monopoly</w:t>
      </w:r>
      <w:bookmarkEnd w:id="172"/>
    </w:p>
    <w:p w:rsidR="00461796" w:rsidRDefault="00461796" w:rsidP="00461796">
      <w:pPr>
        <w:keepNext/>
      </w:pPr>
      <w:r>
        <w:rPr>
          <w:noProof/>
          <w:lang w:val="en-AU" w:eastAsia="en-AU"/>
        </w:rPr>
        <w:drawing>
          <wp:inline distT="0" distB="0" distL="0" distR="0">
            <wp:extent cx="3882390" cy="2670175"/>
            <wp:effectExtent l="19050" t="19050" r="22860" b="15875"/>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3882390" cy="2670175"/>
                    </a:xfrm>
                    <a:prstGeom prst="rect">
                      <a:avLst/>
                    </a:prstGeom>
                    <a:noFill/>
                    <a:ln w="9525">
                      <a:solidFill>
                        <a:schemeClr val="bg1">
                          <a:lumMod val="50000"/>
                        </a:schemeClr>
                      </a:solidFill>
                      <a:miter lim="800000"/>
                      <a:headEnd/>
                      <a:tailEnd/>
                    </a:ln>
                  </pic:spPr>
                </pic:pic>
              </a:graphicData>
            </a:graphic>
          </wp:inline>
        </w:drawing>
      </w:r>
      <w:r w:rsidRPr="0006548D" w:rsidDel="0006548D">
        <w:t xml:space="preserve"> </w:t>
      </w:r>
    </w:p>
    <w:p w:rsidR="00461796" w:rsidRDefault="00461796" w:rsidP="00461796">
      <w:r>
        <w:t>Assume we are dealing with a natural monopoly, with a declining average cost curve with a minimum scale beyond market demand. The monopolist maximises profits by producing quantity Q</w:t>
      </w:r>
      <w:r w:rsidRPr="00677A5F">
        <w:rPr>
          <w:vertAlign w:val="subscript"/>
        </w:rPr>
        <w:t>m</w:t>
      </w:r>
      <w:r>
        <w:t xml:space="preserve"> at price P</w:t>
      </w:r>
      <w:r w:rsidRPr="00677A5F">
        <w:rPr>
          <w:vertAlign w:val="subscript"/>
        </w:rPr>
        <w:t>m</w:t>
      </w:r>
      <w:r>
        <w:t xml:space="preserve"> determined by the intersection of its marginal revenue and marginal cost curves. This outcome is not Pareto optimal as the Marshallian surplus is smaller than that attainable with price P</w:t>
      </w:r>
      <w:r w:rsidRPr="00256588">
        <w:rPr>
          <w:vertAlign w:val="subscript"/>
        </w:rPr>
        <w:t>c</w:t>
      </w:r>
      <w:r>
        <w:t>. The difference, referred to as the efficiency or deadweight loss, is equal to the area of the grey-shaded triangle bounded by E</w:t>
      </w:r>
      <w:r w:rsidRPr="00092349">
        <w:rPr>
          <w:vertAlign w:val="subscript"/>
        </w:rPr>
        <w:t>m</w:t>
      </w:r>
      <w:r>
        <w:t>, E</w:t>
      </w:r>
      <w:r w:rsidRPr="00092349">
        <w:rPr>
          <w:vertAlign w:val="subscript"/>
        </w:rPr>
        <w:t>c</w:t>
      </w:r>
      <w:r>
        <w:t xml:space="preserve"> and F.</w:t>
      </w:r>
      <w:r>
        <w:rPr>
          <w:rStyle w:val="FootnoteReference"/>
        </w:rPr>
        <w:footnoteReference w:id="88"/>
      </w:r>
    </w:p>
    <w:p w:rsidR="00461796" w:rsidRDefault="00461796" w:rsidP="00461796">
      <w:r>
        <w:t xml:space="preserve">In the case of a regulated monopoly, the regulator could direct the monopolist to set price equal to marginal cost at </w:t>
      </w:r>
      <w:r w:rsidR="003640DA">
        <w:t>P</w:t>
      </w:r>
      <w:r w:rsidRPr="00256588">
        <w:rPr>
          <w:vertAlign w:val="subscript"/>
        </w:rPr>
        <w:t>c</w:t>
      </w:r>
      <w:r>
        <w:t xml:space="preserve"> in an attempt to ensure a Pareto optimal outcome. The problem facing the regulator is that in many cases, as here, the monopolist is on the falling portion of its average cost curve. This means that its marginal cost is less than its average cost, as depicted by the AC curve in </w:t>
      </w:r>
      <w:fldSimple w:instr=" REF _Ref431986072 \h  \* MERGEFORMAT ">
        <w:r w:rsidR="00E43227" w:rsidRPr="00DB3C19">
          <w:t xml:space="preserve">Figure </w:t>
        </w:r>
        <w:r w:rsidR="00E43227">
          <w:rPr>
            <w:noProof/>
          </w:rPr>
          <w:t>4</w:t>
        </w:r>
        <w:r w:rsidR="00E43227" w:rsidRPr="00003E12">
          <w:rPr>
            <w:noProof/>
          </w:rPr>
          <w:t>.</w:t>
        </w:r>
        <w:r w:rsidR="00E43227">
          <w:rPr>
            <w:noProof/>
          </w:rPr>
          <w:t>3</w:t>
        </w:r>
      </w:fldSimple>
      <w:r>
        <w:t>. Such a direction from the regulator will result in the monopolist not recovering enough revenue to cover its total costs</w:t>
      </w:r>
      <w:r w:rsidR="003640DA">
        <w:t>,</w:t>
      </w:r>
      <w:r>
        <w:t xml:space="preserve"> leading to an unsustainable financial situation.</w:t>
      </w:r>
    </w:p>
    <w:p w:rsidR="00461796" w:rsidRDefault="00461796" w:rsidP="00461796">
      <w:r>
        <w:t>Directing the monopolist to set prices based on average cost to ensure full cost recovery, with a quantity produced somewhere between Q</w:t>
      </w:r>
      <w:r w:rsidRPr="00256588">
        <w:rPr>
          <w:vertAlign w:val="subscript"/>
        </w:rPr>
        <w:t>m</w:t>
      </w:r>
      <w:r>
        <w:t xml:space="preserve"> and Q</w:t>
      </w:r>
      <w:r w:rsidRPr="00256588">
        <w:rPr>
          <w:vertAlign w:val="subscript"/>
        </w:rPr>
        <w:t>c</w:t>
      </w:r>
      <w:r>
        <w:t xml:space="preserve">, will also result in a suboptimal Pareto outcome. </w:t>
      </w:r>
      <w:r>
        <w:rPr>
          <w:noProof/>
        </w:rPr>
        <w:t>Brown et al. (1992)</w:t>
      </w:r>
      <w:r>
        <w:t xml:space="preserve"> state:</w:t>
      </w:r>
    </w:p>
    <w:p w:rsidR="00461796" w:rsidRDefault="00461796" w:rsidP="00461796">
      <w:pPr>
        <w:pStyle w:val="Quote"/>
      </w:pPr>
      <w:r>
        <w:t>Regulated natural monopolies are usually required to recover losses in the marketplace. Average cost pricing is frequently used, though the resulting allocation has no hope of being Pareto-efficient.</w:t>
      </w:r>
      <w:r>
        <w:rPr>
          <w:rStyle w:val="FootnoteReference"/>
        </w:rPr>
        <w:footnoteReference w:id="89"/>
      </w:r>
    </w:p>
    <w:p w:rsidR="00461796" w:rsidRDefault="00461796" w:rsidP="00461796">
      <w:r>
        <w:t xml:space="preserve">In short, in the monopoly case the first-best Pareto optimal outcome </w:t>
      </w:r>
      <w:r>
        <w:sym w:font="Symbol" w:char="F02D"/>
      </w:r>
      <w:r>
        <w:t xml:space="preserve"> that achieved by setting price equal </w:t>
      </w:r>
      <w:r w:rsidR="00123174">
        <w:t xml:space="preserve">to </w:t>
      </w:r>
      <w:r>
        <w:t xml:space="preserve">marginal cost </w:t>
      </w:r>
      <w:r>
        <w:sym w:font="Symbol" w:char="F02D"/>
      </w:r>
      <w:r>
        <w:t xml:space="preserve"> is infeasible due to the cost recovery constraint. In order to allow cost recovery, the regulator is faced with achieving the second-best outcome. This exercise can be broadly described as maximising social welfare subject to a revenue constraint.</w:t>
      </w:r>
    </w:p>
    <w:p w:rsidR="00461796" w:rsidRDefault="00461796" w:rsidP="00461796">
      <w:pPr>
        <w:pStyle w:val="Heading4"/>
      </w:pPr>
      <w:r>
        <w:t>Two-part tariffs</w:t>
      </w:r>
    </w:p>
    <w:p w:rsidR="00461796" w:rsidRDefault="00461796" w:rsidP="00461796">
      <w:r>
        <w:rPr>
          <w:noProof/>
        </w:rPr>
        <w:t>Coase (1946)</w:t>
      </w:r>
      <w:r>
        <w:t xml:space="preserve"> introduced a tariff structure that employs a connection charge and a single volumetric charge, the latter set at marginal cost. The revenue shortfall is then recovered equally from customers through the connection charge. </w:t>
      </w:r>
      <w:r w:rsidRPr="004D3620">
        <w:t xml:space="preserve">Brown et al. (1992) </w:t>
      </w:r>
      <w:r>
        <w:t xml:space="preserve">and </w:t>
      </w:r>
      <w:r>
        <w:rPr>
          <w:noProof/>
        </w:rPr>
        <w:t>Vohra (1990)</w:t>
      </w:r>
      <w:r>
        <w:t xml:space="preserve"> both </w:t>
      </w:r>
      <w:r w:rsidRPr="004D3620">
        <w:t>con</w:t>
      </w:r>
      <w:r>
        <w:t xml:space="preserve">tend that equilibria under two-part marginal cost pricing are not Pareto optimal, in contrast to the impression left by much of the partial equilibrium literature on two-part tariffs. For example, </w:t>
      </w:r>
      <w:r>
        <w:rPr>
          <w:noProof/>
        </w:rPr>
        <w:t>Brown et al. (1992)</w:t>
      </w:r>
      <w:r>
        <w:t xml:space="preserve"> state:</w:t>
      </w:r>
    </w:p>
    <w:p w:rsidR="00461796" w:rsidRPr="004D3620" w:rsidRDefault="00461796" w:rsidP="00461796">
      <w:pPr>
        <w:pStyle w:val="Quote"/>
      </w:pPr>
      <w:r>
        <w:t>T</w:t>
      </w:r>
      <w:r w:rsidRPr="004D3620">
        <w:t>wo-part marginal cost pricing equilibria are not generally Pareto-efficient.</w:t>
      </w:r>
      <w:r>
        <w:t xml:space="preserve"> This is in contrast to the impression left by much of the partial equilibrium literature on two-part tariffs.</w:t>
      </w:r>
      <w:r>
        <w:rPr>
          <w:rStyle w:val="FootnoteReference"/>
        </w:rPr>
        <w:footnoteReference w:id="90"/>
      </w:r>
    </w:p>
    <w:p w:rsidR="00461796" w:rsidRDefault="00461796" w:rsidP="00461796">
      <w:r>
        <w:t>The two-part tariff structure therefore provides a means to enable regulators to use marginal cost pricing to achieve an outcome that</w:t>
      </w:r>
      <w:r w:rsidR="006630EE">
        <w:t>,</w:t>
      </w:r>
      <w:r>
        <w:t xml:space="preserve"> while not Pareto</w:t>
      </w:r>
      <w:r w:rsidR="00123174">
        <w:t>-</w:t>
      </w:r>
      <w:r>
        <w:t>efficient</w:t>
      </w:r>
      <w:r w:rsidR="006630EE">
        <w:t>,</w:t>
      </w:r>
      <w:r>
        <w:t xml:space="preserve"> is at least second-best. </w:t>
      </w:r>
      <w:r>
        <w:rPr>
          <w:noProof/>
        </w:rPr>
        <w:t>Train (1991)</w:t>
      </w:r>
      <w:r>
        <w:t xml:space="preserve"> states:</w:t>
      </w:r>
    </w:p>
    <w:p w:rsidR="00461796" w:rsidRDefault="00461796" w:rsidP="00461796">
      <w:pPr>
        <w:pStyle w:val="Quote"/>
      </w:pPr>
      <w:r>
        <w:t>Multipart tariffs have important welfare implications. Perhaps the most relevant is the fact that a regulator, by applying an appropriately designed multipart tariff, can induce a natural monopolist to operate closer to the first-best outcome than would be possible with only one price.</w:t>
      </w:r>
      <w:r>
        <w:rPr>
          <w:rStyle w:val="FootnoteReference"/>
        </w:rPr>
        <w:footnoteReference w:id="91"/>
      </w:r>
    </w:p>
    <w:p w:rsidR="00461796" w:rsidRDefault="00461796" w:rsidP="00461796">
      <w:pPr>
        <w:pStyle w:val="Heading4"/>
      </w:pPr>
      <w:r>
        <w:t>Ramsey pricing</w:t>
      </w:r>
    </w:p>
    <w:p w:rsidR="00461796" w:rsidRDefault="00461796" w:rsidP="00461796">
      <w:r>
        <w:t xml:space="preserve">In the case of monopolies that produce more than one good or service or have different prices for customer groups, Ramsey pricing provides an alternative means to recover the revenue shortfall </w:t>
      </w:r>
      <w:r>
        <w:sym w:font="Symbol" w:char="F02D"/>
      </w:r>
      <w:r>
        <w:t xml:space="preserve"> or residual cost </w:t>
      </w:r>
      <w:r>
        <w:sym w:font="Symbol" w:char="F02D"/>
      </w:r>
      <w:r>
        <w:t xml:space="preserve"> associated with pricing at marginal cost. Ramsey pricing, also known as the inverse elasticity rule, deals with the problem of how to set prices to minimise changes in the pattern of demand caused by deviating from marginal cost in order to recover the residual costs.</w:t>
      </w:r>
      <w:r>
        <w:rPr>
          <w:rStyle w:val="FootnoteReference"/>
        </w:rPr>
        <w:footnoteReference w:id="92"/>
      </w:r>
    </w:p>
    <w:p w:rsidR="00461796" w:rsidRDefault="00461796" w:rsidP="00461796">
      <w:r>
        <w:rPr>
          <w:noProof/>
        </w:rPr>
        <w:t>Baumol and Bradford (1970)</w:t>
      </w:r>
      <w:r>
        <w:t xml:space="preserve"> presented the simple rule for setting prices under this approach to minimise price distortions. The rule is that </w:t>
      </w:r>
      <w:r w:rsidRPr="00FB14D6">
        <w:t xml:space="preserve">each price be set so that its percentage deviation from marginal </w:t>
      </w:r>
      <w:r>
        <w:t>c</w:t>
      </w:r>
      <w:r w:rsidRPr="00FB14D6">
        <w:t>ost is inve</w:t>
      </w:r>
      <w:r w:rsidR="006630EE">
        <w:t>rsely proportionate to the item’</w:t>
      </w:r>
      <w:r w:rsidRPr="00FB14D6">
        <w:t>s price elasticity of demand.</w:t>
      </w:r>
      <w:r>
        <w:rPr>
          <w:rStyle w:val="FootnoteReference"/>
        </w:rPr>
        <w:footnoteReference w:id="93"/>
      </w:r>
    </w:p>
    <w:p w:rsidR="00461796" w:rsidRDefault="00461796" w:rsidP="00461796">
      <w:r>
        <w:t xml:space="preserve">Ramsey pricing, somewhat counter-intuitively, involves deliberate price discrimination on the basis of elasticities of demand to </w:t>
      </w:r>
      <w:r w:rsidRPr="00BB1653">
        <w:t xml:space="preserve">allow the </w:t>
      </w:r>
      <w:r>
        <w:t xml:space="preserve">monopoly business </w:t>
      </w:r>
      <w:r w:rsidRPr="00BB1653">
        <w:t xml:space="preserve">to recover residual costs while minimising the </w:t>
      </w:r>
      <w:r>
        <w:t>d</w:t>
      </w:r>
      <w:r w:rsidRPr="00BB1653">
        <w:t>eviations from optimal</w:t>
      </w:r>
      <w:r>
        <w:t xml:space="preserve"> c</w:t>
      </w:r>
      <w:r w:rsidRPr="00BB1653">
        <w:t>onsumption patterns</w:t>
      </w:r>
      <w:r w:rsidR="007B3088">
        <w:t xml:space="preserve"> </w:t>
      </w:r>
      <w:r w:rsidR="007B3088">
        <w:sym w:font="Symbol" w:char="F02D"/>
      </w:r>
      <w:r w:rsidR="007B3088">
        <w:t xml:space="preserve"> that is, those</w:t>
      </w:r>
      <w:r w:rsidR="007B3088" w:rsidRPr="00BB1653">
        <w:t xml:space="preserve"> based on marginal cost pricing</w:t>
      </w:r>
      <w:r w:rsidRPr="00BB1653">
        <w:t>.</w:t>
      </w:r>
      <w:r>
        <w:t xml:space="preserve"> </w:t>
      </w:r>
      <w:r w:rsidRPr="00587AEB">
        <w:t>Customers who are price inelastic are charged a</w:t>
      </w:r>
      <w:r>
        <w:t xml:space="preserve"> </w:t>
      </w:r>
      <w:r w:rsidRPr="00587AEB">
        <w:t xml:space="preserve">higher price than those who are price elastic, </w:t>
      </w:r>
      <w:r>
        <w:t xml:space="preserve">with </w:t>
      </w:r>
      <w:r w:rsidRPr="00587AEB">
        <w:t>more of the residual costs recovered</w:t>
      </w:r>
      <w:r>
        <w:t xml:space="preserve"> </w:t>
      </w:r>
      <w:r w:rsidRPr="00587AEB">
        <w:t>from customers who are price inelastic than from the customers with elastic demand.</w:t>
      </w:r>
    </w:p>
    <w:p w:rsidR="00461796" w:rsidRDefault="00461796" w:rsidP="00461796">
      <w:r>
        <w:rPr>
          <w:noProof/>
        </w:rPr>
        <w:t>The Brattle Group (2014)</w:t>
      </w:r>
      <w:r>
        <w:t xml:space="preserve"> considered the Ramsey pricing approach as part of the A</w:t>
      </w:r>
      <w:r w:rsidR="004F17C7">
        <w:t xml:space="preserve">ustralian </w:t>
      </w:r>
      <w:r>
        <w:t>E</w:t>
      </w:r>
      <w:r w:rsidR="004F17C7">
        <w:t xml:space="preserve">nergy </w:t>
      </w:r>
      <w:r>
        <w:t>M</w:t>
      </w:r>
      <w:r w:rsidR="004F17C7">
        <w:t xml:space="preserve">arket </w:t>
      </w:r>
      <w:r>
        <w:t>C</w:t>
      </w:r>
      <w:r w:rsidR="004F17C7">
        <w:t>ommission</w:t>
      </w:r>
      <w:r>
        <w:t>’s 2014 electricity tariff reform process. They note that in the electricity context, a</w:t>
      </w:r>
      <w:r w:rsidRPr="007A09DF">
        <w:t>t</w:t>
      </w:r>
      <w:r>
        <w:t xml:space="preserve"> </w:t>
      </w:r>
      <w:r w:rsidRPr="007A09DF">
        <w:t xml:space="preserve">the customer class level, Ramsey pricing would suggest that </w:t>
      </w:r>
      <w:r>
        <w:t xml:space="preserve">residential customers </w:t>
      </w:r>
      <w:r w:rsidRPr="007A09DF">
        <w:t>pay a greater proportion</w:t>
      </w:r>
      <w:r>
        <w:t xml:space="preserve"> </w:t>
      </w:r>
      <w:r w:rsidRPr="007A09DF">
        <w:t>of residual costs, and industrial customers a lesser portion, if the former are less price elastic and</w:t>
      </w:r>
      <w:r>
        <w:t xml:space="preserve"> </w:t>
      </w:r>
      <w:r w:rsidRPr="007A09DF">
        <w:t>the latter are more price elastic.</w:t>
      </w:r>
      <w:r>
        <w:t xml:space="preserve"> The Brattle Group also note</w:t>
      </w:r>
      <w:r w:rsidR="004F17C7">
        <w:t>s</w:t>
      </w:r>
      <w:r>
        <w:t xml:space="preserve"> that </w:t>
      </w:r>
      <w:r w:rsidRPr="007A09DF">
        <w:t>Ramsey pricing has</w:t>
      </w:r>
      <w:r>
        <w:t xml:space="preserve"> </w:t>
      </w:r>
      <w:r w:rsidRPr="007A09DF">
        <w:t>rarely been applied, at least not explicitly, for price discrimination across customers in the same</w:t>
      </w:r>
      <w:r>
        <w:t xml:space="preserve"> </w:t>
      </w:r>
      <w:r w:rsidRPr="007A09DF">
        <w:t>class</w:t>
      </w:r>
      <w:r>
        <w:t xml:space="preserve">, for </w:t>
      </w:r>
      <w:r w:rsidRPr="007A09DF">
        <w:t>equity</w:t>
      </w:r>
      <w:r>
        <w:t xml:space="preserve"> reasons:</w:t>
      </w:r>
    </w:p>
    <w:p w:rsidR="00461796" w:rsidRDefault="00461796" w:rsidP="00461796">
      <w:pPr>
        <w:pStyle w:val="Quote"/>
      </w:pPr>
      <w:r w:rsidRPr="007A09DF">
        <w:t>It is often asserted</w:t>
      </w:r>
      <w:r>
        <w:t xml:space="preserve"> </w:t>
      </w:r>
      <w:r w:rsidRPr="007A09DF">
        <w:t>that individuals who are relatively better-off are likely to show a higher elasticity for consuming</w:t>
      </w:r>
      <w:r>
        <w:t xml:space="preserve"> </w:t>
      </w:r>
      <w:r w:rsidRPr="007A09DF">
        <w:t>certain goods such as electricity than individuals who are less well-off, because the better-off</w:t>
      </w:r>
      <w:r>
        <w:t xml:space="preserve"> </w:t>
      </w:r>
      <w:r w:rsidRPr="007A09DF">
        <w:t>customers use some electricity for “luxuries”, whereas the less well-off customers use electricity</w:t>
      </w:r>
      <w:r>
        <w:t xml:space="preserve"> </w:t>
      </w:r>
      <w:r w:rsidRPr="007A09DF">
        <w:t>only for “essential” purposes.</w:t>
      </w:r>
      <w:r>
        <w:rPr>
          <w:rStyle w:val="FootnoteReference"/>
        </w:rPr>
        <w:footnoteReference w:id="94"/>
      </w:r>
    </w:p>
    <w:p w:rsidR="00461796" w:rsidRDefault="00461796" w:rsidP="00461796">
      <w:r>
        <w:t>The Commission is planning to publish a technical paper as part of this review that will estimate the price elasticity of demand for water in the ACT, at the aggregate level and possibly by customer class, data permitting. This should provide useful information to enable further analysis of the practical implications of applying a Ramsey pricing approach in the ACT.</w:t>
      </w:r>
    </w:p>
    <w:p w:rsidR="00461796" w:rsidRDefault="00461796" w:rsidP="00461796">
      <w:pPr>
        <w:pStyle w:val="Heading4"/>
      </w:pPr>
      <w:r>
        <w:t>Short- versus long</w:t>
      </w:r>
      <w:r w:rsidR="004F17C7">
        <w:t>-run marginal cost</w:t>
      </w:r>
    </w:p>
    <w:p w:rsidR="00461796" w:rsidRDefault="00461796" w:rsidP="00461796">
      <w:r w:rsidRPr="00B34407">
        <w:t xml:space="preserve">Another </w:t>
      </w:r>
      <w:r>
        <w:t xml:space="preserve">important </w:t>
      </w:r>
      <w:r w:rsidRPr="00B34407">
        <w:t xml:space="preserve">issue </w:t>
      </w:r>
      <w:r>
        <w:t>when considering a marginal cost pricing approach is whether to set volumetric prices equal to the marginal cost over the short or long</w:t>
      </w:r>
      <w:r w:rsidR="004F17C7">
        <w:t xml:space="preserve"> </w:t>
      </w:r>
      <w:r>
        <w:t>run. Even where it is agreed that price should be set at marginal cost to ensure the economically efficient allocation of resources, there is still the question of whether this should be the short-run or the long-run marginal cost or somewhere in between.</w:t>
      </w:r>
      <w:r>
        <w:rPr>
          <w:rStyle w:val="FootnoteReference"/>
        </w:rPr>
        <w:footnoteReference w:id="95"/>
      </w:r>
    </w:p>
    <w:p w:rsidR="00461796" w:rsidRDefault="00461796" w:rsidP="00461796">
      <w:r w:rsidRPr="00E73437">
        <w:t xml:space="preserve">The difference between </w:t>
      </w:r>
      <w:r>
        <w:t xml:space="preserve">the two </w:t>
      </w:r>
      <w:r w:rsidRPr="00E73437">
        <w:t>is the timeframe applied. Short</w:t>
      </w:r>
      <w:r>
        <w:t>-</w:t>
      </w:r>
      <w:r w:rsidRPr="00E73437">
        <w:t>run marginal cost refers to the incremental cost of producing an additional unit of the good or service when some of the inputs of production are fixed. Long</w:t>
      </w:r>
      <w:r>
        <w:t>-</w:t>
      </w:r>
      <w:r w:rsidRPr="00E73437">
        <w:t>run marginal cost allows for all inputs to be varied. In the short</w:t>
      </w:r>
      <w:r>
        <w:t xml:space="preserve"> </w:t>
      </w:r>
      <w:r w:rsidRPr="00E73437">
        <w:t>run</w:t>
      </w:r>
      <w:r w:rsidR="004F17C7">
        <w:t>,</w:t>
      </w:r>
      <w:r w:rsidRPr="00E73437">
        <w:t xml:space="preserve"> inputs such as the number and size of dams is fixed, while the calculation of long</w:t>
      </w:r>
      <w:r w:rsidR="004F17C7">
        <w:t>-</w:t>
      </w:r>
      <w:r w:rsidRPr="00E73437">
        <w:t>run marginal cost would assume that all inputs</w:t>
      </w:r>
      <w:r w:rsidR="004F17C7">
        <w:t>,</w:t>
      </w:r>
      <w:r w:rsidRPr="00E73437">
        <w:t xml:space="preserve"> including the composition of the dams</w:t>
      </w:r>
      <w:r w:rsidR="004F17C7">
        <w:t>,</w:t>
      </w:r>
      <w:r w:rsidRPr="00E73437">
        <w:t xml:space="preserve"> can be varied.</w:t>
      </w:r>
    </w:p>
    <w:p w:rsidR="00461796" w:rsidRDefault="00461796" w:rsidP="00461796">
      <w:r>
        <w:t>Much economic debate has gone into proving that the two concepts are equivalent when the firm is in an equilibrium state, implying that it is optimal to set prices at long-run marginal cost. For example, Marcel Boiteux advocated this concept for peak-load electricity pricing in France:</w:t>
      </w:r>
    </w:p>
    <w:p w:rsidR="00461796" w:rsidRDefault="00461796" w:rsidP="00461796">
      <w:pPr>
        <w:pStyle w:val="Quote"/>
      </w:pPr>
      <w:r w:rsidRPr="00291975">
        <w:t>Provided</w:t>
      </w:r>
      <w:r>
        <w:t xml:space="preserve"> </w:t>
      </w:r>
      <w:r w:rsidRPr="00291975">
        <w:t>there is an optimal investment policy,</w:t>
      </w:r>
      <w:r>
        <w:t xml:space="preserve"> </w:t>
      </w:r>
      <w:r w:rsidRPr="00291975">
        <w:t>short-term</w:t>
      </w:r>
      <w:r>
        <w:t xml:space="preserve"> </w:t>
      </w:r>
      <w:r w:rsidRPr="00291975">
        <w:t>pricing is also long-term</w:t>
      </w:r>
      <w:r>
        <w:t xml:space="preserve"> </w:t>
      </w:r>
      <w:r w:rsidRPr="00291975">
        <w:t>pricing,</w:t>
      </w:r>
      <w:r>
        <w:t xml:space="preserve"> </w:t>
      </w:r>
      <w:r w:rsidRPr="00291975">
        <w:t>and there is no longer any contradiction</w:t>
      </w:r>
      <w:r>
        <w:t xml:space="preserve"> </w:t>
      </w:r>
      <w:r w:rsidRPr="00291975">
        <w:t>between</w:t>
      </w:r>
      <w:r>
        <w:t xml:space="preserve"> </w:t>
      </w:r>
      <w:r w:rsidRPr="00291975">
        <w:t>the two.</w:t>
      </w:r>
      <w:r>
        <w:rPr>
          <w:rStyle w:val="FootnoteReference"/>
        </w:rPr>
        <w:footnoteReference w:id="96"/>
      </w:r>
    </w:p>
    <w:p w:rsidR="00461796" w:rsidRDefault="00461796" w:rsidP="00461796">
      <w:r>
        <w:t>This view was supported by Ralph Turvey</w:t>
      </w:r>
      <w:r w:rsidR="004F17C7">
        <w:t>,</w:t>
      </w:r>
      <w:r>
        <w:t xml:space="preserve"> who noted:</w:t>
      </w:r>
    </w:p>
    <w:p w:rsidR="00461796" w:rsidRDefault="00461796" w:rsidP="00461796">
      <w:pPr>
        <w:pStyle w:val="Quote"/>
      </w:pPr>
      <w:r w:rsidRPr="00786F5B">
        <w:t xml:space="preserve">If capacity is optimally adjusted to output, the enterprise is on the long-run cost curve and on that short-run cost curve which is </w:t>
      </w:r>
      <w:r>
        <w:t>[</w:t>
      </w:r>
      <w:r w:rsidRPr="00786F5B">
        <w:t>tangential</w:t>
      </w:r>
      <w:r>
        <w:t>]</w:t>
      </w:r>
      <w:r w:rsidRPr="00786F5B">
        <w:t xml:space="preserve"> to it at that point. Hence the two curves have the same slope, that is, marginal short- and long-term costs are equal.</w:t>
      </w:r>
      <w:r>
        <w:rPr>
          <w:rStyle w:val="FootnoteReference"/>
        </w:rPr>
        <w:footnoteReference w:id="97"/>
      </w:r>
    </w:p>
    <w:p w:rsidR="00461796" w:rsidRDefault="00461796" w:rsidP="00461796">
      <w:r w:rsidRPr="00974D85">
        <w:t>Andersson and Bohman (1985)</w:t>
      </w:r>
      <w:r>
        <w:t xml:space="preserve"> argue that the equivalence between short- and long-run marginal costs is only valid in very limited circumstances:</w:t>
      </w:r>
    </w:p>
    <w:p w:rsidR="00461796" w:rsidRPr="009114A3" w:rsidRDefault="00461796" w:rsidP="00461796">
      <w:pPr>
        <w:pStyle w:val="Quote"/>
      </w:pPr>
      <w:r w:rsidRPr="00855018">
        <w:t>The equivalence, however, is valid only under</w:t>
      </w:r>
      <w:r>
        <w:t xml:space="preserve"> </w:t>
      </w:r>
      <w:r w:rsidRPr="00855018">
        <w:t>the very restrictive assumption that the capacity can be varied continuously. This</w:t>
      </w:r>
      <w:r>
        <w:t xml:space="preserve"> </w:t>
      </w:r>
      <w:r w:rsidRPr="00855018">
        <w:t>means that indivisibilities, irreversibilities and durability of investments are</w:t>
      </w:r>
      <w:r>
        <w:t xml:space="preserve"> </w:t>
      </w:r>
      <w:r w:rsidRPr="00855018">
        <w:t>ignored. Where such phenomena exist, as in electricity production and distribution,</w:t>
      </w:r>
      <w:r>
        <w:t xml:space="preserve"> </w:t>
      </w:r>
      <w:r w:rsidRPr="00855018">
        <w:t>pricing according to LRMC is neither theoretically valid nor applicable.</w:t>
      </w:r>
      <w:r>
        <w:rPr>
          <w:rStyle w:val="FootnoteReference"/>
        </w:rPr>
        <w:footnoteReference w:id="98"/>
      </w:r>
    </w:p>
    <w:p w:rsidR="00461796" w:rsidRDefault="00461796" w:rsidP="00461796">
      <w:r>
        <w:rPr>
          <w:noProof/>
        </w:rPr>
        <w:t>Della Valle (1988)</w:t>
      </w:r>
      <w:r>
        <w:t xml:space="preserve"> argues that </w:t>
      </w:r>
      <w:r w:rsidRPr="00907A9E">
        <w:t>economic efficiency is maximi</w:t>
      </w:r>
      <w:r>
        <w:t>s</w:t>
      </w:r>
      <w:r w:rsidRPr="00907A9E">
        <w:t>ed when</w:t>
      </w:r>
      <w:r>
        <w:t xml:space="preserve"> </w:t>
      </w:r>
      <w:r w:rsidRPr="00907A9E">
        <w:t xml:space="preserve">price is set at </w:t>
      </w:r>
      <w:r>
        <w:t xml:space="preserve">short-run marginal cost </w:t>
      </w:r>
      <w:r w:rsidRPr="00907A9E">
        <w:t>at each moment in time</w:t>
      </w:r>
      <w:r>
        <w:t xml:space="preserve"> on the basis that it </w:t>
      </w:r>
      <w:r w:rsidRPr="00907A9E">
        <w:t>is th</w:t>
      </w:r>
      <w:r>
        <w:t xml:space="preserve">is cost </w:t>
      </w:r>
      <w:r w:rsidRPr="00907A9E">
        <w:t>that reflects the actual incremental cost to</w:t>
      </w:r>
      <w:r>
        <w:t xml:space="preserve"> </w:t>
      </w:r>
      <w:r w:rsidRPr="00907A9E">
        <w:t>society imposed by the use of one more unit of output.</w:t>
      </w:r>
      <w:r>
        <w:t xml:space="preserve"> Della Valle adds a word of caution that</w:t>
      </w:r>
      <w:r w:rsidRPr="00907A9E">
        <w:t xml:space="preserve"> pricing at </w:t>
      </w:r>
      <w:r>
        <w:t>short-run marginal cost is likely to</w:t>
      </w:r>
      <w:r w:rsidRPr="00907A9E">
        <w:t xml:space="preserve"> be impractical and</w:t>
      </w:r>
      <w:r>
        <w:t xml:space="preserve"> </w:t>
      </w:r>
      <w:r w:rsidRPr="00907A9E">
        <w:t>expensive</w:t>
      </w:r>
      <w:r w:rsidR="004F17C7">
        <w:t>,</w:t>
      </w:r>
      <w:r>
        <w:t xml:space="preserve"> noting that:</w:t>
      </w:r>
    </w:p>
    <w:p w:rsidR="00461796" w:rsidRDefault="00461796" w:rsidP="00461796">
      <w:pPr>
        <w:pStyle w:val="Quote"/>
      </w:pPr>
      <w:r w:rsidRPr="00907A9E">
        <w:t>For one thing, it varies frequently and may</w:t>
      </w:r>
      <w:r>
        <w:t xml:space="preserve"> </w:t>
      </w:r>
      <w:r w:rsidRPr="00907A9E">
        <w:t>be very difficult to measure. Furthermore, it may lead</w:t>
      </w:r>
      <w:r>
        <w:t xml:space="preserve"> </w:t>
      </w:r>
      <w:r w:rsidRPr="00907A9E">
        <w:t>to under-recovery of costs over time. Thus, the popularity</w:t>
      </w:r>
      <w:r>
        <w:t xml:space="preserve"> </w:t>
      </w:r>
      <w:r w:rsidRPr="00907A9E">
        <w:t xml:space="preserve">of </w:t>
      </w:r>
      <w:r>
        <w:t xml:space="preserve">[long-run marginal cost] </w:t>
      </w:r>
      <w:r w:rsidRPr="00907A9E">
        <w:t>pricing.</w:t>
      </w:r>
      <w:r>
        <w:rPr>
          <w:rStyle w:val="FootnoteReference"/>
        </w:rPr>
        <w:footnoteReference w:id="99"/>
      </w:r>
    </w:p>
    <w:p w:rsidR="00461796" w:rsidRDefault="00461796" w:rsidP="00461796">
      <w:r>
        <w:t>More recently, i</w:t>
      </w:r>
      <w:r w:rsidRPr="00E73437">
        <w:t xml:space="preserve">n the same issue of </w:t>
      </w:r>
      <w:r w:rsidR="00ED236A" w:rsidRPr="00ED236A">
        <w:rPr>
          <w:i/>
        </w:rPr>
        <w:t>Agenda</w:t>
      </w:r>
      <w:r w:rsidRPr="00E73437">
        <w:t>, Dwyer (2006)</w:t>
      </w:r>
      <w:r>
        <w:t xml:space="preserve"> </w:t>
      </w:r>
      <w:r w:rsidRPr="00E73437">
        <w:t>supports setting the volumetric price equal to short-run marginal cost, while in the next article</w:t>
      </w:r>
      <w:r w:rsidR="004F17C7">
        <w:t>,</w:t>
      </w:r>
      <w:r w:rsidRPr="00E73437">
        <w:t xml:space="preserve"> </w:t>
      </w:r>
      <w:r>
        <w:rPr>
          <w:noProof/>
        </w:rPr>
        <w:t>Sibly (2006)</w:t>
      </w:r>
      <w:r>
        <w:t xml:space="preserve"> </w:t>
      </w:r>
      <w:r w:rsidRPr="00E73437">
        <w:t>proposes that price should equal long-run marginal cost.</w:t>
      </w:r>
    </w:p>
    <w:p w:rsidR="00461796" w:rsidRDefault="00461796" w:rsidP="00461796">
      <w:pPr>
        <w:pStyle w:val="Heading4"/>
      </w:pPr>
      <w:r>
        <w:t>Calculating long-run marginal cost</w:t>
      </w:r>
    </w:p>
    <w:p w:rsidR="00461796" w:rsidRDefault="00461796" w:rsidP="00461796">
      <w:r w:rsidRPr="008229A0">
        <w:t xml:space="preserve">Theoretically, </w:t>
      </w:r>
      <w:r>
        <w:t xml:space="preserve">long-run marginal cost </w:t>
      </w:r>
      <w:r w:rsidRPr="008229A0">
        <w:t>is defined as the cost of producing an additional unit when all factors of production (capital and labour) are variable. That is, the least</w:t>
      </w:r>
      <w:r w:rsidR="004F17C7">
        <w:t>-</w:t>
      </w:r>
      <w:r w:rsidRPr="008229A0">
        <w:t>cost combination of inputs able to produce a given level of output when all factors of production may vary.</w:t>
      </w:r>
    </w:p>
    <w:p w:rsidR="00461796" w:rsidRDefault="00461796" w:rsidP="00461796">
      <w:r>
        <w:t xml:space="preserve">Clearly, in the case of a water utility such as Icon Water, it is not practically possible to continuously vary all factors of production given its existing dams and reticulation system and the lumpy nature of new investments. As such, the cost we are dealing with is better termed </w:t>
      </w:r>
      <w:r w:rsidR="004F17C7">
        <w:t>‘long-run incremental cost’</w:t>
      </w:r>
      <w:r>
        <w:t xml:space="preserve"> rather than long-run marginal cost. That is:</w:t>
      </w:r>
    </w:p>
    <w:p w:rsidR="00461796" w:rsidRDefault="00461796" w:rsidP="00461796">
      <w:pPr>
        <w:pStyle w:val="Quote"/>
      </w:pPr>
      <w:r w:rsidRPr="00771C0C">
        <w:t>Incremental cost is defined as the costs that would be incurred by the</w:t>
      </w:r>
      <w:r>
        <w:t xml:space="preserve"> [business]</w:t>
      </w:r>
      <w:r w:rsidRPr="00771C0C">
        <w:t xml:space="preserve"> to meet increasing demand over the long-term given the present</w:t>
      </w:r>
      <w:r>
        <w:t xml:space="preserve"> </w:t>
      </w:r>
      <w:r w:rsidRPr="00771C0C">
        <w:t>capacity.</w:t>
      </w:r>
      <w:r>
        <w:rPr>
          <w:rStyle w:val="FootnoteReference"/>
        </w:rPr>
        <w:footnoteReference w:id="100"/>
      </w:r>
    </w:p>
    <w:p w:rsidR="00461796" w:rsidRDefault="00461796" w:rsidP="00461796">
      <w:r w:rsidRPr="006D4BE5">
        <w:t>Marsden Jacob Associates (2004)</w:t>
      </w:r>
      <w:r>
        <w:t xml:space="preserve">, </w:t>
      </w:r>
      <w:r w:rsidRPr="006D4BE5">
        <w:t>in a paper prepared for the Queensland Competition Authority</w:t>
      </w:r>
      <w:r>
        <w:t xml:space="preserve">, </w:t>
      </w:r>
      <w:r w:rsidRPr="006D4BE5">
        <w:t>d</w:t>
      </w:r>
      <w:r>
        <w:t>escribe the two most common methods of calculating incremental cost for the purposes of setting prices: average incremental cost and marginal incremental cost.</w:t>
      </w:r>
    </w:p>
    <w:p w:rsidR="00461796" w:rsidRDefault="00461796" w:rsidP="00461796">
      <w:r>
        <w:t>Average incremental cost is calculated by:</w:t>
      </w:r>
    </w:p>
    <w:p w:rsidR="00461796" w:rsidRPr="00A22E6C" w:rsidRDefault="00461796" w:rsidP="00461796">
      <w:pPr>
        <w:pStyle w:val="Bullet"/>
      </w:pPr>
      <w:r w:rsidRPr="00A22E6C">
        <w:t>forecasting dem</w:t>
      </w:r>
      <w:r>
        <w:t>and into the foreseeable future;</w:t>
      </w:r>
    </w:p>
    <w:p w:rsidR="00461796" w:rsidRPr="00A22E6C" w:rsidRDefault="00461796" w:rsidP="00461796">
      <w:pPr>
        <w:pStyle w:val="Bullet"/>
      </w:pPr>
      <w:r w:rsidRPr="00A22E6C">
        <w:t>estimating the capital works required to meet this forecast demand</w:t>
      </w:r>
      <w:r>
        <w:t>;</w:t>
      </w:r>
      <w:r w:rsidRPr="00A22E6C">
        <w:t xml:space="preserve"> </w:t>
      </w:r>
    </w:p>
    <w:p w:rsidR="00461796" w:rsidRPr="00A22E6C" w:rsidRDefault="00461796" w:rsidP="00461796">
      <w:pPr>
        <w:pStyle w:val="Bullet"/>
      </w:pPr>
      <w:r w:rsidRPr="00A22E6C">
        <w:t>estimating the cost of these capital works</w:t>
      </w:r>
      <w:r>
        <w:t>; and</w:t>
      </w:r>
    </w:p>
    <w:p w:rsidR="00461796" w:rsidRPr="00A22E6C" w:rsidRDefault="00461796" w:rsidP="00461796">
      <w:pPr>
        <w:pStyle w:val="BulletLast"/>
      </w:pPr>
      <w:r w:rsidRPr="00A22E6C">
        <w:t>calculating the average cost per unit delivered by these capital works in net present value terms.</w:t>
      </w:r>
    </w:p>
    <w:p w:rsidR="00461796" w:rsidRDefault="00461796" w:rsidP="00461796">
      <w:r>
        <w:t>Marginal incremental cost, also known as the Turvey or perturbation method, is calculated by:</w:t>
      </w:r>
    </w:p>
    <w:p w:rsidR="00461796" w:rsidRPr="00A22E6C" w:rsidRDefault="00461796" w:rsidP="00461796">
      <w:pPr>
        <w:pStyle w:val="Bullet"/>
      </w:pPr>
      <w:r w:rsidRPr="00A22E6C">
        <w:t>forecasting dem</w:t>
      </w:r>
      <w:r>
        <w:t>and into the foreseeable future;</w:t>
      </w:r>
    </w:p>
    <w:p w:rsidR="00461796" w:rsidRPr="00A22E6C" w:rsidRDefault="00461796" w:rsidP="00461796">
      <w:pPr>
        <w:pStyle w:val="Bullet"/>
      </w:pPr>
      <w:r w:rsidRPr="00A22E6C">
        <w:t>estimating the capital works required to meet this forecast demand</w:t>
      </w:r>
      <w:r>
        <w:t>;</w:t>
      </w:r>
    </w:p>
    <w:p w:rsidR="00461796" w:rsidRPr="00A22E6C" w:rsidRDefault="00461796" w:rsidP="00461796">
      <w:pPr>
        <w:pStyle w:val="Bullet"/>
      </w:pPr>
      <w:r w:rsidRPr="00A22E6C">
        <w:t>estimating the cost of these capital works</w:t>
      </w:r>
      <w:r>
        <w:t>;</w:t>
      </w:r>
    </w:p>
    <w:p w:rsidR="00461796" w:rsidRPr="00A22E6C" w:rsidRDefault="00461796" w:rsidP="00461796">
      <w:pPr>
        <w:pStyle w:val="Bullet"/>
      </w:pPr>
      <w:r w:rsidRPr="00A22E6C">
        <w:t>adjusting demand upwards by an increment</w:t>
      </w:r>
      <w:r>
        <w:t>;</w:t>
      </w:r>
    </w:p>
    <w:p w:rsidR="00461796" w:rsidRPr="00A22E6C" w:rsidRDefault="00461796" w:rsidP="00461796">
      <w:pPr>
        <w:pStyle w:val="Bullet"/>
      </w:pPr>
      <w:r w:rsidRPr="00A22E6C">
        <w:t>reconsidering the capital works required to meet this adjusted demand</w:t>
      </w:r>
      <w:r>
        <w:t>;</w:t>
      </w:r>
      <w:r w:rsidRPr="00A22E6C">
        <w:t xml:space="preserve"> </w:t>
      </w:r>
      <w:r>
        <w:t>and</w:t>
      </w:r>
    </w:p>
    <w:p w:rsidR="00461796" w:rsidRPr="00A22E6C" w:rsidRDefault="00461796" w:rsidP="00461796">
      <w:pPr>
        <w:pStyle w:val="BulletLast"/>
      </w:pPr>
      <w:r w:rsidRPr="00A22E6C">
        <w:t>calculating the difference in cost between these two demand scenar</w:t>
      </w:r>
      <w:r w:rsidR="001B2CD5">
        <w:t>ios in net present value terms.</w:t>
      </w:r>
    </w:p>
    <w:p w:rsidR="00461796" w:rsidRDefault="00461796" w:rsidP="00461796">
      <w:r w:rsidRPr="006D2879">
        <w:t>M</w:t>
      </w:r>
      <w:r>
        <w:t xml:space="preserve">arginal incremental cost </w:t>
      </w:r>
      <w:r w:rsidRPr="006D2879">
        <w:t xml:space="preserve">is marginal in the sense that it determines a marginal cost increase associated with an incremental increase in demand. This is compared to the average cost of future capital works calculated using the </w:t>
      </w:r>
      <w:r>
        <w:t xml:space="preserve">average incremental cost </w:t>
      </w:r>
      <w:r w:rsidRPr="006D2879">
        <w:t>approach.</w:t>
      </w:r>
    </w:p>
    <w:p w:rsidR="00461796" w:rsidRDefault="00461796" w:rsidP="00461796">
      <w:r>
        <w:t>The A</w:t>
      </w:r>
      <w:r w:rsidR="00D13D9F">
        <w:t xml:space="preserve">ustralian </w:t>
      </w:r>
      <w:r>
        <w:t>E</w:t>
      </w:r>
      <w:r w:rsidR="00D13D9F">
        <w:t xml:space="preserve">nergy </w:t>
      </w:r>
      <w:r>
        <w:t>M</w:t>
      </w:r>
      <w:r w:rsidR="00D13D9F">
        <w:t xml:space="preserve">arket </w:t>
      </w:r>
      <w:r>
        <w:t>C</w:t>
      </w:r>
      <w:r w:rsidR="00D13D9F">
        <w:t>ommission</w:t>
      </w:r>
      <w:r>
        <w:t xml:space="preserve"> also examined this issue in formulating its advice on best practice retail electricity pricing, noting that:</w:t>
      </w:r>
    </w:p>
    <w:p w:rsidR="00461796" w:rsidRDefault="00461796" w:rsidP="00461796">
      <w:pPr>
        <w:pStyle w:val="Quote"/>
      </w:pPr>
      <w:r w:rsidRPr="00D86526">
        <w:t>The average incremental cost method represents a relatively straightforward means of</w:t>
      </w:r>
      <w:r>
        <w:t xml:space="preserve"> </w:t>
      </w:r>
      <w:r w:rsidRPr="00D86526">
        <w:t>estimating the LRMC, but is generally considered to be a less precise method than the</w:t>
      </w:r>
      <w:r>
        <w:t xml:space="preserve"> </w:t>
      </w:r>
      <w:r w:rsidRPr="00D86526">
        <w:t>perturbation method.</w:t>
      </w:r>
      <w:r>
        <w:rPr>
          <w:rStyle w:val="FootnoteReference"/>
        </w:rPr>
        <w:footnoteReference w:id="101"/>
      </w:r>
    </w:p>
    <w:p w:rsidR="00461796" w:rsidRDefault="00461796" w:rsidP="00461796">
      <w:pPr>
        <w:pStyle w:val="Heading4"/>
      </w:pPr>
      <w:r>
        <w:t>Marginal cost pricing and inclining block tariffs</w:t>
      </w:r>
    </w:p>
    <w:p w:rsidR="00461796" w:rsidRPr="00FD6BFB" w:rsidRDefault="00461796" w:rsidP="00461796">
      <w:r>
        <w:t xml:space="preserve">Inclining block tariffs present an </w:t>
      </w:r>
      <w:r w:rsidRPr="00FD6BFB">
        <w:t xml:space="preserve">added complication </w:t>
      </w:r>
      <w:r>
        <w:t xml:space="preserve">for marginal cost pricing. </w:t>
      </w:r>
      <w:r w:rsidRPr="004F2305">
        <w:t xml:space="preserve">An </w:t>
      </w:r>
      <w:r>
        <w:t xml:space="preserve">inclining block tariff </w:t>
      </w:r>
      <w:r w:rsidRPr="004F2305">
        <w:t xml:space="preserve">differs from </w:t>
      </w:r>
      <w:r>
        <w:t>the</w:t>
      </w:r>
      <w:r w:rsidRPr="004F2305">
        <w:t xml:space="preserve"> </w:t>
      </w:r>
      <w:r>
        <w:t xml:space="preserve">simple </w:t>
      </w:r>
      <w:r w:rsidRPr="004F2305">
        <w:t xml:space="preserve">two-part tariff in that there is more than one volumetric rate. Under an </w:t>
      </w:r>
      <w:r>
        <w:t>inclining block structure</w:t>
      </w:r>
      <w:r w:rsidRPr="004F2305">
        <w:t xml:space="preserve">, the volumetric rate increases in a stepped manner as consumption increases. </w:t>
      </w:r>
      <w:r>
        <w:t xml:space="preserve">As discussed in section </w:t>
      </w:r>
      <w:fldSimple w:instr=" REF _Ref429658343 \r \h  \* MERGEFORMAT ">
        <w:r w:rsidR="00E43227">
          <w:t>4.1</w:t>
        </w:r>
      </w:fldSimple>
      <w:r>
        <w:t>, c</w:t>
      </w:r>
      <w:r w:rsidRPr="004F2305">
        <w:t xml:space="preserve">urrent ACT water tariffs are an example of an </w:t>
      </w:r>
      <w:r>
        <w:t>inclining block</w:t>
      </w:r>
      <w:r w:rsidRPr="004F2305">
        <w:t>, where a low</w:t>
      </w:r>
      <w:r>
        <w:t>er</w:t>
      </w:r>
      <w:r w:rsidRPr="004F2305">
        <w:t xml:space="preserve"> price is set for consumption up to </w:t>
      </w:r>
      <w:r>
        <w:t>2</w:t>
      </w:r>
      <w:r w:rsidRPr="004F2305">
        <w:t>00 k</w:t>
      </w:r>
      <w:r>
        <w:t>L</w:t>
      </w:r>
      <w:r w:rsidR="00D13D9F">
        <w:t xml:space="preserve"> per </w:t>
      </w:r>
      <w:r>
        <w:t xml:space="preserve">year and </w:t>
      </w:r>
      <w:r w:rsidRPr="004F2305">
        <w:t xml:space="preserve">higher price is set for consumption </w:t>
      </w:r>
      <w:r w:rsidR="001B2CD5">
        <w:t>above this level.</w:t>
      </w:r>
    </w:p>
    <w:p w:rsidR="00461796" w:rsidRDefault="00461796" w:rsidP="00461796">
      <w:r>
        <w:t>Inclining block tariffs are adopted for a range of reasons, but most often on equity and water conservation grounds. The first consumption block is intended to provide essential water to households at a relatively cheap rate, while the second</w:t>
      </w:r>
      <w:r w:rsidR="00D13D9F">
        <w:t>,</w:t>
      </w:r>
      <w:r>
        <w:t xml:space="preserve"> more expensive block encourages water conservation as the more discretionary consumption increases.</w:t>
      </w:r>
    </w:p>
    <w:p w:rsidR="00461796" w:rsidRDefault="00461796" w:rsidP="00461796">
      <w:r>
        <w:t xml:space="preserve">The difficulty with inclining block tariffs is that the </w:t>
      </w:r>
      <w:r w:rsidRPr="00DA2A5E">
        <w:t>key requirement for economic efficiency</w:t>
      </w:r>
      <w:r>
        <w:t>, which is that</w:t>
      </w:r>
      <w:r w:rsidRPr="00DA2A5E">
        <w:t xml:space="preserve"> the volumetric charge should equal the opportunity cost of water</w:t>
      </w:r>
      <w:r>
        <w:t xml:space="preserve">, implies a single marginal price for water. </w:t>
      </w:r>
      <w:r w:rsidRPr="00DA2A5E">
        <w:t>If two customers are paying for water at different marginal prices due to different levels of consumption</w:t>
      </w:r>
      <w:r>
        <w:t xml:space="preserve"> under an inclining block structure</w:t>
      </w:r>
      <w:r w:rsidRPr="00DA2A5E">
        <w:t>, one of the two prices ca</w:t>
      </w:r>
      <w:r>
        <w:t>nnot be efficient. As such, inclining block tariffs are often criticised for being inefficient.</w:t>
      </w:r>
    </w:p>
    <w:p w:rsidR="00461796" w:rsidRDefault="00461796" w:rsidP="00461796">
      <w:r>
        <w:t xml:space="preserve">The equity argument for inclining block tariffs has also been criticised in the economic literature. </w:t>
      </w:r>
      <w:r>
        <w:rPr>
          <w:noProof/>
        </w:rPr>
        <w:t>Grafton and Ward (2010)</w:t>
      </w:r>
      <w:r>
        <w:t xml:space="preserve"> cite e</w:t>
      </w:r>
      <w:r w:rsidRPr="00517C8C">
        <w:t>mpirical</w:t>
      </w:r>
      <w:r>
        <w:t xml:space="preserve"> </w:t>
      </w:r>
      <w:r w:rsidRPr="00517C8C">
        <w:t xml:space="preserve">studies </w:t>
      </w:r>
      <w:r>
        <w:t xml:space="preserve">that </w:t>
      </w:r>
      <w:r w:rsidRPr="00517C8C">
        <w:t xml:space="preserve">show that the number of people in a household increases water consumption. </w:t>
      </w:r>
      <w:r>
        <w:t>The implication of this is that</w:t>
      </w:r>
      <w:r w:rsidRPr="00517C8C">
        <w:t xml:space="preserve"> an increasing block structure </w:t>
      </w:r>
      <w:r>
        <w:t xml:space="preserve">may </w:t>
      </w:r>
      <w:r w:rsidRPr="00517C8C">
        <w:t>ha</w:t>
      </w:r>
      <w:r>
        <w:t>ve</w:t>
      </w:r>
      <w:r w:rsidRPr="00517C8C">
        <w:t xml:space="preserve"> the unfortunate consequence that large and poor households, who</w:t>
      </w:r>
      <w:r>
        <w:t xml:space="preserve"> </w:t>
      </w:r>
      <w:r w:rsidRPr="00517C8C">
        <w:t>may have little discretionary use about water they can use, may pay a higher price</w:t>
      </w:r>
      <w:r>
        <w:t xml:space="preserve"> </w:t>
      </w:r>
      <w:r w:rsidRPr="00517C8C">
        <w:t>for water than small and high-income households.</w:t>
      </w:r>
    </w:p>
    <w:p w:rsidR="00461796" w:rsidRDefault="00461796" w:rsidP="00461796">
      <w:pPr>
        <w:keepNext/>
      </w:pPr>
      <w:r w:rsidRPr="007B79A9">
        <w:t>The</w:t>
      </w:r>
      <w:r>
        <w:t xml:space="preserve"> Commission is interested in hearing from stakeholders about their vi</w:t>
      </w:r>
      <w:r w:rsidR="001B2CD5">
        <w:t>ews on inclining block tariffs.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hemeFill="accent6" w:themeFillTint="99"/>
        <w:tblLook w:val="00A0"/>
      </w:tblPr>
      <w:tblGrid>
        <w:gridCol w:w="7927"/>
      </w:tblGrid>
      <w:tr w:rsidR="00461796" w:rsidTr="00BC5669">
        <w:tc>
          <w:tcPr>
            <w:tcW w:w="7927" w:type="dxa"/>
            <w:shd w:val="clear" w:color="auto" w:fill="FABF8F" w:themeFill="accent6" w:themeFillTint="99"/>
          </w:tcPr>
          <w:p w:rsidR="00461796" w:rsidRDefault="00461796" w:rsidP="00BC5669">
            <w:pPr>
              <w:keepNext/>
            </w:pPr>
            <w:r w:rsidRPr="00C51D5B">
              <w:rPr>
                <w:rStyle w:val="Bold"/>
              </w:rPr>
              <w:t>Q</w:t>
            </w:r>
            <w:r>
              <w:rPr>
                <w:rStyle w:val="Bold"/>
              </w:rPr>
              <w:t>3</w:t>
            </w:r>
            <w:r w:rsidRPr="00C51D5B">
              <w:rPr>
                <w:rStyle w:val="Bold"/>
              </w:rPr>
              <w:t>:</w:t>
            </w:r>
            <w:r w:rsidRPr="00C51D5B">
              <w:t xml:space="preserve"> </w:t>
            </w:r>
            <w:r>
              <w:t>What is your view on the equity and water conservation benef</w:t>
            </w:r>
            <w:r w:rsidR="001B2CD5">
              <w:t>its of inclining block tariffs?</w:t>
            </w:r>
          </w:p>
        </w:tc>
      </w:tr>
    </w:tbl>
    <w:p w:rsidR="00461796" w:rsidRPr="00FD6BFB" w:rsidRDefault="00461796" w:rsidP="00461796"/>
    <w:p w:rsidR="00461796" w:rsidRDefault="00461796" w:rsidP="00461796">
      <w:pPr>
        <w:pStyle w:val="Heading4"/>
      </w:pPr>
      <w:r>
        <w:t>Do consumers respond to average or marginal prices?</w:t>
      </w:r>
    </w:p>
    <w:p w:rsidR="00461796" w:rsidRDefault="00461796" w:rsidP="00461796">
      <w:r>
        <w:t>As discussed earlier, e</w:t>
      </w:r>
      <w:r w:rsidRPr="003706C9">
        <w:t xml:space="preserve">conomic theory </w:t>
      </w:r>
      <w:r>
        <w:t xml:space="preserve">usually assumes </w:t>
      </w:r>
      <w:r w:rsidRPr="003706C9">
        <w:t xml:space="preserve">that consumers react to marginal </w:t>
      </w:r>
      <w:r>
        <w:t xml:space="preserve">prices </w:t>
      </w:r>
      <w:r w:rsidRPr="003706C9">
        <w:t xml:space="preserve">when making consumption decisions. However, there are a number of characteristics of the water market, including the market in the ACT, that indicate this may not necessarily be the case. These characteristics </w:t>
      </w:r>
      <w:r>
        <w:t xml:space="preserve">include </w:t>
      </w:r>
      <w:r w:rsidRPr="003706C9">
        <w:t>the manner in which water consumption is measured and bills calculated</w:t>
      </w:r>
      <w:r>
        <w:t xml:space="preserve"> and presented to customers</w:t>
      </w:r>
      <w:r w:rsidRPr="003706C9">
        <w:t>.</w:t>
      </w:r>
    </w:p>
    <w:p w:rsidR="00461796" w:rsidRDefault="00461796" w:rsidP="00461796">
      <w:r>
        <w:t>In the ACT</w:t>
      </w:r>
      <w:r w:rsidR="00FF0F39">
        <w:t>,</w:t>
      </w:r>
      <w:r>
        <w:t xml:space="preserve"> </w:t>
      </w:r>
      <w:r w:rsidRPr="00630AC5">
        <w:t>water consumption is measured using accumulation meters. These meters simply record the volume of water used, with customers billed on a quarterly basis. Accumulation meters store no information about when consumption has occurred and are often in inaccessible locations, making it impractical for customers to monitor their own consumption. This results in customers being generally unaware of how much they have consumed. The only time at which customers receive information about their consumption is on receipt of a bill, which typically covers the preceding three-month period. Because water customers are unaware of their level of consumption (and therefore the tier price to which they are exposed), they may be unaware of the price they are being charged.</w:t>
      </w:r>
    </w:p>
    <w:p w:rsidR="00461796" w:rsidRDefault="00461796" w:rsidP="00461796">
      <w:r>
        <w:t>This situation</w:t>
      </w:r>
      <w:r w:rsidRPr="00F261D3">
        <w:t xml:space="preserve"> differs from that which exists for products provided in a competitive market</w:t>
      </w:r>
      <w:r w:rsidR="00FF0F39">
        <w:t xml:space="preserve"> –</w:t>
      </w:r>
      <w:r w:rsidRPr="00F261D3">
        <w:t xml:space="preserve"> for example, petrol. Motorists purchas</w:t>
      </w:r>
      <w:r>
        <w:t>ing</w:t>
      </w:r>
      <w:r w:rsidRPr="00F261D3">
        <w:t xml:space="preserve"> petrol know the price they face in advance and determine their level of consumption based on that knowledge. In that situation</w:t>
      </w:r>
      <w:r w:rsidR="00FF0F39">
        <w:t>,</w:t>
      </w:r>
      <w:r w:rsidRPr="00F261D3">
        <w:t xml:space="preserve"> it is reasonable to consider that consumption decisions are based on an analysis of the marginal price per litre of petrol. However, water customers, who receive their bills after consumption has occurred, may base their future consumption decisions on an analysis of the most recent available information. This would mean that customers may make consumption decisions based on an analysis of average costs calculated from recent bills.</w:t>
      </w:r>
    </w:p>
    <w:p w:rsidR="00461796" w:rsidRDefault="00461796" w:rsidP="00461796">
      <w:r>
        <w:t xml:space="preserve">There have been a number of empirical studies in the economics literature examining the question of whether consumers respond to marginal or average price. </w:t>
      </w:r>
      <w:r>
        <w:rPr>
          <w:noProof/>
        </w:rPr>
        <w:t>Shin (1985)</w:t>
      </w:r>
      <w:r>
        <w:t xml:space="preserve"> examined </w:t>
      </w:r>
      <w:r w:rsidRPr="00D014D7">
        <w:t>residential electricity consumption under a declining block tariff and found that the empirical evidence supported the hypothesis that customers who are not well</w:t>
      </w:r>
      <w:r w:rsidR="00A21435">
        <w:t xml:space="preserve"> </w:t>
      </w:r>
      <w:r w:rsidRPr="00D014D7">
        <w:t>informed respond to perceived average price as opposed to marginal price.</w:t>
      </w:r>
    </w:p>
    <w:p w:rsidR="00461796" w:rsidRPr="007B79A9" w:rsidRDefault="00461796" w:rsidP="00461796">
      <w:r w:rsidRPr="007B79A9">
        <w:t>A later study by</w:t>
      </w:r>
      <w:r>
        <w:t xml:space="preserve"> </w:t>
      </w:r>
      <w:r>
        <w:rPr>
          <w:noProof/>
        </w:rPr>
        <w:t>Nieswiadomy and Molina (1991)</w:t>
      </w:r>
      <w:r w:rsidRPr="007B79A9">
        <w:t xml:space="preserve"> found that residential water customers responded to marginal price when faced with inclining block structures and average price when responding to dec</w:t>
      </w:r>
      <w:r>
        <w:t xml:space="preserve">lining </w:t>
      </w:r>
      <w:r w:rsidRPr="007B79A9">
        <w:t>block structures.</w:t>
      </w:r>
      <w:r>
        <w:t xml:space="preserve"> A</w:t>
      </w:r>
      <w:r w:rsidRPr="007B79A9">
        <w:t xml:space="preserve"> further study by</w:t>
      </w:r>
      <w:r>
        <w:t xml:space="preserve"> </w:t>
      </w:r>
      <w:r>
        <w:rPr>
          <w:noProof/>
        </w:rPr>
        <w:t>Nieswiadomy (1992)</w:t>
      </w:r>
      <w:r w:rsidRPr="007B79A9">
        <w:t>, which among other things investigated the effect of price structure on residential water demand, con</w:t>
      </w:r>
      <w:r>
        <w:t xml:space="preserve">firmed the Shin hypothesis </w:t>
      </w:r>
      <w:r w:rsidRPr="007B79A9">
        <w:t>that customers react more to average price than marginal price.</w:t>
      </w:r>
    </w:p>
    <w:p w:rsidR="00461796" w:rsidRDefault="00461796" w:rsidP="00461796">
      <w:r>
        <w:t>T</w:t>
      </w:r>
      <w:r w:rsidRPr="007B79A9">
        <w:t xml:space="preserve">he mere existence of a debate </w:t>
      </w:r>
      <w:r>
        <w:t xml:space="preserve">about </w:t>
      </w:r>
      <w:r w:rsidRPr="007B79A9">
        <w:t>whether customers respond to marginal or average price has important consequences</w:t>
      </w:r>
      <w:r>
        <w:t>.</w:t>
      </w:r>
      <w:r w:rsidRPr="00D75D07">
        <w:t xml:space="preserve"> </w:t>
      </w:r>
      <w:r>
        <w:t xml:space="preserve">Clearly, if consumers appear not to respond to marginal </w:t>
      </w:r>
      <w:r w:rsidR="00472B9F">
        <w:t>prices</w:t>
      </w:r>
      <w:r w:rsidR="00A21435">
        <w:t>,</w:t>
      </w:r>
      <w:r>
        <w:t xml:space="preserve"> there is limited benefit in setting prices with reference to </w:t>
      </w:r>
      <w:r w:rsidR="00472B9F">
        <w:t>marginal costs</w:t>
      </w:r>
      <w:r>
        <w:t>.</w:t>
      </w:r>
    </w:p>
    <w:p w:rsidR="00461796" w:rsidRPr="00824D6C" w:rsidRDefault="00461796" w:rsidP="00461796">
      <w:r w:rsidRPr="00824D6C">
        <w:t>The implications of this issue for tariff design boil down to the complexity of the tariff structure. The more complex, the less likely that consumers will be able to calculate marginal prices and therefore respond t</w:t>
      </w:r>
      <w:r>
        <w:t xml:space="preserve">o them. For example, all other things being equal, an inclining block structure is more complex </w:t>
      </w:r>
      <w:r w:rsidR="00DC1ED9">
        <w:t>than a single volumetric rate.</w:t>
      </w:r>
    </w:p>
    <w:p w:rsidR="00461796" w:rsidRDefault="00461796" w:rsidP="00461796">
      <w:r w:rsidRPr="007B79A9">
        <w:t>The</w:t>
      </w:r>
      <w:r>
        <w:t xml:space="preserve"> Commission is interested in hearing from Icon Water customers about how current water prices and bills impact the</w:t>
      </w:r>
      <w:r w:rsidR="001B2CD5">
        <w:t>ir water consumption decisions.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hemeFill="accent6" w:themeFillTint="99"/>
        <w:tblLook w:val="00A0"/>
      </w:tblPr>
      <w:tblGrid>
        <w:gridCol w:w="7927"/>
      </w:tblGrid>
      <w:tr w:rsidR="00461796" w:rsidTr="00BC5669">
        <w:tc>
          <w:tcPr>
            <w:tcW w:w="7927" w:type="dxa"/>
            <w:shd w:val="clear" w:color="auto" w:fill="FABF8F" w:themeFill="accent6" w:themeFillTint="99"/>
          </w:tcPr>
          <w:p w:rsidR="00461796" w:rsidRPr="00C51D5B" w:rsidRDefault="00461796" w:rsidP="00BC5669">
            <w:r w:rsidRPr="00C51D5B">
              <w:rPr>
                <w:rStyle w:val="Bold"/>
              </w:rPr>
              <w:t>Q</w:t>
            </w:r>
            <w:r>
              <w:rPr>
                <w:rStyle w:val="Bold"/>
              </w:rPr>
              <w:t>4</w:t>
            </w:r>
            <w:r w:rsidRPr="00C51D5B">
              <w:rPr>
                <w:rStyle w:val="Bold"/>
              </w:rPr>
              <w:t>:</w:t>
            </w:r>
            <w:r w:rsidRPr="00C51D5B">
              <w:t xml:space="preserve"> Do</w:t>
            </w:r>
            <w:r>
              <w:t xml:space="preserve"> you monitor your water use on a more regular basis than your </w:t>
            </w:r>
            <w:r w:rsidR="001B2CD5">
              <w:t>three-</w:t>
            </w:r>
            <w:r>
              <w:t>monthly bill interval</w:t>
            </w:r>
            <w:r w:rsidRPr="00C51D5B">
              <w:t>?</w:t>
            </w:r>
            <w:r>
              <w:t xml:space="preserve"> If yes, are you able to estimate when you are about to trigger the top</w:t>
            </w:r>
            <w:r w:rsidR="00A21435">
              <w:t>-</w:t>
            </w:r>
            <w:r>
              <w:t xml:space="preserve">tier price and does this affect your subsequent </w:t>
            </w:r>
            <w:r w:rsidR="001B2CD5">
              <w:t>water usage?</w:t>
            </w:r>
          </w:p>
        </w:tc>
      </w:tr>
    </w:tbl>
    <w:p w:rsidR="00461796" w:rsidRDefault="00461796" w:rsidP="00461796"/>
    <w:p w:rsidR="00461796" w:rsidRDefault="00461796" w:rsidP="00461796">
      <w:pPr>
        <w:pStyle w:val="Heading4"/>
      </w:pPr>
      <w:r>
        <w:t>Concluding remarks on marginal cost pricing</w:t>
      </w:r>
    </w:p>
    <w:p w:rsidR="00461796" w:rsidRDefault="00461796" w:rsidP="00461796">
      <w:r>
        <w:t>As discussed above, there are a number of theoretical debates and practical issues concerning the application of marginal cost pricing in a regulated monopoly situation. The Commission is planning to publish a technical paper as part of this review that will further explore the short- versus long-run debate and estimate the short- and long-run marginal costs for water in the ACT. This will provide useful information to enable further analysis of the practical imp</w:t>
      </w:r>
      <w:r w:rsidR="00A21435">
        <w:t>lications of setting Icon Water’</w:t>
      </w:r>
      <w:r>
        <w:t>s volumetric water prices with reference to marginal cost.</w:t>
      </w:r>
    </w:p>
    <w:p w:rsidR="00461796" w:rsidRPr="00A06D74" w:rsidRDefault="00461796" w:rsidP="00461796">
      <w:r>
        <w:t>A final word on the practical implications of marginal cost pricing is best left to Nobel Laureate William Vickrey:</w:t>
      </w:r>
    </w:p>
    <w:p w:rsidR="00461796" w:rsidRDefault="00461796" w:rsidP="00461796">
      <w:pPr>
        <w:pStyle w:val="Quote"/>
      </w:pPr>
      <w:r w:rsidRPr="00BE2536">
        <w:t>As a preface to a discussion of the role of marginal cost pricing, it is perhaps well to state explicitly that in common with any other theoretical principle, the principle of marginal cost pricing is not in practice to be followed absolutely and at all events, but is a principle that is to be followed insofar as this is compatible with other desirable objectives, and from which deviations of greater or lesser magnitude are to be desired when conflicting objectives are considered</w:t>
      </w:r>
      <w:r>
        <w:t>.</w:t>
      </w:r>
      <w:r>
        <w:rPr>
          <w:rStyle w:val="FootnoteReference"/>
        </w:rPr>
        <w:footnoteReference w:id="102"/>
      </w:r>
    </w:p>
    <w:p w:rsidR="00461796" w:rsidRDefault="00461796" w:rsidP="00101ADB">
      <w:pPr>
        <w:pStyle w:val="Heading3"/>
      </w:pPr>
      <w:bookmarkStart w:id="173" w:name="Four_demandmgt"/>
      <w:bookmarkStart w:id="174" w:name="_Ref429733215"/>
      <w:bookmarkEnd w:id="173"/>
      <w:r>
        <w:t>Using price to manage demand</w:t>
      </w:r>
      <w:bookmarkEnd w:id="174"/>
    </w:p>
    <w:p w:rsidR="00461796" w:rsidRDefault="00461796" w:rsidP="00461796">
      <w:r>
        <w:t xml:space="preserve">As discussed in Chapter </w:t>
      </w:r>
      <w:fldSimple w:instr=" REF _Ref429472550 \r \h  \* MERGEFORMAT ">
        <w:r w:rsidR="00E43227">
          <w:t>2</w:t>
        </w:r>
      </w:fldSimple>
      <w:r>
        <w:t>, the ACT has primarily relied on supply-side restrictions in the form of temporary water restrictions to reduce water consumption during times of water resource scarcity, such as du</w:t>
      </w:r>
      <w:r w:rsidR="00DC1ED9">
        <w:t xml:space="preserve">ring the Millennium </w:t>
      </w:r>
      <w:r w:rsidR="00390781">
        <w:t>D</w:t>
      </w:r>
      <w:r w:rsidR="00DC1ED9">
        <w:t>rought.</w:t>
      </w:r>
    </w:p>
    <w:p w:rsidR="00461796" w:rsidRDefault="00461796" w:rsidP="00461796">
      <w:pPr>
        <w:pStyle w:val="Heading4"/>
      </w:pPr>
      <w:r>
        <w:t>Quantity rationing</w:t>
      </w:r>
    </w:p>
    <w:p w:rsidR="00461796" w:rsidRDefault="00461796" w:rsidP="00461796">
      <w:r>
        <w:t xml:space="preserve">Water </w:t>
      </w:r>
      <w:r w:rsidRPr="0060374A">
        <w:t xml:space="preserve">restrictions </w:t>
      </w:r>
      <w:r>
        <w:t xml:space="preserve">are </w:t>
      </w:r>
      <w:r w:rsidRPr="0060374A">
        <w:t>a quantity-rationing scheme.</w:t>
      </w:r>
      <w:r>
        <w:t xml:space="preserve"> Q</w:t>
      </w:r>
      <w:r w:rsidRPr="0060374A">
        <w:t xml:space="preserve">uantity rationing is viewed as being economically inefficient because the rationed outcome can result in an allocation where consumers who most value the product or service do not necessarily consume it. The economic inefficiency exists because there are potential gains from trade between consumers, where consumers with low valuations for the product could sell their allocation to consumers with higher valuations, thus making both consumers better off. </w:t>
      </w:r>
      <w:r>
        <w:t>For example, a consumer with a large garden who places a high value on irrigating during a drought might be prepared to purchase water allocation fr</w:t>
      </w:r>
      <w:r w:rsidR="00DC1ED9">
        <w:t>om a consumer without a garden.</w:t>
      </w:r>
    </w:p>
    <w:p w:rsidR="00461796" w:rsidRDefault="00461796" w:rsidP="00461796">
      <w:pPr>
        <w:pStyle w:val="Heading4"/>
      </w:pPr>
      <w:r>
        <w:t>Price rationing</w:t>
      </w:r>
    </w:p>
    <w:p w:rsidR="00461796" w:rsidRDefault="00461796" w:rsidP="00461796">
      <w:r>
        <w:t xml:space="preserve">An </w:t>
      </w:r>
      <w:r w:rsidRPr="00FD4B74">
        <w:t>alternative to quantity rationing is to use price to ration water demand</w:t>
      </w:r>
      <w:r>
        <w:t xml:space="preserve"> by sending price signals to consumers about the scarcity of the water resource</w:t>
      </w:r>
      <w:r w:rsidRPr="00FD4B74">
        <w:t>.</w:t>
      </w:r>
    </w:p>
    <w:p w:rsidR="00461796" w:rsidRPr="0060374A" w:rsidRDefault="00461796" w:rsidP="00461796">
      <w:r>
        <w:t>The economics underpinning this approach is straightforward. Q</w:t>
      </w:r>
      <w:r w:rsidRPr="00703ABB">
        <w:t xml:space="preserve">uantity demanded is inversely </w:t>
      </w:r>
      <w:r>
        <w:t xml:space="preserve">related </w:t>
      </w:r>
      <w:r w:rsidRPr="00703ABB">
        <w:t>to price</w:t>
      </w:r>
      <w:r>
        <w:t xml:space="preserve"> </w:t>
      </w:r>
      <w:r>
        <w:sym w:font="Symbol" w:char="F02D"/>
      </w:r>
      <w:r>
        <w:t xml:space="preserve"> </w:t>
      </w:r>
      <w:r w:rsidRPr="00703ABB">
        <w:t>the higher the price of the product, the less the consumer will demand. If the goal is to limit the quantity demanded, simply raise the price to the level at which demand is reduced to the desired amount.</w:t>
      </w:r>
      <w:r>
        <w:t xml:space="preserve"> Armed with the</w:t>
      </w:r>
      <w:r w:rsidRPr="00FD4B74">
        <w:t xml:space="preserve"> price elasticity of demand for water</w:t>
      </w:r>
      <w:r>
        <w:t>, one can calculate the required change in price to achieve a desired reduction in consumption</w:t>
      </w:r>
      <w:r w:rsidRPr="00FD4B74">
        <w:t>. For example, if a 20</w:t>
      </w:r>
      <w:r>
        <w:t xml:space="preserve"> per cent</w:t>
      </w:r>
      <w:r w:rsidRPr="00FD4B74">
        <w:t xml:space="preserve"> reduction in quantity is the goal and the elasticity of demand is </w:t>
      </w:r>
      <w:r>
        <w:t xml:space="preserve">minus </w:t>
      </w:r>
      <w:r w:rsidRPr="00FD4B74">
        <w:t>0.2, a 100</w:t>
      </w:r>
      <w:r>
        <w:t xml:space="preserve"> per cent</w:t>
      </w:r>
      <w:r w:rsidRPr="00FD4B74">
        <w:t xml:space="preserve"> increase in price would </w:t>
      </w:r>
      <w:r>
        <w:t>be required</w:t>
      </w:r>
      <w:r w:rsidRPr="00FD4B74">
        <w:t>.</w:t>
      </w:r>
    </w:p>
    <w:p w:rsidR="00461796" w:rsidRDefault="00461796" w:rsidP="00461796">
      <w:pPr>
        <w:pStyle w:val="Heading4"/>
      </w:pPr>
      <w:r>
        <w:t>Inclining block approach</w:t>
      </w:r>
    </w:p>
    <w:p w:rsidR="00461796" w:rsidRDefault="00461796" w:rsidP="00461796">
      <w:r>
        <w:t xml:space="preserve">In practice, the inclining block tariff structure has commonly been applied as a general </w:t>
      </w:r>
      <w:r w:rsidR="00DB7888">
        <w:t>means</w:t>
      </w:r>
      <w:r w:rsidR="006B79A8" w:rsidRPr="006B79A8">
        <w:t xml:space="preserve"> </w:t>
      </w:r>
      <w:r w:rsidR="006B79A8">
        <w:t>of using price signals to influence demand</w:t>
      </w:r>
      <w:r>
        <w:t>. In the ACT, the fact that that the second</w:t>
      </w:r>
      <w:r w:rsidR="00DB7888">
        <w:t>-</w:t>
      </w:r>
      <w:r>
        <w:t>tier price is twice that of the first tier is intended to discourage discretionary water consumption above 200 kL</w:t>
      </w:r>
      <w:r w:rsidR="00DB7888">
        <w:t xml:space="preserve"> per </w:t>
      </w:r>
      <w:r>
        <w:t>year.</w:t>
      </w:r>
    </w:p>
    <w:p w:rsidR="00461796" w:rsidRDefault="00461796" w:rsidP="00461796">
      <w:r>
        <w:t xml:space="preserve">However, </w:t>
      </w:r>
      <w:r>
        <w:rPr>
          <w:noProof/>
        </w:rPr>
        <w:t>Grafton and Ward (2010)</w:t>
      </w:r>
      <w:r>
        <w:t xml:space="preserve"> argue that an inclining block structure, because it introduces discontinuities in the price schedule, </w:t>
      </w:r>
      <w:r w:rsidRPr="001A255C">
        <w:t>is</w:t>
      </w:r>
      <w:r w:rsidR="001B2CD5">
        <w:t xml:space="preserve"> ‘</w:t>
      </w:r>
      <w:r>
        <w:t xml:space="preserve">economically inefficient </w:t>
      </w:r>
      <w:r w:rsidRPr="001A255C">
        <w:t>if consumers differ in</w:t>
      </w:r>
      <w:r>
        <w:t xml:space="preserve"> </w:t>
      </w:r>
      <w:r w:rsidRPr="001A255C">
        <w:t>their preferences because it results in households with different marginal benefits of</w:t>
      </w:r>
      <w:r>
        <w:t xml:space="preserve"> </w:t>
      </w:r>
      <w:r w:rsidRPr="001A255C">
        <w:t>water consuming the same volumes of water while facing the same marginal price</w:t>
      </w:r>
      <w:r w:rsidR="001B2CD5">
        <w:t>’</w:t>
      </w:r>
      <w:r w:rsidRPr="001A255C">
        <w:t>.</w:t>
      </w:r>
      <w:r>
        <w:rPr>
          <w:rStyle w:val="FootnoteReference"/>
        </w:rPr>
        <w:footnoteReference w:id="103"/>
      </w:r>
    </w:p>
    <w:p w:rsidR="00461796" w:rsidRDefault="00461796" w:rsidP="00461796">
      <w:r>
        <w:t xml:space="preserve">As noted in section </w:t>
      </w:r>
      <w:fldSimple w:instr=" REF _Ref432747016 \r \h  \* MERGEFORMAT ">
        <w:r w:rsidR="00E43227">
          <w:t>3.3.2</w:t>
        </w:r>
      </w:fldSimple>
      <w:r>
        <w:t xml:space="preserve">, a consequence of the inclining block approach is the need to forecast water sales not only at the aggregate but also at the block sales level. This of course has implications for the level of revenue uncertainty deriving from the forecasting process. As shown in </w:t>
      </w:r>
      <w:fldSimple w:instr=" REF _Ref432747494 \h  \* MERGEFORMAT ">
        <w:r w:rsidR="00E43227" w:rsidRPr="00DB3C19">
          <w:t xml:space="preserve">Figure </w:t>
        </w:r>
        <w:r w:rsidR="00E43227">
          <w:rPr>
            <w:noProof/>
          </w:rPr>
          <w:t>4</w:t>
        </w:r>
        <w:r w:rsidR="00E43227" w:rsidRPr="001D18C8">
          <w:rPr>
            <w:noProof/>
          </w:rPr>
          <w:t>.</w:t>
        </w:r>
        <w:r w:rsidR="00E43227">
          <w:rPr>
            <w:noProof/>
          </w:rPr>
          <w:t>4</w:t>
        </w:r>
      </w:fldSimple>
      <w:r>
        <w:t>, the proportion of tier 1 sales has shown significant variation since the introduction of the two-step structure in 2008</w:t>
      </w:r>
      <w:r>
        <w:sym w:font="Symbol" w:char="F02D"/>
      </w:r>
      <w:r w:rsidR="00DB7888">
        <w:t>09.</w:t>
      </w:r>
    </w:p>
    <w:p w:rsidR="00461796" w:rsidRPr="001D18C8" w:rsidRDefault="00461796" w:rsidP="00461796">
      <w:pPr>
        <w:pStyle w:val="FigureName"/>
        <w:keepNext/>
      </w:pPr>
      <w:bookmarkStart w:id="175" w:name="_Ref432747494"/>
      <w:bookmarkStart w:id="176" w:name="_Toc435700198"/>
      <w:r w:rsidRPr="00DB3C19">
        <w:t xml:space="preserve">Figure </w:t>
      </w:r>
      <w:r w:rsidR="00A7215E">
        <w:fldChar w:fldCharType="begin"/>
      </w:r>
      <w:r>
        <w:instrText xml:space="preserve"> STYLEREF 1 \s </w:instrText>
      </w:r>
      <w:r w:rsidR="00A7215E">
        <w:fldChar w:fldCharType="separate"/>
      </w:r>
      <w:r w:rsidR="00E43227">
        <w:rPr>
          <w:noProof/>
        </w:rPr>
        <w:t>4</w:t>
      </w:r>
      <w:r w:rsidR="00A7215E">
        <w:fldChar w:fldCharType="end"/>
      </w:r>
      <w:r w:rsidRPr="001D18C8">
        <w:t>.</w:t>
      </w:r>
      <w:r w:rsidR="00A7215E" w:rsidRPr="001D18C8">
        <w:fldChar w:fldCharType="begin"/>
      </w:r>
      <w:r w:rsidRPr="001D18C8">
        <w:instrText xml:space="preserve"> SEQ Figure \* ARABIC \s 1 </w:instrText>
      </w:r>
      <w:r w:rsidR="00A7215E" w:rsidRPr="001D18C8">
        <w:fldChar w:fldCharType="separate"/>
      </w:r>
      <w:r w:rsidR="00E43227">
        <w:rPr>
          <w:noProof/>
        </w:rPr>
        <w:t>4</w:t>
      </w:r>
      <w:r w:rsidR="00A7215E" w:rsidRPr="001D18C8">
        <w:fldChar w:fldCharType="end"/>
      </w:r>
      <w:bookmarkEnd w:id="175"/>
      <w:r w:rsidRPr="001D18C8">
        <w:tab/>
      </w:r>
      <w:r>
        <w:t>Icon Water tier 1 proportion of total water sales</w:t>
      </w:r>
      <w:r w:rsidR="000A137C">
        <w:t>, 2008</w:t>
      </w:r>
      <w:r w:rsidR="000A137C">
        <w:sym w:font="Symbol" w:char="F02D"/>
      </w:r>
      <w:r w:rsidR="000A137C">
        <w:t>09 to 2013</w:t>
      </w:r>
      <w:r w:rsidR="000A137C">
        <w:sym w:font="Symbol" w:char="F02D"/>
      </w:r>
      <w:r w:rsidR="000A137C">
        <w:t>14</w:t>
      </w:r>
      <w:bookmarkEnd w:id="176"/>
    </w:p>
    <w:p w:rsidR="00461796" w:rsidRPr="001D18C8" w:rsidRDefault="000A137C" w:rsidP="00461796">
      <w:pPr>
        <w:keepNext/>
      </w:pPr>
      <w:r w:rsidRPr="000A137C">
        <w:rPr>
          <w:noProof/>
          <w:lang w:val="en-AU" w:eastAsia="en-AU"/>
        </w:rPr>
        <w:drawing>
          <wp:inline distT="0" distB="0" distL="0" distR="0">
            <wp:extent cx="4896485" cy="2395097"/>
            <wp:effectExtent l="19050" t="0" r="18415" b="5203"/>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61796" w:rsidRPr="001D18C8" w:rsidRDefault="00461796" w:rsidP="00461796">
      <w:pPr>
        <w:pStyle w:val="TableNotesLast"/>
        <w:keepNext/>
      </w:pPr>
      <w:r>
        <w:t>Source:</w:t>
      </w:r>
      <w:r w:rsidRPr="001D18C8">
        <w:tab/>
      </w:r>
      <w:r>
        <w:t>Icon Water billed consumption data</w:t>
      </w:r>
      <w:r w:rsidRPr="001D18C8">
        <w:t>.</w:t>
      </w:r>
    </w:p>
    <w:p w:rsidR="00461796" w:rsidRDefault="00461796" w:rsidP="00461796">
      <w:pPr>
        <w:pStyle w:val="Heading4"/>
      </w:pPr>
      <w:r>
        <w:t>Scarcity pricing</w:t>
      </w:r>
    </w:p>
    <w:p w:rsidR="00461796" w:rsidRDefault="00461796" w:rsidP="00461796">
      <w:r w:rsidRPr="007873E5">
        <w:t xml:space="preserve">Scarcity or dynamic pricing has been proposed as a more efficient </w:t>
      </w:r>
      <w:r>
        <w:t xml:space="preserve">way to use price </w:t>
      </w:r>
      <w:r w:rsidRPr="007873E5">
        <w:t>to manage demand during times of water scarcity.</w:t>
      </w:r>
      <w:r>
        <w:t xml:space="preserve"> Scarcity pricing, or more precisely administered scarcity pricing (as opposed to market-based), involves a water utility adjusting the volumetric water price in inverse relation to a measure of water scarcity, such as dam levels. </w:t>
      </w:r>
      <w:r w:rsidRPr="00F30C59">
        <w:t>In effect, scarcity pricing involves pricing at the short-run marginal cost</w:t>
      </w:r>
      <w:r>
        <w:t xml:space="preserve"> of the resource. </w:t>
      </w:r>
      <w:r w:rsidR="00F14C2D">
        <w:t xml:space="preserve">The </w:t>
      </w:r>
      <w:r>
        <w:rPr>
          <w:noProof/>
        </w:rPr>
        <w:t>N</w:t>
      </w:r>
      <w:r w:rsidR="00F14C2D">
        <w:rPr>
          <w:noProof/>
        </w:rPr>
        <w:t xml:space="preserve">ational </w:t>
      </w:r>
      <w:r>
        <w:rPr>
          <w:noProof/>
        </w:rPr>
        <w:t>W</w:t>
      </w:r>
      <w:r w:rsidR="00F14C2D">
        <w:rPr>
          <w:noProof/>
        </w:rPr>
        <w:t xml:space="preserve">ater </w:t>
      </w:r>
      <w:r>
        <w:rPr>
          <w:noProof/>
        </w:rPr>
        <w:t>C</w:t>
      </w:r>
      <w:r w:rsidR="00F14C2D">
        <w:rPr>
          <w:noProof/>
        </w:rPr>
        <w:t>ommission</w:t>
      </w:r>
      <w:r>
        <w:rPr>
          <w:noProof/>
        </w:rPr>
        <w:t xml:space="preserve"> (2011a)</w:t>
      </w:r>
      <w:r>
        <w:t xml:space="preserve"> define</w:t>
      </w:r>
      <w:r w:rsidR="00DC1ED9">
        <w:t xml:space="preserve"> scarcity pricing as follows:</w:t>
      </w:r>
    </w:p>
    <w:p w:rsidR="00461796" w:rsidRDefault="00461796" w:rsidP="00461796">
      <w:pPr>
        <w:pStyle w:val="Quote"/>
      </w:pPr>
      <w:r w:rsidRPr="007E32A6">
        <w:t>A scarcity-based pricing approach is one that seeks to set urban water prices to reflect the scarcity value expected during the relevant period such that available supply would be rationed on the basis of the willingness to pay its scarcity value (rather than through water use restrictions).</w:t>
      </w:r>
      <w:r>
        <w:rPr>
          <w:rStyle w:val="FootnoteReference"/>
        </w:rPr>
        <w:footnoteReference w:id="104"/>
      </w:r>
    </w:p>
    <w:p w:rsidR="00461796" w:rsidRDefault="00461796" w:rsidP="00461796">
      <w:r>
        <w:t>In addition to sending signals about the value of the water resource itself, scarcity pricing has the added benefit of sending a signal that the next supply augmentation may cause a sharp increase in price.</w:t>
      </w:r>
    </w:p>
    <w:p w:rsidR="00461796" w:rsidRDefault="00461796" w:rsidP="00461796">
      <w:r w:rsidRPr="000C04B3">
        <w:t>Grafton and Ward (2010), using data from Sydney, show that using supply-inflexible volumetric</w:t>
      </w:r>
      <w:r>
        <w:t xml:space="preserve"> </w:t>
      </w:r>
      <w:r w:rsidRPr="000C04B3">
        <w:t>water pricing generates large welfare losses in excess of the annual average</w:t>
      </w:r>
      <w:r>
        <w:t xml:space="preserve"> </w:t>
      </w:r>
      <w:r w:rsidRPr="000C04B3">
        <w:t>household water bill</w:t>
      </w:r>
      <w:r w:rsidR="00F14C2D">
        <w:t>,</w:t>
      </w:r>
      <w:r>
        <w:t xml:space="preserve"> which they attribute to </w:t>
      </w:r>
      <w:r w:rsidRPr="000C04B3">
        <w:t>water restrictions</w:t>
      </w:r>
      <w:r>
        <w:t xml:space="preserve"> and </w:t>
      </w:r>
      <w:r w:rsidRPr="000C04B3">
        <w:t>premature supply augmentation</w:t>
      </w:r>
      <w:r>
        <w:t>. Grafton an</w:t>
      </w:r>
      <w:r w:rsidR="00DC1ED9">
        <w:t>d Ward argue that these losses ‘</w:t>
      </w:r>
      <w:r w:rsidRPr="000C04B3">
        <w:t>could be avoided if dynamically</w:t>
      </w:r>
      <w:r>
        <w:t xml:space="preserve"> </w:t>
      </w:r>
      <w:r w:rsidRPr="000C04B3">
        <w:t>efficient volumetric pricing were to be adopted by price regulators or water utilities</w:t>
      </w:r>
      <w:r>
        <w:t xml:space="preserve"> </w:t>
      </w:r>
      <w:r w:rsidRPr="000C04B3">
        <w:t>in response to variability in water availability</w:t>
      </w:r>
      <w:r w:rsidR="00DC1ED9">
        <w:t>’</w:t>
      </w:r>
      <w:r w:rsidRPr="000C04B3">
        <w:t>.</w:t>
      </w:r>
      <w:r>
        <w:rPr>
          <w:rStyle w:val="FootnoteReference"/>
        </w:rPr>
        <w:footnoteReference w:id="105"/>
      </w:r>
    </w:p>
    <w:p w:rsidR="00461796" w:rsidRDefault="00461796" w:rsidP="00461796">
      <w:r>
        <w:t>While theoretically attractive, there are a number of implementation constraints to employing a scarcity pricing approach</w:t>
      </w:r>
      <w:r w:rsidR="00F14C2D">
        <w:t>,</w:t>
      </w:r>
      <w:r>
        <w:t xml:space="preserve"> which have limited its practical application. Indeed, </w:t>
      </w:r>
      <w:r w:rsidRPr="002A49DF">
        <w:t>Grafton and Ward (2010)</w:t>
      </w:r>
      <w:r>
        <w:t xml:space="preserve"> note that:</w:t>
      </w:r>
    </w:p>
    <w:p w:rsidR="00461796" w:rsidRDefault="00461796" w:rsidP="00461796">
      <w:pPr>
        <w:pStyle w:val="Quote"/>
      </w:pPr>
      <w:r w:rsidRPr="00594C51">
        <w:t>Our results are of general interest because, as far as we are aware, there are</w:t>
      </w:r>
      <w:r>
        <w:t xml:space="preserve"> </w:t>
      </w:r>
      <w:r w:rsidRPr="00594C51">
        <w:t>no water utilities or water regulators that have systematically implemented dynamically</w:t>
      </w:r>
      <w:r>
        <w:t xml:space="preserve"> </w:t>
      </w:r>
      <w:r w:rsidRPr="00594C51">
        <w:t>efficient volumetric water pricing.</w:t>
      </w:r>
      <w:r>
        <w:rPr>
          <w:rStyle w:val="FootnoteReference"/>
        </w:rPr>
        <w:footnoteReference w:id="106"/>
      </w:r>
    </w:p>
    <w:p w:rsidR="00461796" w:rsidRDefault="00461796" w:rsidP="00461796">
      <w:r>
        <w:t xml:space="preserve">The first is that the approach relies on an estimate of price elasticity of demand in order to adjust the volumetric price to cause a desired adjustment in water use. As noted in section </w:t>
      </w:r>
      <w:fldSimple w:instr=" REF _Ref432163289 \r \h  \* MERGEFORMAT ">
        <w:r w:rsidR="00E43227">
          <w:t>4.5.1</w:t>
        </w:r>
      </w:fldSimple>
      <w:r>
        <w:t>, the Commission is planning to publish a technical paper that will estimate the price elasticity of water in the ACT.</w:t>
      </w:r>
    </w:p>
    <w:p w:rsidR="00461796" w:rsidRDefault="00461796" w:rsidP="00461796">
      <w:r>
        <w:t>A scan of the empirical literature shows that the demand elasticity for urban water is generally inelastic and</w:t>
      </w:r>
      <w:r w:rsidR="00F14C2D">
        <w:t>,</w:t>
      </w:r>
      <w:r>
        <w:t xml:space="preserve"> in line with theoretical expectations</w:t>
      </w:r>
      <w:r w:rsidR="00F14C2D">
        <w:t>,</w:t>
      </w:r>
      <w:r>
        <w:t xml:space="preserve"> is usually negative. </w:t>
      </w:r>
      <w:r w:rsidRPr="002A49DF">
        <w:t>Dalhuisen et al. (2001)</w:t>
      </w:r>
      <w:r>
        <w:t xml:space="preserve"> undertook a meta-analysis of published studies and found t</w:t>
      </w:r>
      <w:r w:rsidRPr="00955C95">
        <w:t xml:space="preserve">he distribution of price elasticities has a sample mean of </w:t>
      </w:r>
      <w:r>
        <w:t>minus 0</w:t>
      </w:r>
      <w:r w:rsidRPr="00955C95">
        <w:t>.43, a median</w:t>
      </w:r>
      <w:r>
        <w:t xml:space="preserve"> </w:t>
      </w:r>
      <w:r w:rsidRPr="00955C95">
        <w:t xml:space="preserve">of </w:t>
      </w:r>
      <w:r>
        <w:t>minus 0</w:t>
      </w:r>
      <w:r w:rsidRPr="00955C95">
        <w:t xml:space="preserve">.35, and a standard deviation of </w:t>
      </w:r>
      <w:r>
        <w:t>0</w:t>
      </w:r>
      <w:r w:rsidRPr="00955C95">
        <w:t>.92.</w:t>
      </w:r>
    </w:p>
    <w:p w:rsidR="00461796" w:rsidRDefault="00461796" w:rsidP="00461796">
      <w:r w:rsidRPr="002A49DF">
        <w:rPr>
          <w:noProof/>
        </w:rPr>
        <w:t>Grafton et al. (2011)</w:t>
      </w:r>
      <w:r>
        <w:t xml:space="preserve"> estimated the price elasticity of household water demand in the ACT at about minus 0.16 for metered residential dwellings.</w:t>
      </w:r>
      <w:r>
        <w:rPr>
          <w:rStyle w:val="FootnoteReference"/>
        </w:rPr>
        <w:footnoteReference w:id="107"/>
      </w:r>
      <w:r>
        <w:t xml:space="preserve"> Under the current ACT temporary water restrictions scheme, Stage 3 restrictions target a 35 per cent reduction in water use relative to </w:t>
      </w:r>
      <w:r w:rsidR="002C221F">
        <w:t>permanent water conservation measures</w:t>
      </w:r>
      <w:r>
        <w:t>.</w:t>
      </w:r>
      <w:r>
        <w:rPr>
          <w:rStyle w:val="FootnoteReference"/>
        </w:rPr>
        <w:footnoteReference w:id="108"/>
      </w:r>
      <w:r>
        <w:t xml:space="preserve"> Given the ACT elasticity estimate above, to achieve this reduction in demand would require about a 220 per cent increase in the volumetric price.</w:t>
      </w:r>
    </w:p>
    <w:p w:rsidR="00461796" w:rsidRDefault="00461796" w:rsidP="00461796">
      <w:r>
        <w:t>There are three implications from this scenario. The first is that a</w:t>
      </w:r>
      <w:r w:rsidRPr="00DA0EE8">
        <w:t xml:space="preserve">s consumers have not faced </w:t>
      </w:r>
      <w:r>
        <w:t xml:space="preserve">a price increase of such magnitude </w:t>
      </w:r>
      <w:r w:rsidRPr="00DA0EE8">
        <w:t xml:space="preserve">at any one time, the effect </w:t>
      </w:r>
      <w:r>
        <w:t xml:space="preserve">on demand </w:t>
      </w:r>
      <w:r w:rsidRPr="00DA0EE8">
        <w:t>of such a large change in the level of the price is unknown.</w:t>
      </w:r>
      <w:r>
        <w:t xml:space="preserve"> The second implication, which is self-evident, is that it will lead to price path instability as customers will be exposed to frequent price fluctuations. The third is that extended periods at high prices may lead to revenue over-recovery by the utility.</w:t>
      </w:r>
    </w:p>
    <w:p w:rsidR="00461796" w:rsidRDefault="00461796" w:rsidP="00461796">
      <w:r>
        <w:t xml:space="preserve">The second practical issue relates to the ACT billing system described in section </w:t>
      </w:r>
      <w:fldSimple w:instr=" REF _Ref432163289 \r \h  \* MERGEFORMAT ">
        <w:r w:rsidR="00E43227">
          <w:t>4.5.1</w:t>
        </w:r>
      </w:fldSimple>
      <w:r>
        <w:t>. M</w:t>
      </w:r>
      <w:r w:rsidRPr="00146819">
        <w:t>eters are read and customers billed quarterly, with bills determined on a cumulative annual basis. Because the meters do not record any information about when consumption occurred</w:t>
      </w:r>
      <w:r w:rsidR="00353227">
        <w:t>,</w:t>
      </w:r>
      <w:r w:rsidRPr="00146819">
        <w:t xml:space="preserve"> and because of the delay between consumption and when customers are billed</w:t>
      </w:r>
      <w:r w:rsidR="00353227">
        <w:t>,</w:t>
      </w:r>
      <w:r w:rsidRPr="00146819">
        <w:t xml:space="preserve"> the ability to continually adjust prices to send updated price signals is restricted.</w:t>
      </w:r>
    </w:p>
    <w:p w:rsidR="00461796" w:rsidRDefault="00461796" w:rsidP="00461796">
      <w:r>
        <w:t>A third issue, which is shared with quantitative measures, is the difficulty in determining the desirable reduction in w</w:t>
      </w:r>
      <w:r w:rsidR="00DC1ED9">
        <w:t>ater use at any point in time.</w:t>
      </w:r>
    </w:p>
    <w:p w:rsidR="00461796" w:rsidRDefault="00461796" w:rsidP="00461796">
      <w:pPr>
        <w:pStyle w:val="Heading4"/>
      </w:pPr>
      <w:r>
        <w:t>Seasonal or peak pricing</w:t>
      </w:r>
    </w:p>
    <w:p w:rsidR="00461796" w:rsidRDefault="00461796" w:rsidP="00461796">
      <w:r>
        <w:t xml:space="preserve">A less dynamic approach that might be considered is seasonal or peak pricing. Many utilities, such as Icon Water, </w:t>
      </w:r>
      <w:r w:rsidRPr="00ED1226">
        <w:t xml:space="preserve">experience distinct seasonal peaks attributable to weather-sensitive </w:t>
      </w:r>
      <w:r>
        <w:t xml:space="preserve">usage. Icon Water dam releases show a distinct peak over the summer period from December through February, as shown in </w:t>
      </w:r>
      <w:fldSimple w:instr=" REF _Ref432576680 \h  \* MERGEFORMAT ">
        <w:r w:rsidR="00E43227" w:rsidRPr="00DB3C19">
          <w:t xml:space="preserve">Figure </w:t>
        </w:r>
        <w:r w:rsidR="00E43227">
          <w:rPr>
            <w:noProof/>
          </w:rPr>
          <w:t>4</w:t>
        </w:r>
        <w:r w:rsidR="00E43227" w:rsidRPr="001D18C8">
          <w:rPr>
            <w:noProof/>
          </w:rPr>
          <w:t>.</w:t>
        </w:r>
        <w:r w:rsidR="00E43227">
          <w:rPr>
            <w:noProof/>
          </w:rPr>
          <w:t>5</w:t>
        </w:r>
      </w:fldSimple>
      <w:r w:rsidRPr="007A1463">
        <w:t>.</w:t>
      </w:r>
      <w:r>
        <w:t xml:space="preserve"> This is due to </w:t>
      </w:r>
      <w:r w:rsidRPr="001402D1">
        <w:t>increased outdoors usage</w:t>
      </w:r>
      <w:r>
        <w:t xml:space="preserve"> during the period of warmer weather.</w:t>
      </w:r>
    </w:p>
    <w:p w:rsidR="00461796" w:rsidRPr="001D18C8" w:rsidRDefault="00461796" w:rsidP="00461796">
      <w:pPr>
        <w:pStyle w:val="FigureName"/>
      </w:pPr>
      <w:bookmarkStart w:id="177" w:name="_Ref432576680"/>
      <w:bookmarkStart w:id="178" w:name="_Toc435700199"/>
      <w:r w:rsidRPr="00DB3C19">
        <w:t xml:space="preserve">Figure </w:t>
      </w:r>
      <w:r w:rsidR="00A7215E">
        <w:fldChar w:fldCharType="begin"/>
      </w:r>
      <w:r>
        <w:instrText xml:space="preserve"> STYLEREF 1 \s </w:instrText>
      </w:r>
      <w:r w:rsidR="00A7215E">
        <w:fldChar w:fldCharType="separate"/>
      </w:r>
      <w:r w:rsidR="00E43227">
        <w:rPr>
          <w:noProof/>
        </w:rPr>
        <w:t>4</w:t>
      </w:r>
      <w:r w:rsidR="00A7215E">
        <w:fldChar w:fldCharType="end"/>
      </w:r>
      <w:r w:rsidRPr="001D18C8">
        <w:t>.</w:t>
      </w:r>
      <w:r w:rsidR="00A7215E" w:rsidRPr="001D18C8">
        <w:fldChar w:fldCharType="begin"/>
      </w:r>
      <w:r w:rsidRPr="001D18C8">
        <w:instrText xml:space="preserve"> SEQ Figure \* ARABIC \s 1 </w:instrText>
      </w:r>
      <w:r w:rsidR="00A7215E" w:rsidRPr="001D18C8">
        <w:fldChar w:fldCharType="separate"/>
      </w:r>
      <w:r w:rsidR="00E43227">
        <w:rPr>
          <w:noProof/>
        </w:rPr>
        <w:t>5</w:t>
      </w:r>
      <w:r w:rsidR="00A7215E" w:rsidRPr="001D18C8">
        <w:fldChar w:fldCharType="end"/>
      </w:r>
      <w:bookmarkEnd w:id="177"/>
      <w:r w:rsidRPr="001D18C8">
        <w:tab/>
      </w:r>
      <w:r>
        <w:t>Monthly Icon Water dam releases</w:t>
      </w:r>
      <w:bookmarkEnd w:id="178"/>
    </w:p>
    <w:p w:rsidR="00461796" w:rsidRPr="001D18C8" w:rsidRDefault="00461796" w:rsidP="00461796">
      <w:r w:rsidRPr="003125BD">
        <w:rPr>
          <w:noProof/>
          <w:lang w:val="en-AU" w:eastAsia="en-AU"/>
        </w:rPr>
        <w:drawing>
          <wp:inline distT="0" distB="0" distL="0" distR="0">
            <wp:extent cx="4896485" cy="1968010"/>
            <wp:effectExtent l="19050" t="0" r="18415" b="0"/>
            <wp:docPr id="2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61796" w:rsidRPr="001D18C8" w:rsidRDefault="00461796" w:rsidP="00461796">
      <w:pPr>
        <w:pStyle w:val="TableNotesLast"/>
      </w:pPr>
      <w:r>
        <w:t>Source:</w:t>
      </w:r>
      <w:r w:rsidRPr="001D18C8">
        <w:tab/>
      </w:r>
      <w:r>
        <w:t>Icon Water releases data</w:t>
      </w:r>
      <w:r w:rsidRPr="001D18C8">
        <w:t>.</w:t>
      </w:r>
    </w:p>
    <w:p w:rsidR="00461796" w:rsidRDefault="00461796" w:rsidP="00461796">
      <w:r>
        <w:t xml:space="preserve">As an example, </w:t>
      </w:r>
      <w:r w:rsidRPr="000D68A5">
        <w:t>seasonal prices could be implemented with a</w:t>
      </w:r>
      <w:r>
        <w:t>n off-peak</w:t>
      </w:r>
      <w:r w:rsidRPr="000D68A5">
        <w:t xml:space="preserve"> tariff for the months from </w:t>
      </w:r>
      <w:r>
        <w:t xml:space="preserve">March </w:t>
      </w:r>
      <w:r w:rsidRPr="000D68A5">
        <w:t xml:space="preserve">through </w:t>
      </w:r>
      <w:r>
        <w:t xml:space="preserve">November </w:t>
      </w:r>
      <w:r w:rsidRPr="000D68A5">
        <w:t xml:space="preserve">and a </w:t>
      </w:r>
      <w:r>
        <w:t xml:space="preserve">peak </w:t>
      </w:r>
      <w:r w:rsidRPr="000D68A5">
        <w:t xml:space="preserve">tariff for </w:t>
      </w:r>
      <w:r>
        <w:t xml:space="preserve">December </w:t>
      </w:r>
      <w:r w:rsidRPr="000D68A5">
        <w:t xml:space="preserve">through </w:t>
      </w:r>
      <w:r>
        <w:t>February</w:t>
      </w:r>
      <w:r w:rsidRPr="000D68A5">
        <w:t>.</w:t>
      </w:r>
      <w:r>
        <w:t xml:space="preserve"> </w:t>
      </w:r>
      <w:r w:rsidRPr="000D68A5">
        <w:t>Setting a higher price in the summer months when discretionary water usage is high sends a signal to customers about the value of water conservation.</w:t>
      </w:r>
    </w:p>
    <w:p w:rsidR="00461796" w:rsidRDefault="00461796" w:rsidP="00461796">
      <w:r w:rsidRPr="00B11CAC">
        <w:t>Mann and Schlenger (1982)</w:t>
      </w:r>
      <w:r>
        <w:t xml:space="preserve"> suggest that</w:t>
      </w:r>
      <w:r w:rsidRPr="00B11CAC">
        <w:t xml:space="preserve"> there may be an economic efficiency argument for adopting seasonal pricing</w:t>
      </w:r>
      <w:r w:rsidR="0067465B">
        <w:t>,</w:t>
      </w:r>
      <w:r w:rsidRPr="00B11CAC">
        <w:t xml:space="preserve"> </w:t>
      </w:r>
      <w:r>
        <w:t xml:space="preserve">as </w:t>
      </w:r>
      <w:r w:rsidRPr="00B11CAC">
        <w:t xml:space="preserve">during periods of peak usage the incremental cost of water </w:t>
      </w:r>
      <w:r>
        <w:t>may</w:t>
      </w:r>
      <w:r w:rsidRPr="00B11CAC">
        <w:t xml:space="preserve"> </w:t>
      </w:r>
      <w:r>
        <w:t xml:space="preserve">be </w:t>
      </w:r>
      <w:r w:rsidRPr="00B11CAC">
        <w:t>higher than during periods of low usage</w:t>
      </w:r>
      <w:r>
        <w:t>:</w:t>
      </w:r>
    </w:p>
    <w:p w:rsidR="00461796" w:rsidRPr="000C04B3" w:rsidRDefault="00461796" w:rsidP="00461796">
      <w:pPr>
        <w:pStyle w:val="Quote"/>
      </w:pPr>
      <w:r w:rsidRPr="00B11CAC">
        <w:t>The potential benefits include increased production efficiency</w:t>
      </w:r>
      <w:r>
        <w:t xml:space="preserve"> </w:t>
      </w:r>
      <w:r w:rsidRPr="00B11CAC">
        <w:t>by improving</w:t>
      </w:r>
      <w:r>
        <w:t xml:space="preserve"> </w:t>
      </w:r>
      <w:r w:rsidRPr="00B11CAC">
        <w:t>annual load factors</w:t>
      </w:r>
      <w:r>
        <w:t xml:space="preserve"> </w:t>
      </w:r>
      <w:r w:rsidRPr="00B11CAC">
        <w:t>and reduction in future</w:t>
      </w:r>
      <w:r>
        <w:t xml:space="preserve"> </w:t>
      </w:r>
      <w:r w:rsidRPr="00B11CAC">
        <w:t>capacity requirements</w:t>
      </w:r>
      <w:r>
        <w:t xml:space="preserve"> </w:t>
      </w:r>
      <w:r w:rsidRPr="00B11CAC">
        <w:t>by reducing peak</w:t>
      </w:r>
      <w:r>
        <w:t xml:space="preserve"> demands.</w:t>
      </w:r>
      <w:r>
        <w:rPr>
          <w:rStyle w:val="FootnoteReference"/>
        </w:rPr>
        <w:footnoteReference w:id="109"/>
      </w:r>
    </w:p>
    <w:p w:rsidR="00461796" w:rsidRDefault="00461796" w:rsidP="00461796">
      <w:pPr>
        <w:keepNext/>
      </w:pPr>
      <w:r w:rsidRPr="007B79A9">
        <w:t>The</w:t>
      </w:r>
      <w:r>
        <w:t xml:space="preserve"> Commission is interested in hearing from stakeholders about their views on using some form of scarcity or seasonal pricing as </w:t>
      </w:r>
      <w:r w:rsidR="0067465B">
        <w:t xml:space="preserve">a </w:t>
      </w:r>
      <w:r>
        <w:t>mechanism to manage demand rather than</w:t>
      </w:r>
      <w:r w:rsidR="00DC1ED9">
        <w:t xml:space="preserve"> relying on water restrictions.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hemeFill="accent6" w:themeFillTint="99"/>
        <w:tblLook w:val="00A0"/>
      </w:tblPr>
      <w:tblGrid>
        <w:gridCol w:w="7927"/>
      </w:tblGrid>
      <w:tr w:rsidR="00461796" w:rsidTr="00BC5669">
        <w:tc>
          <w:tcPr>
            <w:tcW w:w="7927" w:type="dxa"/>
            <w:shd w:val="clear" w:color="auto" w:fill="FABF8F" w:themeFill="accent6" w:themeFillTint="99"/>
          </w:tcPr>
          <w:p w:rsidR="00461796" w:rsidRDefault="00461796" w:rsidP="00BC5669">
            <w:pPr>
              <w:keepNext/>
            </w:pPr>
            <w:r w:rsidRPr="00C51D5B">
              <w:rPr>
                <w:rStyle w:val="Bold"/>
              </w:rPr>
              <w:t>Q</w:t>
            </w:r>
            <w:r>
              <w:rPr>
                <w:rStyle w:val="Bold"/>
              </w:rPr>
              <w:t>5</w:t>
            </w:r>
            <w:r w:rsidRPr="00C51D5B">
              <w:rPr>
                <w:rStyle w:val="Bold"/>
              </w:rPr>
              <w:t>:</w:t>
            </w:r>
            <w:r w:rsidRPr="00C51D5B">
              <w:t xml:space="preserve"> </w:t>
            </w:r>
            <w:r>
              <w:t>Would you be prepared to pay more for water during periods of scarcity rather than be subject to</w:t>
            </w:r>
            <w:r w:rsidR="00DC1ED9">
              <w:t xml:space="preserve"> temporary water restrictions?</w:t>
            </w:r>
          </w:p>
        </w:tc>
      </w:tr>
    </w:tbl>
    <w:p w:rsidR="00461796" w:rsidRDefault="00461796" w:rsidP="00461796"/>
    <w:p w:rsidR="00461796" w:rsidRDefault="00461796" w:rsidP="00461796">
      <w:pPr>
        <w:pStyle w:val="Heading4"/>
      </w:pPr>
      <w:r>
        <w:t xml:space="preserve">Interaction between prices and the </w:t>
      </w:r>
      <w:r w:rsidR="006B153A">
        <w:t>w</w:t>
      </w:r>
      <w:r w:rsidRPr="00F304EA">
        <w:t xml:space="preserve">ater </w:t>
      </w:r>
      <w:r w:rsidR="006B153A">
        <w:t>a</w:t>
      </w:r>
      <w:r w:rsidRPr="00F304EA">
        <w:t xml:space="preserve">bstraction </w:t>
      </w:r>
      <w:r w:rsidR="006B153A">
        <w:t>c</w:t>
      </w:r>
      <w:r w:rsidRPr="00F304EA">
        <w:t>harge</w:t>
      </w:r>
    </w:p>
    <w:p w:rsidR="00461796" w:rsidRDefault="00461796" w:rsidP="00461796">
      <w:r>
        <w:t xml:space="preserve">As noted in section </w:t>
      </w:r>
      <w:fldSimple w:instr=" REF _Ref429658343 \r \h  \* MERGEFORMAT ">
        <w:r w:rsidR="00E43227">
          <w:t>4.1</w:t>
        </w:r>
      </w:fldSimple>
      <w:r>
        <w:t>, the ACT Government levies a water management charge, the WAC, at a rate of $0.54 per kL of water abstracted for the purposes of urban water supply. The WAC is incorporated in the prices set by the Commission</w:t>
      </w:r>
      <w:r w:rsidR="0067465B">
        <w:t>,</w:t>
      </w:r>
      <w:r>
        <w:t xml:space="preserve"> with Icon Water effectively collecting the WAC from customers o</w:t>
      </w:r>
      <w:r w:rsidR="0067465B">
        <w:t>n behalf of the ACT Government.</w:t>
      </w:r>
    </w:p>
    <w:p w:rsidR="00461796" w:rsidRDefault="00461796" w:rsidP="00461796">
      <w:r>
        <w:t>The level of the WAC, described in Box 4.1, reflects ACT Government expenditure on water planning and management activities, the scarcity value of the water resource and environmental costs related to environmental water flows.</w:t>
      </w:r>
    </w:p>
    <w:p w:rsidR="00461796" w:rsidRDefault="00461796" w:rsidP="00461796">
      <w:r>
        <w:t>The key point to note is that there is a scarcity pricing element built into the WAC that Icon Water customers are already facing in their water bills. This should be taken into account in any discussion on scarcity pricing. The difficulty is that it is not immediately clear how much of the $0.54/kL is allocated to the scarcity component.</w:t>
      </w:r>
    </w:p>
    <w:p w:rsidR="00461796" w:rsidRPr="00A80E07" w:rsidRDefault="00461796" w:rsidP="00461796">
      <w:pPr>
        <w:pStyle w:val="FigureName"/>
        <w:keepNext/>
      </w:pPr>
      <w:bookmarkStart w:id="179" w:name="_Toc435700213"/>
      <w:r w:rsidRPr="00A80E07">
        <w:t xml:space="preserve">Box </w:t>
      </w:r>
      <w:r w:rsidR="00A7215E">
        <w:fldChar w:fldCharType="begin"/>
      </w:r>
      <w:r>
        <w:instrText xml:space="preserve"> STYLEREF 1 \s </w:instrText>
      </w:r>
      <w:r w:rsidR="00A7215E">
        <w:fldChar w:fldCharType="separate"/>
      </w:r>
      <w:r w:rsidR="00E43227">
        <w:rPr>
          <w:noProof/>
        </w:rPr>
        <w:t>4</w:t>
      </w:r>
      <w:r w:rsidR="00A7215E">
        <w:fldChar w:fldCharType="end"/>
      </w:r>
      <w:r w:rsidRPr="00A80E07">
        <w:t>.</w:t>
      </w:r>
      <w:r w:rsidR="00A7215E">
        <w:fldChar w:fldCharType="begin"/>
      </w:r>
      <w:r>
        <w:instrText xml:space="preserve"> SEQ Box \* ARABIC \s 1 </w:instrText>
      </w:r>
      <w:r w:rsidR="00A7215E">
        <w:fldChar w:fldCharType="separate"/>
      </w:r>
      <w:r w:rsidR="00E43227">
        <w:rPr>
          <w:noProof/>
        </w:rPr>
        <w:t>1</w:t>
      </w:r>
      <w:r w:rsidR="00A7215E">
        <w:fldChar w:fldCharType="end"/>
      </w:r>
      <w:r w:rsidRPr="00A80E07">
        <w:tab/>
        <w:t xml:space="preserve">ACT </w:t>
      </w:r>
      <w:r w:rsidR="006B153A">
        <w:t>w</w:t>
      </w:r>
      <w:r>
        <w:t xml:space="preserve">ater </w:t>
      </w:r>
      <w:r w:rsidR="006B153A">
        <w:t>a</w:t>
      </w:r>
      <w:r>
        <w:t xml:space="preserve">bstraction </w:t>
      </w:r>
      <w:r w:rsidR="006B153A">
        <w:t>c</w:t>
      </w:r>
      <w:r>
        <w:t>harge</w:t>
      </w:r>
      <w:bookmarkEnd w:id="179"/>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shd w:val="clear" w:color="auto" w:fill="DBE5F1"/>
        <w:tblLook w:val="04A0"/>
      </w:tblPr>
      <w:tblGrid>
        <w:gridCol w:w="7927"/>
      </w:tblGrid>
      <w:tr w:rsidR="00461796" w:rsidTr="00BC5669">
        <w:trPr>
          <w:cantSplit/>
          <w:trHeight w:val="2069"/>
        </w:trPr>
        <w:tc>
          <w:tcPr>
            <w:tcW w:w="7927" w:type="dxa"/>
            <w:shd w:val="clear" w:color="auto" w:fill="DBE5F1"/>
          </w:tcPr>
          <w:p w:rsidR="00461796" w:rsidRDefault="00461796" w:rsidP="00BC5669">
            <w:pPr>
              <w:keepNext/>
            </w:pPr>
            <w:r w:rsidRPr="00A80E07">
              <w:t xml:space="preserve">The </w:t>
            </w:r>
            <w:r w:rsidR="00793F1A">
              <w:t>water abstraction charge (</w:t>
            </w:r>
            <w:r w:rsidRPr="00A80E07">
              <w:t>WAC</w:t>
            </w:r>
            <w:r w:rsidR="00793F1A">
              <w:t>)</w:t>
            </w:r>
            <w:r w:rsidRPr="00A80E07">
              <w:t xml:space="preserve"> also reflects the value of a scarce natural resource vested in the ACT Government</w:t>
            </w:r>
            <w:r w:rsidR="0067465B">
              <w:t>,</w:t>
            </w:r>
            <w:r w:rsidRPr="00A80E07">
              <w:t xml:space="preserve"> including offsetting costs incurred by the Territory, providing a return on a valuable and scarce resource, and assists in managing demand. As such, the WAC comprises the following components:</w:t>
            </w:r>
          </w:p>
          <w:p w:rsidR="00461796" w:rsidRDefault="00461796" w:rsidP="00BC5669">
            <w:pPr>
              <w:pStyle w:val="Bullet"/>
              <w:keepNext/>
            </w:pPr>
            <w:r w:rsidRPr="00A80E07">
              <w:t>urban and non-urban water supply costs: Government expenditure on activities such as catchment management, environment protection of ACT streams and lakes, water policy and administration;</w:t>
            </w:r>
          </w:p>
          <w:p w:rsidR="00461796" w:rsidRDefault="00461796" w:rsidP="00BC5669">
            <w:pPr>
              <w:pStyle w:val="Bullet"/>
              <w:keepNext/>
            </w:pPr>
            <w:r w:rsidRPr="00A80E07">
              <w:t>scarcity: the value associated with the consumptive use of water in the Territory preventing its alternative use for other economically valuable purposes such as irrigation; and</w:t>
            </w:r>
          </w:p>
          <w:p w:rsidR="00461796" w:rsidRDefault="00461796" w:rsidP="00BC5669">
            <w:pPr>
              <w:pStyle w:val="BulletLast"/>
              <w:keepNext/>
            </w:pPr>
            <w:r w:rsidRPr="00A80E07">
              <w:t>environmental: costs relating to environmental flow, including the effect of storing water in dams on downstream flows.</w:t>
            </w:r>
          </w:p>
        </w:tc>
      </w:tr>
    </w:tbl>
    <w:p w:rsidR="00461796" w:rsidRDefault="00461796" w:rsidP="00461796">
      <w:pPr>
        <w:pStyle w:val="TableNotesLast"/>
        <w:keepNext/>
      </w:pPr>
      <w:r w:rsidRPr="00A80E07">
        <w:t>Source:</w:t>
      </w:r>
      <w:r w:rsidRPr="00A80E07">
        <w:tab/>
      </w:r>
      <w:r>
        <w:rPr>
          <w:noProof/>
        </w:rPr>
        <w:t>ACT Government (2014b)</w:t>
      </w:r>
      <w:r>
        <w:t>.</w:t>
      </w:r>
    </w:p>
    <w:p w:rsidR="00461796" w:rsidRDefault="00461796" w:rsidP="00101ADB">
      <w:pPr>
        <w:pStyle w:val="Heading3"/>
      </w:pPr>
      <w:bookmarkStart w:id="180" w:name="Four_daily_pricing"/>
      <w:bookmarkStart w:id="181" w:name="_Ref430865538"/>
      <w:bookmarkEnd w:id="180"/>
      <w:r>
        <w:t>Daily pricing</w:t>
      </w:r>
      <w:bookmarkEnd w:id="181"/>
    </w:p>
    <w:p w:rsidR="00461796" w:rsidRDefault="00461796" w:rsidP="00461796">
      <w:r w:rsidRPr="00BB6882">
        <w:t xml:space="preserve">The current ACT pricing </w:t>
      </w:r>
      <w:r>
        <w:t xml:space="preserve">inclining block </w:t>
      </w:r>
      <w:r w:rsidRPr="00BB6882">
        <w:t xml:space="preserve">arrangements </w:t>
      </w:r>
      <w:r>
        <w:t>are based on daily pricing</w:t>
      </w:r>
      <w:r w:rsidR="0067465B">
        <w:t>,</w:t>
      </w:r>
      <w:r>
        <w:t xml:space="preserve"> with</w:t>
      </w:r>
      <w:r w:rsidRPr="00BB6882">
        <w:t xml:space="preserve"> the annual price structure applied on a daily basis at each meter reading. That is, the annual allocation of water in each </w:t>
      </w:r>
      <w:r>
        <w:t xml:space="preserve">of the two </w:t>
      </w:r>
      <w:r w:rsidRPr="00BB6882">
        <w:t>consumption band</w:t>
      </w:r>
      <w:r>
        <w:t xml:space="preserve">s, up to 200 kL and greater than 200 kL, </w:t>
      </w:r>
      <w:r w:rsidRPr="00BB6882">
        <w:t xml:space="preserve">is determined as a daily allowance. </w:t>
      </w:r>
      <w:r>
        <w:t xml:space="preserve">The 200 kL per year allowance translates to approximately 0.548 kL per day under this system. </w:t>
      </w:r>
      <w:r w:rsidRPr="00BB6882">
        <w:t>Th</w:t>
      </w:r>
      <w:r>
        <w:t>e</w:t>
      </w:r>
      <w:r w:rsidRPr="00BB6882">
        <w:t xml:space="preserve"> daily allowance is then multiplied by the number of days in the billing period t</w:t>
      </w:r>
      <w:r>
        <w:t xml:space="preserve">o determine </w:t>
      </w:r>
      <w:r w:rsidR="0067465B">
        <w:t>the quarterly bill.</w:t>
      </w:r>
    </w:p>
    <w:p w:rsidR="00461796" w:rsidRDefault="00461796" w:rsidP="00461796">
      <w:r>
        <w:t xml:space="preserve">This approach was introduced to avoid the circumstance whereby </w:t>
      </w:r>
      <w:r w:rsidRPr="00284AEB">
        <w:t>a customer who consumes a constant volume of water during each quarter may receive a larger bill for the final quarter compared to the first quarter of the financial year.</w:t>
      </w:r>
    </w:p>
    <w:p w:rsidR="00461796" w:rsidRDefault="00461796" w:rsidP="00461796">
      <w:r>
        <w:t>Before the Commission introduced daily pricing from 2007</w:t>
      </w:r>
      <w:r>
        <w:sym w:font="Symbol" w:char="F02D"/>
      </w:r>
      <w:r>
        <w:t xml:space="preserve">08, it noted a concern about </w:t>
      </w:r>
      <w:r w:rsidRPr="005352A4">
        <w:t>the possible creation of perverse outcomes. Under daily pricing</w:t>
      </w:r>
      <w:r w:rsidR="0067465B">
        <w:t>,</w:t>
      </w:r>
      <w:r w:rsidRPr="005352A4">
        <w:t xml:space="preserve"> it is possible that two customers who consume the same amount annually but with different consumption profiles may face different bills. For example, under daily pricing, a customer who consumes 50 k</w:t>
      </w:r>
      <w:r>
        <w:t>L</w:t>
      </w:r>
      <w:r w:rsidRPr="005352A4">
        <w:t xml:space="preserve"> per quarter will face a lower bill than someone who consumes 200 k</w:t>
      </w:r>
      <w:r>
        <w:t>L</w:t>
      </w:r>
      <w:r w:rsidRPr="005352A4">
        <w:t xml:space="preserve"> in a single quarter.</w:t>
      </w:r>
      <w:r>
        <w:rPr>
          <w:rStyle w:val="FootnoteReference"/>
        </w:rPr>
        <w:footnoteReference w:id="110"/>
      </w:r>
      <w:r>
        <w:t xml:space="preserve"> </w:t>
      </w:r>
      <w:r w:rsidR="0067465B">
        <w:t>The Commission also noted that:</w:t>
      </w:r>
    </w:p>
    <w:p w:rsidR="00461796" w:rsidRDefault="00461796" w:rsidP="00461796">
      <w:pPr>
        <w:pStyle w:val="Quote"/>
      </w:pPr>
      <w:r w:rsidRPr="00AA3928">
        <w:t>given what it believes is a limited (if indeed any) improved price signals from daily pricing, it may be disinclined to adopt daily pricing if it simply added to the comple</w:t>
      </w:r>
      <w:r>
        <w:t>xity of setting annual tariffs.</w:t>
      </w:r>
      <w:r>
        <w:rPr>
          <w:rStyle w:val="FootnoteReference"/>
        </w:rPr>
        <w:footnoteReference w:id="111"/>
      </w:r>
    </w:p>
    <w:p w:rsidR="00461796" w:rsidRDefault="00461796" w:rsidP="00461796">
      <w:r>
        <w:t xml:space="preserve">The Commission ultimately decided in favour of daily pricing on the basis that customers would benefit from the </w:t>
      </w:r>
      <w:r w:rsidRPr="00AD278D">
        <w:t>fact that bills are likely to be more even across the year</w:t>
      </w:r>
      <w:r w:rsidR="0067465B">
        <w:t>,</w:t>
      </w:r>
      <w:r w:rsidRPr="00AD278D">
        <w:t xml:space="preserve"> </w:t>
      </w:r>
      <w:r>
        <w:t xml:space="preserve">which may </w:t>
      </w:r>
      <w:r w:rsidRPr="00AD278D">
        <w:t>make planning and budgeting easier, particularly for low-income households where outdoor use is low.</w:t>
      </w:r>
      <w:r>
        <w:rPr>
          <w:rStyle w:val="FootnoteReference"/>
        </w:rPr>
        <w:footnoteReference w:id="112"/>
      </w:r>
    </w:p>
    <w:p w:rsidR="00461796" w:rsidRDefault="00461796" w:rsidP="00461796">
      <w:r w:rsidRPr="007B79A9">
        <w:t>The</w:t>
      </w:r>
      <w:r>
        <w:t xml:space="preserve"> Commission is interested in hearing from stakeholders about their views on daily pricing unde</w:t>
      </w:r>
      <w:r w:rsidR="00DC1ED9">
        <w:t>r an inclining block 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hemeFill="accent6" w:themeFillTint="99"/>
        <w:tblLook w:val="00A0"/>
      </w:tblPr>
      <w:tblGrid>
        <w:gridCol w:w="7927"/>
      </w:tblGrid>
      <w:tr w:rsidR="00461796" w:rsidTr="00BC5669">
        <w:tc>
          <w:tcPr>
            <w:tcW w:w="7927" w:type="dxa"/>
            <w:shd w:val="clear" w:color="auto" w:fill="FABF8F" w:themeFill="accent6" w:themeFillTint="99"/>
          </w:tcPr>
          <w:p w:rsidR="00461796" w:rsidRPr="00C51D5B" w:rsidRDefault="00461796" w:rsidP="00BC5669">
            <w:r w:rsidRPr="00C51D5B">
              <w:rPr>
                <w:rStyle w:val="Bold"/>
              </w:rPr>
              <w:t>Q</w:t>
            </w:r>
            <w:r>
              <w:rPr>
                <w:rStyle w:val="Bold"/>
              </w:rPr>
              <w:t>6</w:t>
            </w:r>
            <w:r w:rsidRPr="00C51D5B">
              <w:rPr>
                <w:rStyle w:val="Bold"/>
              </w:rPr>
              <w:t>:</w:t>
            </w:r>
            <w:r w:rsidRPr="00C51D5B">
              <w:t xml:space="preserve"> </w:t>
            </w:r>
            <w:r>
              <w:t xml:space="preserve">Do you think the benefits from more even bills outweigh any complexities </w:t>
            </w:r>
            <w:r w:rsidR="00DC1ED9">
              <w:t>associated with daily pricing?</w:t>
            </w:r>
          </w:p>
        </w:tc>
      </w:tr>
    </w:tbl>
    <w:p w:rsidR="00461796" w:rsidRDefault="00461796" w:rsidP="00101ADB">
      <w:pPr>
        <w:pStyle w:val="Heading3"/>
      </w:pPr>
      <w:bookmarkStart w:id="182" w:name="Four_optional_tariffs"/>
      <w:bookmarkStart w:id="183" w:name="_Ref432599888"/>
      <w:bookmarkEnd w:id="182"/>
      <w:r>
        <w:t>Optional tariff choice</w:t>
      </w:r>
      <w:bookmarkEnd w:id="183"/>
    </w:p>
    <w:p w:rsidR="00461796" w:rsidRDefault="00461796" w:rsidP="00461796">
      <w:r>
        <w:t>Another matter for discussion is the question of whether individual water customers should be offered more tariff choices. While common in the electricity industry</w:t>
      </w:r>
      <w:r w:rsidR="0067465B">
        <w:t>, where</w:t>
      </w:r>
      <w:r>
        <w:t xml:space="preserve"> many different retail tariffs </w:t>
      </w:r>
      <w:r w:rsidR="0067465B">
        <w:t xml:space="preserve">are </w:t>
      </w:r>
      <w:r>
        <w:t xml:space="preserve">on offer, as a visit to </w:t>
      </w:r>
      <w:hyperlink r:id="rId56" w:history="1">
        <w:r w:rsidRPr="00E7798D">
          <w:rPr>
            <w:rStyle w:val="Hyperlink"/>
          </w:rPr>
          <w:t>www.energymadeeasy.gov.au</w:t>
        </w:r>
      </w:hyperlink>
      <w:r>
        <w:t xml:space="preserve"> will quickly reveal, examples of tariff choices in the water industry are much harder to find.</w:t>
      </w:r>
      <w:r>
        <w:rPr>
          <w:rStyle w:val="FootnoteReference"/>
        </w:rPr>
        <w:footnoteReference w:id="113"/>
      </w:r>
    </w:p>
    <w:p w:rsidR="00461796" w:rsidRDefault="00461796" w:rsidP="00461796">
      <w:r>
        <w:t>A potential example in the water industry might be a choice between tariff A</w:t>
      </w:r>
      <w:r w:rsidR="006B0C6D">
        <w:t>,</w:t>
      </w:r>
      <w:r>
        <w:t xml:space="preserve"> </w:t>
      </w:r>
      <w:r w:rsidR="00435053">
        <w:t xml:space="preserve">offering </w:t>
      </w:r>
      <w:r>
        <w:t xml:space="preserve">a high fixed charge </w:t>
      </w:r>
      <w:r w:rsidR="00435053">
        <w:t xml:space="preserve">coupled with </w:t>
      </w:r>
      <w:r>
        <w:t>a low volumetric rate</w:t>
      </w:r>
      <w:r w:rsidR="006B0C6D">
        <w:t>,</w:t>
      </w:r>
      <w:r>
        <w:t xml:space="preserve"> and tariff B</w:t>
      </w:r>
      <w:r w:rsidR="006B0C6D">
        <w:t>,</w:t>
      </w:r>
      <w:r>
        <w:t xml:space="preserve"> </w:t>
      </w:r>
      <w:r w:rsidR="00435053">
        <w:t xml:space="preserve">offering </w:t>
      </w:r>
      <w:r>
        <w:t xml:space="preserve">a low fixed charge </w:t>
      </w:r>
      <w:r w:rsidR="00435053">
        <w:t xml:space="preserve">coupled with a </w:t>
      </w:r>
      <w:r>
        <w:t>high volumetric rate. A large water user might prefer tariff A while a low water u</w:t>
      </w:r>
      <w:r w:rsidR="00DC1ED9">
        <w:t>ser may opt for tariff B.</w:t>
      </w:r>
    </w:p>
    <w:p w:rsidR="00461796" w:rsidRDefault="00461796" w:rsidP="00365298">
      <w:pPr>
        <w:keepNext/>
      </w:pPr>
      <w:r>
        <w:rPr>
          <w:noProof/>
        </w:rPr>
        <w:t>Train (1991)</w:t>
      </w:r>
      <w:r>
        <w:t>, who refers to optional tariff choices as self-selecting tariffs, states that:</w:t>
      </w:r>
    </w:p>
    <w:p w:rsidR="00461796" w:rsidRDefault="00461796" w:rsidP="00365298">
      <w:pPr>
        <w:pStyle w:val="Quote"/>
        <w:keepNext/>
      </w:pPr>
      <w:r>
        <w:t>Under traditional assumptions about customer behaviour, self-selecting tariffs provide utilities and their regulators with a mechanism for increasing surplus.</w:t>
      </w:r>
      <w:r>
        <w:rPr>
          <w:rStyle w:val="FootnoteReference"/>
        </w:rPr>
        <w:footnoteReference w:id="114"/>
      </w:r>
    </w:p>
    <w:p w:rsidR="00461796" w:rsidRDefault="00461796" w:rsidP="00461796">
      <w:r>
        <w:t xml:space="preserve">The traditional assumption about customer behaviour is that customers know which tariff is best for them. As noted in section </w:t>
      </w:r>
      <w:fldSimple w:instr=" REF _Ref432599937 \r \h  \* MERGEFORMAT ">
        <w:r w:rsidR="00E43227">
          <w:t>3.3.3</w:t>
        </w:r>
      </w:fldSimple>
      <w:r>
        <w:t xml:space="preserve">, there is a sizable economic literature from the electricity industry that suggests that </w:t>
      </w:r>
      <w:r w:rsidR="00F22854">
        <w:t>this assumption might not hold.</w:t>
      </w:r>
    </w:p>
    <w:p w:rsidR="00461796" w:rsidRDefault="00461796" w:rsidP="00461796">
      <w:r>
        <w:t xml:space="preserve">For example, </w:t>
      </w:r>
      <w:r w:rsidRPr="00CE55AC">
        <w:t>Wilson and Waddams Price (2010)</w:t>
      </w:r>
      <w:r>
        <w:t xml:space="preserve"> </w:t>
      </w:r>
      <w:r w:rsidRPr="006B405A">
        <w:t>report on two studies in the United Kingdom of electricity consumers who switched from one retailer to another. While they find results consistent with search models, such as some consumers settling for prices above the minimum available price, the surprising result is that a considerable number of consumers faced a higher electricity bill as a result of switching. In one study</w:t>
      </w:r>
      <w:r w:rsidR="00F22854">
        <w:t>,</w:t>
      </w:r>
      <w:r w:rsidRPr="006B405A">
        <w:t xml:space="preserve"> 20 per cent of consumers were worse off after switching electricity retailers.</w:t>
      </w:r>
    </w:p>
    <w:p w:rsidR="00461796" w:rsidRDefault="00461796" w:rsidP="00461796">
      <w:r>
        <w:rPr>
          <w:noProof/>
        </w:rPr>
        <w:t>Waddams et al. (2011)</w:t>
      </w:r>
      <w:r w:rsidRPr="00DC3499">
        <w:t xml:space="preserve"> </w:t>
      </w:r>
      <w:r>
        <w:t xml:space="preserve">note that the introduction of </w:t>
      </w:r>
      <w:r w:rsidRPr="00DC3499">
        <w:t xml:space="preserve">more tariffs </w:t>
      </w:r>
      <w:r>
        <w:t xml:space="preserve">may </w:t>
      </w:r>
      <w:r w:rsidRPr="00DC3499">
        <w:t xml:space="preserve">increase the complexity of consumer choice, </w:t>
      </w:r>
      <w:r>
        <w:t xml:space="preserve">adding to the </w:t>
      </w:r>
      <w:r w:rsidRPr="00DC3499">
        <w:t>concerns about whether consumers always choose what is in their own best interests.</w:t>
      </w:r>
    </w:p>
    <w:p w:rsidR="00461796" w:rsidRDefault="00461796" w:rsidP="00461796">
      <w:r>
        <w:t>An added complication is that the introduction of additional tariffs may make it more difficult to calculate the prices necessary to recover Icon Water’s revenue requirement.</w:t>
      </w:r>
    </w:p>
    <w:p w:rsidR="00461796" w:rsidRDefault="00461796" w:rsidP="00461796">
      <w:pPr>
        <w:keepNext/>
      </w:pPr>
      <w:r w:rsidRPr="007B79A9">
        <w:t>The</w:t>
      </w:r>
      <w:r>
        <w:t xml:space="preserve"> Commission is interested in hearing from stakeholders about their views on self-sele</w:t>
      </w:r>
      <w:r w:rsidR="001B2CD5">
        <w:t>cting water tariff 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hemeFill="accent6" w:themeFillTint="99"/>
        <w:tblLook w:val="00A0"/>
      </w:tblPr>
      <w:tblGrid>
        <w:gridCol w:w="7927"/>
      </w:tblGrid>
      <w:tr w:rsidR="00461796" w:rsidTr="00BC5669">
        <w:tc>
          <w:tcPr>
            <w:tcW w:w="7927" w:type="dxa"/>
            <w:shd w:val="clear" w:color="auto" w:fill="FABF8F" w:themeFill="accent6" w:themeFillTint="99"/>
          </w:tcPr>
          <w:p w:rsidR="00461796" w:rsidRPr="00C51D5B" w:rsidRDefault="00461796" w:rsidP="00BC5669">
            <w:pPr>
              <w:keepNext/>
            </w:pPr>
            <w:r w:rsidRPr="00C51D5B">
              <w:rPr>
                <w:rStyle w:val="Bold"/>
              </w:rPr>
              <w:t>Q</w:t>
            </w:r>
            <w:r>
              <w:rPr>
                <w:rStyle w:val="Bold"/>
              </w:rPr>
              <w:t>7</w:t>
            </w:r>
            <w:r w:rsidRPr="00C51D5B">
              <w:rPr>
                <w:rStyle w:val="Bold"/>
              </w:rPr>
              <w:t>:</w:t>
            </w:r>
            <w:r w:rsidRPr="00C51D5B">
              <w:t xml:space="preserve"> </w:t>
            </w:r>
            <w:r>
              <w:t>Would you like to have choice between different water tariffs? If yes, are you confident that you will be able to select the best tariff for your particular circumstances?</w:t>
            </w:r>
          </w:p>
        </w:tc>
      </w:tr>
    </w:tbl>
    <w:p w:rsidR="00461796" w:rsidRDefault="00461796" w:rsidP="00101ADB">
      <w:pPr>
        <w:pStyle w:val="Heading3"/>
      </w:pPr>
      <w:bookmarkStart w:id="184" w:name="Four_differential_tariffs"/>
      <w:bookmarkEnd w:id="184"/>
      <w:r>
        <w:t>Tariff differentiation</w:t>
      </w:r>
    </w:p>
    <w:p w:rsidR="00461796" w:rsidRDefault="008F3258" w:rsidP="00461796">
      <w:r>
        <w:t>Icon Water’</w:t>
      </w:r>
      <w:r w:rsidR="00461796">
        <w:t>s current water tariff structure does not differentiate between type of customer or by location.</w:t>
      </w:r>
    </w:p>
    <w:p w:rsidR="00461796" w:rsidRDefault="00461796" w:rsidP="00461796">
      <w:pPr>
        <w:pStyle w:val="Heading4"/>
      </w:pPr>
      <w:r>
        <w:t>Customer type</w:t>
      </w:r>
    </w:p>
    <w:p w:rsidR="00461796" w:rsidRDefault="00461796" w:rsidP="00461796">
      <w:r>
        <w:t xml:space="preserve">As discussed in section </w:t>
      </w:r>
      <w:r w:rsidR="00A7215E">
        <w:fldChar w:fldCharType="begin"/>
      </w:r>
      <w:r>
        <w:instrText xml:space="preserve"> REF _Ref434394632 \r \h </w:instrText>
      </w:r>
      <w:r w:rsidR="00A7215E">
        <w:fldChar w:fldCharType="separate"/>
      </w:r>
      <w:r w:rsidR="00E43227">
        <w:t>4.3</w:t>
      </w:r>
      <w:r w:rsidR="00A7215E">
        <w:fldChar w:fldCharType="end"/>
      </w:r>
      <w:r>
        <w:t xml:space="preserve">, a number of utilities in other jurisdictions have different tariffs for residential and business customers. </w:t>
      </w:r>
      <w:r w:rsidRPr="009E3DA3">
        <w:t>Where there is a difference between the tariffs charged to each customer group, there appears to be a tendency for non-residential customers to face a comparable fixed charge to that of residential customers</w:t>
      </w:r>
      <w:r w:rsidR="008F3258">
        <w:t>,</w:t>
      </w:r>
      <w:r w:rsidRPr="009E3DA3">
        <w:t xml:space="preserve"> but for non-residential customers to face a single volumetric charge typically set at the lowest </w:t>
      </w:r>
      <w:r>
        <w:t xml:space="preserve">or middle </w:t>
      </w:r>
      <w:r w:rsidR="008F3258">
        <w:t>residential tier.</w:t>
      </w:r>
    </w:p>
    <w:p w:rsidR="00461796" w:rsidRDefault="00461796" w:rsidP="00461796">
      <w:r>
        <w:t>To avoid any cross-subsidisation of one tariff class by another, the key issue is whether there is any difference between the cost of servicing residential and business customers. It is possible that</w:t>
      </w:r>
      <w:r w:rsidRPr="00DE463B">
        <w:t xml:space="preserve"> </w:t>
      </w:r>
      <w:r>
        <w:t xml:space="preserve">it </w:t>
      </w:r>
      <w:r w:rsidRPr="00DE463B">
        <w:t xml:space="preserve">may be less expensive to service </w:t>
      </w:r>
      <w:r>
        <w:t xml:space="preserve">business </w:t>
      </w:r>
      <w:r w:rsidRPr="00DE463B">
        <w:t>customers compared to residential customers due to reduced costs such as lower meter-reading costs and default rates.</w:t>
      </w:r>
    </w:p>
    <w:p w:rsidR="00461796" w:rsidRDefault="00461796" w:rsidP="00461796">
      <w:pPr>
        <w:pStyle w:val="Heading4"/>
      </w:pPr>
      <w:r>
        <w:t>Location</w:t>
      </w:r>
    </w:p>
    <w:p w:rsidR="00461796" w:rsidRDefault="00461796" w:rsidP="00461796">
      <w:r>
        <w:t>Icon Water</w:t>
      </w:r>
      <w:r w:rsidR="008F3258">
        <w:t>’</w:t>
      </w:r>
      <w:r>
        <w:t>s tariffs are applied equally across its customers in the ACT irrespective of their location. This is known as postage stamp pricing.</w:t>
      </w:r>
    </w:p>
    <w:p w:rsidR="00461796" w:rsidRDefault="00461796" w:rsidP="00461796">
      <w:r>
        <w:t xml:space="preserve">The alternative is </w:t>
      </w:r>
      <w:r w:rsidRPr="00F11404">
        <w:t>differential pricing to reflect cost differentials</w:t>
      </w:r>
      <w:r>
        <w:t xml:space="preserve"> for different parts of the network, also known as </w:t>
      </w:r>
      <w:r w:rsidRPr="00F11404">
        <w:t>nodal pricing.</w:t>
      </w:r>
      <w:r>
        <w:t xml:space="preserve"> Nodal pricing is utilised in the electricity industry in other parts of the world, particularly in regard to electricity spot price markets.</w:t>
      </w:r>
      <w:r>
        <w:rPr>
          <w:rStyle w:val="FootnoteReference"/>
        </w:rPr>
        <w:footnoteReference w:id="115"/>
      </w:r>
      <w:r>
        <w:t xml:space="preserve"> In the electricity context, the argument is that:</w:t>
      </w:r>
    </w:p>
    <w:p w:rsidR="00461796" w:rsidRDefault="00461796" w:rsidP="00461796">
      <w:pPr>
        <w:pStyle w:val="Quote"/>
      </w:pPr>
      <w:r w:rsidRPr="000E5647">
        <w:t>The first-best price of electricity at each point on a network (node) equals</w:t>
      </w:r>
      <w:r>
        <w:t xml:space="preserve"> </w:t>
      </w:r>
      <w:r w:rsidRPr="000E5647">
        <w:t>the marginal cost of providing electricity at that node.</w:t>
      </w:r>
      <w:r>
        <w:rPr>
          <w:rStyle w:val="FootnoteReference"/>
        </w:rPr>
        <w:footnoteReference w:id="116"/>
      </w:r>
    </w:p>
    <w:p w:rsidR="00461796" w:rsidRDefault="00461796" w:rsidP="00461796">
      <w:r>
        <w:t>Nodal pricing effectively takes marginal cost pricing to a geographic level. In the case of water, if the cost of supplying water to suburb A is substantially lower than to suburb B, say because A is at lower elevation and incurs lower pumping costs, nodal pricing would involve a lower water price for A than B.</w:t>
      </w:r>
    </w:p>
    <w:p w:rsidR="00461796" w:rsidRDefault="00461796" w:rsidP="00461796">
      <w:r w:rsidRPr="007B79A9">
        <w:t>The</w:t>
      </w:r>
      <w:r>
        <w:t xml:space="preserve"> Commission is interested in hearing from stakeholders, and particularly Icon Water, about their views on the costs of servicing different customer types an</w:t>
      </w:r>
      <w:r w:rsidR="001B2CD5">
        <w:t>d locations.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hemeFill="accent6" w:themeFillTint="99"/>
        <w:tblLook w:val="00A0"/>
      </w:tblPr>
      <w:tblGrid>
        <w:gridCol w:w="7927"/>
      </w:tblGrid>
      <w:tr w:rsidR="00461796" w:rsidTr="00BC5669">
        <w:tc>
          <w:tcPr>
            <w:tcW w:w="7927" w:type="dxa"/>
            <w:shd w:val="clear" w:color="auto" w:fill="FABF8F" w:themeFill="accent6" w:themeFillTint="99"/>
          </w:tcPr>
          <w:p w:rsidR="00461796" w:rsidRPr="00C51D5B" w:rsidRDefault="00461796" w:rsidP="00BC5669">
            <w:r w:rsidRPr="00C51D5B">
              <w:rPr>
                <w:rStyle w:val="Bold"/>
              </w:rPr>
              <w:t>Q</w:t>
            </w:r>
            <w:r>
              <w:rPr>
                <w:rStyle w:val="Bold"/>
              </w:rPr>
              <w:t>8</w:t>
            </w:r>
            <w:r w:rsidRPr="00C51D5B">
              <w:rPr>
                <w:rStyle w:val="Bold"/>
              </w:rPr>
              <w:t>:</w:t>
            </w:r>
            <w:r w:rsidRPr="00C51D5B">
              <w:t xml:space="preserve"> </w:t>
            </w:r>
            <w:r>
              <w:t>Do you think there are any cost differences between providing water services to business and residential customers or to customers in different locations? If yes, what are these differences due to?</w:t>
            </w:r>
          </w:p>
        </w:tc>
      </w:tr>
    </w:tbl>
    <w:p w:rsidR="00461796" w:rsidRDefault="00461796" w:rsidP="00101ADB">
      <w:pPr>
        <w:pStyle w:val="Heading3"/>
      </w:pPr>
      <w:bookmarkStart w:id="185" w:name="Four_developer_charges"/>
      <w:bookmarkEnd w:id="185"/>
      <w:r>
        <w:t>Developer charges</w:t>
      </w:r>
    </w:p>
    <w:p w:rsidR="00461796" w:rsidRDefault="00461796" w:rsidP="00461796">
      <w:r>
        <w:t>A</w:t>
      </w:r>
      <w:r w:rsidRPr="00DA14B3">
        <w:t>n alternative approach to reflect locational cost differences</w:t>
      </w:r>
      <w:r>
        <w:t xml:space="preserve"> is to impose developer charges that are </w:t>
      </w:r>
      <w:r w:rsidRPr="00DA14B3">
        <w:t xml:space="preserve">designed to reflect the costs of supplying new water or sewerage infrastructure to service </w:t>
      </w:r>
      <w:r w:rsidR="009B13E0">
        <w:t>new (</w:t>
      </w:r>
      <w:r w:rsidR="00543C91">
        <w:t>green</w:t>
      </w:r>
      <w:r w:rsidR="009B13E0">
        <w:t>-</w:t>
      </w:r>
      <w:r w:rsidR="00543C91">
        <w:t xml:space="preserve">field or </w:t>
      </w:r>
      <w:r w:rsidR="009B13E0">
        <w:t>brown-field)</w:t>
      </w:r>
      <w:r w:rsidR="00543C91">
        <w:t xml:space="preserve"> </w:t>
      </w:r>
      <w:r w:rsidRPr="00DA14B3">
        <w:t>developments.</w:t>
      </w:r>
      <w:r w:rsidR="0050549B">
        <w:rPr>
          <w:rStyle w:val="FootnoteReference"/>
        </w:rPr>
        <w:footnoteReference w:id="117"/>
      </w:r>
    </w:p>
    <w:p w:rsidR="00461796" w:rsidRPr="005B1CBD" w:rsidRDefault="00461796" w:rsidP="00461796">
      <w:r w:rsidRPr="005B1CBD">
        <w:t>In the case of a new development, it is first necessary to distinguish between the costs of local reticulation assets and connection to the existing network, and the costs of having to augment or upgrade the existing water network to service the development.</w:t>
      </w:r>
    </w:p>
    <w:p w:rsidR="00461796" w:rsidRDefault="00461796" w:rsidP="00461796">
      <w:pPr>
        <w:pStyle w:val="Heading4"/>
      </w:pPr>
      <w:r>
        <w:t>Local reticulation and connection costs</w:t>
      </w:r>
    </w:p>
    <w:p w:rsidR="00461796" w:rsidRPr="005B1CBD" w:rsidRDefault="00461796" w:rsidP="00461796">
      <w:r w:rsidRPr="005B1CBD">
        <w:t xml:space="preserve">As noted by </w:t>
      </w:r>
      <w:r w:rsidRPr="00390110">
        <w:t>Frontier Economics (2008</w:t>
      </w:r>
      <w:r w:rsidRPr="005B1CBD">
        <w:t>), most water infrastructure pricing regimes require developers to install and pay for local reticulation assets and the costs of connection to the existing grid – given that these costs are directly attributable to the development. These costs are generally recovered from the block purchasers</w:t>
      </w:r>
      <w:r w:rsidR="00C94AA2">
        <w:t>,</w:t>
      </w:r>
      <w:r w:rsidRPr="005B1CBD">
        <w:t xml:space="preserve"> with the developer handing over the assets to the local water utility after completion as a gifted asset</w:t>
      </w:r>
      <w:r>
        <w:t xml:space="preserve"> or capital contribution</w:t>
      </w:r>
      <w:r w:rsidRPr="005B1CBD">
        <w:t>.</w:t>
      </w:r>
    </w:p>
    <w:p w:rsidR="00461796" w:rsidRPr="005B1CBD" w:rsidRDefault="00461796" w:rsidP="00461796">
      <w:pPr>
        <w:pStyle w:val="Heading4"/>
      </w:pPr>
      <w:r w:rsidRPr="005B1CBD">
        <w:t>Recovering augmentation costs through developer charges</w:t>
      </w:r>
    </w:p>
    <w:p w:rsidR="00461796" w:rsidRPr="005B1CBD" w:rsidRDefault="00461796" w:rsidP="00461796">
      <w:r w:rsidRPr="005B1CBD">
        <w:t>Network augmentation or upgrade costs to the existing water network to service a new development could include the construction of additional trunk assets such as mains pipelines or water reservoirs. It is in relation to these costs that the question of developer charges generally arises. The water utility has two choices: it can either fund this infrastructure itself and recover the costs from all water customers through postage stamp pricing; or it can levy an up-front charge on the developer.</w:t>
      </w:r>
    </w:p>
    <w:p w:rsidR="00461796" w:rsidRPr="005B1CBD" w:rsidRDefault="00461796" w:rsidP="00461796">
      <w:r w:rsidRPr="005B1CBD">
        <w:t>Frontier Economics note</w:t>
      </w:r>
      <w:r w:rsidR="00C94AA2">
        <w:t>s</w:t>
      </w:r>
      <w:r w:rsidRPr="005B1CBD">
        <w:t xml:space="preserve"> that developer charges can serve two purposes:</w:t>
      </w:r>
    </w:p>
    <w:p w:rsidR="00461796" w:rsidRPr="00DA14B3" w:rsidRDefault="00C94AA2" w:rsidP="00461796">
      <w:pPr>
        <w:pStyle w:val="Bullet"/>
      </w:pPr>
      <w:r>
        <w:t>p</w:t>
      </w:r>
      <w:r w:rsidR="00461796" w:rsidRPr="00DA14B3">
        <w:t xml:space="preserve">rice signalling </w:t>
      </w:r>
      <w:r w:rsidR="00461796">
        <w:sym w:font="Symbol" w:char="F02D"/>
      </w:r>
      <w:r w:rsidR="00461796" w:rsidRPr="00DA14B3">
        <w:t xml:space="preserve"> to encourage efficient patterns of development by signalling</w:t>
      </w:r>
      <w:r w:rsidR="00461796">
        <w:t xml:space="preserve"> </w:t>
      </w:r>
      <w:r w:rsidR="00461796" w:rsidRPr="00DA14B3">
        <w:t>to developers the infrastructure costs associated with development in different</w:t>
      </w:r>
      <w:r w:rsidR="00461796">
        <w:t xml:space="preserve"> </w:t>
      </w:r>
      <w:r w:rsidR="00461796" w:rsidRPr="00DA14B3">
        <w:t>locations</w:t>
      </w:r>
      <w:r>
        <w:t>; and</w:t>
      </w:r>
    </w:p>
    <w:p w:rsidR="00461796" w:rsidRDefault="00C94AA2" w:rsidP="00461796">
      <w:pPr>
        <w:pStyle w:val="BulletLast"/>
      </w:pPr>
      <w:r>
        <w:t>c</w:t>
      </w:r>
      <w:r w:rsidR="00461796" w:rsidRPr="00DA14B3">
        <w:t xml:space="preserve">ost recovery </w:t>
      </w:r>
      <w:r w:rsidR="00461796">
        <w:sym w:font="Symbol" w:char="F02D"/>
      </w:r>
      <w:r w:rsidR="00461796" w:rsidRPr="00DA14B3">
        <w:t xml:space="preserve"> a means of recovering the costs incurred in extending or</w:t>
      </w:r>
      <w:r w:rsidR="00461796">
        <w:t xml:space="preserve"> </w:t>
      </w:r>
      <w:r w:rsidR="00461796" w:rsidRPr="00DA14B3">
        <w:t>upgrading infrastructure.</w:t>
      </w:r>
      <w:r w:rsidR="00461796">
        <w:rPr>
          <w:rStyle w:val="FootnoteReference"/>
        </w:rPr>
        <w:footnoteReference w:id="118"/>
      </w:r>
    </w:p>
    <w:p w:rsidR="00461796" w:rsidRDefault="00461796" w:rsidP="00461796">
      <w:pPr>
        <w:pStyle w:val="Heading4"/>
      </w:pPr>
      <w:r>
        <w:t>Developer charges in practice</w:t>
      </w:r>
    </w:p>
    <w:p w:rsidR="00461796" w:rsidRDefault="00461796" w:rsidP="00461796">
      <w:r>
        <w:t>Icon Water requires developers to</w:t>
      </w:r>
      <w:r w:rsidRPr="00F950A9">
        <w:t xml:space="preserve"> install and pay for local reticulation assets and the costs of connection to the existing grid</w:t>
      </w:r>
      <w:r>
        <w:t xml:space="preserve">, but does not levy developer charges for any augmentation requirements. In its submission to the Productivity Commission’s review of urban </w:t>
      </w:r>
      <w:r w:rsidR="00DC1ED9">
        <w:t xml:space="preserve">water, Icon Water </w:t>
      </w:r>
      <w:r w:rsidR="00C94AA2">
        <w:t xml:space="preserve">(then ACTEW) </w:t>
      </w:r>
      <w:r w:rsidR="00DC1ED9">
        <w:t>stated:</w:t>
      </w:r>
    </w:p>
    <w:p w:rsidR="00461796" w:rsidRDefault="00461796" w:rsidP="00461796">
      <w:pPr>
        <w:pStyle w:val="Quote"/>
      </w:pPr>
      <w:r w:rsidRPr="00D16764">
        <w:t xml:space="preserve">Under the </w:t>
      </w:r>
      <w:r w:rsidRPr="00CC3A43">
        <w:rPr>
          <w:i/>
        </w:rPr>
        <w:t xml:space="preserve">Utilities Act 2000 </w:t>
      </w:r>
      <w:r w:rsidRPr="00D16764">
        <w:t>(ACT), ACTEW is able to levy a capital contribution</w:t>
      </w:r>
      <w:r>
        <w:t xml:space="preserve"> </w:t>
      </w:r>
      <w:r w:rsidRPr="00D16764">
        <w:t>charge on developers for the development or augmentation of its network. However,</w:t>
      </w:r>
      <w:r>
        <w:t xml:space="preserve"> </w:t>
      </w:r>
      <w:r w:rsidRPr="00D16764">
        <w:t>ACTEW has not introduced a capital contributions policy.</w:t>
      </w:r>
    </w:p>
    <w:p w:rsidR="00461796" w:rsidRDefault="00461796" w:rsidP="00461796">
      <w:pPr>
        <w:pStyle w:val="Quote"/>
      </w:pPr>
      <w:r w:rsidRPr="00D16764">
        <w:t>To levy developer contribution charges, ACTEW would be required to develop a</w:t>
      </w:r>
      <w:r>
        <w:t xml:space="preserve"> </w:t>
      </w:r>
      <w:r w:rsidRPr="00D16764">
        <w:t>capital contributions code under the Act. ACTEW considers that the administration of</w:t>
      </w:r>
      <w:r>
        <w:t xml:space="preserve"> </w:t>
      </w:r>
      <w:r w:rsidRPr="00D16764">
        <w:t>such a code for water and wastewater sector assets would be resource intensive, and</w:t>
      </w:r>
      <w:r>
        <w:t xml:space="preserve"> </w:t>
      </w:r>
      <w:r w:rsidRPr="00D16764">
        <w:t>in any case a code would be of questionable merit in the ACT given the Ter</w:t>
      </w:r>
      <w:r w:rsidR="00C94AA2">
        <w:t>ritory’</w:t>
      </w:r>
      <w:r w:rsidRPr="00D16764">
        <w:t>s</w:t>
      </w:r>
      <w:r>
        <w:t xml:space="preserve"> </w:t>
      </w:r>
      <w:r w:rsidRPr="00D16764">
        <w:t>ordered approach to development, which removes the need for locational signals. As a</w:t>
      </w:r>
      <w:r>
        <w:t xml:space="preserve"> </w:t>
      </w:r>
      <w:r w:rsidRPr="00D16764">
        <w:t>result, ACTEW continues to fund required water and sewerage urban infill</w:t>
      </w:r>
      <w:r>
        <w:t xml:space="preserve"> </w:t>
      </w:r>
      <w:r w:rsidRPr="00D16764">
        <w:t>development.</w:t>
      </w:r>
      <w:r>
        <w:rPr>
          <w:rStyle w:val="FootnoteReference"/>
        </w:rPr>
        <w:footnoteReference w:id="119"/>
      </w:r>
    </w:p>
    <w:p w:rsidR="00461796" w:rsidRDefault="00461796" w:rsidP="00461796">
      <w:r>
        <w:t>Sydney Water has a similar approach for mains water:</w:t>
      </w:r>
      <w:r>
        <w:rPr>
          <w:rStyle w:val="FootnoteReference"/>
        </w:rPr>
        <w:footnoteReference w:id="120"/>
      </w:r>
    </w:p>
    <w:p w:rsidR="00461796" w:rsidRPr="00BE4664" w:rsidRDefault="00461796" w:rsidP="00461796">
      <w:pPr>
        <w:pStyle w:val="Quote"/>
      </w:pPr>
      <w:r w:rsidRPr="0001551E">
        <w:t>Each year, Sydney Water takes over the ownersh</w:t>
      </w:r>
      <w:r w:rsidR="00B2604C">
        <w:t>ip of about $100 million</w:t>
      </w:r>
      <w:r w:rsidRPr="0001551E">
        <w:t xml:space="preserve"> worth of infrastructure, which has been built by developers. Generally developers hand over smaller reticulation assets to Sydney Water ‘free of charge’, but Sydney Water pays for larger trunk assets.</w:t>
      </w:r>
      <w:r>
        <w:rPr>
          <w:rStyle w:val="FootnoteReference"/>
        </w:rPr>
        <w:footnoteReference w:id="121"/>
      </w:r>
    </w:p>
    <w:p w:rsidR="00461796" w:rsidRDefault="00461796" w:rsidP="00461796">
      <w:r>
        <w:t>City West Water has the following general arrangements:</w:t>
      </w:r>
    </w:p>
    <w:p w:rsidR="00461796" w:rsidRPr="007D2D78" w:rsidRDefault="00461796" w:rsidP="00461796">
      <w:pPr>
        <w:pStyle w:val="Bullet"/>
      </w:pPr>
      <w:r>
        <w:t xml:space="preserve">City </w:t>
      </w:r>
      <w:r w:rsidRPr="007D2D78">
        <w:t>West Water is responsible for providing shared assets and temporary shared assets</w:t>
      </w:r>
      <w:r>
        <w:t>;</w:t>
      </w:r>
    </w:p>
    <w:p w:rsidR="00461796" w:rsidRPr="007D2D78" w:rsidRDefault="00461796" w:rsidP="00461796">
      <w:pPr>
        <w:pStyle w:val="Bullet"/>
      </w:pPr>
      <w:r>
        <w:t>d</w:t>
      </w:r>
      <w:r w:rsidRPr="007D2D78">
        <w:t>evelopers are responsible for providing reticulation assets and temporary reticulation assets</w:t>
      </w:r>
      <w:r>
        <w:t>; and</w:t>
      </w:r>
    </w:p>
    <w:p w:rsidR="00461796" w:rsidRPr="007D2D78" w:rsidRDefault="00461796" w:rsidP="00461796">
      <w:pPr>
        <w:pStyle w:val="BulletLast"/>
      </w:pPr>
      <w:r>
        <w:t>d</w:t>
      </w:r>
      <w:r w:rsidRPr="007D2D78">
        <w:t>evelopers are responsible for the financing costs associated with bringing forward the provision of shared assets and/or temporary shared works</w:t>
      </w:r>
      <w:r>
        <w:t>.</w:t>
      </w:r>
      <w:r>
        <w:rPr>
          <w:rStyle w:val="FootnoteReference"/>
        </w:rPr>
        <w:footnoteReference w:id="122"/>
      </w:r>
    </w:p>
    <w:p w:rsidR="00461796" w:rsidRPr="00F255BC" w:rsidRDefault="00461796" w:rsidP="00461796">
      <w:pPr>
        <w:keepNext/>
      </w:pPr>
      <w:r w:rsidRPr="00F255BC">
        <w:t>The Commission is interested in hearing from stakeholders, and particularly Icon Water</w:t>
      </w:r>
      <w:r>
        <w:t xml:space="preserve"> and estate developers</w:t>
      </w:r>
      <w:r w:rsidRPr="00F255BC">
        <w:t xml:space="preserve">, about their views on the </w:t>
      </w:r>
      <w:r>
        <w:t>introduction of developer charges</w:t>
      </w:r>
      <w:r w:rsidR="001B2CD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hemeFill="accent6" w:themeFillTint="99"/>
        <w:tblLook w:val="00A0"/>
      </w:tblPr>
      <w:tblGrid>
        <w:gridCol w:w="7927"/>
      </w:tblGrid>
      <w:tr w:rsidR="00461796" w:rsidTr="00BC5669">
        <w:tc>
          <w:tcPr>
            <w:tcW w:w="7927" w:type="dxa"/>
            <w:shd w:val="clear" w:color="auto" w:fill="FABF8F" w:themeFill="accent6" w:themeFillTint="99"/>
          </w:tcPr>
          <w:p w:rsidR="00461796" w:rsidRPr="00F255BC" w:rsidRDefault="00461796" w:rsidP="00BC5669">
            <w:pPr>
              <w:keepNext/>
            </w:pPr>
            <w:r w:rsidRPr="00F255BC">
              <w:rPr>
                <w:rStyle w:val="Bold"/>
              </w:rPr>
              <w:t>Q</w:t>
            </w:r>
            <w:r>
              <w:rPr>
                <w:rStyle w:val="Bold"/>
              </w:rPr>
              <w:t>9</w:t>
            </w:r>
            <w:r w:rsidRPr="00F255BC">
              <w:rPr>
                <w:rStyle w:val="Bold"/>
              </w:rPr>
              <w:t>:</w:t>
            </w:r>
            <w:r w:rsidRPr="00F255BC">
              <w:t xml:space="preserve"> Do you think</w:t>
            </w:r>
            <w:r>
              <w:t xml:space="preserve"> Icon Water should consider levying developer charges for new developments in an effort to send the right price signals about the actual costs involved</w:t>
            </w:r>
            <w:r w:rsidRPr="00F255BC">
              <w:t>?</w:t>
            </w:r>
          </w:p>
        </w:tc>
      </w:tr>
    </w:tbl>
    <w:p w:rsidR="00461796" w:rsidRDefault="00461796" w:rsidP="00461796"/>
    <w:p w:rsidR="00461796" w:rsidRDefault="00461796" w:rsidP="00101ADB">
      <w:pPr>
        <w:pStyle w:val="Heading3"/>
      </w:pPr>
      <w:r>
        <w:t>Uneconomic bypass</w:t>
      </w:r>
    </w:p>
    <w:p w:rsidR="00461796" w:rsidRDefault="00461796" w:rsidP="00461796">
      <w:r>
        <w:t xml:space="preserve">As discussed in section </w:t>
      </w:r>
      <w:fldSimple w:instr=" REF _Ref431892917 \r \h  \* MERGEFORMAT ">
        <w:r w:rsidR="00E43227">
          <w:t>2.4.1</w:t>
        </w:r>
      </w:fldSimple>
      <w:r>
        <w:t>, there are a number of public and privately</w:t>
      </w:r>
      <w:r w:rsidR="00B2604C">
        <w:t xml:space="preserve"> </w:t>
      </w:r>
      <w:r>
        <w:t>funded secondary water initiatives in the ACT. Initiatives of any significant size have implications for the pricing of primary water. This is because they raise the possibility of economically inefficient bypass of the primary network.</w:t>
      </w:r>
    </w:p>
    <w:p w:rsidR="00461796" w:rsidRDefault="00461796" w:rsidP="00461796">
      <w:r>
        <w:t>As noted in its 2011 tariff issues paper, the E</w:t>
      </w:r>
      <w:r w:rsidR="00101ADB">
        <w:t xml:space="preserve">ssential </w:t>
      </w:r>
      <w:r>
        <w:t>S</w:t>
      </w:r>
      <w:r w:rsidR="00101ADB">
        <w:t xml:space="preserve">ervices </w:t>
      </w:r>
      <w:r>
        <w:t>C</w:t>
      </w:r>
      <w:r w:rsidR="00101ADB">
        <w:t>ommission</w:t>
      </w:r>
      <w:r>
        <w:t xml:space="preserve"> in Victoria has adopted an upper and lower bound pricing approach as a means to avoid incentives for the inefficient bypass of regulated infrastructure:</w:t>
      </w:r>
    </w:p>
    <w:p w:rsidR="00461796" w:rsidRPr="0095630A" w:rsidRDefault="00461796" w:rsidP="00461796">
      <w:pPr>
        <w:pStyle w:val="Quote"/>
      </w:pPr>
      <w:r w:rsidRPr="0095630A">
        <w:t>For each tariff class, the revenue expected to be recovered should lie on or</w:t>
      </w:r>
      <w:r>
        <w:t xml:space="preserve"> </w:t>
      </w:r>
      <w:r w:rsidRPr="0095630A">
        <w:t>between:</w:t>
      </w:r>
    </w:p>
    <w:p w:rsidR="00461796" w:rsidRPr="0095630A" w:rsidRDefault="00461796" w:rsidP="00461796">
      <w:pPr>
        <w:pStyle w:val="QuoteBullet"/>
        <w:numPr>
          <w:ilvl w:val="0"/>
          <w:numId w:val="26"/>
        </w:numPr>
      </w:pPr>
      <w:r w:rsidRPr="0095630A">
        <w:t>an upper bound representing the stand alone cost of serving the customers</w:t>
      </w:r>
      <w:r>
        <w:t xml:space="preserve"> </w:t>
      </w:r>
      <w:r w:rsidRPr="0095630A">
        <w:t>who belong to that class</w:t>
      </w:r>
      <w:r w:rsidR="00B2604C">
        <w:t>;</w:t>
      </w:r>
      <w:r w:rsidRPr="0095630A">
        <w:t xml:space="preserve"> and</w:t>
      </w:r>
    </w:p>
    <w:p w:rsidR="00461796" w:rsidRDefault="00461796" w:rsidP="00461796">
      <w:pPr>
        <w:pStyle w:val="QuoteBullet"/>
        <w:numPr>
          <w:ilvl w:val="0"/>
          <w:numId w:val="26"/>
        </w:numPr>
      </w:pPr>
      <w:r w:rsidRPr="0095630A">
        <w:t>a lower bound representing the avoidable cost of not serving those</w:t>
      </w:r>
      <w:r>
        <w:t xml:space="preserve"> </w:t>
      </w:r>
      <w:r w:rsidRPr="0095630A">
        <w:t>customers</w:t>
      </w:r>
      <w:r w:rsidR="00B2604C">
        <w:t>.</w:t>
      </w:r>
      <w:r>
        <w:rPr>
          <w:rStyle w:val="FootnoteReference"/>
        </w:rPr>
        <w:footnoteReference w:id="123"/>
      </w:r>
    </w:p>
    <w:p w:rsidR="00461796" w:rsidRDefault="00461796" w:rsidP="00461796">
      <w:r>
        <w:t xml:space="preserve">Putting this approach into practice is best explained with reference to an ACT example: Icon Water facing competition for water for irrigation purposes from the </w:t>
      </w:r>
      <w:r w:rsidRPr="00C53ABB">
        <w:t>Inner North pilot</w:t>
      </w:r>
      <w:r>
        <w:t xml:space="preserve"> of the Canberra Integrated Urban Waterways Project.</w:t>
      </w:r>
    </w:p>
    <w:p w:rsidR="00461796" w:rsidRDefault="00461796" w:rsidP="00461796">
      <w:r>
        <w:t>In its 2012 secondary water report, the Commission assessed the cost-effectiveness of various secondary water initiatives against that of the primary water supply system.</w:t>
      </w:r>
      <w:r>
        <w:rPr>
          <w:rStyle w:val="FootnoteReference"/>
        </w:rPr>
        <w:footnoteReference w:id="124"/>
      </w:r>
      <w:r>
        <w:t xml:space="preserve"> </w:t>
      </w:r>
      <w:r w:rsidRPr="00C53ABB">
        <w:t>The analysis undertaken for th</w:t>
      </w:r>
      <w:r>
        <w:t>at</w:t>
      </w:r>
      <w:r w:rsidRPr="00C53ABB">
        <w:t xml:space="preserve"> inquiry indicated a levelised cost for the Inner North pilot of $4.12/kL.</w:t>
      </w:r>
      <w:r>
        <w:rPr>
          <w:rStyle w:val="FootnoteReference"/>
        </w:rPr>
        <w:footnoteReference w:id="125"/>
      </w:r>
      <w:r w:rsidRPr="00C53ABB">
        <w:t xml:space="preserve"> This compare</w:t>
      </w:r>
      <w:r>
        <w:t>d</w:t>
      </w:r>
      <w:r w:rsidRPr="00C53ABB">
        <w:t xml:space="preserve"> to </w:t>
      </w:r>
      <w:r>
        <w:t xml:space="preserve">the short-run marginal </w:t>
      </w:r>
      <w:r w:rsidRPr="00C53ABB">
        <w:t xml:space="preserve">cost of water from the </w:t>
      </w:r>
      <w:r>
        <w:t xml:space="preserve">Icon Water primary </w:t>
      </w:r>
      <w:r w:rsidRPr="00C53ABB">
        <w:t xml:space="preserve">supply of </w:t>
      </w:r>
      <w:r>
        <w:t xml:space="preserve">about </w:t>
      </w:r>
      <w:r w:rsidRPr="00C53ABB">
        <w:t>$0.30/kL.</w:t>
      </w:r>
      <w:r>
        <w:t xml:space="preserve"> Icon Water</w:t>
      </w:r>
      <w:r w:rsidR="00B2604C">
        <w:t>’</w:t>
      </w:r>
      <w:r>
        <w:t>s top</w:t>
      </w:r>
      <w:r w:rsidR="00B2604C">
        <w:t>-</w:t>
      </w:r>
      <w:r>
        <w:t>tier water price at the same time (2012</w:t>
      </w:r>
      <w:r>
        <w:sym w:font="Symbol" w:char="F02D"/>
      </w:r>
      <w:r>
        <w:t>13) was $4.86/kL.</w:t>
      </w:r>
    </w:p>
    <w:p w:rsidR="00461796" w:rsidRDefault="00461796" w:rsidP="00461796">
      <w:r>
        <w:t>Should the Inner North pilot set its stormwater price at $4.12/kL, this would be lower than the Icon Water top</w:t>
      </w:r>
      <w:r w:rsidR="00B2604C">
        <w:t>-</w:t>
      </w:r>
      <w:r>
        <w:t>tier price and result in Icon Water losing sales. This would be an example of inefficient bypass as the lower bound avoidable cost of Icon Water not servicing these customers is the short-run marginal cost of $0.30/kL. A rational response from Icon Water under the E</w:t>
      </w:r>
      <w:r w:rsidR="00101ADB">
        <w:t xml:space="preserve">ssential </w:t>
      </w:r>
      <w:r>
        <w:t>S</w:t>
      </w:r>
      <w:r w:rsidR="00101ADB">
        <w:t xml:space="preserve">ervices </w:t>
      </w:r>
      <w:r>
        <w:t>C</w:t>
      </w:r>
      <w:r w:rsidR="00101ADB">
        <w:t>ommission</w:t>
      </w:r>
      <w:r>
        <w:t xml:space="preserve"> approach would be to lower its top</w:t>
      </w:r>
      <w:r w:rsidR="00B2604C">
        <w:t>-</w:t>
      </w:r>
      <w:r>
        <w:t>tier price, for these customers only, to just below $4.12.</w:t>
      </w:r>
    </w:p>
    <w:p w:rsidR="00EB27CF" w:rsidRDefault="00461796" w:rsidP="00461796">
      <w:r>
        <w:t>The potential for the uneconomic bypass of Icon Water’s primary water network is a product of the broader regulatory arrangements in the ACT</w:t>
      </w:r>
      <w:r w:rsidR="00B2604C">
        <w:t>,</w:t>
      </w:r>
      <w:r>
        <w:t xml:space="preserve"> and there is no mechanism for intervention by the Commission. When undertaking a price investigation, however, the Commission will consider any potential impact of secondary water initiatives on Icon Water’s revenue stream</w:t>
      </w:r>
      <w:r w:rsidR="001F3DFE">
        <w:t>.</w:t>
      </w:r>
    </w:p>
    <w:p w:rsidR="00461796" w:rsidRDefault="00461796" w:rsidP="00461796"/>
    <w:p w:rsidR="00461796" w:rsidRDefault="00461796" w:rsidP="00461796">
      <w:pPr>
        <w:sectPr w:rsidR="00461796" w:rsidSect="00E5705A">
          <w:headerReference w:type="default" r:id="rId57"/>
          <w:endnotePr>
            <w:numFmt w:val="decimal"/>
            <w:numRestart w:val="eachSect"/>
          </w:endnotePr>
          <w:pgSz w:w="11907" w:h="16840" w:code="9"/>
          <w:pgMar w:top="2245" w:right="2098" w:bottom="1701" w:left="2098" w:header="578" w:footer="578" w:gutter="0"/>
          <w:cols w:space="720"/>
          <w:noEndnote/>
          <w:docGrid w:linePitch="299"/>
        </w:sectPr>
      </w:pPr>
    </w:p>
    <w:p w:rsidR="00CC18DE" w:rsidRDefault="00BE237A" w:rsidP="001138A7">
      <w:pPr>
        <w:pStyle w:val="Heading1"/>
        <w:sectPr w:rsidR="00CC18DE" w:rsidSect="00EB27CF">
          <w:headerReference w:type="default" r:id="rId58"/>
          <w:endnotePr>
            <w:numFmt w:val="decimal"/>
            <w:numRestart w:val="eachSect"/>
          </w:endnotePr>
          <w:type w:val="oddPage"/>
          <w:pgSz w:w="11907" w:h="16840" w:code="9"/>
          <w:pgMar w:top="2245" w:right="2098" w:bottom="1701" w:left="2098" w:header="578" w:footer="578" w:gutter="0"/>
          <w:cols w:space="720"/>
          <w:noEndnote/>
          <w:docGrid w:linePitch="299"/>
        </w:sectPr>
      </w:pPr>
      <w:bookmarkStart w:id="186" w:name="Chap5"/>
      <w:bookmarkStart w:id="187" w:name="_Ref429472781"/>
      <w:bookmarkStart w:id="188" w:name="_Toc435700171"/>
      <w:bookmarkEnd w:id="186"/>
      <w:r>
        <w:t>Sewerage services pricing</w:t>
      </w:r>
      <w:bookmarkStart w:id="189" w:name="_Toc429146139"/>
      <w:bookmarkEnd w:id="187"/>
      <w:bookmarkEnd w:id="188"/>
    </w:p>
    <w:p w:rsidR="0065431C" w:rsidRDefault="0065431C" w:rsidP="0065431C">
      <w:pPr>
        <w:pStyle w:val="Heading2"/>
      </w:pPr>
      <w:bookmarkStart w:id="190" w:name="Five_ACT_pricing"/>
      <w:bookmarkStart w:id="191" w:name="_Toc435700172"/>
      <w:bookmarkEnd w:id="189"/>
      <w:bookmarkEnd w:id="190"/>
      <w:r>
        <w:t>Introduction</w:t>
      </w:r>
      <w:bookmarkEnd w:id="191"/>
    </w:p>
    <w:p w:rsidR="0065431C" w:rsidRDefault="0065431C" w:rsidP="0065431C">
      <w:r>
        <w:t>This chapter starts by describing sewerage services pricing arrangements in the ACT and other Australian jurisdictions. This is followed by canvassing a number of specific theoretical and practical issues related to the pricing of sewerage services.</w:t>
      </w:r>
    </w:p>
    <w:p w:rsidR="0065431C" w:rsidRDefault="0065431C" w:rsidP="0065431C">
      <w:pPr>
        <w:pStyle w:val="Heading2"/>
      </w:pPr>
      <w:bookmarkStart w:id="192" w:name="_Toc435700173"/>
      <w:r>
        <w:t>Arrangements in the ACT</w:t>
      </w:r>
      <w:bookmarkEnd w:id="192"/>
    </w:p>
    <w:p w:rsidR="0065431C" w:rsidRPr="0055107E" w:rsidRDefault="0065431C" w:rsidP="0065431C">
      <w:r>
        <w:t>Since 2003</w:t>
      </w:r>
      <w:r>
        <w:sym w:font="Symbol" w:char="F02D"/>
      </w:r>
      <w:r>
        <w:t xml:space="preserve">04, sewerage tariffs in the ACT have </w:t>
      </w:r>
      <w:r w:rsidRPr="00F14BB4">
        <w:t>comprise</w:t>
      </w:r>
      <w:r>
        <w:t>d</w:t>
      </w:r>
      <w:r w:rsidRPr="00F14BB4">
        <w:t xml:space="preserve"> a fixed </w:t>
      </w:r>
      <w:r>
        <w:t xml:space="preserve">annual </w:t>
      </w:r>
      <w:r w:rsidRPr="00F14BB4">
        <w:t>supply charge for residential premises, and the same fixed supply charge plus a</w:t>
      </w:r>
      <w:r>
        <w:t>n annual</w:t>
      </w:r>
      <w:r w:rsidRPr="00F14BB4">
        <w:t xml:space="preserve"> charge per flushing fixture (in excess of two) for non-residential premises. </w:t>
      </w:r>
      <w:r>
        <w:t xml:space="preserve">Icon Water does not apply any </w:t>
      </w:r>
      <w:r w:rsidRPr="00F14BB4">
        <w:t>volume</w:t>
      </w:r>
      <w:r>
        <w:t>-</w:t>
      </w:r>
      <w:r w:rsidRPr="00F14BB4">
        <w:t xml:space="preserve"> o</w:t>
      </w:r>
      <w:r>
        <w:t>r strength-based trade waste charges.</w:t>
      </w:r>
    </w:p>
    <w:p w:rsidR="0065431C" w:rsidRPr="0055107E" w:rsidRDefault="00A7215E" w:rsidP="0065431C">
      <w:fldSimple w:instr=" REF _Ref430862811 \h  \* MERGEFORMAT ">
        <w:r w:rsidR="00E43227">
          <w:t xml:space="preserve">Table </w:t>
        </w:r>
        <w:r w:rsidR="00E43227">
          <w:rPr>
            <w:noProof/>
          </w:rPr>
          <w:t>5.1</w:t>
        </w:r>
      </w:fldSimple>
      <w:r w:rsidR="007F52FA">
        <w:t xml:space="preserve"> </w:t>
      </w:r>
      <w:r w:rsidR="0065431C" w:rsidRPr="0055107E">
        <w:t>show</w:t>
      </w:r>
      <w:r w:rsidR="0065431C">
        <w:t>s</w:t>
      </w:r>
      <w:r w:rsidR="0065431C" w:rsidRPr="0055107E">
        <w:t xml:space="preserve"> </w:t>
      </w:r>
      <w:r w:rsidR="0065431C">
        <w:t xml:space="preserve">Icon Water’s sewerage services </w:t>
      </w:r>
      <w:r w:rsidR="0065431C" w:rsidRPr="0055107E">
        <w:t xml:space="preserve">tariffs </w:t>
      </w:r>
      <w:r w:rsidR="0065431C">
        <w:t xml:space="preserve">since </w:t>
      </w:r>
      <w:r w:rsidR="007F52FA">
        <w:t xml:space="preserve">the </w:t>
      </w:r>
      <w:r w:rsidR="0065431C">
        <w:t>1998</w:t>
      </w:r>
      <w:r w:rsidR="0065431C">
        <w:sym w:font="Symbol" w:char="F02D"/>
      </w:r>
      <w:r w:rsidR="0065431C">
        <w:t>99 regulatory period as determined by the Commission</w:t>
      </w:r>
      <w:r w:rsidR="0065431C" w:rsidRPr="0055107E">
        <w:t>.</w:t>
      </w:r>
    </w:p>
    <w:p w:rsidR="0065431C" w:rsidRDefault="0065431C" w:rsidP="0065431C">
      <w:pPr>
        <w:pStyle w:val="FigureName"/>
      </w:pPr>
      <w:bookmarkStart w:id="193" w:name="_Ref430862811"/>
      <w:bookmarkStart w:id="194" w:name="_Toc435700186"/>
      <w:r>
        <w:t xml:space="preserve">Table </w:t>
      </w:r>
      <w:r w:rsidR="00A7215E">
        <w:fldChar w:fldCharType="begin"/>
      </w:r>
      <w:r>
        <w:instrText xml:space="preserve"> STYLEREF 1 \s </w:instrText>
      </w:r>
      <w:r w:rsidR="00A7215E">
        <w:fldChar w:fldCharType="separate"/>
      </w:r>
      <w:r w:rsidR="00E43227">
        <w:rPr>
          <w:noProof/>
        </w:rPr>
        <w:t>5</w:t>
      </w:r>
      <w:r w:rsidR="00A7215E">
        <w:fldChar w:fldCharType="end"/>
      </w:r>
      <w:r>
        <w:t>.</w:t>
      </w:r>
      <w:r w:rsidR="00A7215E">
        <w:fldChar w:fldCharType="begin"/>
      </w:r>
      <w:r>
        <w:instrText xml:space="preserve"> SEQ Table \* ARABIC \s 1 </w:instrText>
      </w:r>
      <w:r w:rsidR="00A7215E">
        <w:fldChar w:fldCharType="separate"/>
      </w:r>
      <w:r w:rsidR="00E43227">
        <w:rPr>
          <w:noProof/>
        </w:rPr>
        <w:t>1</w:t>
      </w:r>
      <w:r w:rsidR="00A7215E">
        <w:fldChar w:fldCharType="end"/>
      </w:r>
      <w:bookmarkEnd w:id="193"/>
      <w:r>
        <w:tab/>
        <w:t>Icon Water sewerage services</w:t>
      </w:r>
      <w:r w:rsidRPr="0084729D">
        <w:t xml:space="preserve"> tariffs, </w:t>
      </w:r>
      <w:r>
        <w:t>1998</w:t>
      </w:r>
      <w:r w:rsidRPr="0084729D">
        <w:t>–</w:t>
      </w:r>
      <w:r>
        <w:t>9</w:t>
      </w:r>
      <w:r w:rsidRPr="0084729D">
        <w:t>9 to 201</w:t>
      </w:r>
      <w:r>
        <w:t>5</w:t>
      </w:r>
      <w:r w:rsidRPr="0084729D">
        <w:t>–1</w:t>
      </w:r>
      <w:r>
        <w:t>6</w:t>
      </w:r>
      <w:r w:rsidRPr="0084729D">
        <w:t xml:space="preserve"> ($</w:t>
      </w:r>
      <w:r>
        <w:t>,</w:t>
      </w:r>
      <w:r w:rsidRPr="0084729D">
        <w:t xml:space="preserve"> current prices)</w:t>
      </w:r>
      <w:bookmarkEnd w:id="194"/>
    </w:p>
    <w:tbl>
      <w:tblPr>
        <w:tblW w:w="7751" w:type="dxa"/>
        <w:tblInd w:w="96" w:type="dxa"/>
        <w:tblLook w:val="04A0"/>
      </w:tblPr>
      <w:tblGrid>
        <w:gridCol w:w="2422"/>
        <w:gridCol w:w="873"/>
        <w:gridCol w:w="1037"/>
        <w:gridCol w:w="873"/>
        <w:gridCol w:w="873"/>
        <w:gridCol w:w="800"/>
        <w:gridCol w:w="873"/>
      </w:tblGrid>
      <w:tr w:rsidR="0065431C" w:rsidRPr="0084729D" w:rsidTr="00095D81">
        <w:trPr>
          <w:trHeight w:val="342"/>
        </w:trPr>
        <w:tc>
          <w:tcPr>
            <w:tcW w:w="2422" w:type="dxa"/>
            <w:tcBorders>
              <w:top w:val="single" w:sz="12" w:space="0" w:color="1F497D"/>
              <w:left w:val="nil"/>
              <w:bottom w:val="single" w:sz="8" w:space="0" w:color="1F497D"/>
              <w:right w:val="nil"/>
            </w:tcBorders>
            <w:shd w:val="clear" w:color="000000" w:fill="DBE5F1"/>
            <w:noWrap/>
            <w:vAlign w:val="bottom"/>
            <w:hideMark/>
          </w:tcPr>
          <w:p w:rsidR="0065431C" w:rsidRPr="00BC12A4" w:rsidRDefault="0065431C" w:rsidP="00BC5669"/>
        </w:tc>
        <w:tc>
          <w:tcPr>
            <w:tcW w:w="873" w:type="dxa"/>
            <w:tcBorders>
              <w:top w:val="single" w:sz="12" w:space="0" w:color="1F497D"/>
              <w:left w:val="nil"/>
              <w:bottom w:val="single" w:sz="8" w:space="0" w:color="1F497D"/>
              <w:right w:val="nil"/>
            </w:tcBorders>
            <w:shd w:val="clear" w:color="000000" w:fill="DBE5F1"/>
            <w:noWrap/>
            <w:hideMark/>
          </w:tcPr>
          <w:p w:rsidR="0065431C" w:rsidRPr="00BC12A4" w:rsidRDefault="0065431C" w:rsidP="00BC5669">
            <w:pPr>
              <w:pStyle w:val="TableHeadingRight"/>
            </w:pPr>
            <w:r w:rsidRPr="00BC12A4">
              <w:t>1998</w:t>
            </w:r>
            <w:r w:rsidR="00886DC1">
              <w:t>–</w:t>
            </w:r>
            <w:r w:rsidRPr="00BC12A4">
              <w:t>99</w:t>
            </w:r>
          </w:p>
        </w:tc>
        <w:tc>
          <w:tcPr>
            <w:tcW w:w="1037" w:type="dxa"/>
            <w:tcBorders>
              <w:top w:val="single" w:sz="12" w:space="0" w:color="1F497D"/>
              <w:left w:val="nil"/>
              <w:bottom w:val="single" w:sz="8" w:space="0" w:color="1F497D"/>
              <w:right w:val="nil"/>
            </w:tcBorders>
            <w:shd w:val="clear" w:color="000000" w:fill="DBE5F1"/>
            <w:noWrap/>
            <w:hideMark/>
          </w:tcPr>
          <w:p w:rsidR="0065431C" w:rsidRPr="00BC12A4" w:rsidRDefault="00886DC1" w:rsidP="00BC5669">
            <w:pPr>
              <w:pStyle w:val="TableHeadingRight"/>
            </w:pPr>
            <w:r>
              <w:t>1999–</w:t>
            </w:r>
            <w:r w:rsidR="007F52FA">
              <w:t>20</w:t>
            </w:r>
            <w:r w:rsidR="0065431C" w:rsidRPr="00BC12A4">
              <w:t>00</w:t>
            </w:r>
          </w:p>
        </w:tc>
        <w:tc>
          <w:tcPr>
            <w:tcW w:w="873" w:type="dxa"/>
            <w:tcBorders>
              <w:top w:val="single" w:sz="12" w:space="0" w:color="1F497D"/>
              <w:left w:val="nil"/>
              <w:bottom w:val="single" w:sz="8" w:space="0" w:color="1F497D"/>
              <w:right w:val="nil"/>
            </w:tcBorders>
            <w:shd w:val="clear" w:color="000000" w:fill="DBE5F1"/>
            <w:noWrap/>
            <w:hideMark/>
          </w:tcPr>
          <w:p w:rsidR="0065431C" w:rsidRPr="00BC12A4" w:rsidRDefault="00886DC1" w:rsidP="00BC5669">
            <w:pPr>
              <w:pStyle w:val="TableHeadingRight"/>
            </w:pPr>
            <w:r>
              <w:t>2000–</w:t>
            </w:r>
            <w:r w:rsidR="0065431C" w:rsidRPr="00BC12A4">
              <w:t>01</w:t>
            </w:r>
          </w:p>
        </w:tc>
        <w:tc>
          <w:tcPr>
            <w:tcW w:w="873" w:type="dxa"/>
            <w:tcBorders>
              <w:top w:val="single" w:sz="12" w:space="0" w:color="1F497D"/>
              <w:left w:val="nil"/>
              <w:bottom w:val="single" w:sz="8" w:space="0" w:color="1F497D"/>
              <w:right w:val="nil"/>
            </w:tcBorders>
            <w:shd w:val="clear" w:color="000000" w:fill="DBE5F1"/>
            <w:noWrap/>
            <w:hideMark/>
          </w:tcPr>
          <w:p w:rsidR="0065431C" w:rsidRPr="00BC12A4" w:rsidRDefault="00886DC1" w:rsidP="00BC5669">
            <w:pPr>
              <w:pStyle w:val="TableHeadingRight"/>
            </w:pPr>
            <w:r>
              <w:t>2001–</w:t>
            </w:r>
            <w:r w:rsidR="0065431C" w:rsidRPr="00BC12A4">
              <w:t>02</w:t>
            </w:r>
          </w:p>
        </w:tc>
        <w:tc>
          <w:tcPr>
            <w:tcW w:w="800" w:type="dxa"/>
            <w:tcBorders>
              <w:top w:val="single" w:sz="12" w:space="0" w:color="1F497D"/>
              <w:left w:val="nil"/>
              <w:bottom w:val="single" w:sz="8" w:space="0" w:color="1F497D"/>
              <w:right w:val="nil"/>
            </w:tcBorders>
            <w:shd w:val="clear" w:color="000000" w:fill="DBE5F1"/>
            <w:noWrap/>
            <w:hideMark/>
          </w:tcPr>
          <w:p w:rsidR="0065431C" w:rsidRPr="00BC12A4" w:rsidRDefault="0065431C" w:rsidP="00886DC1">
            <w:pPr>
              <w:pStyle w:val="TableHeadingRight"/>
            </w:pPr>
            <w:r w:rsidRPr="00BC12A4">
              <w:t>2002</w:t>
            </w:r>
            <w:r w:rsidR="00886DC1">
              <w:t>–</w:t>
            </w:r>
            <w:r w:rsidRPr="00BC12A4">
              <w:t>03</w:t>
            </w:r>
          </w:p>
        </w:tc>
        <w:tc>
          <w:tcPr>
            <w:tcW w:w="873" w:type="dxa"/>
            <w:tcBorders>
              <w:top w:val="single" w:sz="12" w:space="0" w:color="1F497D"/>
              <w:left w:val="nil"/>
              <w:bottom w:val="single" w:sz="8" w:space="0" w:color="1F497D"/>
              <w:right w:val="nil"/>
            </w:tcBorders>
            <w:shd w:val="clear" w:color="000000" w:fill="DBE5F1"/>
          </w:tcPr>
          <w:p w:rsidR="0065431C" w:rsidRPr="00BC12A4" w:rsidRDefault="0065431C" w:rsidP="00BC5669">
            <w:pPr>
              <w:pStyle w:val="TableHeadingRight"/>
            </w:pPr>
            <w:r w:rsidRPr="00BC12A4">
              <w:t>2</w:t>
            </w:r>
            <w:r w:rsidR="00886DC1">
              <w:t>003–</w:t>
            </w:r>
            <w:r w:rsidRPr="00BC12A4">
              <w:t>04</w:t>
            </w:r>
          </w:p>
        </w:tc>
      </w:tr>
      <w:tr w:rsidR="0065431C" w:rsidRPr="0084729D" w:rsidTr="00095D81">
        <w:trPr>
          <w:trHeight w:val="300"/>
        </w:trPr>
        <w:tc>
          <w:tcPr>
            <w:tcW w:w="2422" w:type="dxa"/>
            <w:tcBorders>
              <w:top w:val="nil"/>
              <w:left w:val="nil"/>
              <w:bottom w:val="nil"/>
              <w:right w:val="nil"/>
            </w:tcBorders>
            <w:shd w:val="clear" w:color="auto" w:fill="auto"/>
            <w:vAlign w:val="bottom"/>
            <w:hideMark/>
          </w:tcPr>
          <w:p w:rsidR="0065431C" w:rsidRPr="00BC12A4" w:rsidRDefault="0065431C" w:rsidP="00BC5669">
            <w:pPr>
              <w:pStyle w:val="TableTextLeft"/>
            </w:pPr>
            <w:r w:rsidRPr="00BC12A4">
              <w:t>Supply charge ($/a)</w:t>
            </w:r>
          </w:p>
        </w:tc>
        <w:tc>
          <w:tcPr>
            <w:tcW w:w="873" w:type="dxa"/>
            <w:tcBorders>
              <w:top w:val="nil"/>
              <w:left w:val="nil"/>
              <w:bottom w:val="nil"/>
              <w:right w:val="nil"/>
            </w:tcBorders>
            <w:shd w:val="clear" w:color="auto" w:fill="auto"/>
            <w:hideMark/>
          </w:tcPr>
          <w:p w:rsidR="0065431C" w:rsidRPr="00BC12A4" w:rsidRDefault="0065431C" w:rsidP="00BC5669">
            <w:pPr>
              <w:pStyle w:val="TableTextRight"/>
            </w:pPr>
            <w:r w:rsidRPr="00BC12A4">
              <w:t xml:space="preserve">300.00 </w:t>
            </w:r>
          </w:p>
        </w:tc>
        <w:tc>
          <w:tcPr>
            <w:tcW w:w="1037" w:type="dxa"/>
            <w:tcBorders>
              <w:top w:val="nil"/>
              <w:left w:val="nil"/>
              <w:bottom w:val="nil"/>
              <w:right w:val="nil"/>
            </w:tcBorders>
            <w:shd w:val="clear" w:color="auto" w:fill="auto"/>
            <w:hideMark/>
          </w:tcPr>
          <w:p w:rsidR="0065431C" w:rsidRPr="00BC12A4" w:rsidRDefault="0065431C" w:rsidP="00BC5669">
            <w:pPr>
              <w:pStyle w:val="TableTextRight"/>
            </w:pPr>
            <w:r w:rsidRPr="00BC12A4">
              <w:t xml:space="preserve">310.50 </w:t>
            </w:r>
          </w:p>
        </w:tc>
        <w:tc>
          <w:tcPr>
            <w:tcW w:w="873" w:type="dxa"/>
            <w:tcBorders>
              <w:top w:val="nil"/>
              <w:left w:val="nil"/>
              <w:bottom w:val="nil"/>
              <w:right w:val="nil"/>
            </w:tcBorders>
            <w:shd w:val="clear" w:color="auto" w:fill="auto"/>
            <w:hideMark/>
          </w:tcPr>
          <w:p w:rsidR="0065431C" w:rsidRPr="00BC12A4" w:rsidRDefault="0065431C" w:rsidP="00BC5669">
            <w:pPr>
              <w:pStyle w:val="TableTextRight"/>
            </w:pPr>
            <w:r w:rsidRPr="00BC12A4">
              <w:t xml:space="preserve">317.60 </w:t>
            </w:r>
          </w:p>
        </w:tc>
        <w:tc>
          <w:tcPr>
            <w:tcW w:w="873" w:type="dxa"/>
            <w:tcBorders>
              <w:top w:val="nil"/>
              <w:left w:val="nil"/>
              <w:bottom w:val="nil"/>
              <w:right w:val="nil"/>
            </w:tcBorders>
            <w:shd w:val="clear" w:color="auto" w:fill="auto"/>
            <w:hideMark/>
          </w:tcPr>
          <w:p w:rsidR="0065431C" w:rsidRPr="00BC12A4" w:rsidRDefault="0065431C" w:rsidP="00BC5669">
            <w:pPr>
              <w:pStyle w:val="TableTextRight"/>
            </w:pPr>
            <w:r w:rsidRPr="00BC12A4">
              <w:t xml:space="preserve">327.80 </w:t>
            </w:r>
          </w:p>
        </w:tc>
        <w:tc>
          <w:tcPr>
            <w:tcW w:w="800" w:type="dxa"/>
            <w:tcBorders>
              <w:top w:val="nil"/>
              <w:left w:val="nil"/>
              <w:bottom w:val="nil"/>
              <w:right w:val="nil"/>
            </w:tcBorders>
            <w:shd w:val="clear" w:color="auto" w:fill="auto"/>
            <w:hideMark/>
          </w:tcPr>
          <w:p w:rsidR="0065431C" w:rsidRPr="00BC12A4" w:rsidRDefault="0065431C" w:rsidP="00BC5669">
            <w:pPr>
              <w:pStyle w:val="TableTextRight"/>
            </w:pPr>
            <w:r w:rsidRPr="00BC12A4">
              <w:t xml:space="preserve">339.20 </w:t>
            </w:r>
          </w:p>
        </w:tc>
        <w:tc>
          <w:tcPr>
            <w:tcW w:w="873" w:type="dxa"/>
            <w:tcBorders>
              <w:top w:val="nil"/>
              <w:left w:val="nil"/>
              <w:bottom w:val="nil"/>
              <w:right w:val="nil"/>
            </w:tcBorders>
          </w:tcPr>
          <w:p w:rsidR="0065431C" w:rsidRPr="00BC12A4" w:rsidRDefault="0065431C" w:rsidP="00BC5669">
            <w:pPr>
              <w:pStyle w:val="TableTextRight"/>
            </w:pPr>
            <w:r w:rsidRPr="00BC12A4">
              <w:t>354.20</w:t>
            </w:r>
          </w:p>
        </w:tc>
      </w:tr>
      <w:tr w:rsidR="0065431C" w:rsidRPr="0084729D" w:rsidTr="00095D81">
        <w:trPr>
          <w:trHeight w:val="300"/>
        </w:trPr>
        <w:tc>
          <w:tcPr>
            <w:tcW w:w="2422" w:type="dxa"/>
            <w:tcBorders>
              <w:top w:val="nil"/>
              <w:left w:val="nil"/>
              <w:bottom w:val="nil"/>
              <w:right w:val="nil"/>
            </w:tcBorders>
            <w:shd w:val="clear" w:color="auto" w:fill="auto"/>
            <w:vAlign w:val="bottom"/>
            <w:hideMark/>
          </w:tcPr>
          <w:p w:rsidR="0065431C" w:rsidRPr="00BC12A4" w:rsidRDefault="0065431C" w:rsidP="00886DC1">
            <w:pPr>
              <w:pStyle w:val="TableTextLeft"/>
            </w:pPr>
            <w:r w:rsidRPr="00BC12A4">
              <w:t>Fixture charge non-residential customers ($/a)</w:t>
            </w:r>
            <w:r w:rsidR="00886DC1" w:rsidRPr="00886DC1">
              <w:rPr>
                <w:vertAlign w:val="superscript"/>
              </w:rPr>
              <w:t>(a)</w:t>
            </w:r>
          </w:p>
        </w:tc>
        <w:tc>
          <w:tcPr>
            <w:tcW w:w="873" w:type="dxa"/>
            <w:tcBorders>
              <w:top w:val="nil"/>
              <w:left w:val="nil"/>
              <w:bottom w:val="nil"/>
              <w:right w:val="nil"/>
            </w:tcBorders>
            <w:shd w:val="clear" w:color="auto" w:fill="auto"/>
            <w:hideMark/>
          </w:tcPr>
          <w:p w:rsidR="0065431C" w:rsidRPr="00BC12A4" w:rsidRDefault="0065431C" w:rsidP="00BC5669">
            <w:pPr>
              <w:pStyle w:val="TableTextRight"/>
            </w:pPr>
          </w:p>
        </w:tc>
        <w:tc>
          <w:tcPr>
            <w:tcW w:w="1037" w:type="dxa"/>
            <w:tcBorders>
              <w:top w:val="nil"/>
              <w:left w:val="nil"/>
              <w:bottom w:val="nil"/>
              <w:right w:val="nil"/>
            </w:tcBorders>
            <w:shd w:val="clear" w:color="auto" w:fill="auto"/>
            <w:hideMark/>
          </w:tcPr>
          <w:p w:rsidR="0065431C" w:rsidRPr="00BC12A4" w:rsidRDefault="0065431C" w:rsidP="00BC5669">
            <w:pPr>
              <w:pStyle w:val="TableTextRight"/>
            </w:pPr>
          </w:p>
        </w:tc>
        <w:tc>
          <w:tcPr>
            <w:tcW w:w="873" w:type="dxa"/>
            <w:tcBorders>
              <w:top w:val="nil"/>
              <w:left w:val="nil"/>
              <w:bottom w:val="nil"/>
              <w:right w:val="nil"/>
            </w:tcBorders>
            <w:shd w:val="clear" w:color="auto" w:fill="auto"/>
            <w:hideMark/>
          </w:tcPr>
          <w:p w:rsidR="0065431C" w:rsidRPr="00BC12A4" w:rsidRDefault="0065431C" w:rsidP="00BC5669">
            <w:pPr>
              <w:pStyle w:val="TableTextRight"/>
            </w:pPr>
          </w:p>
        </w:tc>
        <w:tc>
          <w:tcPr>
            <w:tcW w:w="873" w:type="dxa"/>
            <w:tcBorders>
              <w:top w:val="nil"/>
              <w:left w:val="nil"/>
              <w:bottom w:val="nil"/>
              <w:right w:val="nil"/>
            </w:tcBorders>
            <w:shd w:val="clear" w:color="auto" w:fill="auto"/>
            <w:hideMark/>
          </w:tcPr>
          <w:p w:rsidR="0065431C" w:rsidRPr="00BC12A4" w:rsidRDefault="0065431C" w:rsidP="00BC5669">
            <w:pPr>
              <w:pStyle w:val="TableTextRight"/>
            </w:pPr>
          </w:p>
        </w:tc>
        <w:tc>
          <w:tcPr>
            <w:tcW w:w="800" w:type="dxa"/>
            <w:tcBorders>
              <w:top w:val="nil"/>
              <w:left w:val="nil"/>
              <w:bottom w:val="nil"/>
              <w:right w:val="nil"/>
            </w:tcBorders>
            <w:shd w:val="clear" w:color="auto" w:fill="auto"/>
            <w:hideMark/>
          </w:tcPr>
          <w:p w:rsidR="0065431C" w:rsidRPr="00BC12A4" w:rsidRDefault="0065431C" w:rsidP="00BC5669">
            <w:pPr>
              <w:pStyle w:val="TableTextRight"/>
            </w:pPr>
          </w:p>
        </w:tc>
        <w:tc>
          <w:tcPr>
            <w:tcW w:w="873" w:type="dxa"/>
            <w:tcBorders>
              <w:top w:val="nil"/>
              <w:left w:val="nil"/>
              <w:bottom w:val="nil"/>
              <w:right w:val="nil"/>
            </w:tcBorders>
          </w:tcPr>
          <w:p w:rsidR="0065431C" w:rsidRPr="00BC12A4" w:rsidRDefault="0065431C" w:rsidP="00BC5669">
            <w:pPr>
              <w:pStyle w:val="TableTextRight"/>
            </w:pPr>
            <w:r w:rsidRPr="00BC12A4">
              <w:t>366.20</w:t>
            </w:r>
          </w:p>
        </w:tc>
      </w:tr>
      <w:tr w:rsidR="0065431C" w:rsidRPr="0084729D" w:rsidTr="00095D81">
        <w:trPr>
          <w:trHeight w:val="300"/>
        </w:trPr>
        <w:tc>
          <w:tcPr>
            <w:tcW w:w="2422" w:type="dxa"/>
            <w:tcBorders>
              <w:top w:val="nil"/>
              <w:left w:val="nil"/>
              <w:bottom w:val="single" w:sz="12" w:space="0" w:color="1F497D"/>
              <w:right w:val="nil"/>
            </w:tcBorders>
            <w:shd w:val="clear" w:color="auto" w:fill="auto"/>
            <w:vAlign w:val="bottom"/>
            <w:hideMark/>
          </w:tcPr>
          <w:p w:rsidR="0065431C" w:rsidRPr="00BC12A4" w:rsidRDefault="0065431C" w:rsidP="00BC5669">
            <w:pPr>
              <w:pStyle w:val="TableTextLeft"/>
            </w:pPr>
          </w:p>
        </w:tc>
        <w:tc>
          <w:tcPr>
            <w:tcW w:w="873" w:type="dxa"/>
            <w:tcBorders>
              <w:top w:val="nil"/>
              <w:left w:val="nil"/>
              <w:bottom w:val="single" w:sz="12" w:space="0" w:color="1F497D"/>
              <w:right w:val="nil"/>
            </w:tcBorders>
            <w:shd w:val="clear" w:color="auto" w:fill="auto"/>
            <w:hideMark/>
          </w:tcPr>
          <w:p w:rsidR="0065431C" w:rsidRPr="00BC12A4" w:rsidRDefault="0065431C" w:rsidP="00BC5669">
            <w:pPr>
              <w:pStyle w:val="TableTextRight"/>
            </w:pPr>
          </w:p>
        </w:tc>
        <w:tc>
          <w:tcPr>
            <w:tcW w:w="1037" w:type="dxa"/>
            <w:tcBorders>
              <w:top w:val="nil"/>
              <w:left w:val="nil"/>
              <w:bottom w:val="single" w:sz="12" w:space="0" w:color="1F497D"/>
              <w:right w:val="nil"/>
            </w:tcBorders>
            <w:shd w:val="clear" w:color="auto" w:fill="auto"/>
            <w:hideMark/>
          </w:tcPr>
          <w:p w:rsidR="0065431C" w:rsidRPr="00BC12A4" w:rsidRDefault="0065431C" w:rsidP="00BC5669">
            <w:pPr>
              <w:pStyle w:val="TableTextRight"/>
            </w:pPr>
          </w:p>
        </w:tc>
        <w:tc>
          <w:tcPr>
            <w:tcW w:w="873" w:type="dxa"/>
            <w:tcBorders>
              <w:top w:val="nil"/>
              <w:left w:val="nil"/>
              <w:bottom w:val="single" w:sz="12" w:space="0" w:color="1F497D"/>
              <w:right w:val="nil"/>
            </w:tcBorders>
            <w:shd w:val="clear" w:color="auto" w:fill="auto"/>
            <w:hideMark/>
          </w:tcPr>
          <w:p w:rsidR="0065431C" w:rsidRPr="00BC12A4" w:rsidRDefault="0065431C" w:rsidP="00BC5669">
            <w:pPr>
              <w:pStyle w:val="TableTextRight"/>
            </w:pPr>
          </w:p>
        </w:tc>
        <w:tc>
          <w:tcPr>
            <w:tcW w:w="873" w:type="dxa"/>
            <w:tcBorders>
              <w:top w:val="nil"/>
              <w:left w:val="nil"/>
              <w:bottom w:val="single" w:sz="12" w:space="0" w:color="1F497D"/>
              <w:right w:val="nil"/>
            </w:tcBorders>
            <w:shd w:val="clear" w:color="auto" w:fill="auto"/>
            <w:hideMark/>
          </w:tcPr>
          <w:p w:rsidR="0065431C" w:rsidRPr="00BC12A4" w:rsidRDefault="0065431C" w:rsidP="00BC5669">
            <w:pPr>
              <w:pStyle w:val="TableTextRight"/>
            </w:pPr>
          </w:p>
        </w:tc>
        <w:tc>
          <w:tcPr>
            <w:tcW w:w="800" w:type="dxa"/>
            <w:tcBorders>
              <w:top w:val="nil"/>
              <w:left w:val="nil"/>
              <w:bottom w:val="single" w:sz="12" w:space="0" w:color="1F497D"/>
              <w:right w:val="nil"/>
            </w:tcBorders>
            <w:shd w:val="clear" w:color="auto" w:fill="auto"/>
            <w:hideMark/>
          </w:tcPr>
          <w:p w:rsidR="0065431C" w:rsidRPr="00BC12A4" w:rsidRDefault="0065431C" w:rsidP="00BC5669">
            <w:pPr>
              <w:pStyle w:val="TableTextRight"/>
            </w:pPr>
          </w:p>
        </w:tc>
        <w:tc>
          <w:tcPr>
            <w:tcW w:w="873" w:type="dxa"/>
            <w:tcBorders>
              <w:top w:val="nil"/>
              <w:left w:val="nil"/>
              <w:bottom w:val="single" w:sz="12" w:space="0" w:color="1F497D"/>
              <w:right w:val="nil"/>
            </w:tcBorders>
          </w:tcPr>
          <w:p w:rsidR="0065431C" w:rsidRPr="00BC12A4" w:rsidRDefault="0065431C" w:rsidP="00BC5669">
            <w:pPr>
              <w:pStyle w:val="TableTextRight"/>
            </w:pPr>
          </w:p>
        </w:tc>
      </w:tr>
      <w:tr w:rsidR="0065431C" w:rsidRPr="0084729D" w:rsidTr="00095D81">
        <w:trPr>
          <w:trHeight w:val="300"/>
        </w:trPr>
        <w:tc>
          <w:tcPr>
            <w:tcW w:w="2422" w:type="dxa"/>
            <w:tcBorders>
              <w:top w:val="single" w:sz="12" w:space="0" w:color="1F497D"/>
              <w:left w:val="nil"/>
              <w:bottom w:val="single" w:sz="8" w:space="0" w:color="1F497D"/>
              <w:right w:val="nil"/>
            </w:tcBorders>
            <w:shd w:val="clear" w:color="000000" w:fill="DBE5F1"/>
            <w:vAlign w:val="bottom"/>
            <w:hideMark/>
          </w:tcPr>
          <w:p w:rsidR="0065431C" w:rsidRPr="00BC12A4" w:rsidRDefault="0065431C" w:rsidP="00BC5669">
            <w:pPr>
              <w:pStyle w:val="TableTextLeft"/>
            </w:pPr>
          </w:p>
        </w:tc>
        <w:tc>
          <w:tcPr>
            <w:tcW w:w="873" w:type="dxa"/>
            <w:tcBorders>
              <w:top w:val="single" w:sz="12" w:space="0" w:color="1F497D"/>
              <w:left w:val="nil"/>
              <w:bottom w:val="single" w:sz="8" w:space="0" w:color="1F497D"/>
              <w:right w:val="nil"/>
            </w:tcBorders>
            <w:shd w:val="clear" w:color="000000" w:fill="DBE5F1"/>
            <w:hideMark/>
          </w:tcPr>
          <w:p w:rsidR="0065431C" w:rsidRPr="00BC12A4" w:rsidRDefault="0065431C" w:rsidP="00886DC1">
            <w:pPr>
              <w:pStyle w:val="TableHeadingRight"/>
            </w:pPr>
            <w:r w:rsidRPr="00BC12A4">
              <w:t>2004</w:t>
            </w:r>
            <w:r w:rsidR="00886DC1">
              <w:t>–</w:t>
            </w:r>
            <w:r w:rsidRPr="00BC12A4">
              <w:t>05</w:t>
            </w:r>
          </w:p>
        </w:tc>
        <w:tc>
          <w:tcPr>
            <w:tcW w:w="1037" w:type="dxa"/>
            <w:tcBorders>
              <w:top w:val="single" w:sz="12" w:space="0" w:color="1F497D"/>
              <w:left w:val="nil"/>
              <w:bottom w:val="single" w:sz="8" w:space="0" w:color="1F497D"/>
              <w:right w:val="nil"/>
            </w:tcBorders>
            <w:shd w:val="clear" w:color="000000" w:fill="DBE5F1"/>
            <w:hideMark/>
          </w:tcPr>
          <w:p w:rsidR="0065431C" w:rsidRPr="00BC12A4" w:rsidRDefault="0065431C" w:rsidP="00BC5669">
            <w:pPr>
              <w:pStyle w:val="TableHeadingRight"/>
            </w:pPr>
            <w:r w:rsidRPr="00BC12A4">
              <w:t>2</w:t>
            </w:r>
            <w:r w:rsidR="00886DC1">
              <w:t>005–</w:t>
            </w:r>
            <w:r w:rsidRPr="00BC12A4">
              <w:t>06</w:t>
            </w:r>
          </w:p>
        </w:tc>
        <w:tc>
          <w:tcPr>
            <w:tcW w:w="873" w:type="dxa"/>
            <w:tcBorders>
              <w:top w:val="single" w:sz="12" w:space="0" w:color="1F497D"/>
              <w:left w:val="nil"/>
              <w:bottom w:val="single" w:sz="8" w:space="0" w:color="1F497D"/>
              <w:right w:val="nil"/>
            </w:tcBorders>
            <w:shd w:val="clear" w:color="000000" w:fill="DBE5F1"/>
            <w:hideMark/>
          </w:tcPr>
          <w:p w:rsidR="0065431C" w:rsidRPr="00BC12A4" w:rsidRDefault="0065431C" w:rsidP="00886DC1">
            <w:pPr>
              <w:pStyle w:val="TableHeadingRight"/>
            </w:pPr>
            <w:r w:rsidRPr="00BC12A4">
              <w:t>2006</w:t>
            </w:r>
            <w:r w:rsidR="00886DC1">
              <w:t>–</w:t>
            </w:r>
            <w:r w:rsidRPr="00BC12A4">
              <w:t>07</w:t>
            </w:r>
          </w:p>
        </w:tc>
        <w:tc>
          <w:tcPr>
            <w:tcW w:w="873" w:type="dxa"/>
            <w:tcBorders>
              <w:top w:val="single" w:sz="12" w:space="0" w:color="1F497D"/>
              <w:left w:val="nil"/>
              <w:bottom w:val="single" w:sz="8" w:space="0" w:color="1F497D"/>
              <w:right w:val="nil"/>
            </w:tcBorders>
            <w:shd w:val="clear" w:color="000000" w:fill="DBE5F1"/>
            <w:hideMark/>
          </w:tcPr>
          <w:p w:rsidR="0065431C" w:rsidRPr="00BC12A4" w:rsidRDefault="0065431C" w:rsidP="00BC5669">
            <w:pPr>
              <w:pStyle w:val="TableHeadingRight"/>
            </w:pPr>
            <w:r w:rsidRPr="00BC12A4">
              <w:t>2</w:t>
            </w:r>
            <w:r w:rsidR="00886DC1">
              <w:t>007–</w:t>
            </w:r>
            <w:r w:rsidRPr="00BC12A4">
              <w:t>08</w:t>
            </w:r>
          </w:p>
        </w:tc>
        <w:tc>
          <w:tcPr>
            <w:tcW w:w="800" w:type="dxa"/>
            <w:tcBorders>
              <w:top w:val="single" w:sz="12" w:space="0" w:color="1F497D"/>
              <w:left w:val="nil"/>
              <w:bottom w:val="single" w:sz="8" w:space="0" w:color="1F497D"/>
              <w:right w:val="nil"/>
            </w:tcBorders>
            <w:shd w:val="clear" w:color="000000" w:fill="DBE5F1"/>
            <w:hideMark/>
          </w:tcPr>
          <w:p w:rsidR="0065431C" w:rsidRPr="00BC12A4" w:rsidRDefault="0065431C" w:rsidP="00BC5669">
            <w:pPr>
              <w:pStyle w:val="TableHeadingRight"/>
            </w:pPr>
            <w:r w:rsidRPr="00BC12A4">
              <w:t>2008–09</w:t>
            </w:r>
          </w:p>
        </w:tc>
        <w:tc>
          <w:tcPr>
            <w:tcW w:w="873" w:type="dxa"/>
            <w:tcBorders>
              <w:top w:val="single" w:sz="12" w:space="0" w:color="1F497D"/>
              <w:left w:val="nil"/>
              <w:bottom w:val="single" w:sz="8" w:space="0" w:color="1F497D"/>
              <w:right w:val="nil"/>
            </w:tcBorders>
            <w:shd w:val="clear" w:color="000000" w:fill="DBE5F1"/>
          </w:tcPr>
          <w:p w:rsidR="0065431C" w:rsidRPr="00BC12A4" w:rsidRDefault="0065431C" w:rsidP="00BC5669">
            <w:pPr>
              <w:pStyle w:val="TableHeadingRight"/>
            </w:pPr>
            <w:r w:rsidRPr="00BC12A4">
              <w:t>2009–10</w:t>
            </w:r>
          </w:p>
        </w:tc>
      </w:tr>
      <w:tr w:rsidR="0065431C" w:rsidRPr="0084729D" w:rsidTr="00095D81">
        <w:trPr>
          <w:trHeight w:val="300"/>
        </w:trPr>
        <w:tc>
          <w:tcPr>
            <w:tcW w:w="2422" w:type="dxa"/>
            <w:tcBorders>
              <w:top w:val="single" w:sz="8" w:space="0" w:color="1F497D"/>
              <w:left w:val="nil"/>
              <w:bottom w:val="nil"/>
              <w:right w:val="nil"/>
            </w:tcBorders>
            <w:shd w:val="clear" w:color="auto" w:fill="auto"/>
            <w:vAlign w:val="bottom"/>
            <w:hideMark/>
          </w:tcPr>
          <w:p w:rsidR="0065431C" w:rsidRPr="00BC12A4" w:rsidRDefault="0065431C" w:rsidP="00BC5669">
            <w:pPr>
              <w:pStyle w:val="TableTextLeft"/>
            </w:pPr>
            <w:r w:rsidRPr="00BC12A4">
              <w:t>Supply charge ($/a)</w:t>
            </w:r>
          </w:p>
        </w:tc>
        <w:tc>
          <w:tcPr>
            <w:tcW w:w="873" w:type="dxa"/>
            <w:tcBorders>
              <w:top w:val="single" w:sz="8" w:space="0" w:color="1F497D"/>
              <w:left w:val="nil"/>
              <w:bottom w:val="nil"/>
              <w:right w:val="nil"/>
            </w:tcBorders>
            <w:shd w:val="clear" w:color="auto" w:fill="auto"/>
            <w:hideMark/>
          </w:tcPr>
          <w:p w:rsidR="0065431C" w:rsidRPr="00BC12A4" w:rsidRDefault="0065431C" w:rsidP="00BC5669">
            <w:pPr>
              <w:pStyle w:val="TableTextRight"/>
            </w:pPr>
            <w:r w:rsidRPr="00BC12A4">
              <w:t>375.32</w:t>
            </w:r>
          </w:p>
        </w:tc>
        <w:tc>
          <w:tcPr>
            <w:tcW w:w="1037" w:type="dxa"/>
            <w:tcBorders>
              <w:top w:val="single" w:sz="8" w:space="0" w:color="1F497D"/>
              <w:left w:val="nil"/>
              <w:bottom w:val="nil"/>
              <w:right w:val="nil"/>
            </w:tcBorders>
            <w:shd w:val="clear" w:color="auto" w:fill="auto"/>
            <w:hideMark/>
          </w:tcPr>
          <w:p w:rsidR="0065431C" w:rsidRPr="00BC12A4" w:rsidRDefault="0065431C" w:rsidP="00BC5669">
            <w:pPr>
              <w:pStyle w:val="TableTextRight"/>
            </w:pPr>
            <w:r w:rsidRPr="00BC12A4">
              <w:t>389.00</w:t>
            </w:r>
          </w:p>
        </w:tc>
        <w:tc>
          <w:tcPr>
            <w:tcW w:w="873" w:type="dxa"/>
            <w:tcBorders>
              <w:top w:val="single" w:sz="8" w:space="0" w:color="1F497D"/>
              <w:left w:val="nil"/>
              <w:bottom w:val="nil"/>
              <w:right w:val="nil"/>
            </w:tcBorders>
            <w:shd w:val="clear" w:color="auto" w:fill="auto"/>
            <w:hideMark/>
          </w:tcPr>
          <w:p w:rsidR="0065431C" w:rsidRPr="00BC12A4" w:rsidRDefault="0065431C" w:rsidP="00BC5669">
            <w:pPr>
              <w:pStyle w:val="TableTextRight"/>
            </w:pPr>
            <w:r w:rsidRPr="00BC12A4">
              <w:t>398.80</w:t>
            </w:r>
          </w:p>
        </w:tc>
        <w:tc>
          <w:tcPr>
            <w:tcW w:w="873" w:type="dxa"/>
            <w:tcBorders>
              <w:top w:val="single" w:sz="8" w:space="0" w:color="1F497D"/>
              <w:left w:val="nil"/>
              <w:bottom w:val="nil"/>
              <w:right w:val="nil"/>
            </w:tcBorders>
            <w:shd w:val="clear" w:color="auto" w:fill="auto"/>
            <w:hideMark/>
          </w:tcPr>
          <w:p w:rsidR="0065431C" w:rsidRPr="00BC12A4" w:rsidRDefault="0065431C" w:rsidP="00BC5669">
            <w:pPr>
              <w:pStyle w:val="TableTextRight"/>
            </w:pPr>
            <w:r w:rsidRPr="00BC12A4">
              <w:t>413.76</w:t>
            </w:r>
          </w:p>
        </w:tc>
        <w:tc>
          <w:tcPr>
            <w:tcW w:w="800" w:type="dxa"/>
            <w:tcBorders>
              <w:top w:val="single" w:sz="8" w:space="0" w:color="1F497D"/>
              <w:left w:val="nil"/>
              <w:bottom w:val="nil"/>
              <w:right w:val="nil"/>
            </w:tcBorders>
            <w:shd w:val="clear" w:color="auto" w:fill="auto"/>
            <w:hideMark/>
          </w:tcPr>
          <w:p w:rsidR="0065431C" w:rsidRPr="00BC12A4" w:rsidRDefault="0065431C" w:rsidP="00BC5669">
            <w:pPr>
              <w:pStyle w:val="TableTextRight"/>
            </w:pPr>
            <w:r w:rsidRPr="00BC12A4">
              <w:t>443.82</w:t>
            </w:r>
          </w:p>
        </w:tc>
        <w:tc>
          <w:tcPr>
            <w:tcW w:w="873" w:type="dxa"/>
            <w:tcBorders>
              <w:top w:val="single" w:sz="8" w:space="0" w:color="1F497D"/>
              <w:left w:val="nil"/>
              <w:bottom w:val="nil"/>
              <w:right w:val="nil"/>
            </w:tcBorders>
          </w:tcPr>
          <w:p w:rsidR="0065431C" w:rsidRPr="00BC12A4" w:rsidRDefault="0065431C" w:rsidP="00BC5669">
            <w:pPr>
              <w:pStyle w:val="TableTextRight"/>
            </w:pPr>
            <w:r w:rsidRPr="00BC12A4">
              <w:t>484.25</w:t>
            </w:r>
          </w:p>
        </w:tc>
      </w:tr>
      <w:tr w:rsidR="0065431C" w:rsidRPr="0084729D" w:rsidTr="00095D81">
        <w:trPr>
          <w:trHeight w:val="300"/>
        </w:trPr>
        <w:tc>
          <w:tcPr>
            <w:tcW w:w="2422" w:type="dxa"/>
            <w:tcBorders>
              <w:top w:val="nil"/>
              <w:left w:val="nil"/>
              <w:bottom w:val="nil"/>
              <w:right w:val="nil"/>
            </w:tcBorders>
            <w:shd w:val="clear" w:color="auto" w:fill="auto"/>
            <w:vAlign w:val="bottom"/>
            <w:hideMark/>
          </w:tcPr>
          <w:p w:rsidR="0065431C" w:rsidRPr="00BC12A4" w:rsidRDefault="0065431C" w:rsidP="00BC5669">
            <w:pPr>
              <w:pStyle w:val="TableTextLeft"/>
            </w:pPr>
            <w:r w:rsidRPr="00BC12A4">
              <w:t>Fixture charge non-residential customers ($/a)</w:t>
            </w:r>
          </w:p>
        </w:tc>
        <w:tc>
          <w:tcPr>
            <w:tcW w:w="873" w:type="dxa"/>
            <w:tcBorders>
              <w:top w:val="nil"/>
              <w:left w:val="nil"/>
              <w:bottom w:val="nil"/>
              <w:right w:val="nil"/>
            </w:tcBorders>
            <w:shd w:val="clear" w:color="auto" w:fill="auto"/>
            <w:hideMark/>
          </w:tcPr>
          <w:p w:rsidR="0065431C" w:rsidRPr="00BC12A4" w:rsidRDefault="0065431C" w:rsidP="00BC5669">
            <w:pPr>
              <w:pStyle w:val="TableTextRight"/>
            </w:pPr>
            <w:r w:rsidRPr="00BC12A4">
              <w:t>366.20</w:t>
            </w:r>
          </w:p>
        </w:tc>
        <w:tc>
          <w:tcPr>
            <w:tcW w:w="1037" w:type="dxa"/>
            <w:tcBorders>
              <w:top w:val="nil"/>
              <w:left w:val="nil"/>
              <w:bottom w:val="nil"/>
              <w:right w:val="nil"/>
            </w:tcBorders>
            <w:shd w:val="clear" w:color="auto" w:fill="auto"/>
            <w:hideMark/>
          </w:tcPr>
          <w:p w:rsidR="0065431C" w:rsidRPr="00BC12A4" w:rsidRDefault="0065431C" w:rsidP="00BC5669">
            <w:pPr>
              <w:pStyle w:val="TableTextRight"/>
            </w:pPr>
            <w:r w:rsidRPr="00BC12A4">
              <w:t>380.72</w:t>
            </w:r>
          </w:p>
        </w:tc>
        <w:tc>
          <w:tcPr>
            <w:tcW w:w="873" w:type="dxa"/>
            <w:tcBorders>
              <w:top w:val="nil"/>
              <w:left w:val="nil"/>
              <w:bottom w:val="nil"/>
              <w:right w:val="nil"/>
            </w:tcBorders>
            <w:shd w:val="clear" w:color="auto" w:fill="auto"/>
            <w:hideMark/>
          </w:tcPr>
          <w:p w:rsidR="0065431C" w:rsidRPr="00BC12A4" w:rsidRDefault="0065431C" w:rsidP="00BC5669">
            <w:pPr>
              <w:pStyle w:val="TableTextRight"/>
            </w:pPr>
            <w:r w:rsidRPr="00BC12A4">
              <w:t>390.00</w:t>
            </w:r>
          </w:p>
        </w:tc>
        <w:tc>
          <w:tcPr>
            <w:tcW w:w="873" w:type="dxa"/>
            <w:tcBorders>
              <w:top w:val="nil"/>
              <w:left w:val="nil"/>
              <w:bottom w:val="nil"/>
              <w:right w:val="nil"/>
            </w:tcBorders>
            <w:shd w:val="clear" w:color="auto" w:fill="auto"/>
            <w:hideMark/>
          </w:tcPr>
          <w:p w:rsidR="0065431C" w:rsidRPr="00BC12A4" w:rsidRDefault="0065431C" w:rsidP="00BC5669">
            <w:pPr>
              <w:pStyle w:val="TableTextRight"/>
            </w:pPr>
            <w:r w:rsidRPr="00BC12A4">
              <w:t>404.64</w:t>
            </w:r>
          </w:p>
        </w:tc>
        <w:tc>
          <w:tcPr>
            <w:tcW w:w="800" w:type="dxa"/>
            <w:tcBorders>
              <w:top w:val="nil"/>
              <w:left w:val="nil"/>
              <w:bottom w:val="nil"/>
              <w:right w:val="nil"/>
            </w:tcBorders>
            <w:shd w:val="clear" w:color="auto" w:fill="auto"/>
            <w:hideMark/>
          </w:tcPr>
          <w:p w:rsidR="0065431C" w:rsidRPr="00BC12A4" w:rsidRDefault="0065431C" w:rsidP="00BC5669">
            <w:pPr>
              <w:pStyle w:val="TableTextRight"/>
            </w:pPr>
            <w:r w:rsidRPr="00BC12A4">
              <w:t>434.04</w:t>
            </w:r>
          </w:p>
        </w:tc>
        <w:tc>
          <w:tcPr>
            <w:tcW w:w="873" w:type="dxa"/>
            <w:tcBorders>
              <w:top w:val="nil"/>
              <w:left w:val="nil"/>
              <w:bottom w:val="nil"/>
              <w:right w:val="nil"/>
            </w:tcBorders>
          </w:tcPr>
          <w:p w:rsidR="0065431C" w:rsidRPr="00BC12A4" w:rsidRDefault="0065431C" w:rsidP="00BC5669">
            <w:pPr>
              <w:pStyle w:val="TableTextRight"/>
            </w:pPr>
            <w:r w:rsidRPr="00BC12A4">
              <w:t>473.58</w:t>
            </w:r>
          </w:p>
        </w:tc>
      </w:tr>
      <w:tr w:rsidR="0065431C" w:rsidRPr="0084729D" w:rsidTr="00095D81">
        <w:trPr>
          <w:trHeight w:val="300"/>
        </w:trPr>
        <w:tc>
          <w:tcPr>
            <w:tcW w:w="2422" w:type="dxa"/>
            <w:tcBorders>
              <w:top w:val="nil"/>
              <w:left w:val="nil"/>
              <w:bottom w:val="single" w:sz="12" w:space="0" w:color="1F497D"/>
              <w:right w:val="nil"/>
            </w:tcBorders>
            <w:shd w:val="clear" w:color="auto" w:fill="auto"/>
            <w:vAlign w:val="bottom"/>
            <w:hideMark/>
          </w:tcPr>
          <w:p w:rsidR="0065431C" w:rsidRPr="00BC12A4" w:rsidRDefault="0065431C" w:rsidP="00BC5669">
            <w:pPr>
              <w:pStyle w:val="TableTextLeft"/>
            </w:pPr>
          </w:p>
        </w:tc>
        <w:tc>
          <w:tcPr>
            <w:tcW w:w="873" w:type="dxa"/>
            <w:tcBorders>
              <w:top w:val="nil"/>
              <w:left w:val="nil"/>
              <w:bottom w:val="single" w:sz="12" w:space="0" w:color="1F497D"/>
              <w:right w:val="nil"/>
            </w:tcBorders>
            <w:shd w:val="clear" w:color="auto" w:fill="auto"/>
            <w:hideMark/>
          </w:tcPr>
          <w:p w:rsidR="0065431C" w:rsidRPr="00BC12A4" w:rsidRDefault="0065431C" w:rsidP="00BC5669">
            <w:pPr>
              <w:pStyle w:val="TableTextRight"/>
            </w:pPr>
          </w:p>
        </w:tc>
        <w:tc>
          <w:tcPr>
            <w:tcW w:w="1037" w:type="dxa"/>
            <w:tcBorders>
              <w:top w:val="nil"/>
              <w:left w:val="nil"/>
              <w:bottom w:val="single" w:sz="12" w:space="0" w:color="1F497D"/>
              <w:right w:val="nil"/>
            </w:tcBorders>
            <w:shd w:val="clear" w:color="auto" w:fill="auto"/>
            <w:hideMark/>
          </w:tcPr>
          <w:p w:rsidR="0065431C" w:rsidRPr="00BC12A4" w:rsidRDefault="0065431C" w:rsidP="00BC5669">
            <w:pPr>
              <w:pStyle w:val="TableTextRight"/>
            </w:pPr>
          </w:p>
        </w:tc>
        <w:tc>
          <w:tcPr>
            <w:tcW w:w="873" w:type="dxa"/>
            <w:tcBorders>
              <w:top w:val="nil"/>
              <w:left w:val="nil"/>
              <w:bottom w:val="single" w:sz="12" w:space="0" w:color="1F497D"/>
              <w:right w:val="nil"/>
            </w:tcBorders>
            <w:shd w:val="clear" w:color="auto" w:fill="auto"/>
            <w:hideMark/>
          </w:tcPr>
          <w:p w:rsidR="0065431C" w:rsidRPr="00BC12A4" w:rsidRDefault="0065431C" w:rsidP="00BC5669">
            <w:pPr>
              <w:pStyle w:val="TableTextRight"/>
            </w:pPr>
          </w:p>
        </w:tc>
        <w:tc>
          <w:tcPr>
            <w:tcW w:w="873" w:type="dxa"/>
            <w:tcBorders>
              <w:top w:val="nil"/>
              <w:left w:val="nil"/>
              <w:bottom w:val="single" w:sz="12" w:space="0" w:color="1F497D"/>
              <w:right w:val="nil"/>
            </w:tcBorders>
            <w:shd w:val="clear" w:color="auto" w:fill="auto"/>
            <w:hideMark/>
          </w:tcPr>
          <w:p w:rsidR="0065431C" w:rsidRPr="00BC12A4" w:rsidRDefault="0065431C" w:rsidP="00BC5669">
            <w:pPr>
              <w:pStyle w:val="TableTextRight"/>
            </w:pPr>
          </w:p>
        </w:tc>
        <w:tc>
          <w:tcPr>
            <w:tcW w:w="800" w:type="dxa"/>
            <w:tcBorders>
              <w:top w:val="nil"/>
              <w:left w:val="nil"/>
              <w:bottom w:val="single" w:sz="12" w:space="0" w:color="1F497D"/>
              <w:right w:val="nil"/>
            </w:tcBorders>
            <w:shd w:val="clear" w:color="auto" w:fill="auto"/>
            <w:hideMark/>
          </w:tcPr>
          <w:p w:rsidR="0065431C" w:rsidRPr="00BC12A4" w:rsidRDefault="0065431C" w:rsidP="00BC5669">
            <w:pPr>
              <w:pStyle w:val="TableTextRight"/>
            </w:pPr>
          </w:p>
        </w:tc>
        <w:tc>
          <w:tcPr>
            <w:tcW w:w="873" w:type="dxa"/>
            <w:tcBorders>
              <w:top w:val="nil"/>
              <w:left w:val="nil"/>
              <w:bottom w:val="single" w:sz="12" w:space="0" w:color="1F497D"/>
              <w:right w:val="nil"/>
            </w:tcBorders>
          </w:tcPr>
          <w:p w:rsidR="0065431C" w:rsidRPr="00BC12A4" w:rsidRDefault="0065431C" w:rsidP="00BC5669">
            <w:pPr>
              <w:pStyle w:val="TableTextRight"/>
            </w:pPr>
          </w:p>
        </w:tc>
      </w:tr>
      <w:tr w:rsidR="0065431C" w:rsidRPr="0084729D" w:rsidTr="00095D81">
        <w:trPr>
          <w:trHeight w:val="300"/>
        </w:trPr>
        <w:tc>
          <w:tcPr>
            <w:tcW w:w="2422" w:type="dxa"/>
            <w:tcBorders>
              <w:top w:val="single" w:sz="12" w:space="0" w:color="1F497D"/>
              <w:left w:val="nil"/>
              <w:bottom w:val="single" w:sz="8" w:space="0" w:color="1F497D"/>
              <w:right w:val="nil"/>
            </w:tcBorders>
            <w:shd w:val="clear" w:color="000000" w:fill="DBE5F1"/>
            <w:vAlign w:val="bottom"/>
            <w:hideMark/>
          </w:tcPr>
          <w:p w:rsidR="0065431C" w:rsidRPr="00BC12A4" w:rsidRDefault="0065431C" w:rsidP="00BC5669"/>
        </w:tc>
        <w:tc>
          <w:tcPr>
            <w:tcW w:w="873" w:type="dxa"/>
            <w:tcBorders>
              <w:top w:val="single" w:sz="12" w:space="0" w:color="1F497D"/>
              <w:left w:val="nil"/>
              <w:bottom w:val="single" w:sz="8" w:space="0" w:color="1F497D"/>
              <w:right w:val="nil"/>
            </w:tcBorders>
            <w:shd w:val="clear" w:color="000000" w:fill="DBE5F1"/>
            <w:hideMark/>
          </w:tcPr>
          <w:p w:rsidR="0065431C" w:rsidRPr="00BC12A4" w:rsidRDefault="0065431C" w:rsidP="00BC5669">
            <w:pPr>
              <w:pStyle w:val="TableHeadingRight"/>
            </w:pPr>
            <w:r w:rsidRPr="00BC12A4">
              <w:t>2010–11</w:t>
            </w:r>
          </w:p>
        </w:tc>
        <w:tc>
          <w:tcPr>
            <w:tcW w:w="1037" w:type="dxa"/>
            <w:tcBorders>
              <w:top w:val="single" w:sz="12" w:space="0" w:color="1F497D"/>
              <w:left w:val="nil"/>
              <w:bottom w:val="single" w:sz="8" w:space="0" w:color="1F497D"/>
              <w:right w:val="nil"/>
            </w:tcBorders>
            <w:shd w:val="clear" w:color="000000" w:fill="DBE5F1"/>
            <w:hideMark/>
          </w:tcPr>
          <w:p w:rsidR="0065431C" w:rsidRPr="00BC12A4" w:rsidRDefault="0065431C" w:rsidP="00BC5669">
            <w:pPr>
              <w:pStyle w:val="TableHeadingRight"/>
            </w:pPr>
            <w:r w:rsidRPr="00BC12A4">
              <w:t>2011–12</w:t>
            </w:r>
          </w:p>
        </w:tc>
        <w:tc>
          <w:tcPr>
            <w:tcW w:w="873" w:type="dxa"/>
            <w:tcBorders>
              <w:top w:val="single" w:sz="12" w:space="0" w:color="1F497D"/>
              <w:left w:val="nil"/>
              <w:bottom w:val="single" w:sz="8" w:space="0" w:color="1F497D"/>
              <w:right w:val="nil"/>
            </w:tcBorders>
            <w:shd w:val="clear" w:color="000000" w:fill="DBE5F1"/>
            <w:hideMark/>
          </w:tcPr>
          <w:p w:rsidR="0065431C" w:rsidRPr="00BC12A4" w:rsidRDefault="0065431C" w:rsidP="00BC5669">
            <w:pPr>
              <w:pStyle w:val="TableHeadingRight"/>
            </w:pPr>
            <w:r w:rsidRPr="00BC12A4">
              <w:t>2012–13</w:t>
            </w:r>
          </w:p>
        </w:tc>
        <w:tc>
          <w:tcPr>
            <w:tcW w:w="873" w:type="dxa"/>
            <w:tcBorders>
              <w:top w:val="single" w:sz="12" w:space="0" w:color="1F497D"/>
              <w:left w:val="nil"/>
              <w:bottom w:val="single" w:sz="8" w:space="0" w:color="1F497D"/>
              <w:right w:val="nil"/>
            </w:tcBorders>
            <w:shd w:val="clear" w:color="000000" w:fill="DBE5F1"/>
            <w:hideMark/>
          </w:tcPr>
          <w:p w:rsidR="0065431C" w:rsidRPr="00BC12A4" w:rsidRDefault="0065431C" w:rsidP="00BC5669">
            <w:pPr>
              <w:pStyle w:val="TableHeadingRight"/>
            </w:pPr>
            <w:r w:rsidRPr="00BC12A4">
              <w:t>2013–14</w:t>
            </w:r>
          </w:p>
        </w:tc>
        <w:tc>
          <w:tcPr>
            <w:tcW w:w="800" w:type="dxa"/>
            <w:tcBorders>
              <w:top w:val="single" w:sz="12" w:space="0" w:color="1F497D"/>
              <w:left w:val="nil"/>
              <w:bottom w:val="single" w:sz="8" w:space="0" w:color="1F497D"/>
              <w:right w:val="nil"/>
            </w:tcBorders>
            <w:shd w:val="clear" w:color="000000" w:fill="DBE5F1"/>
            <w:hideMark/>
          </w:tcPr>
          <w:p w:rsidR="0065431C" w:rsidRPr="00BC12A4" w:rsidRDefault="00886DC1" w:rsidP="00BC5669">
            <w:pPr>
              <w:pStyle w:val="TableHeadingRight"/>
            </w:pPr>
            <w:r>
              <w:t>2014–</w:t>
            </w:r>
            <w:r w:rsidR="0065431C" w:rsidRPr="00BC12A4">
              <w:t>15</w:t>
            </w:r>
          </w:p>
        </w:tc>
        <w:tc>
          <w:tcPr>
            <w:tcW w:w="873" w:type="dxa"/>
            <w:tcBorders>
              <w:top w:val="single" w:sz="12" w:space="0" w:color="1F497D"/>
              <w:left w:val="nil"/>
              <w:bottom w:val="single" w:sz="8" w:space="0" w:color="1F497D"/>
              <w:right w:val="nil"/>
            </w:tcBorders>
            <w:shd w:val="clear" w:color="000000" w:fill="DBE5F1"/>
          </w:tcPr>
          <w:p w:rsidR="0065431C" w:rsidRPr="00BC12A4" w:rsidRDefault="00886DC1" w:rsidP="00BC5669">
            <w:pPr>
              <w:pStyle w:val="TableHeadingRight"/>
            </w:pPr>
            <w:r>
              <w:t>2015–</w:t>
            </w:r>
            <w:r w:rsidR="0065431C" w:rsidRPr="00BC12A4">
              <w:t>16</w:t>
            </w:r>
          </w:p>
        </w:tc>
      </w:tr>
      <w:tr w:rsidR="0065431C" w:rsidRPr="0084729D" w:rsidTr="00095D81">
        <w:trPr>
          <w:trHeight w:val="300"/>
        </w:trPr>
        <w:tc>
          <w:tcPr>
            <w:tcW w:w="2422" w:type="dxa"/>
            <w:tcBorders>
              <w:top w:val="single" w:sz="8" w:space="0" w:color="1F497D"/>
              <w:left w:val="nil"/>
              <w:bottom w:val="nil"/>
              <w:right w:val="nil"/>
            </w:tcBorders>
            <w:shd w:val="clear" w:color="auto" w:fill="auto"/>
            <w:vAlign w:val="bottom"/>
            <w:hideMark/>
          </w:tcPr>
          <w:p w:rsidR="0065431C" w:rsidRPr="00BC12A4" w:rsidRDefault="0065431C" w:rsidP="00BC5669">
            <w:pPr>
              <w:pStyle w:val="TableTextLeft"/>
            </w:pPr>
            <w:r w:rsidRPr="00BC12A4">
              <w:t>Supply charge ($/a)</w:t>
            </w:r>
          </w:p>
        </w:tc>
        <w:tc>
          <w:tcPr>
            <w:tcW w:w="873" w:type="dxa"/>
            <w:tcBorders>
              <w:top w:val="single" w:sz="8" w:space="0" w:color="1F497D"/>
              <w:left w:val="nil"/>
              <w:bottom w:val="nil"/>
              <w:right w:val="nil"/>
            </w:tcBorders>
            <w:shd w:val="clear" w:color="auto" w:fill="auto"/>
            <w:hideMark/>
          </w:tcPr>
          <w:p w:rsidR="0065431C" w:rsidRPr="00BC12A4" w:rsidRDefault="0065431C" w:rsidP="00BC5669">
            <w:pPr>
              <w:pStyle w:val="TableTextRight"/>
            </w:pPr>
            <w:r w:rsidRPr="00BC12A4">
              <w:t>516.11</w:t>
            </w:r>
          </w:p>
        </w:tc>
        <w:tc>
          <w:tcPr>
            <w:tcW w:w="1037" w:type="dxa"/>
            <w:tcBorders>
              <w:top w:val="single" w:sz="8" w:space="0" w:color="1F497D"/>
              <w:left w:val="nil"/>
              <w:bottom w:val="nil"/>
              <w:right w:val="nil"/>
            </w:tcBorders>
            <w:shd w:val="clear" w:color="auto" w:fill="auto"/>
            <w:hideMark/>
          </w:tcPr>
          <w:p w:rsidR="0065431C" w:rsidRPr="00BC12A4" w:rsidRDefault="0065431C" w:rsidP="00BC5669">
            <w:pPr>
              <w:pStyle w:val="TableTextRight"/>
            </w:pPr>
            <w:r w:rsidRPr="00BC12A4">
              <w:t>555.39</w:t>
            </w:r>
          </w:p>
        </w:tc>
        <w:tc>
          <w:tcPr>
            <w:tcW w:w="873" w:type="dxa"/>
            <w:tcBorders>
              <w:top w:val="single" w:sz="8" w:space="0" w:color="1F497D"/>
              <w:left w:val="nil"/>
              <w:bottom w:val="nil"/>
              <w:right w:val="nil"/>
            </w:tcBorders>
            <w:shd w:val="clear" w:color="auto" w:fill="auto"/>
            <w:hideMark/>
          </w:tcPr>
          <w:p w:rsidR="0065431C" w:rsidRPr="00BC12A4" w:rsidRDefault="0065431C" w:rsidP="00BC5669">
            <w:pPr>
              <w:pStyle w:val="TableTextRight"/>
            </w:pPr>
            <w:r w:rsidRPr="00BC12A4">
              <w:t>600.65</w:t>
            </w:r>
          </w:p>
        </w:tc>
        <w:tc>
          <w:tcPr>
            <w:tcW w:w="873" w:type="dxa"/>
            <w:tcBorders>
              <w:top w:val="single" w:sz="8" w:space="0" w:color="1F497D"/>
              <w:left w:val="nil"/>
              <w:bottom w:val="nil"/>
              <w:right w:val="nil"/>
            </w:tcBorders>
            <w:shd w:val="clear" w:color="auto" w:fill="auto"/>
            <w:hideMark/>
          </w:tcPr>
          <w:p w:rsidR="0065431C" w:rsidRPr="00BC12A4" w:rsidRDefault="0065431C" w:rsidP="00BC5669">
            <w:pPr>
              <w:pStyle w:val="TableTextRight"/>
            </w:pPr>
            <w:r w:rsidRPr="00BC12A4">
              <w:t>492.02</w:t>
            </w:r>
          </w:p>
        </w:tc>
        <w:tc>
          <w:tcPr>
            <w:tcW w:w="800" w:type="dxa"/>
            <w:tcBorders>
              <w:top w:val="single" w:sz="8" w:space="0" w:color="1F497D"/>
              <w:left w:val="nil"/>
              <w:bottom w:val="nil"/>
              <w:right w:val="nil"/>
            </w:tcBorders>
            <w:shd w:val="clear" w:color="auto" w:fill="auto"/>
            <w:hideMark/>
          </w:tcPr>
          <w:p w:rsidR="0065431C" w:rsidRPr="00BC12A4" w:rsidRDefault="0065431C" w:rsidP="00BC5669">
            <w:pPr>
              <w:pStyle w:val="TableTextRight"/>
            </w:pPr>
            <w:r w:rsidRPr="00BC12A4">
              <w:t>505.41</w:t>
            </w:r>
          </w:p>
        </w:tc>
        <w:tc>
          <w:tcPr>
            <w:tcW w:w="873" w:type="dxa"/>
            <w:tcBorders>
              <w:top w:val="single" w:sz="8" w:space="0" w:color="1F497D"/>
              <w:left w:val="nil"/>
              <w:bottom w:val="nil"/>
              <w:right w:val="nil"/>
            </w:tcBorders>
          </w:tcPr>
          <w:p w:rsidR="0065431C" w:rsidRPr="00BC12A4" w:rsidRDefault="0065431C" w:rsidP="00BC5669">
            <w:pPr>
              <w:pStyle w:val="TableTextRight"/>
            </w:pPr>
            <w:r w:rsidRPr="00BC12A4">
              <w:t>523.18</w:t>
            </w:r>
          </w:p>
        </w:tc>
      </w:tr>
      <w:tr w:rsidR="0065431C" w:rsidRPr="0084729D" w:rsidTr="00095D81">
        <w:trPr>
          <w:trHeight w:val="300"/>
        </w:trPr>
        <w:tc>
          <w:tcPr>
            <w:tcW w:w="2422" w:type="dxa"/>
            <w:tcBorders>
              <w:top w:val="nil"/>
              <w:left w:val="nil"/>
              <w:bottom w:val="single" w:sz="12" w:space="0" w:color="1F497D"/>
              <w:right w:val="nil"/>
            </w:tcBorders>
            <w:shd w:val="clear" w:color="auto" w:fill="auto"/>
            <w:vAlign w:val="bottom"/>
            <w:hideMark/>
          </w:tcPr>
          <w:p w:rsidR="0065431C" w:rsidRPr="00BC12A4" w:rsidRDefault="0065431C" w:rsidP="00BC5669">
            <w:pPr>
              <w:pStyle w:val="TableTextLeft"/>
            </w:pPr>
            <w:r w:rsidRPr="00BC12A4">
              <w:t>Fixture charge non-residential customers ($/a)</w:t>
            </w:r>
          </w:p>
        </w:tc>
        <w:tc>
          <w:tcPr>
            <w:tcW w:w="873" w:type="dxa"/>
            <w:tcBorders>
              <w:top w:val="nil"/>
              <w:left w:val="nil"/>
              <w:bottom w:val="single" w:sz="12" w:space="0" w:color="1F497D"/>
              <w:right w:val="nil"/>
            </w:tcBorders>
            <w:shd w:val="clear" w:color="auto" w:fill="auto"/>
            <w:hideMark/>
          </w:tcPr>
          <w:p w:rsidR="0065431C" w:rsidRPr="00BC12A4" w:rsidRDefault="0065431C" w:rsidP="00BC5669">
            <w:pPr>
              <w:pStyle w:val="TableTextRight"/>
            </w:pPr>
            <w:r w:rsidRPr="00BC12A4">
              <w:t>504.74</w:t>
            </w:r>
          </w:p>
        </w:tc>
        <w:tc>
          <w:tcPr>
            <w:tcW w:w="1037" w:type="dxa"/>
            <w:tcBorders>
              <w:top w:val="nil"/>
              <w:left w:val="nil"/>
              <w:bottom w:val="single" w:sz="12" w:space="0" w:color="1F497D"/>
              <w:right w:val="nil"/>
            </w:tcBorders>
            <w:shd w:val="clear" w:color="auto" w:fill="auto"/>
            <w:hideMark/>
          </w:tcPr>
          <w:p w:rsidR="0065431C" w:rsidRPr="00BC12A4" w:rsidRDefault="0065431C" w:rsidP="00BC5669">
            <w:pPr>
              <w:pStyle w:val="TableTextRight"/>
            </w:pPr>
            <w:r w:rsidRPr="00BC12A4">
              <w:t>543.15</w:t>
            </w:r>
          </w:p>
        </w:tc>
        <w:tc>
          <w:tcPr>
            <w:tcW w:w="873" w:type="dxa"/>
            <w:tcBorders>
              <w:top w:val="nil"/>
              <w:left w:val="nil"/>
              <w:bottom w:val="single" w:sz="12" w:space="0" w:color="1F497D"/>
              <w:right w:val="nil"/>
            </w:tcBorders>
            <w:shd w:val="clear" w:color="auto" w:fill="auto"/>
            <w:hideMark/>
          </w:tcPr>
          <w:p w:rsidR="0065431C" w:rsidRPr="00BC12A4" w:rsidRDefault="0065431C" w:rsidP="00BC5669">
            <w:pPr>
              <w:pStyle w:val="TableTextRight"/>
            </w:pPr>
            <w:r w:rsidRPr="00BC12A4">
              <w:t>587.42</w:t>
            </w:r>
          </w:p>
        </w:tc>
        <w:tc>
          <w:tcPr>
            <w:tcW w:w="873" w:type="dxa"/>
            <w:tcBorders>
              <w:top w:val="nil"/>
              <w:left w:val="nil"/>
              <w:bottom w:val="single" w:sz="12" w:space="0" w:color="1F497D"/>
              <w:right w:val="nil"/>
            </w:tcBorders>
            <w:shd w:val="clear" w:color="auto" w:fill="auto"/>
            <w:hideMark/>
          </w:tcPr>
          <w:p w:rsidR="0065431C" w:rsidRPr="00BC12A4" w:rsidRDefault="0065431C" w:rsidP="00BC5669">
            <w:pPr>
              <w:pStyle w:val="TableTextRight"/>
            </w:pPr>
            <w:r w:rsidRPr="00BC12A4">
              <w:t>481.18</w:t>
            </w:r>
          </w:p>
        </w:tc>
        <w:tc>
          <w:tcPr>
            <w:tcW w:w="800" w:type="dxa"/>
            <w:tcBorders>
              <w:top w:val="nil"/>
              <w:left w:val="nil"/>
              <w:bottom w:val="single" w:sz="12" w:space="0" w:color="1F497D"/>
              <w:right w:val="nil"/>
            </w:tcBorders>
            <w:shd w:val="clear" w:color="auto" w:fill="auto"/>
            <w:hideMark/>
          </w:tcPr>
          <w:p w:rsidR="0065431C" w:rsidRPr="00BC12A4" w:rsidRDefault="0065431C" w:rsidP="00BC5669">
            <w:pPr>
              <w:pStyle w:val="TableTextRight"/>
            </w:pPr>
            <w:r w:rsidRPr="00BC12A4">
              <w:t>494.28</w:t>
            </w:r>
          </w:p>
        </w:tc>
        <w:tc>
          <w:tcPr>
            <w:tcW w:w="873" w:type="dxa"/>
            <w:tcBorders>
              <w:top w:val="nil"/>
              <w:left w:val="nil"/>
              <w:bottom w:val="single" w:sz="12" w:space="0" w:color="1F497D"/>
              <w:right w:val="nil"/>
            </w:tcBorders>
          </w:tcPr>
          <w:p w:rsidR="0065431C" w:rsidRPr="00BC12A4" w:rsidRDefault="0065431C" w:rsidP="00BC5669">
            <w:pPr>
              <w:pStyle w:val="TableTextRight"/>
            </w:pPr>
            <w:r w:rsidRPr="00BC12A4">
              <w:t>511.66</w:t>
            </w:r>
          </w:p>
        </w:tc>
      </w:tr>
    </w:tbl>
    <w:p w:rsidR="00886DC1" w:rsidRPr="001D18C8" w:rsidRDefault="00886DC1" w:rsidP="00886DC1">
      <w:pPr>
        <w:pStyle w:val="TableNotesLast"/>
        <w:keepLines w:val="0"/>
      </w:pPr>
      <w:bookmarkStart w:id="195" w:name="Five_other_pricing"/>
      <w:bookmarkEnd w:id="195"/>
      <w:r>
        <w:t xml:space="preserve">(a) </w:t>
      </w:r>
      <w:r w:rsidRPr="00C264B0">
        <w:t>For every additional flushing fixture greater than two.</w:t>
      </w:r>
    </w:p>
    <w:p w:rsidR="00886DC1" w:rsidRDefault="00886DC1" w:rsidP="00886DC1">
      <w:pPr>
        <w:pStyle w:val="Bodybulletintro"/>
        <w:keepNext w:val="0"/>
      </w:pPr>
    </w:p>
    <w:p w:rsidR="0065431C" w:rsidRDefault="0065431C" w:rsidP="0065431C">
      <w:pPr>
        <w:pStyle w:val="Heading2"/>
      </w:pPr>
      <w:bookmarkStart w:id="196" w:name="_Toc435700174"/>
      <w:r>
        <w:t>Arrangements in other jurisdictions</w:t>
      </w:r>
      <w:bookmarkEnd w:id="196"/>
    </w:p>
    <w:p w:rsidR="0065431C" w:rsidRDefault="0065431C" w:rsidP="00101ADB">
      <w:pPr>
        <w:pStyle w:val="Heading3"/>
      </w:pPr>
      <w:r>
        <w:t>Tariff comparison</w:t>
      </w:r>
    </w:p>
    <w:p w:rsidR="0065431C" w:rsidRDefault="0065431C" w:rsidP="0065431C">
      <w:r w:rsidRPr="00D85DAB">
        <w:t xml:space="preserve">This section compares </w:t>
      </w:r>
      <w:r>
        <w:t xml:space="preserve">sewerage services </w:t>
      </w:r>
      <w:r w:rsidRPr="00D85DAB">
        <w:t xml:space="preserve">tariffs and prices for </w:t>
      </w:r>
      <w:r>
        <w:t xml:space="preserve">the same </w:t>
      </w:r>
      <w:r w:rsidRPr="00D85DAB">
        <w:t xml:space="preserve">utilities </w:t>
      </w:r>
      <w:r>
        <w:t>listed in section</w:t>
      </w:r>
      <w:r w:rsidR="00E92184">
        <w:t xml:space="preserve"> </w:t>
      </w:r>
      <w:r w:rsidR="00A7215E">
        <w:fldChar w:fldCharType="begin"/>
      </w:r>
      <w:r w:rsidR="00E92184">
        <w:instrText xml:space="preserve"> REF _Ref434394632 \r \h </w:instrText>
      </w:r>
      <w:r w:rsidR="00A7215E">
        <w:fldChar w:fldCharType="separate"/>
      </w:r>
      <w:r w:rsidR="00E43227">
        <w:t>4.3</w:t>
      </w:r>
      <w:r w:rsidR="00A7215E">
        <w:fldChar w:fldCharType="end"/>
      </w:r>
      <w:r w:rsidRPr="00D85DAB">
        <w:t>. The 2015</w:t>
      </w:r>
      <w:r w:rsidR="00E92184">
        <w:t>–</w:t>
      </w:r>
      <w:r w:rsidRPr="00D85DAB">
        <w:t>16 prices being charged by the various utilities, including Icon Water for comparison purposes, are detailed in</w:t>
      </w:r>
      <w:r>
        <w:t xml:space="preserve"> </w:t>
      </w:r>
      <w:fldSimple w:instr=" REF _Ref430954335 \h  \* MERGEFORMAT ">
        <w:r w:rsidR="00E43227" w:rsidRPr="00D85DAB">
          <w:t xml:space="preserve">Table </w:t>
        </w:r>
        <w:r w:rsidR="00E43227">
          <w:rPr>
            <w:noProof/>
          </w:rPr>
          <w:t>5</w:t>
        </w:r>
        <w:r w:rsidR="00E43227" w:rsidRPr="00D85DAB">
          <w:rPr>
            <w:noProof/>
          </w:rPr>
          <w:t>.</w:t>
        </w:r>
        <w:r w:rsidR="00E43227">
          <w:rPr>
            <w:noProof/>
          </w:rPr>
          <w:t>2</w:t>
        </w:r>
      </w:fldSimple>
      <w:r>
        <w:t>.</w:t>
      </w:r>
    </w:p>
    <w:p w:rsidR="0065431C" w:rsidRPr="00D85DAB" w:rsidRDefault="0065431C" w:rsidP="0065431C">
      <w:pPr>
        <w:pStyle w:val="FigureName"/>
      </w:pPr>
      <w:bookmarkStart w:id="197" w:name="_Ref430954335"/>
      <w:bookmarkStart w:id="198" w:name="_Toc435700187"/>
      <w:r w:rsidRPr="00D85DAB">
        <w:t xml:space="preserve">Table </w:t>
      </w:r>
      <w:r w:rsidR="00A7215E">
        <w:fldChar w:fldCharType="begin"/>
      </w:r>
      <w:r>
        <w:instrText xml:space="preserve"> STYLEREF 1 \s </w:instrText>
      </w:r>
      <w:r w:rsidR="00A7215E">
        <w:fldChar w:fldCharType="separate"/>
      </w:r>
      <w:r w:rsidR="00E43227">
        <w:rPr>
          <w:noProof/>
        </w:rPr>
        <w:t>5</w:t>
      </w:r>
      <w:r w:rsidR="00A7215E">
        <w:fldChar w:fldCharType="end"/>
      </w:r>
      <w:r w:rsidRPr="00D85DAB">
        <w:t>.</w:t>
      </w:r>
      <w:r w:rsidR="00A7215E" w:rsidRPr="00D85DAB">
        <w:fldChar w:fldCharType="begin"/>
      </w:r>
      <w:r w:rsidRPr="00D85DAB">
        <w:instrText xml:space="preserve"> SEQ Table \* ARABIC \s 1 </w:instrText>
      </w:r>
      <w:r w:rsidR="00A7215E" w:rsidRPr="00D85DAB">
        <w:fldChar w:fldCharType="separate"/>
      </w:r>
      <w:r w:rsidR="00E43227">
        <w:rPr>
          <w:noProof/>
        </w:rPr>
        <w:t>2</w:t>
      </w:r>
      <w:r w:rsidR="00A7215E" w:rsidRPr="00D85DAB">
        <w:fldChar w:fldCharType="end"/>
      </w:r>
      <w:bookmarkEnd w:id="197"/>
      <w:r w:rsidRPr="00D85DAB">
        <w:tab/>
      </w:r>
      <w:r>
        <w:t xml:space="preserve">Sewerage services </w:t>
      </w:r>
      <w:r w:rsidRPr="00D85DAB">
        <w:t>tariffs in various jurisdictions, 2015</w:t>
      </w:r>
      <w:r w:rsidR="00886DC1">
        <w:t>–</w:t>
      </w:r>
      <w:r w:rsidRPr="00D85DAB">
        <w:t>16</w:t>
      </w:r>
      <w:bookmarkEnd w:id="198"/>
    </w:p>
    <w:tbl>
      <w:tblPr>
        <w:tblW w:w="4042" w:type="pct"/>
        <w:tblBorders>
          <w:top w:val="single" w:sz="12" w:space="0" w:color="333399"/>
          <w:bottom w:val="single" w:sz="12" w:space="0" w:color="333399"/>
        </w:tblBorders>
        <w:tblCellMar>
          <w:left w:w="115" w:type="dxa"/>
          <w:right w:w="115" w:type="dxa"/>
        </w:tblCellMar>
        <w:tblLook w:val="0000"/>
      </w:tblPr>
      <w:tblGrid>
        <w:gridCol w:w="3727"/>
        <w:gridCol w:w="1224"/>
        <w:gridCol w:w="1469"/>
      </w:tblGrid>
      <w:tr w:rsidR="0065431C" w:rsidRPr="00144F8C" w:rsidTr="00BC5669">
        <w:trPr>
          <w:cantSplit/>
        </w:trPr>
        <w:tc>
          <w:tcPr>
            <w:tcW w:w="2903"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65431C" w:rsidRDefault="0065431C" w:rsidP="00BC5669">
            <w:pPr>
              <w:rPr>
                <w:rFonts w:cs="Arial"/>
                <w:b/>
                <w:color w:val="000033"/>
                <w:kern w:val="28"/>
                <w:szCs w:val="22"/>
              </w:rPr>
            </w:pPr>
          </w:p>
        </w:tc>
        <w:tc>
          <w:tcPr>
            <w:tcW w:w="953" w:type="pct"/>
            <w:tcBorders>
              <w:top w:val="single" w:sz="12" w:space="0" w:color="1F497D" w:themeColor="text2"/>
              <w:left w:val="nil"/>
              <w:bottom w:val="single" w:sz="8" w:space="0" w:color="1F497D" w:themeColor="text2"/>
              <w:right w:val="dotted" w:sz="4" w:space="0" w:color="auto"/>
            </w:tcBorders>
            <w:shd w:val="clear" w:color="auto" w:fill="DBE5F1" w:themeFill="accent1" w:themeFillTint="33"/>
            <w:vAlign w:val="bottom"/>
          </w:tcPr>
          <w:p w:rsidR="0065431C" w:rsidRDefault="0065431C" w:rsidP="00BC5669">
            <w:pPr>
              <w:pStyle w:val="TableHeadingRight"/>
            </w:pPr>
            <w:r w:rsidRPr="00D85DAB">
              <w:t>Fixed charge</w:t>
            </w:r>
          </w:p>
          <w:p w:rsidR="0065431C" w:rsidRDefault="0065431C" w:rsidP="00BC5669">
            <w:pPr>
              <w:pStyle w:val="TableHeadingRight"/>
            </w:pPr>
            <w:r w:rsidRPr="00D85DAB">
              <w:t>($/a)</w:t>
            </w:r>
          </w:p>
        </w:tc>
        <w:tc>
          <w:tcPr>
            <w:tcW w:w="1144" w:type="pct"/>
            <w:tcBorders>
              <w:top w:val="single" w:sz="12" w:space="0" w:color="1F497D" w:themeColor="text2"/>
              <w:left w:val="dotted" w:sz="4" w:space="0" w:color="auto"/>
              <w:bottom w:val="single" w:sz="8" w:space="0" w:color="1F497D" w:themeColor="text2"/>
              <w:right w:val="nil"/>
            </w:tcBorders>
            <w:shd w:val="clear" w:color="auto" w:fill="DBE5F1" w:themeFill="accent1" w:themeFillTint="33"/>
          </w:tcPr>
          <w:p w:rsidR="0065431C" w:rsidRDefault="0065431C" w:rsidP="00BC5669">
            <w:pPr>
              <w:pStyle w:val="TableHeadingRight"/>
            </w:pPr>
            <w:r>
              <w:t>Volumetric</w:t>
            </w:r>
            <w:r w:rsidRPr="00D85DAB">
              <w:t xml:space="preserve"> price</w:t>
            </w:r>
          </w:p>
          <w:p w:rsidR="0065431C" w:rsidRDefault="0065431C" w:rsidP="00BC5669">
            <w:pPr>
              <w:pStyle w:val="TableHeadingRight"/>
            </w:pPr>
            <w:r w:rsidRPr="00D85DAB">
              <w:t>($/kL)</w:t>
            </w:r>
          </w:p>
        </w:tc>
      </w:tr>
      <w:tr w:rsidR="0065431C" w:rsidRPr="00144F8C" w:rsidTr="00BC5669">
        <w:trPr>
          <w:cantSplit/>
        </w:trPr>
        <w:tc>
          <w:tcPr>
            <w:tcW w:w="2903" w:type="pct"/>
            <w:tcBorders>
              <w:top w:val="nil"/>
              <w:left w:val="nil"/>
              <w:bottom w:val="nil"/>
              <w:right w:val="nil"/>
            </w:tcBorders>
          </w:tcPr>
          <w:p w:rsidR="0065431C" w:rsidRPr="00734476" w:rsidRDefault="0065431C" w:rsidP="00BC5669">
            <w:pPr>
              <w:pStyle w:val="TableTextLeft"/>
            </w:pPr>
            <w:r w:rsidRPr="00734476">
              <w:t xml:space="preserve">City West Water </w:t>
            </w:r>
            <w:r w:rsidRPr="00734476">
              <w:sym w:font="Symbol" w:char="F02D"/>
            </w:r>
            <w:r w:rsidRPr="00734476">
              <w:t xml:space="preserve"> residential</w:t>
            </w:r>
          </w:p>
        </w:tc>
        <w:tc>
          <w:tcPr>
            <w:tcW w:w="953" w:type="pct"/>
            <w:tcBorders>
              <w:top w:val="nil"/>
              <w:left w:val="nil"/>
              <w:bottom w:val="nil"/>
              <w:right w:val="dotted" w:sz="4" w:space="0" w:color="auto"/>
            </w:tcBorders>
            <w:vAlign w:val="bottom"/>
          </w:tcPr>
          <w:p w:rsidR="0065431C" w:rsidRDefault="0065431C" w:rsidP="00BC5669">
            <w:pPr>
              <w:pStyle w:val="TableTextRight"/>
            </w:pPr>
            <w:r>
              <w:t>253.00</w:t>
            </w:r>
          </w:p>
        </w:tc>
        <w:tc>
          <w:tcPr>
            <w:tcW w:w="1144" w:type="pct"/>
            <w:tcBorders>
              <w:top w:val="nil"/>
              <w:left w:val="dotted" w:sz="4" w:space="0" w:color="auto"/>
              <w:bottom w:val="nil"/>
              <w:right w:val="nil"/>
            </w:tcBorders>
            <w:vAlign w:val="bottom"/>
          </w:tcPr>
          <w:p w:rsidR="0065431C" w:rsidRDefault="0065431C" w:rsidP="00BC5669">
            <w:pPr>
              <w:pStyle w:val="TableTextRight"/>
            </w:pPr>
            <w:r>
              <w:t>1.84</w:t>
            </w:r>
          </w:p>
        </w:tc>
      </w:tr>
      <w:tr w:rsidR="0065431C" w:rsidRPr="00144F8C" w:rsidTr="00BC5669">
        <w:trPr>
          <w:cantSplit/>
        </w:trPr>
        <w:tc>
          <w:tcPr>
            <w:tcW w:w="2903" w:type="pct"/>
            <w:tcBorders>
              <w:top w:val="nil"/>
              <w:left w:val="nil"/>
              <w:bottom w:val="nil"/>
              <w:right w:val="nil"/>
            </w:tcBorders>
          </w:tcPr>
          <w:p w:rsidR="0065431C" w:rsidRPr="00734476" w:rsidRDefault="00E92184" w:rsidP="00BC5669">
            <w:pPr>
              <w:pStyle w:val="TableTextLeft"/>
            </w:pPr>
            <w:r w:rsidRPr="00734476">
              <w:t xml:space="preserve">                           </w:t>
            </w:r>
            <w:r w:rsidR="0065431C" w:rsidRPr="00734476">
              <w:sym w:font="Symbol" w:char="F02D"/>
            </w:r>
            <w:r w:rsidR="0065431C" w:rsidRPr="00734476">
              <w:t xml:space="preserve"> business</w:t>
            </w:r>
          </w:p>
        </w:tc>
        <w:tc>
          <w:tcPr>
            <w:tcW w:w="953" w:type="pct"/>
            <w:tcBorders>
              <w:top w:val="nil"/>
              <w:left w:val="nil"/>
              <w:bottom w:val="nil"/>
              <w:right w:val="dotted" w:sz="4" w:space="0" w:color="auto"/>
            </w:tcBorders>
            <w:vAlign w:val="bottom"/>
          </w:tcPr>
          <w:p w:rsidR="0065431C" w:rsidRDefault="0065431C" w:rsidP="00BC5669">
            <w:pPr>
              <w:pStyle w:val="TableTextRight"/>
            </w:pPr>
            <w:r>
              <w:t>446.84</w:t>
            </w:r>
          </w:p>
        </w:tc>
        <w:tc>
          <w:tcPr>
            <w:tcW w:w="1144" w:type="pct"/>
            <w:tcBorders>
              <w:top w:val="nil"/>
              <w:left w:val="dotted" w:sz="4" w:space="0" w:color="auto"/>
              <w:bottom w:val="nil"/>
              <w:right w:val="nil"/>
            </w:tcBorders>
            <w:vAlign w:val="bottom"/>
          </w:tcPr>
          <w:p w:rsidR="0065431C" w:rsidRDefault="0065431C" w:rsidP="00BC5669">
            <w:pPr>
              <w:pStyle w:val="TableTextRight"/>
            </w:pPr>
            <w:r>
              <w:t>1.79</w:t>
            </w:r>
          </w:p>
        </w:tc>
      </w:tr>
      <w:tr w:rsidR="0065431C" w:rsidRPr="00144F8C" w:rsidTr="00BC5669">
        <w:trPr>
          <w:cantSplit/>
        </w:trPr>
        <w:tc>
          <w:tcPr>
            <w:tcW w:w="2903" w:type="pct"/>
            <w:tcBorders>
              <w:top w:val="nil"/>
              <w:left w:val="nil"/>
              <w:bottom w:val="nil"/>
              <w:right w:val="nil"/>
            </w:tcBorders>
          </w:tcPr>
          <w:p w:rsidR="0065431C" w:rsidRPr="00734476" w:rsidRDefault="0065431C" w:rsidP="00BC5669">
            <w:pPr>
              <w:pStyle w:val="TableTextLeft"/>
              <w:rPr>
                <w:rFonts w:cs="Arial"/>
                <w:color w:val="000033"/>
                <w:szCs w:val="22"/>
              </w:rPr>
            </w:pPr>
          </w:p>
        </w:tc>
        <w:tc>
          <w:tcPr>
            <w:tcW w:w="953" w:type="pct"/>
            <w:tcBorders>
              <w:top w:val="nil"/>
              <w:left w:val="nil"/>
              <w:bottom w:val="nil"/>
              <w:right w:val="dotted" w:sz="4" w:space="0" w:color="auto"/>
            </w:tcBorders>
            <w:vAlign w:val="bottom"/>
          </w:tcPr>
          <w:p w:rsidR="0065431C" w:rsidRDefault="0065431C" w:rsidP="00BC5669">
            <w:pPr>
              <w:pStyle w:val="TableTextRight"/>
              <w:rPr>
                <w:rFonts w:cs="Arial"/>
                <w:b/>
                <w:color w:val="000033"/>
                <w:szCs w:val="22"/>
              </w:rPr>
            </w:pPr>
          </w:p>
        </w:tc>
        <w:tc>
          <w:tcPr>
            <w:tcW w:w="1144" w:type="pct"/>
            <w:tcBorders>
              <w:top w:val="nil"/>
              <w:left w:val="dotted" w:sz="4" w:space="0" w:color="auto"/>
              <w:bottom w:val="nil"/>
              <w:right w:val="nil"/>
            </w:tcBorders>
            <w:vAlign w:val="bottom"/>
          </w:tcPr>
          <w:p w:rsidR="0065431C" w:rsidRDefault="0065431C" w:rsidP="00BC5669">
            <w:pPr>
              <w:pStyle w:val="TableTextRight"/>
              <w:rPr>
                <w:rFonts w:cs="Arial"/>
                <w:b/>
                <w:color w:val="000033"/>
                <w:szCs w:val="22"/>
              </w:rPr>
            </w:pPr>
          </w:p>
        </w:tc>
      </w:tr>
      <w:tr w:rsidR="0065431C" w:rsidRPr="00144F8C" w:rsidTr="00BC5669">
        <w:trPr>
          <w:cantSplit/>
        </w:trPr>
        <w:tc>
          <w:tcPr>
            <w:tcW w:w="2903" w:type="pct"/>
            <w:tcBorders>
              <w:top w:val="nil"/>
              <w:left w:val="nil"/>
              <w:bottom w:val="nil"/>
              <w:right w:val="nil"/>
            </w:tcBorders>
          </w:tcPr>
          <w:p w:rsidR="0065431C" w:rsidRPr="00734476" w:rsidRDefault="0065431C" w:rsidP="00BC5669">
            <w:pPr>
              <w:pStyle w:val="TableTextLeft"/>
            </w:pPr>
            <w:r w:rsidRPr="00734476">
              <w:t xml:space="preserve">Hunter Water </w:t>
            </w:r>
            <w:r w:rsidRPr="00734476">
              <w:sym w:font="Symbol" w:char="F02D"/>
            </w:r>
            <w:r w:rsidRPr="00734476">
              <w:t xml:space="preserve"> residential house</w:t>
            </w:r>
          </w:p>
        </w:tc>
        <w:tc>
          <w:tcPr>
            <w:tcW w:w="953" w:type="pct"/>
            <w:tcBorders>
              <w:top w:val="nil"/>
              <w:left w:val="nil"/>
              <w:bottom w:val="nil"/>
              <w:right w:val="dotted" w:sz="4" w:space="0" w:color="auto"/>
            </w:tcBorders>
            <w:vAlign w:val="bottom"/>
          </w:tcPr>
          <w:p w:rsidR="0065431C" w:rsidRDefault="0065431C" w:rsidP="00BC5669">
            <w:pPr>
              <w:pStyle w:val="TableTextRight"/>
            </w:pPr>
            <w:r>
              <w:t>593.58</w:t>
            </w:r>
          </w:p>
        </w:tc>
        <w:tc>
          <w:tcPr>
            <w:tcW w:w="1144" w:type="pct"/>
            <w:tcBorders>
              <w:top w:val="nil"/>
              <w:left w:val="dotted" w:sz="4" w:space="0" w:color="auto"/>
              <w:bottom w:val="nil"/>
              <w:right w:val="nil"/>
            </w:tcBorders>
            <w:vAlign w:val="bottom"/>
          </w:tcPr>
          <w:p w:rsidR="0065431C" w:rsidRDefault="0065431C" w:rsidP="00BC5669">
            <w:pPr>
              <w:pStyle w:val="TableTextRight"/>
              <w:rPr>
                <w:rFonts w:cs="Arial"/>
                <w:b/>
                <w:color w:val="000033"/>
                <w:szCs w:val="22"/>
              </w:rPr>
            </w:pPr>
          </w:p>
        </w:tc>
      </w:tr>
      <w:tr w:rsidR="0065431C" w:rsidRPr="00144F8C" w:rsidTr="00BC5669">
        <w:trPr>
          <w:cantSplit/>
        </w:trPr>
        <w:tc>
          <w:tcPr>
            <w:tcW w:w="2903" w:type="pct"/>
            <w:tcBorders>
              <w:top w:val="nil"/>
              <w:left w:val="nil"/>
              <w:bottom w:val="nil"/>
              <w:right w:val="nil"/>
            </w:tcBorders>
          </w:tcPr>
          <w:p w:rsidR="0065431C" w:rsidRPr="00734476" w:rsidRDefault="0065431C" w:rsidP="00BC5669">
            <w:pPr>
              <w:pStyle w:val="TableTextLeft"/>
            </w:pPr>
            <w:r w:rsidRPr="00734476">
              <w:t xml:space="preserve">    </w:t>
            </w:r>
            <w:r w:rsidR="00E92184" w:rsidRPr="00734476">
              <w:t xml:space="preserve">                 </w:t>
            </w:r>
            <w:r w:rsidRPr="00734476">
              <w:t xml:space="preserve"> </w:t>
            </w:r>
            <w:r w:rsidRPr="00734476">
              <w:sym w:font="Symbol" w:char="F02D"/>
            </w:r>
            <w:r w:rsidRPr="00734476">
              <w:t xml:space="preserve"> residential unit/flat</w:t>
            </w:r>
          </w:p>
        </w:tc>
        <w:tc>
          <w:tcPr>
            <w:tcW w:w="953" w:type="pct"/>
            <w:tcBorders>
              <w:top w:val="nil"/>
              <w:left w:val="nil"/>
              <w:bottom w:val="nil"/>
              <w:right w:val="dotted" w:sz="4" w:space="0" w:color="auto"/>
            </w:tcBorders>
          </w:tcPr>
          <w:p w:rsidR="0065431C" w:rsidRDefault="0065431C" w:rsidP="00BC5669">
            <w:pPr>
              <w:pStyle w:val="TableTextRight"/>
            </w:pPr>
            <w:r>
              <w:t>430.34</w:t>
            </w:r>
          </w:p>
        </w:tc>
        <w:tc>
          <w:tcPr>
            <w:tcW w:w="1144" w:type="pct"/>
            <w:tcBorders>
              <w:top w:val="nil"/>
              <w:left w:val="dotted" w:sz="4" w:space="0" w:color="auto"/>
              <w:bottom w:val="nil"/>
              <w:right w:val="nil"/>
            </w:tcBorders>
          </w:tcPr>
          <w:p w:rsidR="0065431C" w:rsidRDefault="0065431C" w:rsidP="00BC5669">
            <w:pPr>
              <w:pStyle w:val="TableTextRight"/>
              <w:rPr>
                <w:rFonts w:cs="Arial"/>
                <w:b/>
                <w:color w:val="000033"/>
                <w:szCs w:val="22"/>
              </w:rPr>
            </w:pPr>
          </w:p>
        </w:tc>
      </w:tr>
      <w:tr w:rsidR="0065431C" w:rsidRPr="00144F8C" w:rsidTr="00BC5669">
        <w:trPr>
          <w:cantSplit/>
        </w:trPr>
        <w:tc>
          <w:tcPr>
            <w:tcW w:w="2903" w:type="pct"/>
            <w:tcBorders>
              <w:top w:val="nil"/>
              <w:left w:val="nil"/>
              <w:bottom w:val="nil"/>
              <w:right w:val="nil"/>
            </w:tcBorders>
          </w:tcPr>
          <w:p w:rsidR="0065431C" w:rsidRPr="00734476" w:rsidRDefault="00E92184" w:rsidP="00BC5669">
            <w:pPr>
              <w:pStyle w:val="TableTextLeft"/>
            </w:pPr>
            <w:r w:rsidRPr="00734476">
              <w:t xml:space="preserve">                      </w:t>
            </w:r>
            <w:r w:rsidR="0065431C" w:rsidRPr="00734476">
              <w:sym w:font="Symbol" w:char="F02D"/>
            </w:r>
            <w:r w:rsidR="0065431C" w:rsidRPr="00734476">
              <w:t xml:space="preserve"> business (1 x 20</w:t>
            </w:r>
            <w:r w:rsidRPr="00734476">
              <w:t xml:space="preserve"> </w:t>
            </w:r>
            <w:r w:rsidR="0065431C" w:rsidRPr="00734476">
              <w:t>mm connection)</w:t>
            </w:r>
          </w:p>
        </w:tc>
        <w:tc>
          <w:tcPr>
            <w:tcW w:w="953" w:type="pct"/>
            <w:tcBorders>
              <w:top w:val="nil"/>
              <w:left w:val="nil"/>
              <w:bottom w:val="nil"/>
              <w:right w:val="dotted" w:sz="4" w:space="0" w:color="auto"/>
            </w:tcBorders>
            <w:vAlign w:val="bottom"/>
          </w:tcPr>
          <w:p w:rsidR="0065431C" w:rsidRDefault="0065431C" w:rsidP="00BC5669">
            <w:pPr>
              <w:pStyle w:val="TableTextRight"/>
            </w:pPr>
            <w:r>
              <w:t>593.58</w:t>
            </w:r>
          </w:p>
        </w:tc>
        <w:tc>
          <w:tcPr>
            <w:tcW w:w="1144" w:type="pct"/>
            <w:tcBorders>
              <w:top w:val="nil"/>
              <w:left w:val="dotted" w:sz="4" w:space="0" w:color="auto"/>
              <w:bottom w:val="nil"/>
              <w:right w:val="nil"/>
            </w:tcBorders>
            <w:vAlign w:val="bottom"/>
          </w:tcPr>
          <w:p w:rsidR="0065431C" w:rsidRDefault="0065431C" w:rsidP="00BC5669">
            <w:pPr>
              <w:pStyle w:val="TableTextRight"/>
            </w:pPr>
            <w:r>
              <w:t>0.67</w:t>
            </w:r>
          </w:p>
        </w:tc>
      </w:tr>
      <w:tr w:rsidR="0065431C" w:rsidRPr="00144F8C" w:rsidTr="00BC5669">
        <w:trPr>
          <w:cantSplit/>
        </w:trPr>
        <w:tc>
          <w:tcPr>
            <w:tcW w:w="2903" w:type="pct"/>
            <w:tcBorders>
              <w:top w:val="nil"/>
              <w:left w:val="nil"/>
              <w:bottom w:val="nil"/>
              <w:right w:val="nil"/>
            </w:tcBorders>
          </w:tcPr>
          <w:p w:rsidR="0065431C" w:rsidRPr="00734476" w:rsidRDefault="0065431C" w:rsidP="00BC5669">
            <w:pPr>
              <w:pStyle w:val="TableTextLeft"/>
            </w:pPr>
            <w:r w:rsidRPr="00734476">
              <w:t xml:space="preserve">                      </w:t>
            </w:r>
            <w:r w:rsidRPr="00734476">
              <w:sym w:font="Symbol" w:char="F02D"/>
            </w:r>
            <w:r w:rsidRPr="00734476">
              <w:t xml:space="preserve"> business (+1 20</w:t>
            </w:r>
            <w:r w:rsidR="00E92184" w:rsidRPr="00734476">
              <w:t xml:space="preserve"> </w:t>
            </w:r>
            <w:r w:rsidRPr="00734476">
              <w:t>mm connection)</w:t>
            </w:r>
          </w:p>
        </w:tc>
        <w:tc>
          <w:tcPr>
            <w:tcW w:w="953" w:type="pct"/>
            <w:tcBorders>
              <w:top w:val="nil"/>
              <w:left w:val="nil"/>
              <w:bottom w:val="nil"/>
              <w:right w:val="dotted" w:sz="4" w:space="0" w:color="auto"/>
            </w:tcBorders>
            <w:vAlign w:val="bottom"/>
          </w:tcPr>
          <w:p w:rsidR="0065431C" w:rsidRDefault="0065431C" w:rsidP="00BC5669">
            <w:pPr>
              <w:pStyle w:val="TableTextRight"/>
            </w:pPr>
            <w:r>
              <w:t>1,179.58</w:t>
            </w:r>
          </w:p>
        </w:tc>
        <w:tc>
          <w:tcPr>
            <w:tcW w:w="1144" w:type="pct"/>
            <w:tcBorders>
              <w:top w:val="nil"/>
              <w:left w:val="dotted" w:sz="4" w:space="0" w:color="auto"/>
              <w:bottom w:val="nil"/>
              <w:right w:val="nil"/>
            </w:tcBorders>
            <w:vAlign w:val="bottom"/>
          </w:tcPr>
          <w:p w:rsidR="0065431C" w:rsidRDefault="0065431C" w:rsidP="00BC5669">
            <w:pPr>
              <w:pStyle w:val="TableTextRight"/>
            </w:pPr>
            <w:r>
              <w:t>0.67</w:t>
            </w:r>
          </w:p>
        </w:tc>
      </w:tr>
      <w:tr w:rsidR="0065431C" w:rsidRPr="00144F8C" w:rsidTr="00BC5669">
        <w:trPr>
          <w:cantSplit/>
        </w:trPr>
        <w:tc>
          <w:tcPr>
            <w:tcW w:w="2903" w:type="pct"/>
            <w:tcBorders>
              <w:top w:val="nil"/>
              <w:left w:val="nil"/>
              <w:bottom w:val="nil"/>
              <w:right w:val="nil"/>
            </w:tcBorders>
          </w:tcPr>
          <w:p w:rsidR="0065431C" w:rsidRDefault="00E92184" w:rsidP="00BC5669">
            <w:pPr>
              <w:pStyle w:val="TableTextLeft"/>
            </w:pPr>
            <w:r>
              <w:rPr>
                <w:b/>
              </w:rPr>
              <w:t xml:space="preserve">                      </w:t>
            </w:r>
            <w:r w:rsidR="0065431C" w:rsidRPr="0057483E">
              <w:sym w:font="Symbol" w:char="F02D"/>
            </w:r>
            <w:r w:rsidR="0065431C" w:rsidRPr="0057483E">
              <w:t xml:space="preserve"> business (+2</w:t>
            </w:r>
            <w:r w:rsidR="0065431C">
              <w:t>5</w:t>
            </w:r>
            <w:r>
              <w:t xml:space="preserve"> </w:t>
            </w:r>
            <w:r w:rsidR="0065431C" w:rsidRPr="0057483E">
              <w:t>mm connection)</w:t>
            </w:r>
          </w:p>
        </w:tc>
        <w:tc>
          <w:tcPr>
            <w:tcW w:w="953" w:type="pct"/>
            <w:tcBorders>
              <w:top w:val="nil"/>
              <w:left w:val="nil"/>
              <w:bottom w:val="nil"/>
              <w:right w:val="dotted" w:sz="4" w:space="0" w:color="auto"/>
            </w:tcBorders>
            <w:vAlign w:val="bottom"/>
          </w:tcPr>
          <w:p w:rsidR="0065431C" w:rsidRDefault="0065431C" w:rsidP="00BC5669">
            <w:pPr>
              <w:pStyle w:val="TableTextRight"/>
            </w:pPr>
            <w:r>
              <w:t>1,843.09</w:t>
            </w:r>
          </w:p>
        </w:tc>
        <w:tc>
          <w:tcPr>
            <w:tcW w:w="1144" w:type="pct"/>
            <w:tcBorders>
              <w:top w:val="nil"/>
              <w:left w:val="dotted" w:sz="4" w:space="0" w:color="auto"/>
              <w:bottom w:val="nil"/>
              <w:right w:val="nil"/>
            </w:tcBorders>
            <w:vAlign w:val="bottom"/>
          </w:tcPr>
          <w:p w:rsidR="0065431C" w:rsidRDefault="0065431C" w:rsidP="00BC5669">
            <w:pPr>
              <w:pStyle w:val="TableTextRight"/>
            </w:pPr>
            <w:r>
              <w:t>0.67</w:t>
            </w:r>
          </w:p>
        </w:tc>
      </w:tr>
      <w:tr w:rsidR="0065431C" w:rsidRPr="00144F8C" w:rsidTr="00BC5669">
        <w:trPr>
          <w:cantSplit/>
        </w:trPr>
        <w:tc>
          <w:tcPr>
            <w:tcW w:w="2903" w:type="pct"/>
            <w:tcBorders>
              <w:top w:val="nil"/>
              <w:left w:val="nil"/>
              <w:bottom w:val="nil"/>
              <w:right w:val="nil"/>
            </w:tcBorders>
          </w:tcPr>
          <w:p w:rsidR="0065431C" w:rsidRDefault="0065431C" w:rsidP="00BC5669">
            <w:pPr>
              <w:pStyle w:val="TableTextLeft"/>
              <w:rPr>
                <w:rFonts w:cs="Arial"/>
                <w:b/>
                <w:color w:val="000033"/>
                <w:szCs w:val="22"/>
              </w:rPr>
            </w:pPr>
          </w:p>
        </w:tc>
        <w:tc>
          <w:tcPr>
            <w:tcW w:w="953" w:type="pct"/>
            <w:tcBorders>
              <w:top w:val="nil"/>
              <w:left w:val="nil"/>
              <w:bottom w:val="nil"/>
              <w:right w:val="dotted" w:sz="4" w:space="0" w:color="auto"/>
            </w:tcBorders>
          </w:tcPr>
          <w:p w:rsidR="0065431C" w:rsidRDefault="0065431C" w:rsidP="00BC5669">
            <w:pPr>
              <w:pStyle w:val="TableTextRight"/>
              <w:rPr>
                <w:rFonts w:cs="Arial"/>
                <w:b/>
                <w:color w:val="000033"/>
                <w:szCs w:val="22"/>
              </w:rPr>
            </w:pPr>
          </w:p>
        </w:tc>
        <w:tc>
          <w:tcPr>
            <w:tcW w:w="1144" w:type="pct"/>
            <w:tcBorders>
              <w:top w:val="nil"/>
              <w:left w:val="dotted" w:sz="4" w:space="0" w:color="auto"/>
              <w:bottom w:val="nil"/>
              <w:right w:val="nil"/>
            </w:tcBorders>
          </w:tcPr>
          <w:p w:rsidR="0065431C" w:rsidRDefault="0065431C" w:rsidP="00BC5669">
            <w:pPr>
              <w:pStyle w:val="TableTextRight"/>
              <w:rPr>
                <w:rFonts w:cs="Arial"/>
                <w:b/>
                <w:color w:val="000033"/>
                <w:szCs w:val="22"/>
              </w:rPr>
            </w:pPr>
          </w:p>
        </w:tc>
      </w:tr>
      <w:tr w:rsidR="0065431C" w:rsidRPr="00144F8C" w:rsidTr="00BC5669">
        <w:trPr>
          <w:cantSplit/>
        </w:trPr>
        <w:tc>
          <w:tcPr>
            <w:tcW w:w="2903" w:type="pct"/>
            <w:tcBorders>
              <w:top w:val="nil"/>
              <w:left w:val="nil"/>
              <w:bottom w:val="nil"/>
              <w:right w:val="nil"/>
            </w:tcBorders>
            <w:shd w:val="clear" w:color="auto" w:fill="FBD4B4" w:themeFill="accent6" w:themeFillTint="66"/>
          </w:tcPr>
          <w:p w:rsidR="0065431C" w:rsidRPr="00734476" w:rsidRDefault="0065431C" w:rsidP="00BC5669">
            <w:pPr>
              <w:pStyle w:val="TableTextLeft"/>
            </w:pPr>
            <w:r w:rsidRPr="00734476">
              <w:t xml:space="preserve">Icon Water </w:t>
            </w:r>
            <w:r w:rsidRPr="00734476">
              <w:sym w:font="Symbol" w:char="F02D"/>
            </w:r>
            <w:r w:rsidRPr="00734476">
              <w:t xml:space="preserve"> supply charge </w:t>
            </w:r>
            <w:r w:rsidRPr="00734476">
              <w:sym w:font="Symbol" w:char="F02D"/>
            </w:r>
            <w:r w:rsidRPr="00734476">
              <w:t xml:space="preserve"> res &amp; business</w:t>
            </w:r>
          </w:p>
        </w:tc>
        <w:tc>
          <w:tcPr>
            <w:tcW w:w="953" w:type="pct"/>
            <w:tcBorders>
              <w:top w:val="nil"/>
              <w:left w:val="nil"/>
              <w:bottom w:val="nil"/>
              <w:right w:val="dotted" w:sz="4" w:space="0" w:color="auto"/>
            </w:tcBorders>
            <w:shd w:val="clear" w:color="auto" w:fill="FBD4B4" w:themeFill="accent6" w:themeFillTint="66"/>
            <w:vAlign w:val="bottom"/>
          </w:tcPr>
          <w:p w:rsidR="0065431C" w:rsidRDefault="0065431C" w:rsidP="00BC5669">
            <w:pPr>
              <w:pStyle w:val="TableTextRight"/>
            </w:pPr>
            <w:r>
              <w:t>523.18</w:t>
            </w:r>
          </w:p>
        </w:tc>
        <w:tc>
          <w:tcPr>
            <w:tcW w:w="1144" w:type="pct"/>
            <w:tcBorders>
              <w:top w:val="nil"/>
              <w:left w:val="dotted" w:sz="4" w:space="0" w:color="auto"/>
              <w:bottom w:val="nil"/>
              <w:right w:val="nil"/>
            </w:tcBorders>
            <w:shd w:val="clear" w:color="auto" w:fill="FBD4B4" w:themeFill="accent6" w:themeFillTint="66"/>
            <w:vAlign w:val="bottom"/>
          </w:tcPr>
          <w:p w:rsidR="0065431C" w:rsidRDefault="0065431C" w:rsidP="00BC5669">
            <w:pPr>
              <w:pStyle w:val="TableTextRight"/>
              <w:rPr>
                <w:rFonts w:cs="Arial"/>
                <w:b/>
                <w:color w:val="000033"/>
                <w:szCs w:val="22"/>
              </w:rPr>
            </w:pPr>
          </w:p>
        </w:tc>
      </w:tr>
      <w:tr w:rsidR="0065431C" w:rsidRPr="00144F8C" w:rsidTr="00BC5669">
        <w:trPr>
          <w:cantSplit/>
        </w:trPr>
        <w:tc>
          <w:tcPr>
            <w:tcW w:w="2903" w:type="pct"/>
            <w:tcBorders>
              <w:top w:val="nil"/>
              <w:left w:val="nil"/>
              <w:bottom w:val="nil"/>
              <w:right w:val="nil"/>
            </w:tcBorders>
            <w:shd w:val="clear" w:color="auto" w:fill="FBD4B4" w:themeFill="accent6" w:themeFillTint="66"/>
          </w:tcPr>
          <w:p w:rsidR="0065431C" w:rsidRPr="00734476" w:rsidRDefault="0065431C" w:rsidP="00BC5669">
            <w:pPr>
              <w:pStyle w:val="TableTextLeft"/>
            </w:pPr>
            <w:r w:rsidRPr="00734476">
              <w:t xml:space="preserve">                   </w:t>
            </w:r>
            <w:r w:rsidRPr="00734476">
              <w:sym w:font="Symbol" w:char="F02D"/>
            </w:r>
            <w:r w:rsidRPr="00734476">
              <w:t xml:space="preserve"> fixture charge </w:t>
            </w:r>
            <w:r w:rsidRPr="00734476">
              <w:sym w:font="Symbol" w:char="F02D"/>
            </w:r>
            <w:r w:rsidRPr="00734476">
              <w:t xml:space="preserve"> res &amp; business</w:t>
            </w:r>
          </w:p>
        </w:tc>
        <w:tc>
          <w:tcPr>
            <w:tcW w:w="953" w:type="pct"/>
            <w:tcBorders>
              <w:top w:val="nil"/>
              <w:left w:val="nil"/>
              <w:bottom w:val="nil"/>
              <w:right w:val="dotted" w:sz="4" w:space="0" w:color="auto"/>
            </w:tcBorders>
            <w:shd w:val="clear" w:color="auto" w:fill="FBD4B4" w:themeFill="accent6" w:themeFillTint="66"/>
            <w:vAlign w:val="bottom"/>
          </w:tcPr>
          <w:p w:rsidR="0065431C" w:rsidRDefault="0065431C" w:rsidP="00BC5669">
            <w:pPr>
              <w:pStyle w:val="TableTextRight"/>
            </w:pPr>
            <w:r>
              <w:t>511.66</w:t>
            </w:r>
          </w:p>
        </w:tc>
        <w:tc>
          <w:tcPr>
            <w:tcW w:w="1144" w:type="pct"/>
            <w:tcBorders>
              <w:top w:val="nil"/>
              <w:left w:val="dotted" w:sz="4" w:space="0" w:color="auto"/>
              <w:bottom w:val="nil"/>
              <w:right w:val="nil"/>
            </w:tcBorders>
            <w:shd w:val="clear" w:color="auto" w:fill="FBD4B4" w:themeFill="accent6" w:themeFillTint="66"/>
            <w:vAlign w:val="bottom"/>
          </w:tcPr>
          <w:p w:rsidR="0065431C" w:rsidRDefault="0065431C" w:rsidP="00BC5669">
            <w:pPr>
              <w:pStyle w:val="TableTextRight"/>
              <w:rPr>
                <w:rFonts w:cs="Arial"/>
                <w:b/>
                <w:color w:val="000033"/>
                <w:szCs w:val="22"/>
              </w:rPr>
            </w:pPr>
          </w:p>
        </w:tc>
      </w:tr>
      <w:tr w:rsidR="0065431C" w:rsidRPr="00144F8C" w:rsidTr="00BC5669">
        <w:trPr>
          <w:cantSplit/>
        </w:trPr>
        <w:tc>
          <w:tcPr>
            <w:tcW w:w="2903" w:type="pct"/>
            <w:tcBorders>
              <w:top w:val="nil"/>
              <w:left w:val="nil"/>
              <w:bottom w:val="nil"/>
              <w:right w:val="nil"/>
            </w:tcBorders>
          </w:tcPr>
          <w:p w:rsidR="0065431C" w:rsidRDefault="0065431C" w:rsidP="00BC5669">
            <w:pPr>
              <w:pStyle w:val="TableTextLeft"/>
              <w:rPr>
                <w:rFonts w:cs="Arial"/>
                <w:b/>
                <w:color w:val="000033"/>
                <w:szCs w:val="22"/>
              </w:rPr>
            </w:pPr>
          </w:p>
        </w:tc>
        <w:tc>
          <w:tcPr>
            <w:tcW w:w="953" w:type="pct"/>
            <w:tcBorders>
              <w:top w:val="nil"/>
              <w:left w:val="nil"/>
              <w:bottom w:val="nil"/>
              <w:right w:val="dotted" w:sz="4" w:space="0" w:color="auto"/>
            </w:tcBorders>
          </w:tcPr>
          <w:p w:rsidR="0065431C" w:rsidRDefault="0065431C" w:rsidP="00BC5669">
            <w:pPr>
              <w:pStyle w:val="TableTextRight"/>
              <w:rPr>
                <w:rFonts w:cs="Arial"/>
                <w:b/>
                <w:color w:val="000033"/>
                <w:szCs w:val="22"/>
              </w:rPr>
            </w:pPr>
          </w:p>
        </w:tc>
        <w:tc>
          <w:tcPr>
            <w:tcW w:w="1144" w:type="pct"/>
            <w:tcBorders>
              <w:top w:val="nil"/>
              <w:left w:val="dotted" w:sz="4" w:space="0" w:color="auto"/>
              <w:bottom w:val="nil"/>
              <w:right w:val="nil"/>
            </w:tcBorders>
          </w:tcPr>
          <w:p w:rsidR="0065431C" w:rsidRDefault="0065431C" w:rsidP="00BC5669">
            <w:pPr>
              <w:pStyle w:val="TableTextRight"/>
              <w:rPr>
                <w:rFonts w:cs="Arial"/>
                <w:b/>
                <w:color w:val="000033"/>
                <w:szCs w:val="22"/>
              </w:rPr>
            </w:pPr>
          </w:p>
        </w:tc>
      </w:tr>
      <w:tr w:rsidR="0065431C" w:rsidRPr="00144F8C" w:rsidTr="00BC5669">
        <w:trPr>
          <w:cantSplit/>
          <w:trHeight w:val="318"/>
        </w:trPr>
        <w:tc>
          <w:tcPr>
            <w:tcW w:w="2903" w:type="pct"/>
            <w:tcBorders>
              <w:top w:val="nil"/>
              <w:left w:val="nil"/>
              <w:bottom w:val="nil"/>
              <w:right w:val="nil"/>
            </w:tcBorders>
          </w:tcPr>
          <w:p w:rsidR="0065431C" w:rsidRPr="00734476" w:rsidRDefault="0065431C" w:rsidP="00BC5669">
            <w:pPr>
              <w:pStyle w:val="TableTextLeft"/>
            </w:pPr>
            <w:r w:rsidRPr="00734476">
              <w:t xml:space="preserve">SA Water </w:t>
            </w:r>
            <w:r w:rsidRPr="00734476">
              <w:sym w:font="Symbol" w:char="F02D"/>
            </w:r>
            <w:r w:rsidRPr="00734476">
              <w:t xml:space="preserve"> res &amp; business</w:t>
            </w:r>
          </w:p>
        </w:tc>
        <w:tc>
          <w:tcPr>
            <w:tcW w:w="953" w:type="pct"/>
            <w:tcBorders>
              <w:top w:val="nil"/>
              <w:left w:val="nil"/>
              <w:bottom w:val="nil"/>
              <w:right w:val="dotted" w:sz="4" w:space="0" w:color="auto"/>
            </w:tcBorders>
          </w:tcPr>
          <w:p w:rsidR="0065431C" w:rsidRDefault="0065431C" w:rsidP="00BC5669">
            <w:pPr>
              <w:pStyle w:val="TableTextRight"/>
            </w:pPr>
            <w:r>
              <w:t>355.80</w:t>
            </w:r>
          </w:p>
        </w:tc>
        <w:tc>
          <w:tcPr>
            <w:tcW w:w="1144" w:type="pct"/>
            <w:tcBorders>
              <w:top w:val="nil"/>
              <w:left w:val="dotted" w:sz="4" w:space="0" w:color="auto"/>
              <w:bottom w:val="nil"/>
              <w:right w:val="nil"/>
            </w:tcBorders>
          </w:tcPr>
          <w:p w:rsidR="0065431C" w:rsidRDefault="0065431C" w:rsidP="00BC5669">
            <w:pPr>
              <w:pStyle w:val="TableTextRight"/>
              <w:rPr>
                <w:rFonts w:cs="Arial"/>
                <w:b/>
                <w:color w:val="000033"/>
                <w:szCs w:val="22"/>
              </w:rPr>
            </w:pPr>
          </w:p>
        </w:tc>
      </w:tr>
      <w:tr w:rsidR="0065431C" w:rsidRPr="00144F8C" w:rsidTr="00BC5669">
        <w:trPr>
          <w:cantSplit/>
        </w:trPr>
        <w:tc>
          <w:tcPr>
            <w:tcW w:w="2903" w:type="pct"/>
            <w:tcBorders>
              <w:top w:val="nil"/>
              <w:left w:val="nil"/>
              <w:bottom w:val="nil"/>
              <w:right w:val="nil"/>
            </w:tcBorders>
          </w:tcPr>
          <w:p w:rsidR="0065431C" w:rsidRPr="00734476" w:rsidRDefault="0065431C" w:rsidP="00BC5669">
            <w:pPr>
              <w:pStyle w:val="TableTextLeft"/>
              <w:rPr>
                <w:rFonts w:cs="Arial"/>
                <w:color w:val="000033"/>
                <w:szCs w:val="22"/>
              </w:rPr>
            </w:pPr>
          </w:p>
        </w:tc>
        <w:tc>
          <w:tcPr>
            <w:tcW w:w="953" w:type="pct"/>
            <w:tcBorders>
              <w:top w:val="nil"/>
              <w:left w:val="nil"/>
              <w:bottom w:val="nil"/>
              <w:right w:val="dotted" w:sz="4" w:space="0" w:color="auto"/>
            </w:tcBorders>
          </w:tcPr>
          <w:p w:rsidR="0065431C" w:rsidRDefault="0065431C" w:rsidP="00BC5669">
            <w:pPr>
              <w:pStyle w:val="TableTextRight"/>
              <w:rPr>
                <w:rFonts w:cs="Arial"/>
                <w:b/>
                <w:color w:val="000033"/>
                <w:szCs w:val="22"/>
              </w:rPr>
            </w:pPr>
          </w:p>
        </w:tc>
        <w:tc>
          <w:tcPr>
            <w:tcW w:w="1144" w:type="pct"/>
            <w:tcBorders>
              <w:top w:val="nil"/>
              <w:left w:val="dotted" w:sz="4" w:space="0" w:color="auto"/>
              <w:bottom w:val="nil"/>
              <w:right w:val="nil"/>
            </w:tcBorders>
          </w:tcPr>
          <w:p w:rsidR="0065431C" w:rsidRDefault="0065431C" w:rsidP="00BC5669">
            <w:pPr>
              <w:pStyle w:val="TableTextRight"/>
              <w:rPr>
                <w:rFonts w:cs="Arial"/>
                <w:b/>
                <w:color w:val="000033"/>
                <w:szCs w:val="22"/>
              </w:rPr>
            </w:pPr>
          </w:p>
        </w:tc>
      </w:tr>
      <w:tr w:rsidR="0065431C" w:rsidRPr="00144F8C" w:rsidTr="00BC5669">
        <w:trPr>
          <w:cantSplit/>
        </w:trPr>
        <w:tc>
          <w:tcPr>
            <w:tcW w:w="2903" w:type="pct"/>
            <w:tcBorders>
              <w:top w:val="nil"/>
              <w:left w:val="nil"/>
              <w:bottom w:val="nil"/>
              <w:right w:val="nil"/>
            </w:tcBorders>
          </w:tcPr>
          <w:p w:rsidR="0065431C" w:rsidRPr="00734476" w:rsidRDefault="0065431C" w:rsidP="00E92184">
            <w:pPr>
              <w:pStyle w:val="TableTextLeft"/>
            </w:pPr>
            <w:r w:rsidRPr="00734476">
              <w:t xml:space="preserve">Sydney Water </w:t>
            </w:r>
            <w:r w:rsidRPr="00734476">
              <w:sym w:font="Symbol" w:char="F02D"/>
            </w:r>
            <w:r w:rsidRPr="00734476">
              <w:t xml:space="preserve"> residential</w:t>
            </w:r>
          </w:p>
        </w:tc>
        <w:tc>
          <w:tcPr>
            <w:tcW w:w="953" w:type="pct"/>
            <w:tcBorders>
              <w:top w:val="nil"/>
              <w:left w:val="nil"/>
              <w:bottom w:val="nil"/>
              <w:right w:val="dotted" w:sz="4" w:space="0" w:color="auto"/>
            </w:tcBorders>
            <w:vAlign w:val="bottom"/>
          </w:tcPr>
          <w:p w:rsidR="0065431C" w:rsidRDefault="0065431C" w:rsidP="00BC5669">
            <w:pPr>
              <w:pStyle w:val="TableTextRight"/>
            </w:pPr>
            <w:r>
              <w:t>609.14</w:t>
            </w:r>
          </w:p>
        </w:tc>
        <w:tc>
          <w:tcPr>
            <w:tcW w:w="1144" w:type="pct"/>
            <w:tcBorders>
              <w:top w:val="nil"/>
              <w:left w:val="dotted" w:sz="4" w:space="0" w:color="auto"/>
              <w:bottom w:val="nil"/>
              <w:right w:val="nil"/>
            </w:tcBorders>
            <w:vAlign w:val="bottom"/>
          </w:tcPr>
          <w:p w:rsidR="0065431C" w:rsidRDefault="0065431C" w:rsidP="00BC5669">
            <w:pPr>
              <w:pStyle w:val="TableTextRight"/>
              <w:rPr>
                <w:rFonts w:cs="Arial"/>
                <w:b/>
                <w:color w:val="000033"/>
                <w:szCs w:val="22"/>
              </w:rPr>
            </w:pPr>
          </w:p>
        </w:tc>
      </w:tr>
      <w:tr w:rsidR="0065431C" w:rsidRPr="00144F8C" w:rsidTr="00BC5669">
        <w:trPr>
          <w:cantSplit/>
        </w:trPr>
        <w:tc>
          <w:tcPr>
            <w:tcW w:w="2903" w:type="pct"/>
            <w:tcBorders>
              <w:top w:val="nil"/>
              <w:left w:val="nil"/>
              <w:bottom w:val="nil"/>
              <w:right w:val="nil"/>
            </w:tcBorders>
          </w:tcPr>
          <w:p w:rsidR="0065431C" w:rsidRPr="00734476" w:rsidRDefault="00734476" w:rsidP="00E92184">
            <w:pPr>
              <w:pStyle w:val="TableTextLeft"/>
            </w:pPr>
            <w:r>
              <w:t xml:space="preserve">                       </w:t>
            </w:r>
            <w:r w:rsidR="0065431C" w:rsidRPr="00734476">
              <w:sym w:font="Symbol" w:char="F02D"/>
            </w:r>
            <w:r w:rsidR="0065431C" w:rsidRPr="00734476">
              <w:t xml:space="preserve"> business (1 x 20</w:t>
            </w:r>
            <w:r w:rsidR="00E92184" w:rsidRPr="00734476">
              <w:t xml:space="preserve"> </w:t>
            </w:r>
            <w:r w:rsidR="0065431C" w:rsidRPr="00734476">
              <w:t>mm</w:t>
            </w:r>
            <w:r w:rsidR="00E92184" w:rsidRPr="00734476">
              <w:t xml:space="preserve"> </w:t>
            </w:r>
            <w:r w:rsidR="0065431C" w:rsidRPr="00734476">
              <w:t>connection)</w:t>
            </w:r>
          </w:p>
        </w:tc>
        <w:tc>
          <w:tcPr>
            <w:tcW w:w="953" w:type="pct"/>
            <w:tcBorders>
              <w:top w:val="nil"/>
              <w:left w:val="nil"/>
              <w:bottom w:val="nil"/>
              <w:right w:val="dotted" w:sz="4" w:space="0" w:color="auto"/>
            </w:tcBorders>
            <w:vAlign w:val="bottom"/>
          </w:tcPr>
          <w:p w:rsidR="0065431C" w:rsidRDefault="0065431C" w:rsidP="00BC5669">
            <w:pPr>
              <w:pStyle w:val="TableTextRight"/>
            </w:pPr>
            <w:r>
              <w:t>1,042.70</w:t>
            </w:r>
          </w:p>
        </w:tc>
        <w:tc>
          <w:tcPr>
            <w:tcW w:w="1144" w:type="pct"/>
            <w:tcBorders>
              <w:top w:val="nil"/>
              <w:left w:val="dotted" w:sz="4" w:space="0" w:color="auto"/>
              <w:bottom w:val="nil"/>
              <w:right w:val="nil"/>
            </w:tcBorders>
            <w:vAlign w:val="bottom"/>
          </w:tcPr>
          <w:p w:rsidR="0065431C" w:rsidRDefault="0065431C" w:rsidP="00BC5669">
            <w:pPr>
              <w:pStyle w:val="TableTextRight"/>
            </w:pPr>
            <w:r>
              <w:t>1.10</w:t>
            </w:r>
          </w:p>
        </w:tc>
      </w:tr>
      <w:tr w:rsidR="0065431C" w:rsidRPr="00144F8C" w:rsidTr="00BC5669">
        <w:trPr>
          <w:cantSplit/>
        </w:trPr>
        <w:tc>
          <w:tcPr>
            <w:tcW w:w="2903" w:type="pct"/>
            <w:tcBorders>
              <w:top w:val="nil"/>
              <w:left w:val="nil"/>
              <w:bottom w:val="nil"/>
              <w:right w:val="nil"/>
            </w:tcBorders>
          </w:tcPr>
          <w:p w:rsidR="0065431C" w:rsidRPr="00734476" w:rsidRDefault="0065431C" w:rsidP="00BC5669">
            <w:pPr>
              <w:pStyle w:val="TableTextLeft"/>
            </w:pPr>
            <w:r w:rsidRPr="00734476">
              <w:t xml:space="preserve">                      </w:t>
            </w:r>
            <w:r w:rsidR="00734476">
              <w:t xml:space="preserve"> </w:t>
            </w:r>
            <w:r w:rsidRPr="00734476">
              <w:sym w:font="Symbol" w:char="F02D"/>
            </w:r>
            <w:r w:rsidRPr="00734476">
              <w:t xml:space="preserve"> business (600</w:t>
            </w:r>
            <w:r w:rsidR="00E92184" w:rsidRPr="00734476">
              <w:t xml:space="preserve"> </w:t>
            </w:r>
            <w:r w:rsidRPr="00734476">
              <w:t>mm connection)</w:t>
            </w:r>
          </w:p>
        </w:tc>
        <w:tc>
          <w:tcPr>
            <w:tcW w:w="953" w:type="pct"/>
            <w:tcBorders>
              <w:top w:val="nil"/>
              <w:left w:val="nil"/>
              <w:bottom w:val="nil"/>
              <w:right w:val="dotted" w:sz="4" w:space="0" w:color="auto"/>
            </w:tcBorders>
            <w:vAlign w:val="bottom"/>
          </w:tcPr>
          <w:p w:rsidR="0065431C" w:rsidRDefault="0065431C" w:rsidP="00BC5669">
            <w:pPr>
              <w:pStyle w:val="TableTextRight"/>
            </w:pPr>
            <w:r>
              <w:t>938,406.18</w:t>
            </w:r>
          </w:p>
        </w:tc>
        <w:tc>
          <w:tcPr>
            <w:tcW w:w="1144" w:type="pct"/>
            <w:tcBorders>
              <w:top w:val="nil"/>
              <w:left w:val="dotted" w:sz="4" w:space="0" w:color="auto"/>
              <w:bottom w:val="nil"/>
              <w:right w:val="nil"/>
            </w:tcBorders>
            <w:vAlign w:val="bottom"/>
          </w:tcPr>
          <w:p w:rsidR="0065431C" w:rsidRDefault="0065431C" w:rsidP="00BC5669">
            <w:pPr>
              <w:pStyle w:val="TableTextRight"/>
            </w:pPr>
            <w:r>
              <w:t>1.10</w:t>
            </w:r>
          </w:p>
        </w:tc>
      </w:tr>
      <w:tr w:rsidR="0065431C" w:rsidRPr="00144F8C" w:rsidTr="00BC5669">
        <w:trPr>
          <w:cantSplit/>
        </w:trPr>
        <w:tc>
          <w:tcPr>
            <w:tcW w:w="2903" w:type="pct"/>
            <w:tcBorders>
              <w:top w:val="nil"/>
              <w:left w:val="nil"/>
              <w:bottom w:val="nil"/>
              <w:right w:val="nil"/>
            </w:tcBorders>
          </w:tcPr>
          <w:p w:rsidR="0065431C" w:rsidRDefault="0065431C" w:rsidP="00BC5669">
            <w:pPr>
              <w:pStyle w:val="TableTextLeft"/>
              <w:rPr>
                <w:rFonts w:cs="Arial"/>
                <w:b/>
                <w:color w:val="000033"/>
                <w:szCs w:val="22"/>
              </w:rPr>
            </w:pPr>
          </w:p>
        </w:tc>
        <w:tc>
          <w:tcPr>
            <w:tcW w:w="953" w:type="pct"/>
            <w:tcBorders>
              <w:top w:val="nil"/>
              <w:left w:val="nil"/>
              <w:bottom w:val="nil"/>
              <w:right w:val="dotted" w:sz="4" w:space="0" w:color="auto"/>
            </w:tcBorders>
          </w:tcPr>
          <w:p w:rsidR="0065431C" w:rsidRDefault="0065431C" w:rsidP="00BC5669">
            <w:pPr>
              <w:pStyle w:val="TableTextRight"/>
              <w:rPr>
                <w:rFonts w:cs="Arial"/>
                <w:b/>
                <w:color w:val="000033"/>
                <w:szCs w:val="22"/>
              </w:rPr>
            </w:pPr>
          </w:p>
        </w:tc>
        <w:tc>
          <w:tcPr>
            <w:tcW w:w="1144" w:type="pct"/>
            <w:tcBorders>
              <w:top w:val="nil"/>
              <w:left w:val="dotted" w:sz="4" w:space="0" w:color="auto"/>
              <w:bottom w:val="nil"/>
              <w:right w:val="nil"/>
            </w:tcBorders>
          </w:tcPr>
          <w:p w:rsidR="0065431C" w:rsidRDefault="0065431C" w:rsidP="00BC5669">
            <w:pPr>
              <w:pStyle w:val="TableTextRight"/>
              <w:rPr>
                <w:rFonts w:cs="Arial"/>
                <w:b/>
                <w:color w:val="000033"/>
                <w:szCs w:val="22"/>
              </w:rPr>
            </w:pPr>
          </w:p>
        </w:tc>
      </w:tr>
      <w:tr w:rsidR="0065431C" w:rsidRPr="00144F8C" w:rsidTr="00BC5669">
        <w:trPr>
          <w:cantSplit/>
        </w:trPr>
        <w:tc>
          <w:tcPr>
            <w:tcW w:w="2903" w:type="pct"/>
            <w:tcBorders>
              <w:top w:val="nil"/>
              <w:left w:val="nil"/>
              <w:bottom w:val="nil"/>
              <w:right w:val="nil"/>
            </w:tcBorders>
          </w:tcPr>
          <w:p w:rsidR="0065431C" w:rsidRPr="00734476" w:rsidRDefault="0065431C" w:rsidP="00E92184">
            <w:pPr>
              <w:pStyle w:val="TableTextLeft"/>
            </w:pPr>
            <w:r w:rsidRPr="00734476">
              <w:t xml:space="preserve">TasWater </w:t>
            </w:r>
            <w:r w:rsidRPr="00734476">
              <w:sym w:font="Symbol" w:char="F02D"/>
            </w:r>
            <w:r w:rsidRPr="00734476">
              <w:t xml:space="preserve"> res &amp; business</w:t>
            </w:r>
          </w:p>
        </w:tc>
        <w:tc>
          <w:tcPr>
            <w:tcW w:w="953" w:type="pct"/>
            <w:tcBorders>
              <w:top w:val="nil"/>
              <w:left w:val="nil"/>
              <w:bottom w:val="nil"/>
              <w:right w:val="dotted" w:sz="4" w:space="0" w:color="auto"/>
            </w:tcBorders>
            <w:vAlign w:val="bottom"/>
          </w:tcPr>
          <w:p w:rsidR="0065431C" w:rsidRDefault="0065431C" w:rsidP="00BC5669">
            <w:pPr>
              <w:pStyle w:val="TableTextRight"/>
            </w:pPr>
            <w:r>
              <w:t>562.68</w:t>
            </w:r>
          </w:p>
        </w:tc>
        <w:tc>
          <w:tcPr>
            <w:tcW w:w="1144" w:type="pct"/>
            <w:tcBorders>
              <w:top w:val="nil"/>
              <w:left w:val="dotted" w:sz="4" w:space="0" w:color="auto"/>
              <w:bottom w:val="nil"/>
              <w:right w:val="nil"/>
            </w:tcBorders>
            <w:vAlign w:val="bottom"/>
          </w:tcPr>
          <w:p w:rsidR="0065431C" w:rsidRDefault="0065431C" w:rsidP="00BC5669">
            <w:pPr>
              <w:pStyle w:val="TableTextRight"/>
              <w:rPr>
                <w:rFonts w:cs="Arial"/>
                <w:b/>
                <w:color w:val="000033"/>
                <w:szCs w:val="22"/>
              </w:rPr>
            </w:pPr>
          </w:p>
        </w:tc>
      </w:tr>
      <w:tr w:rsidR="0065431C" w:rsidRPr="00144F8C" w:rsidTr="00BC5669">
        <w:trPr>
          <w:cantSplit/>
        </w:trPr>
        <w:tc>
          <w:tcPr>
            <w:tcW w:w="2903" w:type="pct"/>
            <w:tcBorders>
              <w:top w:val="nil"/>
              <w:left w:val="nil"/>
              <w:bottom w:val="single" w:sz="12" w:space="0" w:color="1F497D" w:themeColor="text2"/>
              <w:right w:val="nil"/>
            </w:tcBorders>
          </w:tcPr>
          <w:p w:rsidR="0065431C" w:rsidRPr="00734476" w:rsidRDefault="00734476" w:rsidP="00BC5669">
            <w:pPr>
              <w:pStyle w:val="TableTextLeft"/>
            </w:pPr>
            <w:r>
              <w:t xml:space="preserve">                </w:t>
            </w:r>
            <w:r w:rsidR="0065431C" w:rsidRPr="00734476">
              <w:sym w:font="Symbol" w:char="F02D"/>
            </w:r>
            <w:r w:rsidR="0065431C" w:rsidRPr="00734476">
              <w:t xml:space="preserve"> res &amp; business</w:t>
            </w:r>
          </w:p>
        </w:tc>
        <w:tc>
          <w:tcPr>
            <w:tcW w:w="953" w:type="pct"/>
            <w:tcBorders>
              <w:top w:val="nil"/>
              <w:left w:val="nil"/>
              <w:bottom w:val="single" w:sz="12" w:space="0" w:color="1F497D" w:themeColor="text2"/>
              <w:right w:val="dotted" w:sz="4" w:space="0" w:color="auto"/>
            </w:tcBorders>
            <w:vAlign w:val="bottom"/>
          </w:tcPr>
          <w:p w:rsidR="0065431C" w:rsidRDefault="0065431C" w:rsidP="00BC5669">
            <w:pPr>
              <w:pStyle w:val="TableTextRight"/>
            </w:pPr>
            <w:r>
              <w:t>14,067.00</w:t>
            </w:r>
          </w:p>
        </w:tc>
        <w:tc>
          <w:tcPr>
            <w:tcW w:w="1144" w:type="pct"/>
            <w:tcBorders>
              <w:top w:val="nil"/>
              <w:left w:val="dotted" w:sz="4" w:space="0" w:color="auto"/>
              <w:bottom w:val="single" w:sz="12" w:space="0" w:color="1F497D" w:themeColor="text2"/>
              <w:right w:val="nil"/>
            </w:tcBorders>
            <w:vAlign w:val="bottom"/>
          </w:tcPr>
          <w:p w:rsidR="0065431C" w:rsidRDefault="0065431C" w:rsidP="00BC5669">
            <w:pPr>
              <w:pStyle w:val="TableTextRight"/>
              <w:rPr>
                <w:rFonts w:cs="Arial"/>
                <w:b/>
                <w:color w:val="000033"/>
                <w:szCs w:val="22"/>
              </w:rPr>
            </w:pPr>
          </w:p>
        </w:tc>
      </w:tr>
    </w:tbl>
    <w:p w:rsidR="00E92184" w:rsidRDefault="00E92184" w:rsidP="00E92184">
      <w:pPr>
        <w:pStyle w:val="TableNotesHangingLast"/>
        <w:keepLines w:val="0"/>
        <w:spacing w:after="0"/>
      </w:pPr>
      <w:r>
        <w:t>Notes:</w:t>
      </w:r>
      <w:r>
        <w:tab/>
        <w:t xml:space="preserve">This table only contains a sample of the fixed sewerage services charges by connection size for Sydney Water. For the full list, see </w:t>
      </w:r>
      <w:hyperlink r:id="rId59" w:history="1">
        <w:r w:rsidRPr="00E92184">
          <w:t>www.sydneywater.com.au/SW/accounts-billing/understanding-your-bill/our-prices/index.htm</w:t>
        </w:r>
      </w:hyperlink>
      <w:r>
        <w:t>.</w:t>
      </w:r>
    </w:p>
    <w:p w:rsidR="00E92184" w:rsidRDefault="00E92184" w:rsidP="00E92184">
      <w:pPr>
        <w:pStyle w:val="TableNotesHangingLast"/>
        <w:keepLines w:val="0"/>
        <w:spacing w:after="0"/>
      </w:pPr>
      <w:r>
        <w:tab/>
        <w:t xml:space="preserve">This table only contains a sample of the fixed sewerage services charges by tenement size for TasWater. For the full list, see </w:t>
      </w:r>
      <w:r w:rsidRPr="005D4C2D">
        <w:t>www.taswater.com.au/Your-Account/Water-and-Sewerage-Charges</w:t>
      </w:r>
      <w:r>
        <w:t>.</w:t>
      </w:r>
    </w:p>
    <w:p w:rsidR="0065431C" w:rsidRDefault="0065431C" w:rsidP="00E92184">
      <w:pPr>
        <w:pStyle w:val="TableNotesHangingLast"/>
        <w:keepLines w:val="0"/>
      </w:pPr>
      <w:r w:rsidRPr="00D85DAB">
        <w:t>Source:</w:t>
      </w:r>
      <w:r w:rsidRPr="00D85DAB">
        <w:tab/>
      </w:r>
      <w:r>
        <w:rPr>
          <w:noProof/>
        </w:rPr>
        <w:t>Sydney Water (2015c)</w:t>
      </w:r>
      <w:r w:rsidRPr="00D85DAB">
        <w:t xml:space="preserve">; </w:t>
      </w:r>
      <w:r>
        <w:rPr>
          <w:noProof/>
        </w:rPr>
        <w:t>Sydney Water (2015b)</w:t>
      </w:r>
      <w:r w:rsidRPr="00D85DAB">
        <w:t xml:space="preserve">; </w:t>
      </w:r>
      <w:r>
        <w:rPr>
          <w:noProof/>
        </w:rPr>
        <w:t>City West Water (2015a)</w:t>
      </w:r>
      <w:r w:rsidRPr="00D85DAB">
        <w:t>; Hunter Water (2015a</w:t>
      </w:r>
      <w:r w:rsidR="00C07517">
        <w:t>)</w:t>
      </w:r>
      <w:r w:rsidRPr="00D85DAB">
        <w:t>; Hunter Water (2015b); TasWater (2015); SA Water (2015).</w:t>
      </w:r>
    </w:p>
    <w:p w:rsidR="0065431C" w:rsidRDefault="0065431C" w:rsidP="00101ADB">
      <w:pPr>
        <w:pStyle w:val="Heading3"/>
      </w:pPr>
      <w:r>
        <w:t>Observations</w:t>
      </w:r>
    </w:p>
    <w:p w:rsidR="0065431C" w:rsidRDefault="0065431C" w:rsidP="0065431C">
      <w:pPr>
        <w:pStyle w:val="Heading4"/>
        <w:keepNext w:val="0"/>
      </w:pPr>
      <w:r>
        <w:t>General</w:t>
      </w:r>
    </w:p>
    <w:p w:rsidR="0065431C" w:rsidRDefault="0065431C" w:rsidP="0065431C">
      <w:r w:rsidRPr="00D85DAB">
        <w:t>There are a few points worth noting from the comparison of prices charged by the utilities listed in</w:t>
      </w:r>
      <w:r>
        <w:t xml:space="preserve"> </w:t>
      </w:r>
      <w:fldSimple w:instr=" REF _Ref430954335 \h  \* MERGEFORMAT ">
        <w:r w:rsidR="00E43227" w:rsidRPr="00D85DAB">
          <w:t xml:space="preserve">Table </w:t>
        </w:r>
        <w:r w:rsidR="00E43227">
          <w:rPr>
            <w:noProof/>
          </w:rPr>
          <w:t>5</w:t>
        </w:r>
        <w:r w:rsidR="00E43227" w:rsidRPr="00D85DAB">
          <w:rPr>
            <w:noProof/>
          </w:rPr>
          <w:t>.</w:t>
        </w:r>
        <w:r w:rsidR="00E43227">
          <w:rPr>
            <w:noProof/>
          </w:rPr>
          <w:t>2</w:t>
        </w:r>
      </w:fldSimple>
      <w:r w:rsidRPr="00D85DAB">
        <w:t>:</w:t>
      </w:r>
    </w:p>
    <w:p w:rsidR="0065431C" w:rsidRDefault="0065431C" w:rsidP="009B0E9F">
      <w:pPr>
        <w:pStyle w:val="Bullet"/>
      </w:pPr>
      <w:r>
        <w:t xml:space="preserve">Two of the six utilities have </w:t>
      </w:r>
      <w:r w:rsidRPr="00D85DAB">
        <w:t>a two-part tariff with a fixed and volumetric charge.</w:t>
      </w:r>
    </w:p>
    <w:p w:rsidR="0065431C" w:rsidRDefault="0065431C" w:rsidP="0065431C">
      <w:pPr>
        <w:pStyle w:val="Bullet"/>
      </w:pPr>
      <w:r>
        <w:t xml:space="preserve">Three utilities </w:t>
      </w:r>
      <w:r w:rsidRPr="00D85DAB">
        <w:t>have different prices for residential and business customers</w:t>
      </w:r>
      <w:r>
        <w:t xml:space="preserve"> and one differentiates between types of residential customer</w:t>
      </w:r>
      <w:r w:rsidR="00DC1ED9">
        <w:t>.</w:t>
      </w:r>
    </w:p>
    <w:p w:rsidR="0065431C" w:rsidRPr="00D85DAB" w:rsidRDefault="0065431C" w:rsidP="0065431C">
      <w:pPr>
        <w:pStyle w:val="Bullet"/>
      </w:pPr>
      <w:r w:rsidRPr="00D85DAB">
        <w:t>Annual fixed charges vary from $</w:t>
      </w:r>
      <w:r>
        <w:t>355.80</w:t>
      </w:r>
      <w:r w:rsidRPr="00D85DAB">
        <w:t xml:space="preserve"> for </w:t>
      </w:r>
      <w:r>
        <w:t>SA</w:t>
      </w:r>
      <w:r w:rsidRPr="00D85DAB">
        <w:t xml:space="preserve"> Water customers to $</w:t>
      </w:r>
      <w:r>
        <w:t>938</w:t>
      </w:r>
      <w:r w:rsidRPr="00D85DAB">
        <w:t>,</w:t>
      </w:r>
      <w:r>
        <w:t>406</w:t>
      </w:r>
      <w:r w:rsidRPr="00D85DAB">
        <w:t xml:space="preserve"> for Sydney Water business customers with a 600</w:t>
      </w:r>
      <w:r w:rsidR="009B0E9F">
        <w:t> </w:t>
      </w:r>
      <w:r w:rsidRPr="00D85DAB">
        <w:t>mm connection.</w:t>
      </w:r>
    </w:p>
    <w:p w:rsidR="0065431C" w:rsidRPr="00D85DAB" w:rsidRDefault="0065431C" w:rsidP="0065431C">
      <w:pPr>
        <w:pStyle w:val="BulletLast"/>
      </w:pPr>
      <w:r>
        <w:t xml:space="preserve">Two </w:t>
      </w:r>
      <w:r w:rsidRPr="00D85DAB">
        <w:t xml:space="preserve">utilities differentiate fixed charges </w:t>
      </w:r>
      <w:r>
        <w:t xml:space="preserve">for business customers </w:t>
      </w:r>
      <w:r w:rsidRPr="00D85DAB">
        <w:t>on the basis of pipe connection size</w:t>
      </w:r>
      <w:r>
        <w:t xml:space="preserve"> while one, TasWater, sets fixed charges based on tenement size</w:t>
      </w:r>
      <w:r w:rsidRPr="00D85DAB">
        <w:t>.</w:t>
      </w:r>
    </w:p>
    <w:p w:rsidR="0065431C" w:rsidRDefault="0065431C" w:rsidP="0065431C">
      <w:pPr>
        <w:pStyle w:val="Heading4"/>
      </w:pPr>
      <w:r>
        <w:t>Mechanisms for setting the volumetric price</w:t>
      </w:r>
    </w:p>
    <w:p w:rsidR="0065431C" w:rsidRDefault="0065431C" w:rsidP="0065431C">
      <w:r w:rsidRPr="00503DEA">
        <w:t>In addition, a review of the jurisdictional regulatory determinations for the various utilities shows that volumetric prices for Hunter Water and Sydney Water were set with reference to short-run marginal cost. IPART’s view is that:</w:t>
      </w:r>
    </w:p>
    <w:p w:rsidR="0065431C" w:rsidRPr="00503DEA" w:rsidRDefault="0065431C" w:rsidP="0065431C">
      <w:pPr>
        <w:pStyle w:val="Quote"/>
      </w:pPr>
      <w:r w:rsidRPr="00503DEA">
        <w:t>SRMC is more applicable for sewerage usage pricing since the current sewerage systems are</w:t>
      </w:r>
      <w:r>
        <w:t xml:space="preserve"> </w:t>
      </w:r>
      <w:r w:rsidRPr="00503DEA">
        <w:t>based around individual sewerage plants that are not interconnected</w:t>
      </w:r>
      <w:r>
        <w:t xml:space="preserve">. </w:t>
      </w:r>
      <w:r w:rsidRPr="00503DEA">
        <w:t>Hunter Water has 18</w:t>
      </w:r>
      <w:r>
        <w:t xml:space="preserve"> </w:t>
      </w:r>
      <w:r w:rsidRPr="00503DEA">
        <w:t>sewerage treatment catchments.</w:t>
      </w:r>
      <w:r>
        <w:rPr>
          <w:rStyle w:val="FootnoteReference"/>
        </w:rPr>
        <w:footnoteReference w:id="126"/>
      </w:r>
    </w:p>
    <w:p w:rsidR="0065431C" w:rsidRDefault="0065431C" w:rsidP="0065431C">
      <w:r w:rsidRPr="00D85DAB">
        <w:t xml:space="preserve">In the case of Sydney Water, IPART </w:t>
      </w:r>
      <w:r>
        <w:t>stated:</w:t>
      </w:r>
    </w:p>
    <w:p w:rsidR="0065431C" w:rsidRDefault="0065431C" w:rsidP="0065431C">
      <w:pPr>
        <w:pStyle w:val="Quote"/>
      </w:pPr>
      <w:r>
        <w:t>To improve cost reflectivity, and send appropriate price signals, we consider that this [sewerage usage] charge should reflect Sydney Water’s short run marginal cost (SRMC) of sewage transportation, treatment and disposal, which is estimated to be $0.23/kL.</w:t>
      </w:r>
      <w:r>
        <w:rPr>
          <w:rStyle w:val="FootnoteReference"/>
        </w:rPr>
        <w:footnoteReference w:id="127"/>
      </w:r>
    </w:p>
    <w:p w:rsidR="0065431C" w:rsidRPr="00554688" w:rsidRDefault="0065431C" w:rsidP="0065431C">
      <w:r>
        <w:t>Given that this estimate is much lower than the prevailing usage charge, IPART determined a transition towards this cost over the regulatory period.</w:t>
      </w:r>
    </w:p>
    <w:p w:rsidR="00363880" w:rsidRDefault="0065431C">
      <w:pPr>
        <w:pStyle w:val="Heading4"/>
      </w:pPr>
      <w:r>
        <w:t>Basis for administering the volumetric charge</w:t>
      </w:r>
    </w:p>
    <w:p w:rsidR="0065431C" w:rsidRDefault="0065431C" w:rsidP="0065431C">
      <w:r w:rsidRPr="002711D2">
        <w:t xml:space="preserve">City West Water’s volumetric sewage disposal fee is based on </w:t>
      </w:r>
      <w:r>
        <w:t xml:space="preserve">the volume </w:t>
      </w:r>
      <w:r w:rsidRPr="002711D2">
        <w:t>of sewage each customer is estimated to discharge to City West Water’s sewerage networks.</w:t>
      </w:r>
      <w:r>
        <w:t xml:space="preserve"> The volumes are calculated on the </w:t>
      </w:r>
      <w:r w:rsidRPr="005645FB">
        <w:t>bas</w:t>
      </w:r>
      <w:r>
        <w:t>is</w:t>
      </w:r>
      <w:r w:rsidRPr="005645FB">
        <w:t xml:space="preserve"> </w:t>
      </w:r>
      <w:r>
        <w:t xml:space="preserve">of </w:t>
      </w:r>
      <w:r w:rsidRPr="005645FB">
        <w:t>each customer</w:t>
      </w:r>
      <w:r w:rsidR="009B0E9F">
        <w:t>’</w:t>
      </w:r>
      <w:r w:rsidRPr="005645FB">
        <w:t>s metered water use</w:t>
      </w:r>
      <w:r>
        <w:t>, using the default formula in Box 5.1.</w:t>
      </w:r>
      <w:r>
        <w:rPr>
          <w:rStyle w:val="FootnoteReference"/>
        </w:rPr>
        <w:footnoteReference w:id="128"/>
      </w:r>
    </w:p>
    <w:p w:rsidR="0065431C" w:rsidRPr="00360098" w:rsidRDefault="0065431C" w:rsidP="0065431C">
      <w:pPr>
        <w:pStyle w:val="FigureName"/>
        <w:keepNext/>
      </w:pPr>
      <w:bookmarkStart w:id="199" w:name="_Toc435700214"/>
      <w:r>
        <w:t xml:space="preserve">Box </w:t>
      </w:r>
      <w:r w:rsidR="00A7215E">
        <w:fldChar w:fldCharType="begin"/>
      </w:r>
      <w:r>
        <w:instrText xml:space="preserve"> STYLEREF 1 \s </w:instrText>
      </w:r>
      <w:r w:rsidR="00A7215E">
        <w:fldChar w:fldCharType="separate"/>
      </w:r>
      <w:r w:rsidR="00E43227">
        <w:rPr>
          <w:noProof/>
        </w:rPr>
        <w:t>5</w:t>
      </w:r>
      <w:r w:rsidR="00A7215E">
        <w:fldChar w:fldCharType="end"/>
      </w:r>
      <w:r w:rsidRPr="00360098">
        <w:t>.</w:t>
      </w:r>
      <w:r w:rsidR="00A7215E">
        <w:fldChar w:fldCharType="begin"/>
      </w:r>
      <w:r>
        <w:instrText xml:space="preserve"> SEQ Box \* ARABIC \s 1 </w:instrText>
      </w:r>
      <w:r w:rsidR="00A7215E">
        <w:fldChar w:fldCharType="separate"/>
      </w:r>
      <w:r w:rsidR="00E43227">
        <w:rPr>
          <w:noProof/>
        </w:rPr>
        <w:t>1</w:t>
      </w:r>
      <w:r w:rsidR="00A7215E">
        <w:fldChar w:fldCharType="end"/>
      </w:r>
      <w:r w:rsidRPr="00360098">
        <w:tab/>
      </w:r>
      <w:r>
        <w:t>City West Water sewage volume calculation</w:t>
      </w:r>
      <w:bookmarkEnd w:id="199"/>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shd w:val="clear" w:color="auto" w:fill="DBE5F1"/>
        <w:tblLook w:val="04A0"/>
      </w:tblPr>
      <w:tblGrid>
        <w:gridCol w:w="7927"/>
      </w:tblGrid>
      <w:tr w:rsidR="0065431C" w:rsidTr="00BC5669">
        <w:trPr>
          <w:cantSplit/>
          <w:trHeight w:val="2194"/>
        </w:trPr>
        <w:tc>
          <w:tcPr>
            <w:tcW w:w="7927" w:type="dxa"/>
            <w:shd w:val="clear" w:color="auto" w:fill="DBE5F1"/>
          </w:tcPr>
          <w:p w:rsidR="0065431C" w:rsidRDefault="0065431C" w:rsidP="00BC5669">
            <w:pPr>
              <w:keepNext/>
            </w:pPr>
            <w:r w:rsidRPr="00360098">
              <w:t xml:space="preserve"> </w:t>
            </w:r>
            <m:oMath>
              <m:r>
                <m:rPr>
                  <m:sty m:val="p"/>
                </m:rPr>
                <w:rPr>
                  <w:rFonts w:ascii="Cambria Math" w:hAnsi="Cambria Math"/>
                </w:rPr>
                <m:t>Volume of sewage=VW ×SF×DF</m:t>
              </m:r>
            </m:oMath>
          </w:p>
          <w:p w:rsidR="0065431C" w:rsidRDefault="0065431C" w:rsidP="00BC5669">
            <w:pPr>
              <w:keepNext/>
            </w:pPr>
            <w:r w:rsidRPr="00360098">
              <w:t>Where:</w:t>
            </w:r>
          </w:p>
          <w:p w:rsidR="0065431C" w:rsidRDefault="0065431C" w:rsidP="00BC5669">
            <w:pPr>
              <w:keepNext/>
            </w:pPr>
            <w:r w:rsidRPr="00360098">
              <w:t>VW is the total volume of water and recycled water suppl</w:t>
            </w:r>
            <w:r>
              <w:t>ied to the customer;</w:t>
            </w:r>
          </w:p>
          <w:p w:rsidR="0065431C" w:rsidRDefault="0065431C" w:rsidP="00BC5669">
            <w:pPr>
              <w:keepNext/>
            </w:pPr>
            <w:r w:rsidRPr="00360098">
              <w:t>SF is the seasonal factor</w:t>
            </w:r>
            <w:r>
              <w:t>; and</w:t>
            </w:r>
          </w:p>
          <w:p w:rsidR="0065431C" w:rsidRDefault="0065431C" w:rsidP="00BC5669">
            <w:pPr>
              <w:keepNext/>
            </w:pPr>
            <w:r w:rsidRPr="00360098">
              <w:t>DF is the discharge factor.</w:t>
            </w:r>
          </w:p>
        </w:tc>
      </w:tr>
    </w:tbl>
    <w:p w:rsidR="0065431C" w:rsidRDefault="00C23F15" w:rsidP="0065431C">
      <w:pPr>
        <w:pStyle w:val="TableNotesLast"/>
        <w:keepNext/>
      </w:pPr>
      <w:r>
        <w:t>Source:</w:t>
      </w:r>
      <w:r>
        <w:tab/>
      </w:r>
      <w:r w:rsidR="0065431C">
        <w:rPr>
          <w:noProof/>
        </w:rPr>
        <w:t>City West Water (2015a)</w:t>
      </w:r>
      <w:r w:rsidR="0065431C">
        <w:t>.</w:t>
      </w:r>
    </w:p>
    <w:p w:rsidR="0065431C" w:rsidRPr="00136276" w:rsidRDefault="0065431C" w:rsidP="0065431C">
      <w:pPr>
        <w:pStyle w:val="Heading4"/>
      </w:pPr>
      <w:r>
        <w:t>Trade waste pricing</w:t>
      </w:r>
    </w:p>
    <w:p w:rsidR="0065431C" w:rsidRDefault="0065431C" w:rsidP="0065431C">
      <w:r>
        <w:t>Many water utilities in other jurisdictions have trade waste charges for commercial customers.</w:t>
      </w:r>
    </w:p>
    <w:p w:rsidR="0065431C" w:rsidRDefault="0065431C" w:rsidP="0065431C">
      <w:r>
        <w:t xml:space="preserve">For example, Sydney Water applies two types of fees: a range of management fees for managing the trade waste and waste quality charges for treating the trade waste. The management fees are fixed charges while the waste quality charges are levied by volume based on the pollutant level of the waste material. For example, high-strength </w:t>
      </w:r>
      <w:r w:rsidR="009B0E9F">
        <w:t>b</w:t>
      </w:r>
      <w:r>
        <w:t xml:space="preserve">iochemical </w:t>
      </w:r>
      <w:r w:rsidR="009B0E9F">
        <w:t>o</w:t>
      </w:r>
      <w:r>
        <w:t xml:space="preserve">xygen </w:t>
      </w:r>
      <w:r w:rsidR="009B0E9F">
        <w:t>d</w:t>
      </w:r>
      <w:r>
        <w:t>emand food waste, such as Asian</w:t>
      </w:r>
      <w:r w:rsidR="009B0E9F">
        <w:t>-</w:t>
      </w:r>
      <w:r>
        <w:t>style barbecue, attracts a rate of $3.497/kL.</w:t>
      </w:r>
      <w:r>
        <w:rPr>
          <w:rStyle w:val="FootnoteReference"/>
        </w:rPr>
        <w:footnoteReference w:id="129"/>
      </w:r>
    </w:p>
    <w:p w:rsidR="0065431C" w:rsidRPr="00136276" w:rsidRDefault="0065431C" w:rsidP="0065431C">
      <w:r w:rsidRPr="00F8702B">
        <w:t>Where the property is separately metered</w:t>
      </w:r>
      <w:r w:rsidR="004E568C">
        <w:t>,</w:t>
      </w:r>
      <w:r w:rsidRPr="00F8702B">
        <w:t xml:space="preserve"> </w:t>
      </w:r>
      <w:r>
        <w:t xml:space="preserve">Sydney Water prefers to </w:t>
      </w:r>
      <w:r w:rsidRPr="00F8702B">
        <w:t xml:space="preserve">apply a discharge factor to determine how much trade waste is discharged. Where the property is not separately metered, </w:t>
      </w:r>
      <w:r w:rsidR="004E568C">
        <w:t>Sydney Water</w:t>
      </w:r>
      <w:r>
        <w:t xml:space="preserve"> assess</w:t>
      </w:r>
      <w:r w:rsidR="004E568C">
        <w:t>es</w:t>
      </w:r>
      <w:r>
        <w:t xml:space="preserve"> how </w:t>
      </w:r>
      <w:r w:rsidRPr="00F8702B">
        <w:t>much is discharged based on a representative sample of similar businesses.</w:t>
      </w:r>
    </w:p>
    <w:p w:rsidR="0065431C" w:rsidRDefault="0065431C" w:rsidP="0065431C">
      <w:pPr>
        <w:pStyle w:val="Heading2"/>
      </w:pPr>
      <w:bookmarkStart w:id="200" w:name="_Toc435700175"/>
      <w:r>
        <w:t>Theoretical and practical issues</w:t>
      </w:r>
      <w:bookmarkEnd w:id="200"/>
    </w:p>
    <w:p w:rsidR="0065431C" w:rsidRPr="002B6543" w:rsidRDefault="0065431C" w:rsidP="0065431C">
      <w:r>
        <w:t xml:space="preserve">While there is some overlap between the water tariff issues raised in the previous chapter, such as developer charges, there are three specific issues that require consideration in the review of sewerage services pricing: pricing based on the </w:t>
      </w:r>
      <w:r w:rsidR="004E568C">
        <w:t xml:space="preserve">sewage </w:t>
      </w:r>
      <w:r>
        <w:t>volume, the current fixture charge arrangement for business customers, and non-domestic or trade waste pricing. These are considered in turn.</w:t>
      </w:r>
    </w:p>
    <w:p w:rsidR="0065431C" w:rsidRDefault="0065431C" w:rsidP="00101ADB">
      <w:pPr>
        <w:pStyle w:val="Heading3"/>
      </w:pPr>
      <w:bookmarkStart w:id="201" w:name="Five_vol_pricing"/>
      <w:bookmarkEnd w:id="201"/>
      <w:r>
        <w:t>Volumetric pricing</w:t>
      </w:r>
    </w:p>
    <w:p w:rsidR="0065431C" w:rsidRDefault="0065431C" w:rsidP="0065431C">
      <w:r>
        <w:t>As discussed a</w:t>
      </w:r>
      <w:r w:rsidR="004E568C">
        <w:t>bove, in contrast to Icon Water’</w:t>
      </w:r>
      <w:r>
        <w:t xml:space="preserve">s one-part fixed charge tariff, a number of utilities in other jurisdictions apply a two-part tariff </w:t>
      </w:r>
      <w:r w:rsidRPr="00981C58">
        <w:t xml:space="preserve">for sewerage services </w:t>
      </w:r>
      <w:r w:rsidR="004E568C">
        <w:t>–</w:t>
      </w:r>
      <w:r>
        <w:t xml:space="preserve"> a supply charge and a volumetric-based rate.</w:t>
      </w:r>
    </w:p>
    <w:p w:rsidR="0065431C" w:rsidRDefault="0065431C" w:rsidP="0065431C">
      <w:r w:rsidRPr="0010007A">
        <w:t xml:space="preserve">Unlike the economic literature on pricing of water, there is almost no literature on the pricing of </w:t>
      </w:r>
      <w:r>
        <w:t>sewerage</w:t>
      </w:r>
      <w:r w:rsidR="00061954">
        <w:t xml:space="preserve"> services</w:t>
      </w:r>
      <w:r w:rsidRPr="0010007A">
        <w:t xml:space="preserve">. </w:t>
      </w:r>
      <w:r>
        <w:t>Nonetheless, the argument for applying a volumetric rate based on the sewage volume disposed of through the sewerage system is essentially the same</w:t>
      </w:r>
      <w:r w:rsidR="00774569">
        <w:t xml:space="preserve"> – t</w:t>
      </w:r>
      <w:r>
        <w:t>hat is</w:t>
      </w:r>
      <w:r w:rsidR="00774569">
        <w:t>,</w:t>
      </w:r>
      <w:r>
        <w:t xml:space="preserve"> to </w:t>
      </w:r>
      <w:r w:rsidRPr="00916457">
        <w:t xml:space="preserve">communicate the costs of providing </w:t>
      </w:r>
      <w:r>
        <w:t xml:space="preserve">sewerage </w:t>
      </w:r>
      <w:r w:rsidRPr="00916457">
        <w:t xml:space="preserve">services to customers and, in theory, allow customers to balance the costs and benefits of producing </w:t>
      </w:r>
      <w:r>
        <w:t>sewage</w:t>
      </w:r>
      <w:r w:rsidRPr="00916457">
        <w:t xml:space="preserve"> such that they would produce an efficient level.</w:t>
      </w:r>
    </w:p>
    <w:p w:rsidR="0065431C" w:rsidRDefault="0065431C" w:rsidP="0065431C">
      <w:r>
        <w:t>The practical difficulty associated with introducing volumetric-based pricing is that, f</w:t>
      </w:r>
      <w:r w:rsidRPr="008446AB">
        <w:t xml:space="preserve">or residential customers, </w:t>
      </w:r>
      <w:r>
        <w:t xml:space="preserve">sewage </w:t>
      </w:r>
      <w:r w:rsidRPr="008446AB">
        <w:t xml:space="preserve">is not metered and no information is available on the volume of </w:t>
      </w:r>
      <w:r>
        <w:t xml:space="preserve">sewage </w:t>
      </w:r>
      <w:r w:rsidRPr="008446AB">
        <w:t xml:space="preserve">produced by any particular customer. In addition, there is currently no way in which to monitor the type or strength of </w:t>
      </w:r>
      <w:r>
        <w:t xml:space="preserve">sewage </w:t>
      </w:r>
      <w:r w:rsidRPr="008446AB">
        <w:t>produced and therefore the cost associated with trea</w:t>
      </w:r>
      <w:r>
        <w:t>tment.</w:t>
      </w:r>
    </w:p>
    <w:p w:rsidR="0065431C" w:rsidRDefault="0065431C" w:rsidP="0065431C">
      <w:r>
        <w:t>Other utilities have sidestepped the metering issue by using water consumption as a proxy for volumetric discharge into the sewerage system. The premise here is that there is a direct relationship between the amount of indoor water used and the volume of sewage that is discharged into the sewerage network. This approach therefore requires the application of a seasonal factor, to account for the seasonal pattern of outdoor water use.</w:t>
      </w:r>
    </w:p>
    <w:p w:rsidR="0065431C" w:rsidRDefault="0065431C" w:rsidP="0065431C">
      <w:r>
        <w:t>There are a number of issues that need to be considered in relation to adopting such a scheme in the ACT.</w:t>
      </w:r>
    </w:p>
    <w:p w:rsidR="0065431C" w:rsidRDefault="0065431C" w:rsidP="0065431C">
      <w:r>
        <w:t>The first is, as in the case of volumetric water pricing, whether to set volumetric sewage prices with reference to short- or long-run margi</w:t>
      </w:r>
      <w:r w:rsidR="00BF5FEF">
        <w:t>nal cost. As noted above, IPART’</w:t>
      </w:r>
      <w:r>
        <w:t>s preference is to set prices for Sydney Water and Hunter Water to reflect the short-run marginal cost of sewage transportation, treatment and disposal. The Commission intends to examine this issue further in its planned technical p</w:t>
      </w:r>
      <w:r w:rsidR="00DC1ED9">
        <w:t>aper on marginal cost pricing.</w:t>
      </w:r>
    </w:p>
    <w:p w:rsidR="0065431C" w:rsidRDefault="0065431C" w:rsidP="0065431C">
      <w:r>
        <w:t>The second is whether</w:t>
      </w:r>
      <w:r w:rsidR="000C39E3">
        <w:t>,</w:t>
      </w:r>
      <w:r>
        <w:t xml:space="preserve"> i</w:t>
      </w:r>
      <w:r w:rsidRPr="000040CD">
        <w:t xml:space="preserve">n the absence of a reliable measure of actual volumetric discharge, any potential economic efficiency benefits from attempting to estimate discharge </w:t>
      </w:r>
      <w:r>
        <w:t xml:space="preserve">may be </w:t>
      </w:r>
      <w:r w:rsidRPr="000040CD">
        <w:t>outweighed by the added complexity of</w:t>
      </w:r>
      <w:r w:rsidR="00DC1ED9">
        <w:t xml:space="preserve"> the scheme.</w:t>
      </w:r>
    </w:p>
    <w:p w:rsidR="0065431C" w:rsidRDefault="0065431C" w:rsidP="0065431C">
      <w:r>
        <w:t>The third is that adding a volumetric pricing component requires a forecast of sewage discharge in order to calculate prices in advance of the regulatory year. If water is used as a proxy, any revenue uncertainty associated with water volumes would</w:t>
      </w:r>
      <w:r w:rsidR="00BF5FEF">
        <w:t xml:space="preserve"> then be extended to Icon Water’</w:t>
      </w:r>
      <w:r>
        <w:t>s sewerage services business.</w:t>
      </w:r>
      <w:r w:rsidRPr="00545D14">
        <w:t xml:space="preserve"> </w:t>
      </w:r>
      <w:r>
        <w:t>Similarly, a volumetric component would also introduce more variability into quarterly customer bills.</w:t>
      </w:r>
    </w:p>
    <w:p w:rsidR="0065431C" w:rsidRDefault="0065431C" w:rsidP="0065431C">
      <w:r>
        <w:t>The fourth issue is that</w:t>
      </w:r>
      <w:r w:rsidRPr="000040CD">
        <w:t xml:space="preserve"> lower volumes </w:t>
      </w:r>
      <w:r>
        <w:t xml:space="preserve">entering the sewerage network </w:t>
      </w:r>
      <w:r w:rsidRPr="000040CD">
        <w:t>do not necessarily translate into reduced costs for</w:t>
      </w:r>
      <w:r>
        <w:t xml:space="preserve"> Icon Water</w:t>
      </w:r>
      <w:r w:rsidRPr="000040CD">
        <w:t>.</w:t>
      </w:r>
      <w:r>
        <w:t xml:space="preserve"> For example, low sewage volumes during a drought can result in difficulties moving sewage through the network. A classic example of this was played out in the Zimbabwean city of Bulawayo in 2012,</w:t>
      </w:r>
      <w:r w:rsidR="00B453EF">
        <w:t xml:space="preserve"> which involved a simultaneous ‘big flush’</w:t>
      </w:r>
      <w:r>
        <w:t xml:space="preserve"> by all community residents to move congealed sewage through the system.</w:t>
      </w:r>
      <w:r>
        <w:rPr>
          <w:rStyle w:val="FootnoteReference"/>
        </w:rPr>
        <w:footnoteReference w:id="130"/>
      </w:r>
    </w:p>
    <w:p w:rsidR="0065431C" w:rsidRPr="00F255BC" w:rsidRDefault="0065431C" w:rsidP="0065431C">
      <w:r w:rsidRPr="00F255BC">
        <w:t>The Commission is interested in hearing from stakeholders, and particularly Icon Water</w:t>
      </w:r>
      <w:r>
        <w:t xml:space="preserve"> customers</w:t>
      </w:r>
      <w:r w:rsidRPr="00F255BC">
        <w:t xml:space="preserve">, about their views on the </w:t>
      </w:r>
      <w:r>
        <w:t>introduction of volumetric pricing for sewerage services</w:t>
      </w:r>
      <w:r w:rsidR="00B453EF">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hemeFill="accent6" w:themeFillTint="99"/>
        <w:tblLook w:val="00A0"/>
      </w:tblPr>
      <w:tblGrid>
        <w:gridCol w:w="7927"/>
      </w:tblGrid>
      <w:tr w:rsidR="0065431C" w:rsidTr="00BC5669">
        <w:tc>
          <w:tcPr>
            <w:tcW w:w="7927" w:type="dxa"/>
            <w:shd w:val="clear" w:color="auto" w:fill="FABF8F" w:themeFill="accent6" w:themeFillTint="99"/>
          </w:tcPr>
          <w:p w:rsidR="0065431C" w:rsidRPr="00F255BC" w:rsidRDefault="0065431C" w:rsidP="00BC5669">
            <w:r w:rsidRPr="00F255BC">
              <w:rPr>
                <w:rStyle w:val="Bold"/>
              </w:rPr>
              <w:t>Q</w:t>
            </w:r>
            <w:r>
              <w:rPr>
                <w:rStyle w:val="Bold"/>
              </w:rPr>
              <w:t>10</w:t>
            </w:r>
            <w:r w:rsidRPr="00F255BC">
              <w:rPr>
                <w:rStyle w:val="Bold"/>
              </w:rPr>
              <w:t>:</w:t>
            </w:r>
            <w:r w:rsidRPr="00F255BC">
              <w:t xml:space="preserve"> Do you think</w:t>
            </w:r>
            <w:r>
              <w:t xml:space="preserve"> the benefits from introducing volumetric sewerage services pricing will outweigh the costs</w:t>
            </w:r>
            <w:r w:rsidRPr="00F255BC">
              <w:t>?</w:t>
            </w:r>
          </w:p>
        </w:tc>
      </w:tr>
    </w:tbl>
    <w:p w:rsidR="0065431C" w:rsidRDefault="0065431C" w:rsidP="00101ADB">
      <w:pPr>
        <w:pStyle w:val="Heading3"/>
      </w:pPr>
      <w:bookmarkStart w:id="202" w:name="Five_business_pricing"/>
      <w:bookmarkEnd w:id="202"/>
      <w:r>
        <w:t>Business charging arrangements</w:t>
      </w:r>
    </w:p>
    <w:p w:rsidR="0065431C" w:rsidRDefault="0065431C" w:rsidP="0065431C">
      <w:r w:rsidRPr="00B14B98">
        <w:t>The current business charging arr</w:t>
      </w:r>
      <w:r>
        <w:t xml:space="preserve">angements for business customers </w:t>
      </w:r>
      <w:r w:rsidR="000C39E3">
        <w:t>are</w:t>
      </w:r>
      <w:r>
        <w:t xml:space="preserve"> based on the number of flushing fixtures, with every additional fixture greater than two attracting another annual fixture charge. The question is whether the </w:t>
      </w:r>
      <w:r w:rsidRPr="00B14B98">
        <w:t xml:space="preserve">number of fixtures is necessarily a good indicator of the impact of a business on the </w:t>
      </w:r>
      <w:r>
        <w:t xml:space="preserve">sewerage </w:t>
      </w:r>
      <w:r w:rsidRPr="00B14B98">
        <w:t>network</w:t>
      </w:r>
      <w:r>
        <w:t>.</w:t>
      </w:r>
    </w:p>
    <w:p w:rsidR="0065431C" w:rsidRDefault="0065431C" w:rsidP="0065431C">
      <w:r>
        <w:t>The Commission notes that, as discussed above, a number of other utilities differentiate business charges on the basis of other measures of impact, such as pipe connection size.</w:t>
      </w:r>
    </w:p>
    <w:p w:rsidR="0065431C" w:rsidRPr="00F255BC" w:rsidRDefault="0065431C" w:rsidP="0065431C">
      <w:r w:rsidRPr="00F255BC">
        <w:t>The Commission is interested in hearing from stakeholders, and particularly Icon</w:t>
      </w:r>
      <w:r>
        <w:t xml:space="preserve"> Water and its business customers</w:t>
      </w:r>
      <w:r w:rsidRPr="00F255BC">
        <w:t xml:space="preserve">, about their views on the </w:t>
      </w:r>
      <w:r>
        <w:t>introduction of an alternative approach to sewerage service charges, such as pipe connection size.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hemeFill="accent6" w:themeFillTint="99"/>
        <w:tblLook w:val="00A0"/>
      </w:tblPr>
      <w:tblGrid>
        <w:gridCol w:w="7927"/>
      </w:tblGrid>
      <w:tr w:rsidR="0065431C" w:rsidTr="00BC5669">
        <w:tc>
          <w:tcPr>
            <w:tcW w:w="7927" w:type="dxa"/>
            <w:shd w:val="clear" w:color="auto" w:fill="FABF8F" w:themeFill="accent6" w:themeFillTint="99"/>
          </w:tcPr>
          <w:p w:rsidR="0065431C" w:rsidRPr="00F255BC" w:rsidRDefault="0065431C" w:rsidP="00BC5669">
            <w:r w:rsidRPr="00F255BC">
              <w:rPr>
                <w:rStyle w:val="Bold"/>
              </w:rPr>
              <w:t>Q</w:t>
            </w:r>
            <w:r>
              <w:rPr>
                <w:rStyle w:val="Bold"/>
              </w:rPr>
              <w:t>11</w:t>
            </w:r>
            <w:r w:rsidRPr="00F255BC">
              <w:rPr>
                <w:rStyle w:val="Bold"/>
              </w:rPr>
              <w:t>:</w:t>
            </w:r>
            <w:r w:rsidRPr="00376154">
              <w:t xml:space="preserve"> Do you think Icon Water should consider introducing</w:t>
            </w:r>
            <w:r>
              <w:t xml:space="preserve"> sewerage services pricing based on something other than the number of fixtures</w:t>
            </w:r>
            <w:r w:rsidRPr="00376154">
              <w:t>?</w:t>
            </w:r>
          </w:p>
        </w:tc>
      </w:tr>
    </w:tbl>
    <w:p w:rsidR="0065431C" w:rsidRDefault="0065431C" w:rsidP="00101ADB">
      <w:pPr>
        <w:pStyle w:val="Heading3"/>
      </w:pPr>
      <w:bookmarkStart w:id="203" w:name="Five_tradewaste_pricing"/>
      <w:bookmarkEnd w:id="203"/>
      <w:r>
        <w:t>Trade waste pricing</w:t>
      </w:r>
    </w:p>
    <w:p w:rsidR="0065431C" w:rsidRDefault="0065431C" w:rsidP="0065431C">
      <w:r>
        <w:t xml:space="preserve">In the ACT, </w:t>
      </w:r>
      <w:r w:rsidR="00B453EF">
        <w:t xml:space="preserve">non-domestic </w:t>
      </w:r>
      <w:r w:rsidRPr="00691089">
        <w:t>sewage</w:t>
      </w:r>
      <w:r>
        <w:t xml:space="preserve">, also </w:t>
      </w:r>
      <w:r w:rsidRPr="00691089">
        <w:t xml:space="preserve">known as </w:t>
      </w:r>
      <w:r>
        <w:t>t</w:t>
      </w:r>
      <w:r w:rsidRPr="00691089">
        <w:t>rade waste</w:t>
      </w:r>
      <w:r>
        <w:t>, that requires more effort to treat than standard residential sewage,</w:t>
      </w:r>
      <w:r w:rsidR="00B453EF">
        <w:t xml:space="preserve"> must be approved by Icon Water </w:t>
      </w:r>
      <w:r w:rsidRPr="00691089">
        <w:t>before discharge</w:t>
      </w:r>
      <w:r>
        <w:t xml:space="preserve"> into the sewer</w:t>
      </w:r>
      <w:r w:rsidRPr="00691089">
        <w:t xml:space="preserve">. </w:t>
      </w:r>
      <w:r>
        <w:t>Icon Water notes that t</w:t>
      </w:r>
      <w:r w:rsidRPr="00691089">
        <w:t xml:space="preserve">his </w:t>
      </w:r>
      <w:r>
        <w:t xml:space="preserve">category also </w:t>
      </w:r>
      <w:r w:rsidR="00544470">
        <w:t xml:space="preserve">includes discharges from </w:t>
      </w:r>
      <w:r w:rsidRPr="00691089">
        <w:t>sewage recycling plants, cooling towers, rainwater filters,</w:t>
      </w:r>
      <w:r w:rsidR="00544470">
        <w:t xml:space="preserve"> garbage bin enclosures, pumped </w:t>
      </w:r>
      <w:r w:rsidRPr="00691089">
        <w:t>sewage and stormwater run-off directed to the sewer.</w:t>
      </w:r>
    </w:p>
    <w:p w:rsidR="0065431C" w:rsidRDefault="0065431C" w:rsidP="0065431C">
      <w:r>
        <w:t>In contrast to many other water and sewerage utilities, however, Icon Water does not currently have a specific pricing regime for trade waste.</w:t>
      </w:r>
    </w:p>
    <w:p w:rsidR="0065431C" w:rsidRPr="000040CD" w:rsidRDefault="0065431C" w:rsidP="0065431C">
      <w:pPr>
        <w:keepNext/>
      </w:pPr>
      <w:r w:rsidRPr="000040CD">
        <w:t>Paragraph 66(iii) of the N</w:t>
      </w:r>
      <w:r w:rsidR="00B453EF">
        <w:t xml:space="preserve">ational </w:t>
      </w:r>
      <w:r w:rsidRPr="000040CD">
        <w:t>W</w:t>
      </w:r>
      <w:r w:rsidR="00B453EF">
        <w:t xml:space="preserve">ater </w:t>
      </w:r>
      <w:r w:rsidRPr="000040CD">
        <w:t>I</w:t>
      </w:r>
      <w:r w:rsidR="00B453EF">
        <w:t>nitiative</w:t>
      </w:r>
      <w:r w:rsidRPr="000040CD">
        <w:t xml:space="preserve"> states that state</w:t>
      </w:r>
      <w:r w:rsidR="00A74EE0">
        <w:t>s and territories agree to the:</w:t>
      </w:r>
    </w:p>
    <w:p w:rsidR="0065431C" w:rsidRDefault="0065431C" w:rsidP="0065431C">
      <w:pPr>
        <w:pStyle w:val="Quote"/>
        <w:keepNext/>
      </w:pPr>
      <w:r w:rsidRPr="000040CD">
        <w:t>review and development of pricing policies for trade wastes that encourage the most cost effective methods of treating industrial wastes, whether at the source or at downstream plants, by 2006</w:t>
      </w:r>
      <w:r>
        <w:t>.</w:t>
      </w:r>
      <w:r w:rsidRPr="000040CD">
        <w:rPr>
          <w:rStyle w:val="FootnoteReference"/>
        </w:rPr>
        <w:footnoteReference w:id="131"/>
      </w:r>
    </w:p>
    <w:p w:rsidR="0065431C" w:rsidRDefault="0065431C" w:rsidP="0065431C">
      <w:r>
        <w:t>Consistent with cost-reflective pricing, the Commission has in the past noted that where Icon Water incurs material trade waste</w:t>
      </w:r>
      <w:r w:rsidR="000C39E3">
        <w:t>–</w:t>
      </w:r>
      <w:r>
        <w:t>related increased costs, these higher costs should be passed o</w:t>
      </w:r>
      <w:r w:rsidR="00DC1ED9">
        <w:t>n to the relevant customers.</w:t>
      </w:r>
    </w:p>
    <w:p w:rsidR="0065431C" w:rsidRDefault="0065431C" w:rsidP="0065431C">
      <w:r>
        <w:t xml:space="preserve">The Commission understands that Icon Water is in the process of finalising a trade waste policy and pricing regime. This will </w:t>
      </w:r>
      <w:r w:rsidR="00DC1ED9">
        <w:t>be discussed in the Commission’</w:t>
      </w:r>
      <w:r>
        <w:t xml:space="preserve">s forthcoming technical </w:t>
      </w:r>
      <w:r w:rsidR="00DC1ED9">
        <w:t>paper on trade waste pricing.</w:t>
      </w:r>
    </w:p>
    <w:p w:rsidR="0065431C" w:rsidRPr="00F255BC" w:rsidRDefault="0065431C" w:rsidP="0065431C">
      <w:r w:rsidRPr="00F255BC">
        <w:t>The Commission is interested in hearing from stakeholders, and particularly Icon Water</w:t>
      </w:r>
      <w:r>
        <w:t xml:space="preserve"> business customers who produce trade waste</w:t>
      </w:r>
      <w:r w:rsidRPr="00F255BC">
        <w:t xml:space="preserve">, about their views on the </w:t>
      </w:r>
      <w:r>
        <w:t>introduction of a specific trade waste pricing regime.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hemeFill="accent6" w:themeFillTint="99"/>
        <w:tblLook w:val="00A0"/>
      </w:tblPr>
      <w:tblGrid>
        <w:gridCol w:w="7927"/>
      </w:tblGrid>
      <w:tr w:rsidR="0065431C" w:rsidTr="00BC5669">
        <w:tc>
          <w:tcPr>
            <w:tcW w:w="7927" w:type="dxa"/>
            <w:shd w:val="clear" w:color="auto" w:fill="FABF8F" w:themeFill="accent6" w:themeFillTint="99"/>
          </w:tcPr>
          <w:p w:rsidR="0065431C" w:rsidRPr="00F255BC" w:rsidRDefault="0065431C" w:rsidP="00BC5669">
            <w:r w:rsidRPr="00F255BC">
              <w:rPr>
                <w:rStyle w:val="Bold"/>
              </w:rPr>
              <w:t>Q</w:t>
            </w:r>
            <w:r>
              <w:rPr>
                <w:rStyle w:val="Bold"/>
              </w:rPr>
              <w:t>12</w:t>
            </w:r>
            <w:r w:rsidRPr="00F255BC">
              <w:rPr>
                <w:rStyle w:val="Bold"/>
              </w:rPr>
              <w:t>:</w:t>
            </w:r>
            <w:r w:rsidRPr="00376154">
              <w:t xml:space="preserve"> Do you think Icon Water should consider introducing trade waste pricing?</w:t>
            </w:r>
          </w:p>
        </w:tc>
      </w:tr>
    </w:tbl>
    <w:p w:rsidR="0065431C" w:rsidRDefault="0065431C" w:rsidP="0065431C"/>
    <w:p w:rsidR="0065431C" w:rsidRDefault="0065431C" w:rsidP="0065431C"/>
    <w:p w:rsidR="0065431C" w:rsidRPr="004324FF" w:rsidRDefault="0065431C" w:rsidP="0065431C"/>
    <w:p w:rsidR="001348A2" w:rsidRPr="004324FF" w:rsidRDefault="001348A2" w:rsidP="007E230D"/>
    <w:p w:rsidR="0034311C" w:rsidRDefault="0034311C" w:rsidP="007E230D">
      <w:pPr>
        <w:sectPr w:rsidR="0034311C" w:rsidSect="00CC18DE">
          <w:headerReference w:type="even" r:id="rId60"/>
          <w:headerReference w:type="default" r:id="rId61"/>
          <w:endnotePr>
            <w:numFmt w:val="decimal"/>
            <w:numRestart w:val="eachSect"/>
          </w:endnotePr>
          <w:type w:val="continuous"/>
          <w:pgSz w:w="11907" w:h="16840" w:code="9"/>
          <w:pgMar w:top="2245" w:right="2098" w:bottom="1701" w:left="2098" w:header="578" w:footer="578" w:gutter="0"/>
          <w:cols w:space="720"/>
          <w:noEndnote/>
          <w:docGrid w:linePitch="299"/>
        </w:sectPr>
      </w:pPr>
    </w:p>
    <w:p w:rsidR="0034311C" w:rsidRDefault="00354BB5" w:rsidP="005F130A">
      <w:pPr>
        <w:pStyle w:val="Heading1"/>
      </w:pPr>
      <w:bookmarkStart w:id="204" w:name="_Ref415046290"/>
      <w:bookmarkStart w:id="205" w:name="_Toc435700176"/>
      <w:r>
        <w:t>Next steps</w:t>
      </w:r>
      <w:bookmarkEnd w:id="204"/>
      <w:bookmarkEnd w:id="205"/>
    </w:p>
    <w:p w:rsidR="0034311C" w:rsidRDefault="0034311C" w:rsidP="007E230D">
      <w:pPr>
        <w:sectPr w:rsidR="0034311C" w:rsidSect="003E0A53">
          <w:headerReference w:type="even" r:id="rId62"/>
          <w:headerReference w:type="default" r:id="rId63"/>
          <w:endnotePr>
            <w:numFmt w:val="decimal"/>
            <w:numRestart w:val="eachSect"/>
          </w:endnotePr>
          <w:type w:val="oddPage"/>
          <w:pgSz w:w="11907" w:h="16840" w:code="9"/>
          <w:pgMar w:top="2245" w:right="2098" w:bottom="1701" w:left="2098" w:header="578" w:footer="578" w:gutter="0"/>
          <w:cols w:space="720"/>
          <w:noEndnote/>
          <w:docGrid w:linePitch="299"/>
        </w:sectPr>
      </w:pPr>
    </w:p>
    <w:p w:rsidR="0065431C" w:rsidRDefault="0065431C" w:rsidP="0065431C">
      <w:pPr>
        <w:pStyle w:val="Heading2"/>
      </w:pPr>
      <w:bookmarkStart w:id="206" w:name="_Toc435700177"/>
      <w:r>
        <w:t>Consultation</w:t>
      </w:r>
      <w:r w:rsidR="00AA2DC6">
        <w:t xml:space="preserve"> – key questions</w:t>
      </w:r>
      <w:bookmarkEnd w:id="206"/>
    </w:p>
    <w:p w:rsidR="0065431C" w:rsidRDefault="0065431C" w:rsidP="0065431C">
      <w:r w:rsidRPr="007A5096">
        <w:t>Th</w:t>
      </w:r>
      <w:r w:rsidR="000C39E3">
        <w:t>is</w:t>
      </w:r>
      <w:r w:rsidRPr="007A5096">
        <w:t xml:space="preserve"> issues paper </w:t>
      </w:r>
      <w:r>
        <w:t xml:space="preserve">commences </w:t>
      </w:r>
      <w:r w:rsidRPr="007A5096">
        <w:t>the Commission</w:t>
      </w:r>
      <w:r>
        <w:t>’</w:t>
      </w:r>
      <w:r w:rsidRPr="007A5096">
        <w:t xml:space="preserve">s consultation </w:t>
      </w:r>
      <w:r>
        <w:t>on the tariff review</w:t>
      </w:r>
      <w:r w:rsidRPr="007A5096">
        <w:t xml:space="preserve">. </w:t>
      </w:r>
      <w:r>
        <w:t>The questions posed by the Commission in this paper are summarised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hemeFill="accent6" w:themeFillTint="99"/>
        <w:tblLook w:val="00A0"/>
      </w:tblPr>
      <w:tblGrid>
        <w:gridCol w:w="7927"/>
      </w:tblGrid>
      <w:tr w:rsidR="0065431C" w:rsidTr="00BC5669">
        <w:tc>
          <w:tcPr>
            <w:tcW w:w="7927" w:type="dxa"/>
            <w:shd w:val="clear" w:color="auto" w:fill="FABF8F" w:themeFill="accent6" w:themeFillTint="99"/>
          </w:tcPr>
          <w:p w:rsidR="00141B1A" w:rsidRDefault="00141B1A" w:rsidP="00141B1A">
            <w:r w:rsidRPr="00C51D5B">
              <w:rPr>
                <w:rStyle w:val="Bold"/>
              </w:rPr>
              <w:t>Q1:</w:t>
            </w:r>
            <w:r w:rsidRPr="00C51D5B">
              <w:t xml:space="preserve"> Do</w:t>
            </w:r>
            <w:r>
              <w:t xml:space="preserve"> you think that the proposed overarching objective will provide an effective foundation for assessing current and alternative tariff structures? </w:t>
            </w:r>
            <w:r w:rsidRPr="00C51D5B">
              <w:t xml:space="preserve">If </w:t>
            </w:r>
            <w:r>
              <w:t>not</w:t>
            </w:r>
            <w:r w:rsidRPr="00C51D5B">
              <w:t>, why?</w:t>
            </w:r>
          </w:p>
          <w:p w:rsidR="0065431C" w:rsidRDefault="00141B1A" w:rsidP="00141B1A">
            <w:r w:rsidRPr="00C51D5B">
              <w:rPr>
                <w:rStyle w:val="Bold"/>
              </w:rPr>
              <w:t>Q</w:t>
            </w:r>
            <w:r>
              <w:rPr>
                <w:rStyle w:val="Bold"/>
              </w:rPr>
              <w:t>2</w:t>
            </w:r>
            <w:r w:rsidRPr="00C51D5B">
              <w:rPr>
                <w:rStyle w:val="Bold"/>
              </w:rPr>
              <w:t>:</w:t>
            </w:r>
            <w:r w:rsidRPr="00C51D5B">
              <w:t xml:space="preserve"> Do</w:t>
            </w:r>
            <w:r>
              <w:t xml:space="preserve"> you think that the set of proposed principles will provide an effective basis for assessing current and alternative tariff structures? </w:t>
            </w:r>
            <w:r w:rsidRPr="00C51D5B">
              <w:t xml:space="preserve">If </w:t>
            </w:r>
            <w:r>
              <w:t>not</w:t>
            </w:r>
            <w:r w:rsidRPr="00C51D5B">
              <w:t>, why?</w:t>
            </w:r>
            <w:r>
              <w:t xml:space="preserve"> </w:t>
            </w:r>
            <w:r w:rsidRPr="00A47DA1">
              <w:t xml:space="preserve">Are there any </w:t>
            </w:r>
            <w:r>
              <w:t xml:space="preserve">additional </w:t>
            </w:r>
            <w:r w:rsidRPr="00A47DA1">
              <w:t>principles that you think the Commission should consider?</w:t>
            </w:r>
            <w:r>
              <w:t xml:space="preserve"> If yes, what are they and why?</w:t>
            </w:r>
          </w:p>
          <w:p w:rsidR="0065431C" w:rsidRPr="00C51D5B" w:rsidRDefault="0065431C" w:rsidP="001B2CD5">
            <w:r w:rsidRPr="00C51D5B">
              <w:rPr>
                <w:rStyle w:val="Bold"/>
              </w:rPr>
              <w:t>Q</w:t>
            </w:r>
            <w:r>
              <w:rPr>
                <w:rStyle w:val="Bold"/>
              </w:rPr>
              <w:t>3</w:t>
            </w:r>
            <w:r w:rsidRPr="00C51D5B">
              <w:rPr>
                <w:rStyle w:val="Bold"/>
              </w:rPr>
              <w:t>:</w:t>
            </w:r>
            <w:r w:rsidRPr="00C51D5B">
              <w:t xml:space="preserve"> </w:t>
            </w:r>
            <w:r>
              <w:t>What is your view on the equity and water conservation benef</w:t>
            </w:r>
            <w:r w:rsidR="001B2CD5">
              <w:t>its of inclining block tariffs?</w:t>
            </w:r>
          </w:p>
          <w:p w:rsidR="0065431C" w:rsidRDefault="0065431C" w:rsidP="001B2CD5">
            <w:r w:rsidRPr="00C51D5B">
              <w:rPr>
                <w:rStyle w:val="Bold"/>
              </w:rPr>
              <w:t>Q</w:t>
            </w:r>
            <w:r>
              <w:rPr>
                <w:rStyle w:val="Bold"/>
              </w:rPr>
              <w:t>4</w:t>
            </w:r>
            <w:r w:rsidRPr="00C51D5B">
              <w:rPr>
                <w:rStyle w:val="Bold"/>
              </w:rPr>
              <w:t>:</w:t>
            </w:r>
            <w:r w:rsidRPr="00C51D5B">
              <w:t xml:space="preserve"> Do</w:t>
            </w:r>
            <w:r>
              <w:t xml:space="preserve"> you monitor your water use on a more regular basis than your </w:t>
            </w:r>
            <w:r w:rsidR="001B2CD5">
              <w:t>three-</w:t>
            </w:r>
            <w:r>
              <w:t>monthly bill interval</w:t>
            </w:r>
            <w:r w:rsidRPr="00C51D5B">
              <w:t>?</w:t>
            </w:r>
            <w:r>
              <w:t xml:space="preserve"> If yes, are you able to estimate when you are about to trigger the top</w:t>
            </w:r>
            <w:r w:rsidR="000C39E3">
              <w:t>-</w:t>
            </w:r>
            <w:r>
              <w:t>tier price and does this affect your subsequent water usage?</w:t>
            </w:r>
          </w:p>
          <w:p w:rsidR="0065431C" w:rsidRDefault="0065431C" w:rsidP="001B2CD5">
            <w:r w:rsidRPr="00C51D5B">
              <w:rPr>
                <w:rStyle w:val="Bold"/>
              </w:rPr>
              <w:t>Q</w:t>
            </w:r>
            <w:r>
              <w:rPr>
                <w:rStyle w:val="Bold"/>
              </w:rPr>
              <w:t>5</w:t>
            </w:r>
            <w:r w:rsidRPr="00C51D5B">
              <w:rPr>
                <w:rStyle w:val="Bold"/>
              </w:rPr>
              <w:t>:</w:t>
            </w:r>
            <w:r w:rsidRPr="00C51D5B">
              <w:t xml:space="preserve"> </w:t>
            </w:r>
            <w:r>
              <w:t>Would you be prepared to pay more for water during periods of scarcity rather than be subject to</w:t>
            </w:r>
            <w:r w:rsidR="00DC1ED9">
              <w:t xml:space="preserve"> temporary water restrictions?</w:t>
            </w:r>
          </w:p>
          <w:p w:rsidR="0065431C" w:rsidRDefault="0065431C" w:rsidP="001B2CD5">
            <w:r w:rsidRPr="00C51D5B">
              <w:rPr>
                <w:rStyle w:val="Bold"/>
              </w:rPr>
              <w:t>Q</w:t>
            </w:r>
            <w:r>
              <w:rPr>
                <w:rStyle w:val="Bold"/>
              </w:rPr>
              <w:t>6</w:t>
            </w:r>
            <w:r w:rsidRPr="00C51D5B">
              <w:rPr>
                <w:rStyle w:val="Bold"/>
              </w:rPr>
              <w:t>:</w:t>
            </w:r>
            <w:r w:rsidRPr="00C51D5B">
              <w:t xml:space="preserve"> </w:t>
            </w:r>
            <w:r>
              <w:t>Do you think the benefits from more even bills outweigh any complexities associated with daily pricing?</w:t>
            </w:r>
          </w:p>
          <w:p w:rsidR="0065431C" w:rsidRDefault="0065431C" w:rsidP="001B2CD5">
            <w:r w:rsidRPr="00C51D5B">
              <w:rPr>
                <w:rStyle w:val="Bold"/>
              </w:rPr>
              <w:t>Q</w:t>
            </w:r>
            <w:r>
              <w:rPr>
                <w:rStyle w:val="Bold"/>
              </w:rPr>
              <w:t>7</w:t>
            </w:r>
            <w:r w:rsidRPr="00C51D5B">
              <w:rPr>
                <w:rStyle w:val="Bold"/>
              </w:rPr>
              <w:t>:</w:t>
            </w:r>
            <w:r w:rsidRPr="00C51D5B">
              <w:t xml:space="preserve"> </w:t>
            </w:r>
            <w:r>
              <w:t>Would you like to have choice between different water tariffs? If yes, are you confident that you will be able to select the best tariff for your particular circumstances?</w:t>
            </w:r>
          </w:p>
          <w:p w:rsidR="0065431C" w:rsidRDefault="0065431C" w:rsidP="001B2CD5">
            <w:r w:rsidRPr="00C51D5B">
              <w:rPr>
                <w:rStyle w:val="Bold"/>
              </w:rPr>
              <w:t>Q</w:t>
            </w:r>
            <w:r>
              <w:rPr>
                <w:rStyle w:val="Bold"/>
              </w:rPr>
              <w:t>8</w:t>
            </w:r>
            <w:r w:rsidRPr="00C51D5B">
              <w:rPr>
                <w:rStyle w:val="Bold"/>
              </w:rPr>
              <w:t>:</w:t>
            </w:r>
            <w:r w:rsidRPr="00C51D5B">
              <w:t xml:space="preserve"> </w:t>
            </w:r>
            <w:r>
              <w:t>Do you think there are any cost differences between providing water services to business and residential customers or to customers in different locations? If yes, what are these differences due to?</w:t>
            </w:r>
          </w:p>
          <w:p w:rsidR="001B2CD5" w:rsidRDefault="001B2CD5" w:rsidP="00373C84">
            <w:r w:rsidRPr="00F255BC">
              <w:rPr>
                <w:rStyle w:val="Bold"/>
              </w:rPr>
              <w:t>Q</w:t>
            </w:r>
            <w:r>
              <w:rPr>
                <w:rStyle w:val="Bold"/>
              </w:rPr>
              <w:t>9</w:t>
            </w:r>
            <w:r w:rsidRPr="00F255BC">
              <w:rPr>
                <w:rStyle w:val="Bold"/>
              </w:rPr>
              <w:t>:</w:t>
            </w:r>
            <w:r w:rsidRPr="00F255BC">
              <w:t xml:space="preserve"> Do you think</w:t>
            </w:r>
            <w:r>
              <w:t xml:space="preserve"> Icon Water should consider levying developer charges for new developments in an effort to send the right price signals about the actual costs involved</w:t>
            </w:r>
            <w:r w:rsidRPr="00F255BC">
              <w:t>?</w:t>
            </w:r>
          </w:p>
        </w:tc>
      </w:tr>
    </w:tbl>
    <w:p w:rsidR="00373C84" w:rsidRDefault="00373C84" w:rsidP="0065431C"/>
    <w:p w:rsidR="00373C84" w:rsidRDefault="00373C84" w:rsidP="0065431C"/>
    <w:p w:rsidR="00373C84" w:rsidRDefault="00373C84" w:rsidP="0065431C"/>
    <w:p w:rsidR="00373C84" w:rsidRDefault="00373C84" w:rsidP="00373C8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hemeFill="accent6" w:themeFillTint="99"/>
        <w:tblLook w:val="00A0"/>
      </w:tblPr>
      <w:tblGrid>
        <w:gridCol w:w="7927"/>
      </w:tblGrid>
      <w:tr w:rsidR="00373C84" w:rsidTr="00CE21CB">
        <w:tc>
          <w:tcPr>
            <w:tcW w:w="7927" w:type="dxa"/>
            <w:shd w:val="clear" w:color="auto" w:fill="FABF8F" w:themeFill="accent6" w:themeFillTint="99"/>
          </w:tcPr>
          <w:p w:rsidR="00373C84" w:rsidRDefault="00373C84" w:rsidP="00CE21CB">
            <w:pPr>
              <w:rPr>
                <w:rStyle w:val="Bold"/>
              </w:rPr>
            </w:pPr>
            <w:r w:rsidRPr="00F255BC">
              <w:rPr>
                <w:rStyle w:val="Bold"/>
              </w:rPr>
              <w:t>Q</w:t>
            </w:r>
            <w:r>
              <w:rPr>
                <w:rStyle w:val="Bold"/>
              </w:rPr>
              <w:t>10</w:t>
            </w:r>
            <w:r w:rsidRPr="00F255BC">
              <w:rPr>
                <w:rStyle w:val="Bold"/>
              </w:rPr>
              <w:t>:</w:t>
            </w:r>
            <w:r w:rsidRPr="00F255BC">
              <w:t xml:space="preserve"> Do you think</w:t>
            </w:r>
            <w:r>
              <w:t xml:space="preserve"> the benefits from introducing volumetric sewerage services pricing will outweigh the costs</w:t>
            </w:r>
            <w:r w:rsidRPr="00F255BC">
              <w:t>?</w:t>
            </w:r>
          </w:p>
          <w:p w:rsidR="00373C84" w:rsidRDefault="00373C84" w:rsidP="00CE21CB">
            <w:pPr>
              <w:rPr>
                <w:rStyle w:val="Bold"/>
              </w:rPr>
            </w:pPr>
            <w:r w:rsidRPr="00F255BC">
              <w:rPr>
                <w:rStyle w:val="Bold"/>
              </w:rPr>
              <w:t>Q</w:t>
            </w:r>
            <w:r>
              <w:rPr>
                <w:rStyle w:val="Bold"/>
              </w:rPr>
              <w:t>11</w:t>
            </w:r>
            <w:r w:rsidRPr="00F255BC">
              <w:rPr>
                <w:rStyle w:val="Bold"/>
              </w:rPr>
              <w:t>:</w:t>
            </w:r>
            <w:r w:rsidRPr="00376154">
              <w:t xml:space="preserve"> Do you think Icon Water should consider introducing</w:t>
            </w:r>
            <w:r>
              <w:t xml:space="preserve"> sewerage services pricing based on something other than the number of fixtures</w:t>
            </w:r>
            <w:r w:rsidRPr="00376154">
              <w:t>?</w:t>
            </w:r>
          </w:p>
          <w:p w:rsidR="00373C84" w:rsidRDefault="00373C84" w:rsidP="00CE21CB">
            <w:r w:rsidRPr="00F255BC">
              <w:rPr>
                <w:rStyle w:val="Bold"/>
              </w:rPr>
              <w:t>Q</w:t>
            </w:r>
            <w:r>
              <w:rPr>
                <w:rStyle w:val="Bold"/>
              </w:rPr>
              <w:t>12</w:t>
            </w:r>
            <w:r w:rsidRPr="00F255BC">
              <w:rPr>
                <w:rStyle w:val="Bold"/>
              </w:rPr>
              <w:t>:</w:t>
            </w:r>
            <w:r w:rsidRPr="00376154">
              <w:t xml:space="preserve"> Do you think Icon Water should consider introducing trade waste pricing?</w:t>
            </w:r>
          </w:p>
        </w:tc>
      </w:tr>
    </w:tbl>
    <w:p w:rsidR="00373C84" w:rsidRDefault="00373C84" w:rsidP="0065431C"/>
    <w:p w:rsidR="0065431C" w:rsidRDefault="0065431C" w:rsidP="0065431C">
      <w:r>
        <w:t xml:space="preserve">Stakeholders are of course free to respond to any relevant matter and </w:t>
      </w:r>
      <w:r w:rsidRPr="007A5096">
        <w:t>will have further opportunities to participate in the consultation process</w:t>
      </w:r>
      <w:r>
        <w:t xml:space="preserve"> as the tariff review progresses</w:t>
      </w:r>
      <w:r w:rsidRPr="007A5096">
        <w:t>.</w:t>
      </w:r>
    </w:p>
    <w:p w:rsidR="0065431C" w:rsidRDefault="0065431C" w:rsidP="0065431C">
      <w:pPr>
        <w:pStyle w:val="Heading2"/>
      </w:pPr>
      <w:bookmarkStart w:id="207" w:name="_Toc435700178"/>
      <w:r>
        <w:t>Timeline</w:t>
      </w:r>
      <w:bookmarkEnd w:id="207"/>
    </w:p>
    <w:p w:rsidR="0065431C" w:rsidRDefault="0065431C" w:rsidP="0065431C">
      <w:r w:rsidRPr="007A5096">
        <w:t xml:space="preserve">The proposed timing of the next steps in the </w:t>
      </w:r>
      <w:r>
        <w:t xml:space="preserve">review </w:t>
      </w:r>
      <w:r w:rsidRPr="007A5096">
        <w:t xml:space="preserve">process is set out </w:t>
      </w:r>
      <w:r>
        <w:t xml:space="preserve">in </w:t>
      </w:r>
      <w:fldSimple w:instr=" REF _Ref429486848 \h  \* MERGEFORMAT ">
        <w:r w:rsidR="00E43227" w:rsidRPr="003C3AEA">
          <w:t>Table</w:t>
        </w:r>
        <w:r w:rsidR="00E43227">
          <w:t> 6.1</w:t>
        </w:r>
      </w:fldSimple>
      <w:r>
        <w:t>. The Commission encourages stakeholders to participate in the consultation process.</w:t>
      </w:r>
    </w:p>
    <w:p w:rsidR="0065431C" w:rsidRDefault="0065431C" w:rsidP="0065431C">
      <w:pPr>
        <w:pStyle w:val="FigureName"/>
      </w:pPr>
      <w:bookmarkStart w:id="208" w:name="_Ref429486848"/>
      <w:bookmarkStart w:id="209" w:name="_Toc368572053"/>
      <w:bookmarkStart w:id="210" w:name="_Toc435700188"/>
      <w:r w:rsidRPr="003C3AEA">
        <w:t>Table</w:t>
      </w:r>
      <w:r>
        <w:t> </w:t>
      </w:r>
      <w:r w:rsidR="00A7215E">
        <w:fldChar w:fldCharType="begin"/>
      </w:r>
      <w:r>
        <w:instrText xml:space="preserve"> STYLEREF 1 \s </w:instrText>
      </w:r>
      <w:r w:rsidR="00A7215E">
        <w:fldChar w:fldCharType="separate"/>
      </w:r>
      <w:r w:rsidR="00E43227">
        <w:rPr>
          <w:noProof/>
        </w:rPr>
        <w:t>6</w:t>
      </w:r>
      <w:r w:rsidR="00A7215E">
        <w:fldChar w:fldCharType="end"/>
      </w:r>
      <w:r>
        <w:t>.</w:t>
      </w:r>
      <w:r w:rsidR="00A7215E">
        <w:fldChar w:fldCharType="begin"/>
      </w:r>
      <w:r>
        <w:instrText xml:space="preserve"> SEQ Table \* ARABIC \s 1 </w:instrText>
      </w:r>
      <w:r w:rsidR="00A7215E">
        <w:fldChar w:fldCharType="separate"/>
      </w:r>
      <w:r w:rsidR="00E43227">
        <w:rPr>
          <w:noProof/>
        </w:rPr>
        <w:t>1</w:t>
      </w:r>
      <w:r w:rsidR="00A7215E">
        <w:fldChar w:fldCharType="end"/>
      </w:r>
      <w:bookmarkEnd w:id="208"/>
      <w:r>
        <w:tab/>
      </w:r>
      <w:bookmarkEnd w:id="209"/>
      <w:r>
        <w:t>Indicative timeline for the review</w:t>
      </w:r>
      <w:bookmarkEnd w:id="210"/>
    </w:p>
    <w:tbl>
      <w:tblPr>
        <w:tblW w:w="3845" w:type="pct"/>
        <w:tblBorders>
          <w:top w:val="single" w:sz="12" w:space="0" w:color="333399"/>
          <w:bottom w:val="single" w:sz="12" w:space="0" w:color="333399"/>
        </w:tblBorders>
        <w:tblCellMar>
          <w:left w:w="115" w:type="dxa"/>
          <w:right w:w="115" w:type="dxa"/>
        </w:tblCellMar>
        <w:tblLook w:val="0000"/>
      </w:tblPr>
      <w:tblGrid>
        <w:gridCol w:w="4498"/>
        <w:gridCol w:w="1609"/>
      </w:tblGrid>
      <w:tr w:rsidR="0065431C" w:rsidRPr="00144F8C" w:rsidTr="00BC5669">
        <w:trPr>
          <w:cantSplit/>
        </w:trPr>
        <w:tc>
          <w:tcPr>
            <w:tcW w:w="3683"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65431C" w:rsidRPr="00644162" w:rsidRDefault="0065431C" w:rsidP="00BC5669">
            <w:pPr>
              <w:pStyle w:val="TableHeadingLeft"/>
            </w:pPr>
            <w:r w:rsidRPr="00901DA4">
              <w:t>Task</w:t>
            </w:r>
          </w:p>
        </w:tc>
        <w:tc>
          <w:tcPr>
            <w:tcW w:w="1317"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65431C" w:rsidRPr="00644162" w:rsidRDefault="0065431C" w:rsidP="00BC5669">
            <w:pPr>
              <w:pStyle w:val="TableHeadingLeft"/>
            </w:pPr>
            <w:r w:rsidRPr="00901DA4">
              <w:t>Date</w:t>
            </w:r>
          </w:p>
        </w:tc>
      </w:tr>
      <w:tr w:rsidR="0065431C" w:rsidRPr="00144F8C" w:rsidTr="00BC5669">
        <w:trPr>
          <w:cantSplit/>
        </w:trPr>
        <w:tc>
          <w:tcPr>
            <w:tcW w:w="3683" w:type="pct"/>
            <w:tcBorders>
              <w:top w:val="nil"/>
              <w:left w:val="nil"/>
              <w:bottom w:val="nil"/>
              <w:right w:val="nil"/>
            </w:tcBorders>
          </w:tcPr>
          <w:p w:rsidR="0065431C" w:rsidRPr="00644162" w:rsidRDefault="0065431C" w:rsidP="00BC5669">
            <w:pPr>
              <w:pStyle w:val="TableTextLeft"/>
            </w:pPr>
            <w:r>
              <w:t>Release of i</w:t>
            </w:r>
            <w:r w:rsidRPr="00644162">
              <w:t>ssues paper</w:t>
            </w:r>
          </w:p>
        </w:tc>
        <w:tc>
          <w:tcPr>
            <w:tcW w:w="1317" w:type="pct"/>
            <w:tcBorders>
              <w:top w:val="nil"/>
              <w:left w:val="nil"/>
              <w:bottom w:val="nil"/>
              <w:right w:val="nil"/>
            </w:tcBorders>
          </w:tcPr>
          <w:p w:rsidR="0065431C" w:rsidRPr="00644162" w:rsidRDefault="003762EC" w:rsidP="00E747EE">
            <w:pPr>
              <w:pStyle w:val="TableTextLeft"/>
            </w:pPr>
            <w:r>
              <w:t>2</w:t>
            </w:r>
            <w:r w:rsidR="00E747EE">
              <w:t>3</w:t>
            </w:r>
            <w:r w:rsidR="0065431C">
              <w:t xml:space="preserve"> </w:t>
            </w:r>
            <w:r w:rsidR="0065431C" w:rsidRPr="00644162">
              <w:t>November 2015</w:t>
            </w:r>
          </w:p>
        </w:tc>
      </w:tr>
      <w:tr w:rsidR="0065431C" w:rsidRPr="00144F8C" w:rsidTr="00BC5669">
        <w:trPr>
          <w:cantSplit/>
        </w:trPr>
        <w:tc>
          <w:tcPr>
            <w:tcW w:w="3683" w:type="pct"/>
            <w:tcBorders>
              <w:top w:val="nil"/>
              <w:left w:val="nil"/>
              <w:bottom w:val="nil"/>
              <w:right w:val="nil"/>
            </w:tcBorders>
          </w:tcPr>
          <w:p w:rsidR="0065431C" w:rsidRPr="00644162" w:rsidRDefault="0065431C" w:rsidP="00BC5669">
            <w:pPr>
              <w:pStyle w:val="TableTextLeft"/>
            </w:pPr>
            <w:r>
              <w:t xml:space="preserve">Release of </w:t>
            </w:r>
            <w:r w:rsidR="00F9702F">
              <w:t>t</w:t>
            </w:r>
            <w:r w:rsidRPr="00644162">
              <w:t>echnical paper 1: Water demand elasticity</w:t>
            </w:r>
          </w:p>
        </w:tc>
        <w:tc>
          <w:tcPr>
            <w:tcW w:w="1317" w:type="pct"/>
            <w:tcBorders>
              <w:top w:val="nil"/>
              <w:left w:val="nil"/>
              <w:bottom w:val="nil"/>
              <w:right w:val="nil"/>
            </w:tcBorders>
          </w:tcPr>
          <w:p w:rsidR="0065431C" w:rsidRPr="00644162" w:rsidRDefault="0065431C" w:rsidP="00BC5669">
            <w:pPr>
              <w:pStyle w:val="TableTextLeft"/>
            </w:pPr>
            <w:r w:rsidRPr="00DD58D7">
              <w:t>Feb</w:t>
            </w:r>
            <w:r w:rsidRPr="00644162">
              <w:t>ruary 2016</w:t>
            </w:r>
          </w:p>
        </w:tc>
      </w:tr>
      <w:tr w:rsidR="0065431C" w:rsidRPr="00144F8C" w:rsidTr="00BC5669">
        <w:trPr>
          <w:cantSplit/>
        </w:trPr>
        <w:tc>
          <w:tcPr>
            <w:tcW w:w="3683" w:type="pct"/>
            <w:tcBorders>
              <w:top w:val="nil"/>
              <w:left w:val="nil"/>
              <w:bottom w:val="nil"/>
              <w:right w:val="nil"/>
            </w:tcBorders>
          </w:tcPr>
          <w:p w:rsidR="0065431C" w:rsidRPr="00644162" w:rsidRDefault="0065431C" w:rsidP="00BC5669">
            <w:pPr>
              <w:pStyle w:val="TableTextLeft"/>
            </w:pPr>
            <w:r>
              <w:t xml:space="preserve">Release of </w:t>
            </w:r>
            <w:r w:rsidR="00F9702F">
              <w:t>t</w:t>
            </w:r>
            <w:r w:rsidRPr="00644162">
              <w:t>echnical paper 2: Marginal cost pricing</w:t>
            </w:r>
          </w:p>
        </w:tc>
        <w:tc>
          <w:tcPr>
            <w:tcW w:w="1317" w:type="pct"/>
            <w:tcBorders>
              <w:top w:val="nil"/>
              <w:left w:val="nil"/>
              <w:bottom w:val="nil"/>
              <w:right w:val="nil"/>
            </w:tcBorders>
          </w:tcPr>
          <w:p w:rsidR="0065431C" w:rsidRPr="00644162" w:rsidRDefault="0065431C" w:rsidP="00BC5669">
            <w:pPr>
              <w:pStyle w:val="TableTextLeft"/>
            </w:pPr>
            <w:r w:rsidRPr="00DD58D7">
              <w:t>Apr</w:t>
            </w:r>
            <w:r w:rsidRPr="00644162">
              <w:t>il 2016</w:t>
            </w:r>
          </w:p>
        </w:tc>
      </w:tr>
      <w:tr w:rsidR="0065431C" w:rsidRPr="00144F8C" w:rsidTr="00BC5669">
        <w:trPr>
          <w:cantSplit/>
        </w:trPr>
        <w:tc>
          <w:tcPr>
            <w:tcW w:w="3683" w:type="pct"/>
            <w:tcBorders>
              <w:top w:val="nil"/>
              <w:left w:val="nil"/>
              <w:bottom w:val="nil"/>
              <w:right w:val="nil"/>
            </w:tcBorders>
          </w:tcPr>
          <w:p w:rsidR="0065431C" w:rsidRPr="00644162" w:rsidRDefault="0065431C" w:rsidP="00BC5669">
            <w:pPr>
              <w:pStyle w:val="TableTextLeft"/>
            </w:pPr>
            <w:r>
              <w:t xml:space="preserve">Release of </w:t>
            </w:r>
            <w:r w:rsidR="00F9702F">
              <w:t>t</w:t>
            </w:r>
            <w:r w:rsidRPr="00644162">
              <w:t>echnical paper 3: Trade waste pricing</w:t>
            </w:r>
          </w:p>
        </w:tc>
        <w:tc>
          <w:tcPr>
            <w:tcW w:w="1317" w:type="pct"/>
            <w:tcBorders>
              <w:top w:val="nil"/>
              <w:left w:val="nil"/>
              <w:bottom w:val="nil"/>
              <w:right w:val="nil"/>
            </w:tcBorders>
          </w:tcPr>
          <w:p w:rsidR="0065431C" w:rsidRPr="00DD58D7" w:rsidRDefault="0065431C" w:rsidP="00BC5669">
            <w:pPr>
              <w:pStyle w:val="TableTextLeft"/>
            </w:pPr>
            <w:r w:rsidRPr="00DD58D7">
              <w:t>May 2016</w:t>
            </w:r>
          </w:p>
        </w:tc>
      </w:tr>
      <w:tr w:rsidR="0065431C" w:rsidRPr="00144F8C" w:rsidTr="00BC5669">
        <w:trPr>
          <w:cantSplit/>
          <w:trHeight w:val="318"/>
        </w:trPr>
        <w:tc>
          <w:tcPr>
            <w:tcW w:w="3683" w:type="pct"/>
            <w:tcBorders>
              <w:top w:val="nil"/>
              <w:left w:val="nil"/>
              <w:bottom w:val="nil"/>
              <w:right w:val="nil"/>
            </w:tcBorders>
          </w:tcPr>
          <w:p w:rsidR="0065431C" w:rsidRDefault="0065431C" w:rsidP="00BC5669">
            <w:pPr>
              <w:pStyle w:val="TableTextLeft"/>
            </w:pPr>
            <w:r>
              <w:t>Submissions on is</w:t>
            </w:r>
            <w:r w:rsidR="00F9702F">
              <w:t>sues and technical papers close</w:t>
            </w:r>
          </w:p>
        </w:tc>
        <w:tc>
          <w:tcPr>
            <w:tcW w:w="1317" w:type="pct"/>
            <w:tcBorders>
              <w:top w:val="nil"/>
              <w:left w:val="nil"/>
              <w:bottom w:val="nil"/>
              <w:right w:val="nil"/>
            </w:tcBorders>
          </w:tcPr>
          <w:p w:rsidR="0065431C" w:rsidRPr="00A40501" w:rsidRDefault="0065431C" w:rsidP="00BC5669">
            <w:pPr>
              <w:pStyle w:val="TableTextLeft"/>
            </w:pPr>
            <w:r>
              <w:t xml:space="preserve">1 </w:t>
            </w:r>
            <w:r w:rsidRPr="00A40501">
              <w:t>Ju</w:t>
            </w:r>
            <w:r>
              <w:t>ly</w:t>
            </w:r>
            <w:r w:rsidRPr="00A40501">
              <w:t xml:space="preserve"> 2016</w:t>
            </w:r>
          </w:p>
        </w:tc>
      </w:tr>
      <w:tr w:rsidR="0065431C" w:rsidRPr="00144F8C" w:rsidTr="00BC5669">
        <w:trPr>
          <w:cantSplit/>
          <w:trHeight w:val="318"/>
        </w:trPr>
        <w:tc>
          <w:tcPr>
            <w:tcW w:w="3683" w:type="pct"/>
            <w:tcBorders>
              <w:top w:val="nil"/>
              <w:left w:val="nil"/>
              <w:bottom w:val="nil"/>
              <w:right w:val="nil"/>
            </w:tcBorders>
          </w:tcPr>
          <w:p w:rsidR="0065431C" w:rsidRPr="00A40501" w:rsidRDefault="0065431C" w:rsidP="00BC5669">
            <w:pPr>
              <w:pStyle w:val="TableTextLeft"/>
            </w:pPr>
            <w:r>
              <w:t>Release of d</w:t>
            </w:r>
            <w:r w:rsidRPr="00A40501">
              <w:t>raft report</w:t>
            </w:r>
          </w:p>
        </w:tc>
        <w:tc>
          <w:tcPr>
            <w:tcW w:w="1317" w:type="pct"/>
            <w:tcBorders>
              <w:top w:val="nil"/>
              <w:left w:val="nil"/>
              <w:bottom w:val="nil"/>
              <w:right w:val="nil"/>
            </w:tcBorders>
          </w:tcPr>
          <w:p w:rsidR="0065431C" w:rsidRPr="00A40501" w:rsidRDefault="0065431C" w:rsidP="00BC5669">
            <w:pPr>
              <w:pStyle w:val="TableTextLeft"/>
            </w:pPr>
            <w:r>
              <w:t>August</w:t>
            </w:r>
            <w:r w:rsidRPr="00A40501">
              <w:t xml:space="preserve"> 2016</w:t>
            </w:r>
          </w:p>
        </w:tc>
      </w:tr>
      <w:tr w:rsidR="0065431C" w:rsidRPr="00144F8C" w:rsidTr="00BC5669">
        <w:trPr>
          <w:cantSplit/>
          <w:trHeight w:val="200"/>
        </w:trPr>
        <w:tc>
          <w:tcPr>
            <w:tcW w:w="3683" w:type="pct"/>
            <w:tcBorders>
              <w:top w:val="nil"/>
              <w:left w:val="nil"/>
              <w:bottom w:val="nil"/>
              <w:right w:val="nil"/>
            </w:tcBorders>
          </w:tcPr>
          <w:p w:rsidR="0065431C" w:rsidRPr="00A40501" w:rsidRDefault="0065431C" w:rsidP="00BC5669">
            <w:pPr>
              <w:pStyle w:val="TableTextLeft"/>
            </w:pPr>
            <w:r w:rsidRPr="00DD58D7">
              <w:t>Public forum</w:t>
            </w:r>
          </w:p>
        </w:tc>
        <w:tc>
          <w:tcPr>
            <w:tcW w:w="1317" w:type="pct"/>
            <w:tcBorders>
              <w:top w:val="nil"/>
              <w:left w:val="nil"/>
              <w:bottom w:val="nil"/>
              <w:right w:val="nil"/>
            </w:tcBorders>
          </w:tcPr>
          <w:p w:rsidR="0065431C" w:rsidRPr="00A40501" w:rsidRDefault="0065431C" w:rsidP="00BC5669">
            <w:pPr>
              <w:pStyle w:val="TableTextLeft"/>
            </w:pPr>
            <w:r w:rsidRPr="00DD58D7">
              <w:t>Sep</w:t>
            </w:r>
            <w:r w:rsidRPr="00A40501">
              <w:t>tember 2016</w:t>
            </w:r>
          </w:p>
        </w:tc>
      </w:tr>
      <w:tr w:rsidR="0065431C" w:rsidRPr="00144F8C" w:rsidTr="00BC5669">
        <w:trPr>
          <w:cantSplit/>
          <w:trHeight w:val="200"/>
        </w:trPr>
        <w:tc>
          <w:tcPr>
            <w:tcW w:w="3683" w:type="pct"/>
            <w:tcBorders>
              <w:top w:val="nil"/>
              <w:left w:val="nil"/>
              <w:bottom w:val="nil"/>
              <w:right w:val="nil"/>
            </w:tcBorders>
          </w:tcPr>
          <w:p w:rsidR="0065431C" w:rsidRPr="00A40501" w:rsidRDefault="0065431C" w:rsidP="00BC5669">
            <w:pPr>
              <w:pStyle w:val="TableTextLeft"/>
            </w:pPr>
            <w:r w:rsidRPr="00DD58D7">
              <w:t>Workshops</w:t>
            </w:r>
          </w:p>
        </w:tc>
        <w:tc>
          <w:tcPr>
            <w:tcW w:w="1317" w:type="pct"/>
            <w:tcBorders>
              <w:top w:val="nil"/>
              <w:left w:val="nil"/>
              <w:bottom w:val="nil"/>
              <w:right w:val="nil"/>
            </w:tcBorders>
          </w:tcPr>
          <w:p w:rsidR="0065431C" w:rsidRPr="00A40501" w:rsidRDefault="0065431C" w:rsidP="00BC5669">
            <w:pPr>
              <w:pStyle w:val="TableTextLeft"/>
            </w:pPr>
            <w:r w:rsidRPr="00DD58D7">
              <w:t>Sep</w:t>
            </w:r>
            <w:r w:rsidRPr="00A40501">
              <w:t>tember 2016</w:t>
            </w:r>
          </w:p>
        </w:tc>
      </w:tr>
      <w:tr w:rsidR="0065431C" w:rsidRPr="00144F8C" w:rsidTr="00BC5669">
        <w:trPr>
          <w:cantSplit/>
        </w:trPr>
        <w:tc>
          <w:tcPr>
            <w:tcW w:w="3683" w:type="pct"/>
            <w:tcBorders>
              <w:top w:val="nil"/>
              <w:left w:val="nil"/>
              <w:bottom w:val="nil"/>
              <w:right w:val="nil"/>
            </w:tcBorders>
          </w:tcPr>
          <w:p w:rsidR="0065431C" w:rsidRPr="00A40501" w:rsidRDefault="0065431C" w:rsidP="00BC5669">
            <w:pPr>
              <w:pStyle w:val="TableTextLeft"/>
            </w:pPr>
            <w:r>
              <w:t>Submissions on draft report close</w:t>
            </w:r>
          </w:p>
        </w:tc>
        <w:tc>
          <w:tcPr>
            <w:tcW w:w="1317" w:type="pct"/>
            <w:tcBorders>
              <w:top w:val="nil"/>
              <w:left w:val="nil"/>
              <w:bottom w:val="nil"/>
              <w:right w:val="nil"/>
            </w:tcBorders>
          </w:tcPr>
          <w:p w:rsidR="0065431C" w:rsidRPr="00A40501" w:rsidRDefault="003762EC" w:rsidP="00BC5669">
            <w:pPr>
              <w:pStyle w:val="TableTextLeft"/>
            </w:pPr>
            <w:r>
              <w:t>September</w:t>
            </w:r>
            <w:r w:rsidR="0065431C">
              <w:t xml:space="preserve"> 2016</w:t>
            </w:r>
          </w:p>
        </w:tc>
      </w:tr>
      <w:tr w:rsidR="0065431C" w:rsidRPr="00144F8C" w:rsidTr="00BC5669">
        <w:trPr>
          <w:cantSplit/>
        </w:trPr>
        <w:tc>
          <w:tcPr>
            <w:tcW w:w="3683" w:type="pct"/>
            <w:tcBorders>
              <w:top w:val="nil"/>
              <w:left w:val="nil"/>
              <w:bottom w:val="single" w:sz="12" w:space="0" w:color="1F497D" w:themeColor="text2"/>
              <w:right w:val="nil"/>
            </w:tcBorders>
          </w:tcPr>
          <w:p w:rsidR="0065431C" w:rsidRPr="00A40501" w:rsidRDefault="0065431C" w:rsidP="00BC5669">
            <w:pPr>
              <w:pStyle w:val="TableTextLeft"/>
            </w:pPr>
            <w:r w:rsidRPr="00DD58D7">
              <w:t>Final report</w:t>
            </w:r>
          </w:p>
        </w:tc>
        <w:tc>
          <w:tcPr>
            <w:tcW w:w="1317" w:type="pct"/>
            <w:tcBorders>
              <w:top w:val="nil"/>
              <w:left w:val="nil"/>
              <w:bottom w:val="single" w:sz="12" w:space="0" w:color="1F497D" w:themeColor="text2"/>
              <w:right w:val="nil"/>
            </w:tcBorders>
          </w:tcPr>
          <w:p w:rsidR="0065431C" w:rsidRPr="00A40501" w:rsidRDefault="0065431C" w:rsidP="00BC5669">
            <w:pPr>
              <w:pStyle w:val="TableTextLeft"/>
            </w:pPr>
            <w:r w:rsidRPr="00DD58D7">
              <w:t>Nov</w:t>
            </w:r>
            <w:r w:rsidRPr="00A40501">
              <w:t>ember 2016</w:t>
            </w:r>
          </w:p>
        </w:tc>
      </w:tr>
    </w:tbl>
    <w:p w:rsidR="0065431C" w:rsidRPr="005C0045" w:rsidRDefault="0065431C" w:rsidP="0065431C"/>
    <w:p w:rsidR="0065431C" w:rsidRPr="005C0045" w:rsidRDefault="0065431C" w:rsidP="0065431C"/>
    <w:p w:rsidR="0034311C" w:rsidRDefault="0034311C" w:rsidP="007E230D"/>
    <w:p w:rsidR="0034311C" w:rsidRDefault="0034311C" w:rsidP="007E230D">
      <w:pPr>
        <w:sectPr w:rsidR="0034311C" w:rsidSect="001452C0">
          <w:headerReference w:type="even" r:id="rId64"/>
          <w:headerReference w:type="default" r:id="rId65"/>
          <w:endnotePr>
            <w:numFmt w:val="decimal"/>
            <w:numRestart w:val="eachSect"/>
          </w:endnotePr>
          <w:type w:val="continuous"/>
          <w:pgSz w:w="11907" w:h="16840" w:code="9"/>
          <w:pgMar w:top="2245" w:right="2098" w:bottom="1701" w:left="2098" w:header="578" w:footer="578" w:gutter="0"/>
          <w:cols w:space="720"/>
          <w:noEndnote/>
          <w:docGrid w:linePitch="299"/>
        </w:sectPr>
      </w:pPr>
    </w:p>
    <w:p w:rsidR="00AD30EB" w:rsidRDefault="007B32EC" w:rsidP="00C7285A">
      <w:pPr>
        <w:pStyle w:val="HeadingAppendix1"/>
      </w:pPr>
      <w:bookmarkStart w:id="211" w:name="_Ref429484930"/>
      <w:bookmarkStart w:id="212" w:name="_Ref429486194"/>
      <w:bookmarkStart w:id="213" w:name="_Toc435700179"/>
      <w:bookmarkStart w:id="214" w:name="_Toc260327931"/>
      <w:r>
        <w:t>Determining prices</w:t>
      </w:r>
      <w:bookmarkEnd w:id="211"/>
      <w:bookmarkEnd w:id="212"/>
      <w:bookmarkEnd w:id="213"/>
    </w:p>
    <w:p w:rsidR="00AD30EB" w:rsidRDefault="00AD30EB" w:rsidP="007E230D"/>
    <w:p w:rsidR="00501A5E" w:rsidRDefault="00501A5E" w:rsidP="007E230D">
      <w:pPr>
        <w:sectPr w:rsidR="00501A5E" w:rsidSect="00FD0141">
          <w:headerReference w:type="even" r:id="rId66"/>
          <w:headerReference w:type="default" r:id="rId67"/>
          <w:endnotePr>
            <w:numFmt w:val="decimal"/>
          </w:endnotePr>
          <w:type w:val="oddPage"/>
          <w:pgSz w:w="11907" w:h="16840" w:code="9"/>
          <w:pgMar w:top="2268" w:right="2098" w:bottom="1701" w:left="2098" w:header="578" w:footer="578" w:gutter="0"/>
          <w:cols w:space="720"/>
          <w:docGrid w:linePitch="360"/>
        </w:sectPr>
      </w:pPr>
    </w:p>
    <w:p w:rsidR="00B77B8F" w:rsidRDefault="00612104" w:rsidP="007E230D">
      <w:pPr>
        <w:sectPr w:rsidR="00B77B8F" w:rsidSect="00A704CD">
          <w:headerReference w:type="even" r:id="rId68"/>
          <w:headerReference w:type="default" r:id="rId69"/>
          <w:endnotePr>
            <w:numFmt w:val="decimal"/>
          </w:endnotePr>
          <w:type w:val="continuous"/>
          <w:pgSz w:w="11907" w:h="16840" w:code="9"/>
          <w:pgMar w:top="2268" w:right="2098" w:bottom="1701" w:left="2098" w:header="578" w:footer="578" w:gutter="0"/>
          <w:cols w:space="720"/>
          <w:docGrid w:linePitch="360"/>
        </w:sectPr>
      </w:pPr>
      <w:r w:rsidRPr="00612104">
        <w:rPr>
          <w:noProof/>
          <w:lang w:val="en-AU" w:eastAsia="en-AU"/>
        </w:rPr>
        <w:drawing>
          <wp:inline distT="0" distB="0" distL="0" distR="0">
            <wp:extent cx="4896485" cy="6736909"/>
            <wp:effectExtent l="38100" t="19050" r="18415" b="25841"/>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srcRect/>
                    <a:stretch>
                      <a:fillRect/>
                    </a:stretch>
                  </pic:blipFill>
                  <pic:spPr bwMode="auto">
                    <a:xfrm>
                      <a:off x="0" y="0"/>
                      <a:ext cx="4896485" cy="6736909"/>
                    </a:xfrm>
                    <a:prstGeom prst="rect">
                      <a:avLst/>
                    </a:prstGeom>
                    <a:noFill/>
                    <a:ln w="9525">
                      <a:solidFill>
                        <a:schemeClr val="bg1">
                          <a:lumMod val="50000"/>
                        </a:schemeClr>
                      </a:solidFill>
                      <a:miter lim="800000"/>
                      <a:headEnd/>
                      <a:tailEnd/>
                    </a:ln>
                  </pic:spPr>
                </pic:pic>
              </a:graphicData>
            </a:graphic>
          </wp:inline>
        </w:drawing>
      </w:r>
    </w:p>
    <w:p w:rsidR="008C4D2D" w:rsidRDefault="007A1FA7" w:rsidP="00C7285A">
      <w:pPr>
        <w:pStyle w:val="Heading1a"/>
      </w:pPr>
      <w:bookmarkStart w:id="215" w:name="Abbreviations_and_acronyms"/>
      <w:bookmarkStart w:id="216" w:name="_Toc435700180"/>
      <w:r w:rsidRPr="002E2FD3">
        <w:t>Abbreviations and acronyms</w:t>
      </w:r>
      <w:bookmarkEnd w:id="214"/>
      <w:bookmarkEnd w:id="215"/>
      <w:bookmarkEnd w:id="216"/>
    </w:p>
    <w:p w:rsidR="008C4D2D" w:rsidRDefault="008C4D2D" w:rsidP="007E230D">
      <w:pPr>
        <w:sectPr w:rsidR="008C4D2D" w:rsidSect="00FD0141">
          <w:headerReference w:type="even" r:id="rId71"/>
          <w:headerReference w:type="default" r:id="rId72"/>
          <w:endnotePr>
            <w:numFmt w:val="decimal"/>
          </w:endnotePr>
          <w:type w:val="oddPage"/>
          <w:pgSz w:w="11907" w:h="16840" w:code="9"/>
          <w:pgMar w:top="2268" w:right="2098" w:bottom="1701" w:left="2098" w:header="578" w:footer="578" w:gutter="0"/>
          <w:cols w:space="720"/>
          <w:docGrid w:linePitch="360"/>
        </w:sectPr>
      </w:pPr>
    </w:p>
    <w:tbl>
      <w:tblPr>
        <w:tblW w:w="7796" w:type="dxa"/>
        <w:shd w:val="clear" w:color="auto" w:fill="FFFFFF" w:themeFill="background1"/>
        <w:tblLayout w:type="fixed"/>
        <w:tblLook w:val="01E0"/>
      </w:tblPr>
      <w:tblGrid>
        <w:gridCol w:w="2268"/>
        <w:gridCol w:w="5528"/>
      </w:tblGrid>
      <w:tr w:rsidR="002466F6" w:rsidRPr="007976E2" w:rsidTr="00DE682F">
        <w:trPr>
          <w:trHeight w:val="284"/>
        </w:trPr>
        <w:tc>
          <w:tcPr>
            <w:tcW w:w="2268" w:type="dxa"/>
            <w:shd w:val="clear" w:color="auto" w:fill="FFFFFF" w:themeFill="background1"/>
          </w:tcPr>
          <w:p w:rsidR="002466F6" w:rsidRDefault="002466F6" w:rsidP="007E230D">
            <w:r>
              <w:t>ACCC</w:t>
            </w:r>
          </w:p>
        </w:tc>
        <w:tc>
          <w:tcPr>
            <w:tcW w:w="5528" w:type="dxa"/>
            <w:shd w:val="clear" w:color="auto" w:fill="FFFFFF" w:themeFill="background1"/>
          </w:tcPr>
          <w:p w:rsidR="002466F6" w:rsidRDefault="002466F6" w:rsidP="007E230D">
            <w:r>
              <w:t>Australian Competition and Consumer Commission</w:t>
            </w:r>
          </w:p>
        </w:tc>
      </w:tr>
      <w:tr w:rsidR="00DC650D" w:rsidRPr="007976E2" w:rsidTr="00DE682F">
        <w:trPr>
          <w:trHeight w:val="284"/>
        </w:trPr>
        <w:tc>
          <w:tcPr>
            <w:tcW w:w="2268" w:type="dxa"/>
            <w:shd w:val="clear" w:color="auto" w:fill="FFFFFF" w:themeFill="background1"/>
          </w:tcPr>
          <w:p w:rsidR="00DC650D" w:rsidRDefault="00DC650D" w:rsidP="007E230D">
            <w:r>
              <w:t>ACT</w:t>
            </w:r>
          </w:p>
        </w:tc>
        <w:tc>
          <w:tcPr>
            <w:tcW w:w="5528" w:type="dxa"/>
            <w:shd w:val="clear" w:color="auto" w:fill="FFFFFF" w:themeFill="background1"/>
          </w:tcPr>
          <w:p w:rsidR="00DC650D" w:rsidRDefault="00DC650D" w:rsidP="007E230D">
            <w:r>
              <w:t>Australian Capital Territory</w:t>
            </w:r>
          </w:p>
        </w:tc>
      </w:tr>
      <w:tr w:rsidR="00B44BC9" w:rsidRPr="007976E2" w:rsidTr="00DE682F">
        <w:trPr>
          <w:trHeight w:val="284"/>
        </w:trPr>
        <w:tc>
          <w:tcPr>
            <w:tcW w:w="2268" w:type="dxa"/>
            <w:shd w:val="clear" w:color="auto" w:fill="FFFFFF" w:themeFill="background1"/>
          </w:tcPr>
          <w:p w:rsidR="00B44BC9" w:rsidRPr="005B6158" w:rsidRDefault="00DB546B" w:rsidP="007E230D">
            <w:r>
              <w:t>AEMC</w:t>
            </w:r>
          </w:p>
        </w:tc>
        <w:tc>
          <w:tcPr>
            <w:tcW w:w="5528" w:type="dxa"/>
            <w:shd w:val="clear" w:color="auto" w:fill="FFFFFF" w:themeFill="background1"/>
          </w:tcPr>
          <w:p w:rsidR="00B44BC9" w:rsidRPr="005B6158" w:rsidRDefault="00DB546B" w:rsidP="007E230D">
            <w:r>
              <w:t>Australian Energy Market Commission</w:t>
            </w:r>
          </w:p>
        </w:tc>
      </w:tr>
      <w:tr w:rsidR="00B44BC9" w:rsidRPr="007976E2" w:rsidTr="00DE682F">
        <w:trPr>
          <w:trHeight w:val="284"/>
        </w:trPr>
        <w:tc>
          <w:tcPr>
            <w:tcW w:w="2268" w:type="dxa"/>
            <w:shd w:val="clear" w:color="auto" w:fill="FFFFFF" w:themeFill="background1"/>
          </w:tcPr>
          <w:p w:rsidR="00B44BC9" w:rsidRPr="005B6158" w:rsidRDefault="007342F9" w:rsidP="007E230D">
            <w:r>
              <w:t>COAG</w:t>
            </w:r>
          </w:p>
        </w:tc>
        <w:tc>
          <w:tcPr>
            <w:tcW w:w="5528" w:type="dxa"/>
            <w:shd w:val="clear" w:color="auto" w:fill="FFFFFF" w:themeFill="background1"/>
          </w:tcPr>
          <w:p w:rsidR="00B44BC9" w:rsidRPr="005B6158" w:rsidRDefault="007342F9" w:rsidP="007E230D">
            <w:r>
              <w:t>Council of Australian Governments</w:t>
            </w:r>
          </w:p>
        </w:tc>
      </w:tr>
      <w:tr w:rsidR="00B44BC9" w:rsidRPr="007976E2" w:rsidTr="00DE682F">
        <w:trPr>
          <w:trHeight w:val="284"/>
        </w:trPr>
        <w:tc>
          <w:tcPr>
            <w:tcW w:w="2268" w:type="dxa"/>
            <w:shd w:val="clear" w:color="auto" w:fill="FFFFFF" w:themeFill="background1"/>
          </w:tcPr>
          <w:p w:rsidR="00B44BC9" w:rsidRPr="005B6158" w:rsidRDefault="00B44BC9" w:rsidP="007E230D">
            <w:r w:rsidRPr="007976E2">
              <w:t>Commission</w:t>
            </w:r>
          </w:p>
        </w:tc>
        <w:tc>
          <w:tcPr>
            <w:tcW w:w="5528" w:type="dxa"/>
            <w:shd w:val="clear" w:color="auto" w:fill="FFFFFF" w:themeFill="background1"/>
          </w:tcPr>
          <w:p w:rsidR="00B44BC9" w:rsidRPr="005B6158" w:rsidRDefault="00B44BC9" w:rsidP="007E230D">
            <w:r w:rsidRPr="007976E2">
              <w:t>Independent Competition and Regulatory Commission</w:t>
            </w:r>
          </w:p>
        </w:tc>
      </w:tr>
      <w:tr w:rsidR="00B44BC9" w:rsidRPr="007976E2" w:rsidTr="00DE682F">
        <w:trPr>
          <w:trHeight w:val="284"/>
        </w:trPr>
        <w:tc>
          <w:tcPr>
            <w:tcW w:w="2268" w:type="dxa"/>
            <w:shd w:val="clear" w:color="auto" w:fill="FFFFFF" w:themeFill="background1"/>
          </w:tcPr>
          <w:p w:rsidR="00B44BC9" w:rsidRPr="005B6158" w:rsidRDefault="00A00211" w:rsidP="007E230D">
            <w:r>
              <w:t>ESC</w:t>
            </w:r>
          </w:p>
        </w:tc>
        <w:tc>
          <w:tcPr>
            <w:tcW w:w="5528" w:type="dxa"/>
            <w:shd w:val="clear" w:color="auto" w:fill="FFFFFF" w:themeFill="background1"/>
          </w:tcPr>
          <w:p w:rsidR="00B44BC9" w:rsidRPr="005B6158" w:rsidRDefault="00A00211" w:rsidP="007E230D">
            <w:r>
              <w:t>Essential Services Commission (of Victoria)</w:t>
            </w:r>
          </w:p>
        </w:tc>
      </w:tr>
      <w:tr w:rsidR="00B44BC9" w:rsidRPr="007976E2" w:rsidTr="00DE682F">
        <w:trPr>
          <w:trHeight w:val="284"/>
        </w:trPr>
        <w:tc>
          <w:tcPr>
            <w:tcW w:w="2268" w:type="dxa"/>
            <w:shd w:val="clear" w:color="auto" w:fill="FFFFFF" w:themeFill="background1"/>
          </w:tcPr>
          <w:p w:rsidR="00B44BC9" w:rsidRPr="005B6158" w:rsidRDefault="00FA0CE7" w:rsidP="007E230D">
            <w:r>
              <w:t>GL</w:t>
            </w:r>
          </w:p>
        </w:tc>
        <w:tc>
          <w:tcPr>
            <w:tcW w:w="5528" w:type="dxa"/>
            <w:shd w:val="clear" w:color="auto" w:fill="FFFFFF" w:themeFill="background1"/>
          </w:tcPr>
          <w:p w:rsidR="00B44BC9" w:rsidRPr="005B6158" w:rsidRDefault="00FA0CE7" w:rsidP="007E230D">
            <w:r>
              <w:t>gigalitre</w:t>
            </w:r>
          </w:p>
        </w:tc>
      </w:tr>
      <w:tr w:rsidR="00B44BC9" w:rsidRPr="007976E2" w:rsidTr="00DE682F">
        <w:trPr>
          <w:trHeight w:val="284"/>
        </w:trPr>
        <w:tc>
          <w:tcPr>
            <w:tcW w:w="2268" w:type="dxa"/>
            <w:shd w:val="clear" w:color="auto" w:fill="FFFFFF" w:themeFill="background1"/>
          </w:tcPr>
          <w:p w:rsidR="00B44BC9" w:rsidRPr="005B6158" w:rsidRDefault="00B44BC9" w:rsidP="007E230D">
            <w:r w:rsidRPr="007976E2">
              <w:t>ICRC</w:t>
            </w:r>
          </w:p>
        </w:tc>
        <w:tc>
          <w:tcPr>
            <w:tcW w:w="5528" w:type="dxa"/>
            <w:shd w:val="clear" w:color="auto" w:fill="FFFFFF" w:themeFill="background1"/>
          </w:tcPr>
          <w:p w:rsidR="00B44BC9" w:rsidRPr="005B6158" w:rsidRDefault="00B44BC9" w:rsidP="007E230D">
            <w:r w:rsidRPr="007976E2">
              <w:t>Independent Competition and Regulatory Commission</w:t>
            </w:r>
          </w:p>
        </w:tc>
      </w:tr>
      <w:tr w:rsidR="00B44BC9" w:rsidRPr="007976E2" w:rsidTr="00DE682F">
        <w:trPr>
          <w:trHeight w:val="284"/>
        </w:trPr>
        <w:tc>
          <w:tcPr>
            <w:tcW w:w="2268" w:type="dxa"/>
            <w:shd w:val="clear" w:color="auto" w:fill="FFFFFF" w:themeFill="background1"/>
          </w:tcPr>
          <w:p w:rsidR="00B44BC9" w:rsidRPr="005B6158" w:rsidRDefault="00B44BC9" w:rsidP="007E230D">
            <w:r w:rsidRPr="007976E2">
              <w:t>ICRC Act</w:t>
            </w:r>
          </w:p>
        </w:tc>
        <w:tc>
          <w:tcPr>
            <w:tcW w:w="5528" w:type="dxa"/>
            <w:shd w:val="clear" w:color="auto" w:fill="FFFFFF" w:themeFill="background1"/>
          </w:tcPr>
          <w:p w:rsidR="00B44BC9" w:rsidRPr="005B6158" w:rsidRDefault="00B44BC9" w:rsidP="007E230D">
            <w:r w:rsidRPr="00D56742">
              <w:rPr>
                <w:rStyle w:val="Italic"/>
              </w:rPr>
              <w:t>Independent Competition and Regulatory Commission Act</w:t>
            </w:r>
            <w:r w:rsidRPr="005B6158">
              <w:t xml:space="preserve"> </w:t>
            </w:r>
            <w:r w:rsidRPr="005B6158">
              <w:rPr>
                <w:rStyle w:val="Italic"/>
              </w:rPr>
              <w:t xml:space="preserve">1997 </w:t>
            </w:r>
            <w:r w:rsidRPr="005B6158">
              <w:t>(ACT)</w:t>
            </w:r>
          </w:p>
        </w:tc>
      </w:tr>
      <w:tr w:rsidR="00A00211" w:rsidRPr="007976E2" w:rsidTr="00DE682F">
        <w:trPr>
          <w:trHeight w:val="284"/>
        </w:trPr>
        <w:tc>
          <w:tcPr>
            <w:tcW w:w="2268" w:type="dxa"/>
            <w:shd w:val="clear" w:color="auto" w:fill="FFFFFF" w:themeFill="background1"/>
          </w:tcPr>
          <w:p w:rsidR="00A00211" w:rsidRDefault="00A00211" w:rsidP="007E230D">
            <w:r>
              <w:t>IPART</w:t>
            </w:r>
          </w:p>
        </w:tc>
        <w:tc>
          <w:tcPr>
            <w:tcW w:w="5528" w:type="dxa"/>
            <w:shd w:val="clear" w:color="auto" w:fill="FFFFFF" w:themeFill="background1"/>
          </w:tcPr>
          <w:p w:rsidR="00A00211" w:rsidRDefault="00A00211" w:rsidP="007E230D">
            <w:r>
              <w:t>Independent Pricing and Regulatory Tribunal (of New South Wales)</w:t>
            </w:r>
          </w:p>
        </w:tc>
      </w:tr>
      <w:tr w:rsidR="00B44BC9" w:rsidRPr="007976E2" w:rsidTr="00DE682F">
        <w:trPr>
          <w:trHeight w:val="284"/>
        </w:trPr>
        <w:tc>
          <w:tcPr>
            <w:tcW w:w="2268" w:type="dxa"/>
            <w:shd w:val="clear" w:color="auto" w:fill="FFFFFF" w:themeFill="background1"/>
          </w:tcPr>
          <w:p w:rsidR="00B44BC9" w:rsidRPr="005B6158" w:rsidRDefault="00FA0CE7" w:rsidP="007E230D">
            <w:r>
              <w:t>kL</w:t>
            </w:r>
          </w:p>
        </w:tc>
        <w:tc>
          <w:tcPr>
            <w:tcW w:w="5528" w:type="dxa"/>
            <w:shd w:val="clear" w:color="auto" w:fill="FFFFFF" w:themeFill="background1"/>
          </w:tcPr>
          <w:p w:rsidR="00B44BC9" w:rsidRPr="005B6158" w:rsidRDefault="00FA0CE7" w:rsidP="007E230D">
            <w:r>
              <w:t>kilolitre</w:t>
            </w:r>
          </w:p>
        </w:tc>
      </w:tr>
      <w:tr w:rsidR="00B44BC9" w:rsidRPr="007976E2" w:rsidTr="00DE682F">
        <w:trPr>
          <w:trHeight w:val="284"/>
        </w:trPr>
        <w:tc>
          <w:tcPr>
            <w:tcW w:w="2268" w:type="dxa"/>
            <w:shd w:val="clear" w:color="auto" w:fill="FFFFFF" w:themeFill="background1"/>
          </w:tcPr>
          <w:p w:rsidR="00B44BC9" w:rsidRPr="007976E2" w:rsidRDefault="000F625F" w:rsidP="007E230D">
            <w:r>
              <w:t>LRMC</w:t>
            </w:r>
          </w:p>
        </w:tc>
        <w:tc>
          <w:tcPr>
            <w:tcW w:w="5528" w:type="dxa"/>
            <w:shd w:val="clear" w:color="auto" w:fill="FFFFFF" w:themeFill="background1"/>
          </w:tcPr>
          <w:p w:rsidR="00B44BC9" w:rsidRPr="007976E2" w:rsidRDefault="00513246" w:rsidP="007E230D">
            <w:r>
              <w:t>l</w:t>
            </w:r>
            <w:r w:rsidR="000F625F">
              <w:t>ong</w:t>
            </w:r>
            <w:r w:rsidR="0006029A">
              <w:t>-</w:t>
            </w:r>
            <w:r w:rsidR="000F625F">
              <w:t>run marginal cost</w:t>
            </w:r>
          </w:p>
        </w:tc>
      </w:tr>
      <w:tr w:rsidR="00DC19F6" w:rsidRPr="007976E2" w:rsidTr="00DE682F">
        <w:trPr>
          <w:trHeight w:val="284"/>
        </w:trPr>
        <w:tc>
          <w:tcPr>
            <w:tcW w:w="2268" w:type="dxa"/>
            <w:shd w:val="clear" w:color="auto" w:fill="FFFFFF" w:themeFill="background1"/>
          </w:tcPr>
          <w:p w:rsidR="00DC19F6" w:rsidRDefault="00DC19F6" w:rsidP="007E230D">
            <w:r>
              <w:t>ML</w:t>
            </w:r>
          </w:p>
        </w:tc>
        <w:tc>
          <w:tcPr>
            <w:tcW w:w="5528" w:type="dxa"/>
            <w:shd w:val="clear" w:color="auto" w:fill="FFFFFF" w:themeFill="background1"/>
          </w:tcPr>
          <w:p w:rsidR="00DC19F6" w:rsidRDefault="00513246" w:rsidP="007E230D">
            <w:r>
              <w:t>m</w:t>
            </w:r>
            <w:r w:rsidR="00DC19F6">
              <w:t>egalitre</w:t>
            </w:r>
          </w:p>
        </w:tc>
      </w:tr>
      <w:tr w:rsidR="00DC650D" w:rsidRPr="007976E2" w:rsidTr="00DE682F">
        <w:trPr>
          <w:trHeight w:val="284"/>
        </w:trPr>
        <w:tc>
          <w:tcPr>
            <w:tcW w:w="2268" w:type="dxa"/>
            <w:shd w:val="clear" w:color="auto" w:fill="FFFFFF" w:themeFill="background1"/>
          </w:tcPr>
          <w:p w:rsidR="00DC650D" w:rsidRDefault="00DC650D" w:rsidP="007E230D">
            <w:r>
              <w:t>NWC</w:t>
            </w:r>
          </w:p>
        </w:tc>
        <w:tc>
          <w:tcPr>
            <w:tcW w:w="5528" w:type="dxa"/>
            <w:shd w:val="clear" w:color="auto" w:fill="FFFFFF" w:themeFill="background1"/>
          </w:tcPr>
          <w:p w:rsidR="00DC650D" w:rsidRPr="00DC650D" w:rsidRDefault="00DC650D" w:rsidP="007E230D">
            <w:r w:rsidRPr="00DC650D">
              <w:t>National Water Commission</w:t>
            </w:r>
          </w:p>
        </w:tc>
      </w:tr>
      <w:tr w:rsidR="007B05E0" w:rsidRPr="007976E2" w:rsidTr="00DE682F">
        <w:trPr>
          <w:trHeight w:val="284"/>
        </w:trPr>
        <w:tc>
          <w:tcPr>
            <w:tcW w:w="2268" w:type="dxa"/>
            <w:shd w:val="clear" w:color="auto" w:fill="FFFFFF" w:themeFill="background1"/>
          </w:tcPr>
          <w:p w:rsidR="007B05E0" w:rsidRPr="007B05E0" w:rsidRDefault="007B05E0" w:rsidP="007E230D">
            <w:r w:rsidRPr="007B05E0">
              <w:t>OTTER</w:t>
            </w:r>
          </w:p>
        </w:tc>
        <w:tc>
          <w:tcPr>
            <w:tcW w:w="5528" w:type="dxa"/>
            <w:shd w:val="clear" w:color="auto" w:fill="FFFFFF" w:themeFill="background1"/>
          </w:tcPr>
          <w:p w:rsidR="007B05E0" w:rsidRPr="007B05E0" w:rsidRDefault="007B05E0" w:rsidP="007E230D">
            <w:r w:rsidRPr="007B05E0">
              <w:t>Office of t</w:t>
            </w:r>
            <w:r w:rsidR="00513246">
              <w:t>he Tasmanian Economic Regulator</w:t>
            </w:r>
          </w:p>
        </w:tc>
      </w:tr>
      <w:tr w:rsidR="00B44BC9" w:rsidRPr="007976E2" w:rsidTr="00DE682F">
        <w:trPr>
          <w:trHeight w:val="284"/>
        </w:trPr>
        <w:tc>
          <w:tcPr>
            <w:tcW w:w="2268" w:type="dxa"/>
            <w:shd w:val="clear" w:color="auto" w:fill="FFFFFF" w:themeFill="background1"/>
          </w:tcPr>
          <w:p w:rsidR="00B44BC9" w:rsidRPr="005B6158" w:rsidRDefault="005963C2" w:rsidP="007E230D">
            <w:r>
              <w:t>price direction</w:t>
            </w:r>
          </w:p>
        </w:tc>
        <w:tc>
          <w:tcPr>
            <w:tcW w:w="5528" w:type="dxa"/>
            <w:shd w:val="clear" w:color="auto" w:fill="FFFFFF" w:themeFill="background1"/>
          </w:tcPr>
          <w:p w:rsidR="00B44BC9" w:rsidRPr="005B6158" w:rsidRDefault="005963C2" w:rsidP="007E230D">
            <w:r w:rsidRPr="005963C2">
              <w:rPr>
                <w:rStyle w:val="Italic"/>
              </w:rPr>
              <w:t xml:space="preserve">Price Direction: Regulated Water and Sewerage Services </w:t>
            </w:r>
            <w:r w:rsidR="00FE74F4">
              <w:rPr>
                <w:rStyle w:val="Italic"/>
              </w:rPr>
              <w:t xml:space="preserve">– </w:t>
            </w:r>
            <w:r w:rsidRPr="005963C2">
              <w:rPr>
                <w:rStyle w:val="Italic"/>
              </w:rPr>
              <w:t>1</w:t>
            </w:r>
            <w:r>
              <w:rPr>
                <w:rStyle w:val="Italic"/>
              </w:rPr>
              <w:t> </w:t>
            </w:r>
            <w:r w:rsidRPr="005963C2">
              <w:rPr>
                <w:rStyle w:val="Italic"/>
              </w:rPr>
              <w:t>July 2013 to 30 June 2019</w:t>
            </w:r>
          </w:p>
        </w:tc>
      </w:tr>
      <w:tr w:rsidR="00B44BC9" w:rsidRPr="007976E2" w:rsidTr="00DE682F">
        <w:trPr>
          <w:trHeight w:val="284"/>
        </w:trPr>
        <w:tc>
          <w:tcPr>
            <w:tcW w:w="2268" w:type="dxa"/>
            <w:shd w:val="clear" w:color="auto" w:fill="FFFFFF" w:themeFill="background1"/>
          </w:tcPr>
          <w:p w:rsidR="00B44BC9" w:rsidRPr="005B6158" w:rsidRDefault="000F625F" w:rsidP="007E230D">
            <w:r>
              <w:t>SRMC</w:t>
            </w:r>
          </w:p>
        </w:tc>
        <w:tc>
          <w:tcPr>
            <w:tcW w:w="5528" w:type="dxa"/>
            <w:shd w:val="clear" w:color="auto" w:fill="FFFFFF" w:themeFill="background1"/>
          </w:tcPr>
          <w:p w:rsidR="00B44BC9" w:rsidRPr="005B6158" w:rsidRDefault="00513246" w:rsidP="007E230D">
            <w:r>
              <w:t>s</w:t>
            </w:r>
            <w:r w:rsidR="000F625F">
              <w:t>hort</w:t>
            </w:r>
            <w:r w:rsidR="0006029A">
              <w:t>-</w:t>
            </w:r>
            <w:r>
              <w:t>run marginal cost</w:t>
            </w:r>
          </w:p>
        </w:tc>
      </w:tr>
      <w:tr w:rsidR="005B3E9D" w:rsidRPr="007976E2" w:rsidTr="00DE682F">
        <w:trPr>
          <w:trHeight w:val="284"/>
        </w:trPr>
        <w:tc>
          <w:tcPr>
            <w:tcW w:w="2268" w:type="dxa"/>
            <w:shd w:val="clear" w:color="auto" w:fill="FFFFFF" w:themeFill="background1"/>
          </w:tcPr>
          <w:p w:rsidR="005B3E9D" w:rsidRPr="007976E2" w:rsidRDefault="005963C2" w:rsidP="007E230D">
            <w:r>
              <w:t>substitute price direction</w:t>
            </w:r>
          </w:p>
        </w:tc>
        <w:tc>
          <w:tcPr>
            <w:tcW w:w="5528" w:type="dxa"/>
            <w:shd w:val="clear" w:color="auto" w:fill="FFFFFF" w:themeFill="background1"/>
          </w:tcPr>
          <w:p w:rsidR="005B3E9D" w:rsidRPr="007976E2" w:rsidRDefault="005963C2" w:rsidP="007E230D">
            <w:r>
              <w:rPr>
                <w:rStyle w:val="Italic"/>
              </w:rPr>
              <w:t xml:space="preserve">Substituted </w:t>
            </w:r>
            <w:r w:rsidRPr="005963C2">
              <w:rPr>
                <w:rStyle w:val="Italic"/>
              </w:rPr>
              <w:t xml:space="preserve">Price Direction: Regulated Water and Sewerage Services </w:t>
            </w:r>
            <w:r w:rsidR="00FE74F4">
              <w:rPr>
                <w:rStyle w:val="Italic"/>
              </w:rPr>
              <w:t xml:space="preserve">– </w:t>
            </w:r>
            <w:r w:rsidRPr="005963C2">
              <w:rPr>
                <w:rStyle w:val="Italic"/>
              </w:rPr>
              <w:t>1 July 2013 to 30 June 201</w:t>
            </w:r>
            <w:r>
              <w:rPr>
                <w:rStyle w:val="Italic"/>
              </w:rPr>
              <w:t>8</w:t>
            </w:r>
          </w:p>
        </w:tc>
      </w:tr>
      <w:tr w:rsidR="002466F6" w:rsidRPr="007976E2" w:rsidTr="00DE682F">
        <w:trPr>
          <w:trHeight w:val="284"/>
        </w:trPr>
        <w:tc>
          <w:tcPr>
            <w:tcW w:w="2268" w:type="dxa"/>
            <w:shd w:val="clear" w:color="auto" w:fill="FFFFFF" w:themeFill="background1"/>
          </w:tcPr>
          <w:p w:rsidR="002466F6" w:rsidRPr="002466F6" w:rsidRDefault="002466F6" w:rsidP="007E230D">
            <w:r w:rsidRPr="002466F6">
              <w:t>WAC</w:t>
            </w:r>
          </w:p>
        </w:tc>
        <w:tc>
          <w:tcPr>
            <w:tcW w:w="5528" w:type="dxa"/>
            <w:shd w:val="clear" w:color="auto" w:fill="FFFFFF" w:themeFill="background1"/>
          </w:tcPr>
          <w:p w:rsidR="002466F6" w:rsidRPr="002466F6" w:rsidRDefault="00513246" w:rsidP="007E230D">
            <w:r>
              <w:t>w</w:t>
            </w:r>
            <w:r w:rsidR="002466F6" w:rsidRPr="002466F6">
              <w:t>ater abstraction charge</w:t>
            </w:r>
          </w:p>
        </w:tc>
      </w:tr>
    </w:tbl>
    <w:p w:rsidR="0074524D" w:rsidRDefault="0074524D" w:rsidP="008A1C91">
      <w:pPr>
        <w:pStyle w:val="References"/>
      </w:pPr>
    </w:p>
    <w:p w:rsidR="00E82CAF" w:rsidRDefault="00E82CAF" w:rsidP="008A1C91">
      <w:pPr>
        <w:pStyle w:val="References"/>
        <w:sectPr w:rsidR="00E82CAF" w:rsidSect="008C4D2D">
          <w:headerReference w:type="even" r:id="rId73"/>
          <w:headerReference w:type="default" r:id="rId74"/>
          <w:endnotePr>
            <w:numFmt w:val="decimal"/>
          </w:endnotePr>
          <w:type w:val="continuous"/>
          <w:pgSz w:w="11907" w:h="16840" w:code="9"/>
          <w:pgMar w:top="2268" w:right="2098" w:bottom="1701" w:left="2098" w:header="578" w:footer="578" w:gutter="0"/>
          <w:cols w:space="720"/>
          <w:docGrid w:linePitch="360"/>
        </w:sectPr>
      </w:pPr>
    </w:p>
    <w:p w:rsidR="008C4D2D" w:rsidRDefault="007A1FA7" w:rsidP="00C7285A">
      <w:pPr>
        <w:pStyle w:val="Heading1a"/>
        <w:sectPr w:rsidR="008C4D2D" w:rsidSect="00FD0141">
          <w:headerReference w:type="even" r:id="rId75"/>
          <w:headerReference w:type="default" r:id="rId76"/>
          <w:endnotePr>
            <w:numFmt w:val="decimal"/>
          </w:endnotePr>
          <w:type w:val="oddPage"/>
          <w:pgSz w:w="11907" w:h="16840" w:code="9"/>
          <w:pgMar w:top="2268" w:right="2098" w:bottom="1701" w:left="2098" w:header="578" w:footer="578" w:gutter="0"/>
          <w:cols w:space="720"/>
          <w:docGrid w:linePitch="360"/>
        </w:sectPr>
      </w:pPr>
      <w:bookmarkStart w:id="217" w:name="_Toc435700181"/>
      <w:r w:rsidRPr="002E2FD3">
        <w:t>References</w:t>
      </w:r>
      <w:bookmarkEnd w:id="217"/>
    </w:p>
    <w:p w:rsidR="0065431C" w:rsidRDefault="00D2715C" w:rsidP="0065431C">
      <w:pPr>
        <w:pStyle w:val="References"/>
        <w:rPr>
          <w:noProof/>
        </w:rPr>
      </w:pPr>
      <w:bookmarkStart w:id="218" w:name="_ENREF_1"/>
      <w:r>
        <w:rPr>
          <w:noProof/>
        </w:rPr>
        <w:t xml:space="preserve">ABS 2014. </w:t>
      </w:r>
      <w:r w:rsidR="0065431C" w:rsidRPr="00134875">
        <w:rPr>
          <w:i/>
          <w:noProof/>
        </w:rPr>
        <w:t>Australian De</w:t>
      </w:r>
      <w:r w:rsidR="00733D0D" w:rsidRPr="00134875">
        <w:rPr>
          <w:i/>
          <w:noProof/>
        </w:rPr>
        <w:t>mographic Statistics, Dec</w:t>
      </w:r>
      <w:r w:rsidR="004E4A2A" w:rsidRPr="00134875">
        <w:rPr>
          <w:i/>
          <w:noProof/>
        </w:rPr>
        <w:t>ember 2014</w:t>
      </w:r>
      <w:r w:rsidR="004E4A2A">
        <w:rPr>
          <w:noProof/>
        </w:rPr>
        <w:t>.</w:t>
      </w:r>
      <w:r w:rsidR="0065431C">
        <w:rPr>
          <w:noProof/>
        </w:rPr>
        <w:t xml:space="preserve"> </w:t>
      </w:r>
      <w:r w:rsidR="00134875">
        <w:rPr>
          <w:noProof/>
        </w:rPr>
        <w:t xml:space="preserve">Cat. no. 3101.0. </w:t>
      </w:r>
      <w:r w:rsidR="0065431C">
        <w:rPr>
          <w:noProof/>
        </w:rPr>
        <w:t>Canberra: Australian Bureau of Statistics.</w:t>
      </w:r>
      <w:bookmarkEnd w:id="218"/>
    </w:p>
    <w:p w:rsidR="0065431C" w:rsidRDefault="003F3435" w:rsidP="0065431C">
      <w:pPr>
        <w:pStyle w:val="References"/>
        <w:rPr>
          <w:noProof/>
        </w:rPr>
      </w:pPr>
      <w:bookmarkStart w:id="219" w:name="_ENREF_2"/>
      <w:r>
        <w:rPr>
          <w:noProof/>
        </w:rPr>
        <w:t xml:space="preserve">ACCC 2008. </w:t>
      </w:r>
      <w:r w:rsidRPr="003F3435">
        <w:rPr>
          <w:i/>
          <w:noProof/>
        </w:rPr>
        <w:t>Merger G</w:t>
      </w:r>
      <w:r w:rsidR="00733D0D" w:rsidRPr="003F3435">
        <w:rPr>
          <w:i/>
          <w:noProof/>
        </w:rPr>
        <w:t>uidelines</w:t>
      </w:r>
      <w:r w:rsidR="00733D0D">
        <w:rPr>
          <w:noProof/>
        </w:rPr>
        <w:t>.</w:t>
      </w:r>
      <w:r w:rsidR="0065431C">
        <w:rPr>
          <w:noProof/>
        </w:rPr>
        <w:t xml:space="preserve"> Melbourne: Australian Competition and Consumer Commission.</w:t>
      </w:r>
      <w:bookmarkEnd w:id="219"/>
    </w:p>
    <w:p w:rsidR="0065431C" w:rsidRDefault="0065431C" w:rsidP="0065431C">
      <w:pPr>
        <w:pStyle w:val="References"/>
        <w:rPr>
          <w:noProof/>
        </w:rPr>
      </w:pPr>
      <w:bookmarkStart w:id="220" w:name="_ENREF_3"/>
      <w:r>
        <w:rPr>
          <w:noProof/>
        </w:rPr>
        <w:t>ACT Governm</w:t>
      </w:r>
      <w:r w:rsidR="00733D0D">
        <w:rPr>
          <w:noProof/>
        </w:rPr>
        <w:t xml:space="preserve">ent 1997. </w:t>
      </w:r>
      <w:r w:rsidRPr="00B95164">
        <w:rPr>
          <w:i/>
          <w:noProof/>
        </w:rPr>
        <w:t xml:space="preserve">Independent Competition and </w:t>
      </w:r>
      <w:r w:rsidR="00733D0D" w:rsidRPr="00B95164">
        <w:rPr>
          <w:i/>
          <w:noProof/>
        </w:rPr>
        <w:t>Regulatory Commission Act 1997</w:t>
      </w:r>
      <w:r w:rsidR="00733D0D">
        <w:rPr>
          <w:noProof/>
        </w:rPr>
        <w:t>.</w:t>
      </w:r>
      <w:r>
        <w:rPr>
          <w:noProof/>
        </w:rPr>
        <w:t xml:space="preserve"> Canberra: ACT Government.</w:t>
      </w:r>
      <w:bookmarkEnd w:id="220"/>
    </w:p>
    <w:p w:rsidR="0065431C" w:rsidRDefault="0065431C" w:rsidP="0065431C">
      <w:pPr>
        <w:pStyle w:val="References"/>
        <w:rPr>
          <w:noProof/>
        </w:rPr>
      </w:pPr>
      <w:bookmarkStart w:id="221" w:name="_ENREF_4"/>
      <w:r>
        <w:rPr>
          <w:noProof/>
        </w:rPr>
        <w:t xml:space="preserve">ACT Government 2009. </w:t>
      </w:r>
      <w:r w:rsidRPr="00B55183">
        <w:rPr>
          <w:i/>
          <w:noProof/>
        </w:rPr>
        <w:t>Waterways: Water Sensitive Urban Design General Code</w:t>
      </w:r>
      <w:r w:rsidR="004E4A2A">
        <w:rPr>
          <w:noProof/>
        </w:rPr>
        <w:t xml:space="preserve">. </w:t>
      </w:r>
      <w:r w:rsidR="00B95164">
        <w:rPr>
          <w:noProof/>
        </w:rPr>
        <w:t xml:space="preserve">Canberra: </w:t>
      </w:r>
      <w:r w:rsidR="004E4A2A">
        <w:rPr>
          <w:noProof/>
        </w:rPr>
        <w:t>ACT Planning and</w:t>
      </w:r>
      <w:r>
        <w:rPr>
          <w:noProof/>
        </w:rPr>
        <w:t xml:space="preserve"> Land Authority.</w:t>
      </w:r>
      <w:bookmarkEnd w:id="221"/>
    </w:p>
    <w:p w:rsidR="0065431C" w:rsidRDefault="00733D0D" w:rsidP="0065431C">
      <w:pPr>
        <w:pStyle w:val="References"/>
        <w:rPr>
          <w:noProof/>
        </w:rPr>
      </w:pPr>
      <w:bookmarkStart w:id="222" w:name="_ENREF_5"/>
      <w:r>
        <w:rPr>
          <w:noProof/>
        </w:rPr>
        <w:t xml:space="preserve">ACT Government 2010a. </w:t>
      </w:r>
      <w:r w:rsidR="0065431C">
        <w:rPr>
          <w:noProof/>
        </w:rPr>
        <w:t>Utilities (Water Conserv</w:t>
      </w:r>
      <w:r>
        <w:rPr>
          <w:noProof/>
        </w:rPr>
        <w:t>ation) Declaration 2010 (No</w:t>
      </w:r>
      <w:r w:rsidR="00B95164">
        <w:rPr>
          <w:noProof/>
        </w:rPr>
        <w:t>.</w:t>
      </w:r>
      <w:r>
        <w:rPr>
          <w:noProof/>
        </w:rPr>
        <w:t xml:space="preserve"> 2).</w:t>
      </w:r>
      <w:r w:rsidR="00B95164">
        <w:rPr>
          <w:noProof/>
        </w:rPr>
        <w:t xml:space="preserve"> </w:t>
      </w:r>
      <w:r w:rsidR="0065431C">
        <w:rPr>
          <w:noProof/>
        </w:rPr>
        <w:t>Canberra: ACT Legislative Assembly.</w:t>
      </w:r>
      <w:bookmarkEnd w:id="222"/>
    </w:p>
    <w:p w:rsidR="0065431C" w:rsidRDefault="00733D0D" w:rsidP="0065431C">
      <w:pPr>
        <w:pStyle w:val="References"/>
        <w:rPr>
          <w:noProof/>
        </w:rPr>
      </w:pPr>
      <w:bookmarkStart w:id="223" w:name="_ENREF_6"/>
      <w:r>
        <w:rPr>
          <w:noProof/>
        </w:rPr>
        <w:t xml:space="preserve">ACT Government 2010b. </w:t>
      </w:r>
      <w:r w:rsidR="0065431C">
        <w:rPr>
          <w:noProof/>
        </w:rPr>
        <w:t>Utilities (Water Restriction</w:t>
      </w:r>
      <w:r>
        <w:rPr>
          <w:noProof/>
        </w:rPr>
        <w:t>s Scheme) Approval 2010 (No</w:t>
      </w:r>
      <w:r w:rsidR="004E4A2A">
        <w:rPr>
          <w:noProof/>
        </w:rPr>
        <w:t>. </w:t>
      </w:r>
      <w:r>
        <w:rPr>
          <w:noProof/>
        </w:rPr>
        <w:t>1).</w:t>
      </w:r>
      <w:r w:rsidR="0065431C">
        <w:rPr>
          <w:noProof/>
        </w:rPr>
        <w:t xml:space="preserve"> Canberra: ACT Legislative Assembly.</w:t>
      </w:r>
      <w:bookmarkEnd w:id="223"/>
    </w:p>
    <w:p w:rsidR="0065431C" w:rsidRDefault="00733D0D" w:rsidP="0065431C">
      <w:pPr>
        <w:pStyle w:val="References"/>
        <w:rPr>
          <w:noProof/>
        </w:rPr>
      </w:pPr>
      <w:bookmarkStart w:id="224" w:name="_ENREF_7"/>
      <w:r>
        <w:rPr>
          <w:noProof/>
        </w:rPr>
        <w:t xml:space="preserve">ACT Government 2010c. </w:t>
      </w:r>
      <w:r w:rsidR="0065431C">
        <w:rPr>
          <w:noProof/>
        </w:rPr>
        <w:t>Utilities Water Conse</w:t>
      </w:r>
      <w:r>
        <w:rPr>
          <w:noProof/>
        </w:rPr>
        <w:t>rvation Measures Approval 2010.</w:t>
      </w:r>
      <w:r w:rsidR="0065431C">
        <w:rPr>
          <w:noProof/>
        </w:rPr>
        <w:t xml:space="preserve"> Canberra: ACT Legislative Assembly.</w:t>
      </w:r>
      <w:bookmarkEnd w:id="224"/>
    </w:p>
    <w:p w:rsidR="0065431C" w:rsidRDefault="00733D0D" w:rsidP="0065431C">
      <w:pPr>
        <w:pStyle w:val="References"/>
        <w:rPr>
          <w:noProof/>
        </w:rPr>
      </w:pPr>
      <w:bookmarkStart w:id="225" w:name="_ENREF_8"/>
      <w:r>
        <w:rPr>
          <w:noProof/>
        </w:rPr>
        <w:t xml:space="preserve">ACT Government 2013. </w:t>
      </w:r>
      <w:r w:rsidR="0065431C" w:rsidRPr="00B95164">
        <w:rPr>
          <w:i/>
          <w:noProof/>
        </w:rPr>
        <w:t>Waterways: Water Sensi</w:t>
      </w:r>
      <w:r w:rsidR="00D2715C" w:rsidRPr="00B95164">
        <w:rPr>
          <w:i/>
          <w:noProof/>
        </w:rPr>
        <w:t xml:space="preserve">tive Urban Design Code Review – </w:t>
      </w:r>
      <w:r w:rsidR="0065431C" w:rsidRPr="00B95164">
        <w:rPr>
          <w:i/>
          <w:noProof/>
        </w:rPr>
        <w:t>Is</w:t>
      </w:r>
      <w:r w:rsidRPr="00B95164">
        <w:rPr>
          <w:i/>
          <w:noProof/>
        </w:rPr>
        <w:t>sues Paper</w:t>
      </w:r>
      <w:r>
        <w:rPr>
          <w:noProof/>
        </w:rPr>
        <w:t>.</w:t>
      </w:r>
      <w:r w:rsidR="0065431C">
        <w:rPr>
          <w:noProof/>
        </w:rPr>
        <w:t xml:space="preserve"> Canberra: Environment and Sustainable Development</w:t>
      </w:r>
      <w:r w:rsidR="00B95164">
        <w:rPr>
          <w:noProof/>
        </w:rPr>
        <w:t xml:space="preserve"> Directorate</w:t>
      </w:r>
      <w:r w:rsidR="0065431C">
        <w:rPr>
          <w:noProof/>
        </w:rPr>
        <w:t>.</w:t>
      </w:r>
      <w:bookmarkEnd w:id="225"/>
    </w:p>
    <w:p w:rsidR="0065431C" w:rsidRDefault="00733D0D" w:rsidP="0065431C">
      <w:pPr>
        <w:pStyle w:val="References"/>
        <w:rPr>
          <w:noProof/>
        </w:rPr>
      </w:pPr>
      <w:bookmarkStart w:id="226" w:name="_ENREF_9"/>
      <w:r>
        <w:rPr>
          <w:noProof/>
        </w:rPr>
        <w:t xml:space="preserve">ACT Government 2014a. </w:t>
      </w:r>
      <w:r w:rsidR="0065431C" w:rsidRPr="00B95164">
        <w:rPr>
          <w:i/>
          <w:noProof/>
        </w:rPr>
        <w:t>A</w:t>
      </w:r>
      <w:r w:rsidRPr="00B95164">
        <w:rPr>
          <w:i/>
          <w:noProof/>
        </w:rPr>
        <w:t>CT Population Projections 2013</w:t>
      </w:r>
      <w:r>
        <w:rPr>
          <w:noProof/>
        </w:rPr>
        <w:t>.</w:t>
      </w:r>
      <w:r w:rsidR="0065431C">
        <w:rPr>
          <w:noProof/>
        </w:rPr>
        <w:t xml:space="preserve"> Canberra: ACT Treasury.</w:t>
      </w:r>
      <w:bookmarkEnd w:id="226"/>
    </w:p>
    <w:p w:rsidR="0065431C" w:rsidRDefault="00733D0D" w:rsidP="0065431C">
      <w:pPr>
        <w:pStyle w:val="References"/>
        <w:rPr>
          <w:noProof/>
        </w:rPr>
      </w:pPr>
      <w:bookmarkStart w:id="227" w:name="_ENREF_10"/>
      <w:r>
        <w:rPr>
          <w:noProof/>
        </w:rPr>
        <w:t xml:space="preserve">ACT Government 2014b. </w:t>
      </w:r>
      <w:r w:rsidR="0065431C" w:rsidRPr="00B95164">
        <w:rPr>
          <w:i/>
          <w:noProof/>
        </w:rPr>
        <w:t xml:space="preserve">ACT </w:t>
      </w:r>
      <w:r w:rsidRPr="00B95164">
        <w:rPr>
          <w:i/>
          <w:noProof/>
        </w:rPr>
        <w:t>Water Abstraction Charge (WAC)</w:t>
      </w:r>
      <w:r>
        <w:rPr>
          <w:noProof/>
        </w:rPr>
        <w:t>.</w:t>
      </w:r>
      <w:r w:rsidR="0065431C">
        <w:rPr>
          <w:noProof/>
        </w:rPr>
        <w:t xml:space="preserve"> Canberra: Environment and Planning Directorate.</w:t>
      </w:r>
      <w:bookmarkEnd w:id="227"/>
    </w:p>
    <w:p w:rsidR="0065431C" w:rsidRDefault="00733D0D" w:rsidP="0065431C">
      <w:pPr>
        <w:pStyle w:val="References"/>
        <w:rPr>
          <w:noProof/>
        </w:rPr>
      </w:pPr>
      <w:bookmarkStart w:id="228" w:name="_ENREF_11"/>
      <w:r>
        <w:rPr>
          <w:noProof/>
        </w:rPr>
        <w:t xml:space="preserve">ACT Government 2014c. </w:t>
      </w:r>
      <w:r w:rsidR="0065431C" w:rsidRPr="00B95164">
        <w:rPr>
          <w:i/>
          <w:noProof/>
        </w:rPr>
        <w:t>ACT Water Strategy</w:t>
      </w:r>
      <w:r w:rsidR="004E4A2A" w:rsidRPr="00B95164">
        <w:rPr>
          <w:i/>
          <w:noProof/>
        </w:rPr>
        <w:t xml:space="preserve"> 2014–</w:t>
      </w:r>
      <w:r w:rsidRPr="00B95164">
        <w:rPr>
          <w:i/>
          <w:noProof/>
        </w:rPr>
        <w:t>44: Striking the Balance</w:t>
      </w:r>
      <w:r>
        <w:rPr>
          <w:noProof/>
        </w:rPr>
        <w:t>.</w:t>
      </w:r>
      <w:r w:rsidR="0065431C">
        <w:rPr>
          <w:noProof/>
        </w:rPr>
        <w:t xml:space="preserve"> Canberra: ACT Government.</w:t>
      </w:r>
      <w:bookmarkEnd w:id="228"/>
    </w:p>
    <w:p w:rsidR="0065431C" w:rsidRDefault="00733D0D" w:rsidP="0065431C">
      <w:pPr>
        <w:pStyle w:val="References"/>
        <w:rPr>
          <w:noProof/>
        </w:rPr>
      </w:pPr>
      <w:bookmarkStart w:id="229" w:name="_ENREF_12"/>
      <w:r>
        <w:rPr>
          <w:noProof/>
        </w:rPr>
        <w:t xml:space="preserve">ACT Government 2014d. </w:t>
      </w:r>
      <w:r w:rsidR="0065431C" w:rsidRPr="00B95164">
        <w:rPr>
          <w:i/>
          <w:noProof/>
        </w:rPr>
        <w:t xml:space="preserve">ACT Water Strategy </w:t>
      </w:r>
      <w:r w:rsidR="004C3798" w:rsidRPr="00B95164">
        <w:rPr>
          <w:i/>
          <w:noProof/>
        </w:rPr>
        <w:t>2014–</w:t>
      </w:r>
      <w:r w:rsidR="00D2715C" w:rsidRPr="00B95164">
        <w:rPr>
          <w:i/>
          <w:noProof/>
        </w:rPr>
        <w:t xml:space="preserve">44: Striking the Balance – </w:t>
      </w:r>
      <w:r w:rsidR="0065431C" w:rsidRPr="00B95164">
        <w:rPr>
          <w:i/>
          <w:noProof/>
        </w:rPr>
        <w:t>I</w:t>
      </w:r>
      <w:r w:rsidR="004E4A2A" w:rsidRPr="00B95164">
        <w:rPr>
          <w:i/>
          <w:noProof/>
        </w:rPr>
        <w:t>mplementation Plan 1 (2014–</w:t>
      </w:r>
      <w:r w:rsidRPr="00B95164">
        <w:rPr>
          <w:i/>
          <w:noProof/>
        </w:rPr>
        <w:t>18)</w:t>
      </w:r>
      <w:r w:rsidR="0065431C">
        <w:rPr>
          <w:noProof/>
        </w:rPr>
        <w:t>. Canberra: ACT Government.</w:t>
      </w:r>
      <w:bookmarkEnd w:id="229"/>
    </w:p>
    <w:p w:rsidR="0065431C" w:rsidRDefault="0065431C" w:rsidP="0065431C">
      <w:pPr>
        <w:pStyle w:val="References"/>
        <w:rPr>
          <w:noProof/>
        </w:rPr>
      </w:pPr>
      <w:bookmarkStart w:id="230" w:name="_ENREF_13"/>
      <w:r>
        <w:rPr>
          <w:noProof/>
        </w:rPr>
        <w:t>ACT Gover</w:t>
      </w:r>
      <w:r w:rsidR="00733D0D">
        <w:rPr>
          <w:noProof/>
        </w:rPr>
        <w:t xml:space="preserve">nment 2014e. </w:t>
      </w:r>
      <w:r w:rsidRPr="00B95164">
        <w:rPr>
          <w:i/>
          <w:noProof/>
        </w:rPr>
        <w:t>Water Sensitiv</w:t>
      </w:r>
      <w:r w:rsidR="00D2715C" w:rsidRPr="00B95164">
        <w:rPr>
          <w:i/>
          <w:noProof/>
        </w:rPr>
        <w:t>e U</w:t>
      </w:r>
      <w:r w:rsidR="003F3435">
        <w:rPr>
          <w:i/>
          <w:noProof/>
        </w:rPr>
        <w:t>rban Design:</w:t>
      </w:r>
      <w:r w:rsidR="00D2715C" w:rsidRPr="00B95164">
        <w:rPr>
          <w:i/>
          <w:noProof/>
        </w:rPr>
        <w:t xml:space="preserve"> </w:t>
      </w:r>
      <w:r w:rsidR="00733D0D" w:rsidRPr="00B95164">
        <w:rPr>
          <w:i/>
          <w:noProof/>
        </w:rPr>
        <w:t>Review Report</w:t>
      </w:r>
      <w:r w:rsidR="00733D0D">
        <w:rPr>
          <w:noProof/>
        </w:rPr>
        <w:t>.</w:t>
      </w:r>
      <w:r>
        <w:rPr>
          <w:noProof/>
        </w:rPr>
        <w:t xml:space="preserve"> Canberra: Environment and Sustainable Development</w:t>
      </w:r>
      <w:r w:rsidR="00B95164">
        <w:rPr>
          <w:noProof/>
        </w:rPr>
        <w:t xml:space="preserve"> Directorate</w:t>
      </w:r>
      <w:r>
        <w:rPr>
          <w:noProof/>
        </w:rPr>
        <w:t>.</w:t>
      </w:r>
      <w:bookmarkEnd w:id="230"/>
    </w:p>
    <w:p w:rsidR="0065431C" w:rsidRDefault="00733D0D" w:rsidP="0065431C">
      <w:pPr>
        <w:pStyle w:val="References"/>
        <w:rPr>
          <w:noProof/>
        </w:rPr>
      </w:pPr>
      <w:bookmarkStart w:id="231" w:name="_ENREF_14"/>
      <w:r>
        <w:rPr>
          <w:noProof/>
        </w:rPr>
        <w:t xml:space="preserve">ACT Government 2015a. </w:t>
      </w:r>
      <w:r w:rsidR="0065431C">
        <w:rPr>
          <w:noProof/>
        </w:rPr>
        <w:t>Government</w:t>
      </w:r>
      <w:r w:rsidR="00D2715C">
        <w:rPr>
          <w:noProof/>
        </w:rPr>
        <w:t xml:space="preserve"> Response to the Final Report – </w:t>
      </w:r>
      <w:r w:rsidR="0065431C">
        <w:rPr>
          <w:noProof/>
        </w:rPr>
        <w:t>Pricing of Regulated Water and Sewerage Services: Review of the Regulator</w:t>
      </w:r>
      <w:r>
        <w:rPr>
          <w:noProof/>
        </w:rPr>
        <w:t>y Framework (The Grant Review).</w:t>
      </w:r>
      <w:r w:rsidR="0065431C">
        <w:rPr>
          <w:noProof/>
        </w:rPr>
        <w:t xml:space="preserve"> Canberra: ACT Government.</w:t>
      </w:r>
      <w:bookmarkEnd w:id="231"/>
    </w:p>
    <w:p w:rsidR="0065431C" w:rsidRDefault="00733D0D" w:rsidP="0065431C">
      <w:pPr>
        <w:pStyle w:val="References"/>
        <w:rPr>
          <w:noProof/>
        </w:rPr>
      </w:pPr>
      <w:bookmarkStart w:id="232" w:name="_ENREF_15"/>
      <w:r>
        <w:rPr>
          <w:noProof/>
        </w:rPr>
        <w:t xml:space="preserve">ACT Government 2015b. </w:t>
      </w:r>
      <w:r w:rsidR="0065431C">
        <w:rPr>
          <w:noProof/>
        </w:rPr>
        <w:t>Water Resources (F</w:t>
      </w:r>
      <w:r>
        <w:rPr>
          <w:noProof/>
        </w:rPr>
        <w:t>ees) Determination 2015 (No</w:t>
      </w:r>
      <w:r w:rsidR="00B95164">
        <w:rPr>
          <w:noProof/>
        </w:rPr>
        <w:t>.</w:t>
      </w:r>
      <w:r>
        <w:rPr>
          <w:noProof/>
        </w:rPr>
        <w:t xml:space="preserve"> 1).</w:t>
      </w:r>
      <w:r w:rsidR="0065431C">
        <w:rPr>
          <w:noProof/>
        </w:rPr>
        <w:t xml:space="preserve"> Canberra: ACT Legislative Assembly.</w:t>
      </w:r>
      <w:bookmarkEnd w:id="232"/>
    </w:p>
    <w:p w:rsidR="0065431C" w:rsidRDefault="00733D0D" w:rsidP="0065431C">
      <w:pPr>
        <w:pStyle w:val="References"/>
        <w:rPr>
          <w:noProof/>
        </w:rPr>
      </w:pPr>
      <w:bookmarkStart w:id="233" w:name="_ENREF_16"/>
      <w:r>
        <w:rPr>
          <w:noProof/>
        </w:rPr>
        <w:t xml:space="preserve">ACTEW 2011. </w:t>
      </w:r>
      <w:r w:rsidR="0065431C">
        <w:rPr>
          <w:noProof/>
        </w:rPr>
        <w:t xml:space="preserve">ACTEW submission to Productivity </w:t>
      </w:r>
      <w:r>
        <w:rPr>
          <w:noProof/>
        </w:rPr>
        <w:t>Commission Inquiry.</w:t>
      </w:r>
      <w:r w:rsidR="0065431C">
        <w:rPr>
          <w:noProof/>
        </w:rPr>
        <w:t xml:space="preserve"> Canberra.</w:t>
      </w:r>
      <w:bookmarkEnd w:id="233"/>
    </w:p>
    <w:p w:rsidR="0065431C" w:rsidRDefault="00733D0D" w:rsidP="0065431C">
      <w:pPr>
        <w:pStyle w:val="References"/>
        <w:rPr>
          <w:noProof/>
        </w:rPr>
      </w:pPr>
      <w:bookmarkStart w:id="234" w:name="_ENREF_17"/>
      <w:r>
        <w:rPr>
          <w:noProof/>
        </w:rPr>
        <w:t xml:space="preserve">AEMC 2013. </w:t>
      </w:r>
      <w:r w:rsidR="0014180E" w:rsidRPr="0014180E">
        <w:rPr>
          <w:i/>
          <w:noProof/>
        </w:rPr>
        <w:t>Advice on Best Practice R</w:t>
      </w:r>
      <w:r w:rsidR="0065431C" w:rsidRPr="0014180E">
        <w:rPr>
          <w:i/>
          <w:noProof/>
        </w:rPr>
        <w:t xml:space="preserve">etail </w:t>
      </w:r>
      <w:r w:rsidR="0014180E" w:rsidRPr="0014180E">
        <w:rPr>
          <w:i/>
          <w:noProof/>
        </w:rPr>
        <w:t>P</w:t>
      </w:r>
      <w:r w:rsidR="00D2715C" w:rsidRPr="0014180E">
        <w:rPr>
          <w:i/>
          <w:noProof/>
        </w:rPr>
        <w:t>r</w:t>
      </w:r>
      <w:r w:rsidR="0014180E" w:rsidRPr="0014180E">
        <w:rPr>
          <w:i/>
          <w:noProof/>
        </w:rPr>
        <w:t>ice M</w:t>
      </w:r>
      <w:r w:rsidR="003F3435">
        <w:rPr>
          <w:i/>
          <w:noProof/>
        </w:rPr>
        <w:t>ethodology:</w:t>
      </w:r>
      <w:r w:rsidR="00D2715C" w:rsidRPr="0014180E">
        <w:rPr>
          <w:i/>
          <w:noProof/>
        </w:rPr>
        <w:t xml:space="preserve"> </w:t>
      </w:r>
      <w:r w:rsidR="0014180E" w:rsidRPr="0014180E">
        <w:rPr>
          <w:i/>
          <w:noProof/>
        </w:rPr>
        <w:t>Final R</w:t>
      </w:r>
      <w:r w:rsidRPr="0014180E">
        <w:rPr>
          <w:i/>
          <w:noProof/>
        </w:rPr>
        <w:t>eport</w:t>
      </w:r>
      <w:r>
        <w:rPr>
          <w:noProof/>
        </w:rPr>
        <w:t>.</w:t>
      </w:r>
      <w:r w:rsidR="0065431C">
        <w:rPr>
          <w:noProof/>
        </w:rPr>
        <w:t xml:space="preserve"> Sydney: Australian Energy Market Commission.</w:t>
      </w:r>
      <w:bookmarkEnd w:id="234"/>
    </w:p>
    <w:p w:rsidR="0065431C" w:rsidRDefault="00733D0D" w:rsidP="0065431C">
      <w:pPr>
        <w:pStyle w:val="References"/>
        <w:rPr>
          <w:noProof/>
        </w:rPr>
      </w:pPr>
      <w:bookmarkStart w:id="235" w:name="_ENREF_18"/>
      <w:r>
        <w:rPr>
          <w:noProof/>
        </w:rPr>
        <w:t xml:space="preserve">AEMC 2014. </w:t>
      </w:r>
      <w:r w:rsidR="0065431C">
        <w:rPr>
          <w:noProof/>
        </w:rPr>
        <w:t>Rule Determination: National Electricity Amendment (Distribution Network Pricing Arrangemen</w:t>
      </w:r>
      <w:r>
        <w:rPr>
          <w:noProof/>
        </w:rPr>
        <w:t>ts) Rule 2014.</w:t>
      </w:r>
      <w:r w:rsidR="0065431C">
        <w:rPr>
          <w:noProof/>
        </w:rPr>
        <w:t xml:space="preserve"> Sydney: Australian Energy Market Commission.</w:t>
      </w:r>
      <w:bookmarkEnd w:id="235"/>
    </w:p>
    <w:p w:rsidR="0065431C" w:rsidRDefault="0065431C" w:rsidP="0065431C">
      <w:pPr>
        <w:pStyle w:val="References"/>
        <w:rPr>
          <w:noProof/>
        </w:rPr>
      </w:pPr>
      <w:bookmarkStart w:id="236" w:name="_ENREF_19"/>
      <w:r>
        <w:rPr>
          <w:noProof/>
        </w:rPr>
        <w:t>An</w:t>
      </w:r>
      <w:r w:rsidR="00733D0D">
        <w:rPr>
          <w:noProof/>
        </w:rPr>
        <w:t xml:space="preserve">dersson, R and Bohman, M 1985. </w:t>
      </w:r>
      <w:r w:rsidR="0014180E">
        <w:rPr>
          <w:noProof/>
        </w:rPr>
        <w:t>‘</w:t>
      </w:r>
      <w:r>
        <w:rPr>
          <w:noProof/>
        </w:rPr>
        <w:t>Short- and long-run marginal cost pricing</w:t>
      </w:r>
      <w:r w:rsidR="00733D0D">
        <w:rPr>
          <w:noProof/>
        </w:rPr>
        <w:t>: On their alleged equivalence</w:t>
      </w:r>
      <w:r w:rsidR="0014180E">
        <w:rPr>
          <w:noProof/>
        </w:rPr>
        <w:t>’</w:t>
      </w:r>
      <w:r w:rsidR="00733D0D">
        <w:rPr>
          <w:noProof/>
        </w:rPr>
        <w:t>.</w:t>
      </w:r>
      <w:r>
        <w:rPr>
          <w:noProof/>
        </w:rPr>
        <w:t xml:space="preserve"> </w:t>
      </w:r>
      <w:r w:rsidRPr="00B55183">
        <w:rPr>
          <w:i/>
          <w:noProof/>
        </w:rPr>
        <w:t>Energy Economics</w:t>
      </w:r>
      <w:r w:rsidR="00733D0D">
        <w:rPr>
          <w:noProof/>
        </w:rPr>
        <w:t>. 7, 279–</w:t>
      </w:r>
      <w:r>
        <w:rPr>
          <w:noProof/>
        </w:rPr>
        <w:t>288.</w:t>
      </w:r>
      <w:bookmarkEnd w:id="236"/>
    </w:p>
    <w:p w:rsidR="0065431C" w:rsidRDefault="0065431C" w:rsidP="0065431C">
      <w:pPr>
        <w:pStyle w:val="References"/>
        <w:rPr>
          <w:noProof/>
        </w:rPr>
      </w:pPr>
      <w:bookmarkStart w:id="237" w:name="_ENREF_20"/>
      <w:r>
        <w:rPr>
          <w:noProof/>
        </w:rPr>
        <w:t>Bau</w:t>
      </w:r>
      <w:r w:rsidR="00733D0D">
        <w:rPr>
          <w:noProof/>
        </w:rPr>
        <w:t xml:space="preserve">mol, WJ and Bradford, DF 1970. </w:t>
      </w:r>
      <w:r w:rsidR="0014180E">
        <w:rPr>
          <w:noProof/>
        </w:rPr>
        <w:t>‘Optimal departures f</w:t>
      </w:r>
      <w:r>
        <w:rPr>
          <w:noProof/>
        </w:rPr>
        <w:t>ro</w:t>
      </w:r>
      <w:r w:rsidR="0014180E">
        <w:rPr>
          <w:noProof/>
        </w:rPr>
        <w:t>m marginal c</w:t>
      </w:r>
      <w:r w:rsidR="00733D0D">
        <w:rPr>
          <w:noProof/>
        </w:rPr>
        <w:t xml:space="preserve">ost </w:t>
      </w:r>
      <w:r w:rsidR="0014180E">
        <w:rPr>
          <w:noProof/>
        </w:rPr>
        <w:t>p</w:t>
      </w:r>
      <w:r w:rsidR="00733D0D">
        <w:rPr>
          <w:noProof/>
        </w:rPr>
        <w:t>ricing</w:t>
      </w:r>
      <w:r w:rsidR="0014180E">
        <w:rPr>
          <w:noProof/>
        </w:rPr>
        <w:t>’</w:t>
      </w:r>
      <w:r w:rsidR="00733D0D">
        <w:rPr>
          <w:noProof/>
        </w:rPr>
        <w:t>.</w:t>
      </w:r>
      <w:r>
        <w:rPr>
          <w:noProof/>
        </w:rPr>
        <w:t xml:space="preserve"> </w:t>
      </w:r>
      <w:r w:rsidRPr="00B55183">
        <w:rPr>
          <w:i/>
          <w:noProof/>
        </w:rPr>
        <w:t>The American Economic Review</w:t>
      </w:r>
      <w:r w:rsidR="00733D0D">
        <w:rPr>
          <w:noProof/>
        </w:rPr>
        <w:t>. 60, 265–</w:t>
      </w:r>
      <w:r>
        <w:rPr>
          <w:noProof/>
        </w:rPr>
        <w:t>283.</w:t>
      </w:r>
      <w:bookmarkEnd w:id="237"/>
    </w:p>
    <w:p w:rsidR="0065431C" w:rsidRDefault="0065431C" w:rsidP="0065431C">
      <w:pPr>
        <w:pStyle w:val="References"/>
        <w:rPr>
          <w:noProof/>
        </w:rPr>
      </w:pPr>
      <w:bookmarkStart w:id="238" w:name="_ENREF_21"/>
      <w:r>
        <w:rPr>
          <w:noProof/>
        </w:rPr>
        <w:t>Boite</w:t>
      </w:r>
      <w:r w:rsidR="00733D0D">
        <w:rPr>
          <w:noProof/>
        </w:rPr>
        <w:t xml:space="preserve">ux, M 1960. </w:t>
      </w:r>
      <w:r w:rsidR="0014180E">
        <w:rPr>
          <w:noProof/>
        </w:rPr>
        <w:t>‘Peak-load p</w:t>
      </w:r>
      <w:r w:rsidR="00733D0D">
        <w:rPr>
          <w:noProof/>
        </w:rPr>
        <w:t>ricing</w:t>
      </w:r>
      <w:r w:rsidR="0014180E">
        <w:rPr>
          <w:noProof/>
        </w:rPr>
        <w:t>’</w:t>
      </w:r>
      <w:r w:rsidR="00733D0D">
        <w:rPr>
          <w:noProof/>
        </w:rPr>
        <w:t>.</w:t>
      </w:r>
      <w:r>
        <w:rPr>
          <w:noProof/>
        </w:rPr>
        <w:t xml:space="preserve"> </w:t>
      </w:r>
      <w:r w:rsidRPr="00B55183">
        <w:rPr>
          <w:i/>
          <w:noProof/>
        </w:rPr>
        <w:t>The Journal of Business</w:t>
      </w:r>
      <w:r w:rsidR="00733D0D">
        <w:rPr>
          <w:noProof/>
        </w:rPr>
        <w:t>. 33, 157–</w:t>
      </w:r>
      <w:r>
        <w:rPr>
          <w:noProof/>
        </w:rPr>
        <w:t>179.</w:t>
      </w:r>
      <w:bookmarkEnd w:id="238"/>
    </w:p>
    <w:p w:rsidR="0065431C" w:rsidRDefault="00733D0D" w:rsidP="0065431C">
      <w:pPr>
        <w:pStyle w:val="References"/>
        <w:rPr>
          <w:noProof/>
        </w:rPr>
      </w:pPr>
      <w:bookmarkStart w:id="239" w:name="_ENREF_22"/>
      <w:r>
        <w:rPr>
          <w:noProof/>
        </w:rPr>
        <w:t xml:space="preserve">Borenstein, S 2009. </w:t>
      </w:r>
      <w:r w:rsidR="00784A94">
        <w:rPr>
          <w:noProof/>
        </w:rPr>
        <w:t>‘To what electricity price do consumers r</w:t>
      </w:r>
      <w:r w:rsidR="0065431C">
        <w:rPr>
          <w:noProof/>
        </w:rPr>
        <w:t>espond?</w:t>
      </w:r>
      <w:r>
        <w:rPr>
          <w:noProof/>
        </w:rPr>
        <w:t xml:space="preserve"> </w:t>
      </w:r>
      <w:r w:rsidR="00784A94">
        <w:rPr>
          <w:noProof/>
        </w:rPr>
        <w:t>Residential demand elasticity under increasing-block p</w:t>
      </w:r>
      <w:r w:rsidR="0065431C">
        <w:rPr>
          <w:noProof/>
        </w:rPr>
        <w:t>ricing</w:t>
      </w:r>
      <w:r w:rsidR="00784A94">
        <w:rPr>
          <w:noProof/>
        </w:rPr>
        <w:t>’</w:t>
      </w:r>
      <w:r w:rsidR="0065431C">
        <w:rPr>
          <w:noProof/>
        </w:rPr>
        <w:t>.</w:t>
      </w:r>
      <w:bookmarkEnd w:id="239"/>
      <w:r w:rsidR="00784A94">
        <w:rPr>
          <w:noProof/>
        </w:rPr>
        <w:t xml:space="preserve"> Draft, available at </w:t>
      </w:r>
      <w:r w:rsidR="00784A94" w:rsidRPr="00784A94">
        <w:rPr>
          <w:noProof/>
        </w:rPr>
        <w:t>http://faculty.haas.berkeley.edu/borenste/download/NBER_SI_2009.pdf</w:t>
      </w:r>
      <w:r w:rsidR="00784A94">
        <w:rPr>
          <w:noProof/>
        </w:rPr>
        <w:t>.</w:t>
      </w:r>
    </w:p>
    <w:p w:rsidR="0065431C" w:rsidRDefault="0065431C" w:rsidP="0065431C">
      <w:pPr>
        <w:pStyle w:val="References"/>
        <w:rPr>
          <w:noProof/>
        </w:rPr>
      </w:pPr>
      <w:bookmarkStart w:id="240" w:name="_ENREF_23"/>
      <w:r>
        <w:rPr>
          <w:noProof/>
        </w:rPr>
        <w:t xml:space="preserve">Brown, DJ, </w:t>
      </w:r>
      <w:r w:rsidR="00733D0D">
        <w:rPr>
          <w:noProof/>
        </w:rPr>
        <w:t xml:space="preserve">Heller, WP and Starr, RM 1992. </w:t>
      </w:r>
      <w:r w:rsidR="00784A94">
        <w:rPr>
          <w:noProof/>
        </w:rPr>
        <w:t>‘</w:t>
      </w:r>
      <w:r>
        <w:rPr>
          <w:noProof/>
        </w:rPr>
        <w:t>Two-part marginal cost pricing equili</w:t>
      </w:r>
      <w:r w:rsidR="00733D0D">
        <w:rPr>
          <w:noProof/>
        </w:rPr>
        <w:t>bria: Existence and efficiency</w:t>
      </w:r>
      <w:r w:rsidR="00784A94">
        <w:rPr>
          <w:noProof/>
        </w:rPr>
        <w:t>’</w:t>
      </w:r>
      <w:r w:rsidR="00733D0D">
        <w:rPr>
          <w:noProof/>
        </w:rPr>
        <w:t>.</w:t>
      </w:r>
      <w:r>
        <w:rPr>
          <w:noProof/>
        </w:rPr>
        <w:t xml:space="preserve"> </w:t>
      </w:r>
      <w:r w:rsidRPr="00B55183">
        <w:rPr>
          <w:i/>
          <w:noProof/>
        </w:rPr>
        <w:t>Journal of Economic Theory</w:t>
      </w:r>
      <w:r w:rsidR="00733D0D">
        <w:rPr>
          <w:noProof/>
        </w:rPr>
        <w:t>. 57, 52–</w:t>
      </w:r>
      <w:r>
        <w:rPr>
          <w:noProof/>
        </w:rPr>
        <w:t>72.</w:t>
      </w:r>
      <w:bookmarkEnd w:id="240"/>
    </w:p>
    <w:p w:rsidR="0065431C" w:rsidRDefault="00784A94" w:rsidP="0065431C">
      <w:pPr>
        <w:pStyle w:val="References"/>
        <w:rPr>
          <w:noProof/>
        </w:rPr>
      </w:pPr>
      <w:bookmarkStart w:id="241" w:name="_ENREF_24"/>
      <w:r>
        <w:rPr>
          <w:noProof/>
        </w:rPr>
        <w:t xml:space="preserve">City West Water 2015a. </w:t>
      </w:r>
      <w:r w:rsidRPr="00784A94">
        <w:rPr>
          <w:i/>
          <w:noProof/>
        </w:rPr>
        <w:t>2015–16 Pricing H</w:t>
      </w:r>
      <w:r w:rsidR="00733D0D" w:rsidRPr="00784A94">
        <w:rPr>
          <w:i/>
          <w:noProof/>
        </w:rPr>
        <w:t>andbook</w:t>
      </w:r>
      <w:r w:rsidR="00733D0D">
        <w:rPr>
          <w:noProof/>
        </w:rPr>
        <w:t>.</w:t>
      </w:r>
      <w:r w:rsidR="0065431C">
        <w:rPr>
          <w:noProof/>
        </w:rPr>
        <w:t xml:space="preserve"> Melbourne: City West Water.</w:t>
      </w:r>
      <w:bookmarkEnd w:id="241"/>
    </w:p>
    <w:p w:rsidR="0065431C" w:rsidRDefault="0065431C" w:rsidP="0065431C">
      <w:pPr>
        <w:pStyle w:val="References"/>
        <w:rPr>
          <w:noProof/>
        </w:rPr>
      </w:pPr>
      <w:bookmarkStart w:id="242" w:name="_ENREF_25"/>
      <w:r>
        <w:rPr>
          <w:noProof/>
        </w:rPr>
        <w:t xml:space="preserve">City </w:t>
      </w:r>
      <w:r w:rsidR="00784A94">
        <w:rPr>
          <w:noProof/>
        </w:rPr>
        <w:t xml:space="preserve">West Water 2015b. </w:t>
      </w:r>
      <w:r w:rsidR="00784A94" w:rsidRPr="00784A94">
        <w:rPr>
          <w:i/>
          <w:noProof/>
        </w:rPr>
        <w:t>Land Development M</w:t>
      </w:r>
      <w:r w:rsidR="00733D0D" w:rsidRPr="00784A94">
        <w:rPr>
          <w:i/>
          <w:noProof/>
        </w:rPr>
        <w:t>anual</w:t>
      </w:r>
      <w:r w:rsidR="00733D0D">
        <w:rPr>
          <w:noProof/>
        </w:rPr>
        <w:t>.</w:t>
      </w:r>
      <w:r>
        <w:rPr>
          <w:noProof/>
        </w:rPr>
        <w:t xml:space="preserve"> Melbourne: City West Water.</w:t>
      </w:r>
      <w:bookmarkEnd w:id="242"/>
    </w:p>
    <w:p w:rsidR="0065431C" w:rsidRDefault="00733D0D" w:rsidP="0065431C">
      <w:pPr>
        <w:pStyle w:val="References"/>
        <w:rPr>
          <w:noProof/>
        </w:rPr>
      </w:pPr>
      <w:bookmarkStart w:id="243" w:name="_ENREF_26"/>
      <w:r>
        <w:rPr>
          <w:noProof/>
        </w:rPr>
        <w:t xml:space="preserve">COAG 2004. </w:t>
      </w:r>
      <w:r w:rsidR="0065431C">
        <w:rPr>
          <w:noProof/>
        </w:rPr>
        <w:t xml:space="preserve">Intergovernmental Agreement </w:t>
      </w:r>
      <w:r>
        <w:rPr>
          <w:noProof/>
        </w:rPr>
        <w:t>on a National Water Initiative.</w:t>
      </w:r>
      <w:r w:rsidR="0065431C">
        <w:rPr>
          <w:noProof/>
        </w:rPr>
        <w:t xml:space="preserve"> Canberra: Council of Australian Governments.</w:t>
      </w:r>
      <w:bookmarkEnd w:id="243"/>
    </w:p>
    <w:p w:rsidR="0065431C" w:rsidRDefault="00784A94" w:rsidP="0065431C">
      <w:pPr>
        <w:pStyle w:val="References"/>
        <w:rPr>
          <w:noProof/>
        </w:rPr>
      </w:pPr>
      <w:bookmarkStart w:id="244" w:name="_ENREF_27"/>
      <w:r>
        <w:rPr>
          <w:noProof/>
        </w:rPr>
        <w:t>Coase, RH 1946. ‘Marginal cost c</w:t>
      </w:r>
      <w:r w:rsidR="00733D0D">
        <w:rPr>
          <w:noProof/>
        </w:rPr>
        <w:t>ontroversy</w:t>
      </w:r>
      <w:r>
        <w:rPr>
          <w:noProof/>
        </w:rPr>
        <w:t>’</w:t>
      </w:r>
      <w:r w:rsidR="00733D0D">
        <w:rPr>
          <w:noProof/>
        </w:rPr>
        <w:t>.</w:t>
      </w:r>
      <w:r w:rsidR="0065431C">
        <w:rPr>
          <w:noProof/>
        </w:rPr>
        <w:t xml:space="preserve"> </w:t>
      </w:r>
      <w:r w:rsidR="0065431C" w:rsidRPr="00B55183">
        <w:rPr>
          <w:i/>
          <w:noProof/>
        </w:rPr>
        <w:t>Economica</w:t>
      </w:r>
      <w:r w:rsidR="0065431C">
        <w:rPr>
          <w:noProof/>
        </w:rPr>
        <w:t>. 13, 1</w:t>
      </w:r>
      <w:r w:rsidR="00733D0D">
        <w:rPr>
          <w:noProof/>
        </w:rPr>
        <w:t>69–</w:t>
      </w:r>
      <w:r w:rsidR="0065431C">
        <w:rPr>
          <w:noProof/>
        </w:rPr>
        <w:t>182.</w:t>
      </w:r>
      <w:bookmarkEnd w:id="244"/>
    </w:p>
    <w:p w:rsidR="0065431C" w:rsidRDefault="0065431C" w:rsidP="0065431C">
      <w:pPr>
        <w:pStyle w:val="References"/>
        <w:rPr>
          <w:noProof/>
        </w:rPr>
      </w:pPr>
      <w:bookmarkStart w:id="245" w:name="_ENREF_28"/>
      <w:r>
        <w:rPr>
          <w:noProof/>
        </w:rPr>
        <w:t>C</w:t>
      </w:r>
      <w:r w:rsidR="00733D0D">
        <w:rPr>
          <w:noProof/>
        </w:rPr>
        <w:t>ommonwealth of Australia 2012. Basin Plan.</w:t>
      </w:r>
      <w:r>
        <w:rPr>
          <w:noProof/>
        </w:rPr>
        <w:t xml:space="preserve"> Canberra: Australian Government.</w:t>
      </w:r>
      <w:bookmarkEnd w:id="245"/>
    </w:p>
    <w:p w:rsidR="0065431C" w:rsidRDefault="0065431C" w:rsidP="0065431C">
      <w:pPr>
        <w:pStyle w:val="References"/>
        <w:rPr>
          <w:noProof/>
        </w:rPr>
      </w:pPr>
      <w:bookmarkStart w:id="246" w:name="_ENREF_29"/>
      <w:r>
        <w:rPr>
          <w:noProof/>
        </w:rPr>
        <w:t xml:space="preserve">Dalhuisen, JM, Florax, RJ, De </w:t>
      </w:r>
      <w:r w:rsidR="00733D0D">
        <w:rPr>
          <w:noProof/>
        </w:rPr>
        <w:t xml:space="preserve">Groot, HL and Nijkamp, P 2001. </w:t>
      </w:r>
      <w:r w:rsidR="00784A94">
        <w:rPr>
          <w:noProof/>
        </w:rPr>
        <w:t>‘</w:t>
      </w:r>
      <w:r>
        <w:rPr>
          <w:noProof/>
        </w:rPr>
        <w:t>Price and income elasticities of residential water demand: Why empiric</w:t>
      </w:r>
      <w:r w:rsidR="00733D0D">
        <w:rPr>
          <w:noProof/>
        </w:rPr>
        <w:t>al estimates differ</w:t>
      </w:r>
      <w:r w:rsidR="00784A94">
        <w:rPr>
          <w:noProof/>
        </w:rPr>
        <w:t>’</w:t>
      </w:r>
      <w:r w:rsidR="00733D0D">
        <w:rPr>
          <w:noProof/>
        </w:rPr>
        <w:t>.</w:t>
      </w:r>
      <w:r>
        <w:rPr>
          <w:noProof/>
        </w:rPr>
        <w:t xml:space="preserve"> </w:t>
      </w:r>
      <w:r w:rsidR="00784A94">
        <w:rPr>
          <w:noProof/>
        </w:rPr>
        <w:t xml:space="preserve">Discussion paper. </w:t>
      </w:r>
      <w:r>
        <w:rPr>
          <w:noProof/>
        </w:rPr>
        <w:t>Amsterdam: Tinbergen Institute.</w:t>
      </w:r>
      <w:bookmarkEnd w:id="246"/>
    </w:p>
    <w:p w:rsidR="0065431C" w:rsidRDefault="00733D0D" w:rsidP="0065431C">
      <w:pPr>
        <w:pStyle w:val="References"/>
        <w:rPr>
          <w:noProof/>
        </w:rPr>
      </w:pPr>
      <w:bookmarkStart w:id="247" w:name="_ENREF_30"/>
      <w:r>
        <w:rPr>
          <w:noProof/>
        </w:rPr>
        <w:t xml:space="preserve">Della Valle, AP 1988. </w:t>
      </w:r>
      <w:r w:rsidR="00784A94">
        <w:rPr>
          <w:noProof/>
        </w:rPr>
        <w:t>‘</w:t>
      </w:r>
      <w:r w:rsidR="0065431C">
        <w:rPr>
          <w:noProof/>
        </w:rPr>
        <w:t xml:space="preserve">Short-run versus </w:t>
      </w:r>
      <w:r>
        <w:rPr>
          <w:noProof/>
        </w:rPr>
        <w:t>long-run marginal cost pricing</w:t>
      </w:r>
      <w:r w:rsidR="00784A94">
        <w:rPr>
          <w:noProof/>
        </w:rPr>
        <w:t>’</w:t>
      </w:r>
      <w:r>
        <w:rPr>
          <w:noProof/>
        </w:rPr>
        <w:t>.</w:t>
      </w:r>
      <w:r w:rsidR="0065431C">
        <w:rPr>
          <w:noProof/>
        </w:rPr>
        <w:t xml:space="preserve"> </w:t>
      </w:r>
      <w:r w:rsidR="0065431C" w:rsidRPr="00B55183">
        <w:rPr>
          <w:i/>
          <w:noProof/>
        </w:rPr>
        <w:t>Energy Economics</w:t>
      </w:r>
      <w:r w:rsidR="00784A94">
        <w:rPr>
          <w:noProof/>
        </w:rPr>
        <w:t>. 10, 283–</w:t>
      </w:r>
      <w:r w:rsidR="0065431C">
        <w:rPr>
          <w:noProof/>
        </w:rPr>
        <w:t>286.</w:t>
      </w:r>
      <w:bookmarkEnd w:id="247"/>
    </w:p>
    <w:p w:rsidR="0065431C" w:rsidRDefault="00733D0D" w:rsidP="0065431C">
      <w:pPr>
        <w:pStyle w:val="References"/>
        <w:rPr>
          <w:noProof/>
        </w:rPr>
      </w:pPr>
      <w:bookmarkStart w:id="248" w:name="_ENREF_31"/>
      <w:r>
        <w:rPr>
          <w:noProof/>
        </w:rPr>
        <w:t xml:space="preserve">Dwyer, T 2006. </w:t>
      </w:r>
      <w:r w:rsidR="00784A94">
        <w:rPr>
          <w:noProof/>
        </w:rPr>
        <w:t>‘Urban w</w:t>
      </w:r>
      <w:r w:rsidR="0065431C">
        <w:rPr>
          <w:noProof/>
        </w:rPr>
        <w:t>ate</w:t>
      </w:r>
      <w:r w:rsidR="00784A94">
        <w:rPr>
          <w:noProof/>
        </w:rPr>
        <w:t>r policy: In need of e</w:t>
      </w:r>
      <w:r>
        <w:rPr>
          <w:noProof/>
        </w:rPr>
        <w:t>conomics</w:t>
      </w:r>
      <w:r w:rsidR="00784A94">
        <w:rPr>
          <w:noProof/>
        </w:rPr>
        <w:t>’</w:t>
      </w:r>
      <w:r>
        <w:rPr>
          <w:noProof/>
        </w:rPr>
        <w:t>.</w:t>
      </w:r>
      <w:r w:rsidR="0065431C">
        <w:rPr>
          <w:noProof/>
        </w:rPr>
        <w:t xml:space="preserve"> </w:t>
      </w:r>
      <w:r w:rsidR="0065431C" w:rsidRPr="00B55183">
        <w:rPr>
          <w:i/>
          <w:noProof/>
        </w:rPr>
        <w:t>Agenda</w:t>
      </w:r>
      <w:r>
        <w:rPr>
          <w:noProof/>
        </w:rPr>
        <w:t>. 13, 3–</w:t>
      </w:r>
      <w:r w:rsidR="0065431C">
        <w:rPr>
          <w:noProof/>
        </w:rPr>
        <w:t>16.</w:t>
      </w:r>
      <w:bookmarkEnd w:id="248"/>
    </w:p>
    <w:p w:rsidR="0065431C" w:rsidRDefault="00784A94" w:rsidP="0065431C">
      <w:pPr>
        <w:pStyle w:val="References"/>
        <w:rPr>
          <w:noProof/>
        </w:rPr>
      </w:pPr>
      <w:bookmarkStart w:id="249" w:name="_ENREF_32"/>
      <w:r>
        <w:rPr>
          <w:noProof/>
        </w:rPr>
        <w:t>ESC 2011a.</w:t>
      </w:r>
      <w:r w:rsidR="00733D0D">
        <w:rPr>
          <w:noProof/>
        </w:rPr>
        <w:t xml:space="preserve"> </w:t>
      </w:r>
      <w:r w:rsidR="0065431C" w:rsidRPr="00784A94">
        <w:rPr>
          <w:i/>
          <w:noProof/>
        </w:rPr>
        <w:t>2013 Water Price R</w:t>
      </w:r>
      <w:r w:rsidR="00733D0D" w:rsidRPr="00784A94">
        <w:rPr>
          <w:i/>
          <w:noProof/>
        </w:rPr>
        <w:t>eview: Guidance on Water Plans</w:t>
      </w:r>
      <w:r w:rsidR="00733D0D">
        <w:rPr>
          <w:noProof/>
        </w:rPr>
        <w:t>.</w:t>
      </w:r>
      <w:r w:rsidR="0065431C">
        <w:rPr>
          <w:noProof/>
        </w:rPr>
        <w:t xml:space="preserve"> Melbourne: Essential Services Commission.</w:t>
      </w:r>
      <w:bookmarkEnd w:id="249"/>
    </w:p>
    <w:p w:rsidR="0065431C" w:rsidRDefault="00733D0D" w:rsidP="0065431C">
      <w:pPr>
        <w:pStyle w:val="References"/>
        <w:rPr>
          <w:noProof/>
        </w:rPr>
      </w:pPr>
      <w:bookmarkStart w:id="250" w:name="_ENREF_33"/>
      <w:r>
        <w:rPr>
          <w:noProof/>
        </w:rPr>
        <w:t xml:space="preserve">ESC 2011b. </w:t>
      </w:r>
      <w:r w:rsidR="0065431C" w:rsidRPr="00784A94">
        <w:rPr>
          <w:i/>
          <w:noProof/>
        </w:rPr>
        <w:t>2013 Water Pri</w:t>
      </w:r>
      <w:r w:rsidR="00784A94" w:rsidRPr="00784A94">
        <w:rPr>
          <w:i/>
          <w:noProof/>
        </w:rPr>
        <w:t>ce Review: Tariff Issues P</w:t>
      </w:r>
      <w:r w:rsidRPr="00784A94">
        <w:rPr>
          <w:i/>
          <w:noProof/>
        </w:rPr>
        <w:t>aper</w:t>
      </w:r>
      <w:r>
        <w:rPr>
          <w:noProof/>
        </w:rPr>
        <w:t>.</w:t>
      </w:r>
      <w:r w:rsidR="0065431C">
        <w:rPr>
          <w:noProof/>
        </w:rPr>
        <w:t xml:space="preserve"> Melbourne: Essential Services Commission.</w:t>
      </w:r>
      <w:bookmarkEnd w:id="250"/>
    </w:p>
    <w:p w:rsidR="0065431C" w:rsidRDefault="00733D0D" w:rsidP="0065431C">
      <w:pPr>
        <w:pStyle w:val="References"/>
        <w:rPr>
          <w:noProof/>
        </w:rPr>
      </w:pPr>
      <w:bookmarkStart w:id="251" w:name="_ENREF_34"/>
      <w:r>
        <w:rPr>
          <w:noProof/>
        </w:rPr>
        <w:t xml:space="preserve">Frontier Economics 2008. </w:t>
      </w:r>
      <w:r w:rsidR="00BE6A61" w:rsidRPr="00BE6A61">
        <w:rPr>
          <w:i/>
          <w:noProof/>
        </w:rPr>
        <w:t>Approaches to Urban Water P</w:t>
      </w:r>
      <w:r w:rsidR="0065431C" w:rsidRPr="00BE6A61">
        <w:rPr>
          <w:i/>
          <w:noProof/>
        </w:rPr>
        <w:t>ricing: Frontier E</w:t>
      </w:r>
      <w:r w:rsidRPr="00BE6A61">
        <w:rPr>
          <w:i/>
          <w:noProof/>
        </w:rPr>
        <w:t>conomics</w:t>
      </w:r>
      <w:r>
        <w:rPr>
          <w:noProof/>
        </w:rPr>
        <w:t>.</w:t>
      </w:r>
      <w:r w:rsidR="0065431C">
        <w:rPr>
          <w:noProof/>
        </w:rPr>
        <w:t xml:space="preserve"> Canberra: National Water Commission.</w:t>
      </w:r>
      <w:bookmarkEnd w:id="251"/>
    </w:p>
    <w:p w:rsidR="0065431C" w:rsidRDefault="00733D0D" w:rsidP="0065431C">
      <w:pPr>
        <w:pStyle w:val="References"/>
        <w:rPr>
          <w:noProof/>
        </w:rPr>
      </w:pPr>
      <w:bookmarkStart w:id="252" w:name="_ENREF_35"/>
      <w:r>
        <w:rPr>
          <w:noProof/>
        </w:rPr>
        <w:t xml:space="preserve">Gotora, G 2012. </w:t>
      </w:r>
      <w:r w:rsidR="00BE6A61">
        <w:rPr>
          <w:noProof/>
        </w:rPr>
        <w:t>‘</w:t>
      </w:r>
      <w:r w:rsidR="0065431C">
        <w:rPr>
          <w:noProof/>
        </w:rPr>
        <w:t>Zimbabwe: Bulawayo urges residents to fl</w:t>
      </w:r>
      <w:r>
        <w:rPr>
          <w:noProof/>
        </w:rPr>
        <w:t>ush together to unblock sewers</w:t>
      </w:r>
      <w:r w:rsidR="00BE6A61">
        <w:rPr>
          <w:noProof/>
        </w:rPr>
        <w:t>’</w:t>
      </w:r>
      <w:r>
        <w:rPr>
          <w:noProof/>
        </w:rPr>
        <w:t>.</w:t>
      </w:r>
      <w:r w:rsidR="0065431C">
        <w:rPr>
          <w:noProof/>
        </w:rPr>
        <w:t xml:space="preserve"> </w:t>
      </w:r>
      <w:r w:rsidR="0065431C" w:rsidRPr="00B55183">
        <w:rPr>
          <w:i/>
          <w:noProof/>
        </w:rPr>
        <w:t>Associated Press</w:t>
      </w:r>
      <w:r w:rsidR="0065431C">
        <w:rPr>
          <w:noProof/>
        </w:rPr>
        <w:t>, 24 September.</w:t>
      </w:r>
      <w:bookmarkEnd w:id="252"/>
    </w:p>
    <w:p w:rsidR="0065431C" w:rsidRDefault="0065431C" w:rsidP="0065431C">
      <w:pPr>
        <w:pStyle w:val="References"/>
        <w:rPr>
          <w:noProof/>
        </w:rPr>
      </w:pPr>
      <w:bookmarkStart w:id="253" w:name="_ENREF_36"/>
      <w:r>
        <w:rPr>
          <w:noProof/>
        </w:rPr>
        <w:t>Grafton, R</w:t>
      </w:r>
      <w:r w:rsidR="00733D0D">
        <w:rPr>
          <w:noProof/>
        </w:rPr>
        <w:t xml:space="preserve">Q, Kompas, T and Ward, M 2011. </w:t>
      </w:r>
      <w:r w:rsidRPr="00BE6A61">
        <w:rPr>
          <w:i/>
          <w:noProof/>
        </w:rPr>
        <w:t xml:space="preserve">Estimates of Price Elasticities of </w:t>
      </w:r>
      <w:r w:rsidR="00733D0D" w:rsidRPr="00BE6A61">
        <w:rPr>
          <w:i/>
          <w:noProof/>
        </w:rPr>
        <w:t>Demand for Water in the ACT</w:t>
      </w:r>
      <w:r w:rsidR="00733D0D">
        <w:rPr>
          <w:noProof/>
        </w:rPr>
        <w:t>.</w:t>
      </w:r>
      <w:r>
        <w:rPr>
          <w:noProof/>
        </w:rPr>
        <w:t xml:space="preserve"> Canberra: Sustainable Environment Group.</w:t>
      </w:r>
      <w:bookmarkEnd w:id="253"/>
    </w:p>
    <w:p w:rsidR="0065431C" w:rsidRDefault="00733D0D" w:rsidP="0065431C">
      <w:pPr>
        <w:pStyle w:val="References"/>
        <w:rPr>
          <w:noProof/>
        </w:rPr>
      </w:pPr>
      <w:bookmarkStart w:id="254" w:name="_ENREF_37"/>
      <w:r>
        <w:rPr>
          <w:noProof/>
        </w:rPr>
        <w:t xml:space="preserve">Grafton, RQ and Ward, M 2010. </w:t>
      </w:r>
      <w:r w:rsidR="0065431C" w:rsidRPr="00BE6A61">
        <w:rPr>
          <w:i/>
          <w:noProof/>
        </w:rPr>
        <w:t>Dynamicall</w:t>
      </w:r>
      <w:r w:rsidRPr="00BE6A61">
        <w:rPr>
          <w:i/>
          <w:noProof/>
        </w:rPr>
        <w:t>y Efficient Urban Water Policy</w:t>
      </w:r>
      <w:r>
        <w:rPr>
          <w:noProof/>
        </w:rPr>
        <w:t>.</w:t>
      </w:r>
      <w:r w:rsidR="0065431C">
        <w:rPr>
          <w:noProof/>
        </w:rPr>
        <w:t xml:space="preserve"> Canberra: Centre for Water Economics, Environment and Policy, Australian National University.</w:t>
      </w:r>
      <w:bookmarkEnd w:id="254"/>
    </w:p>
    <w:p w:rsidR="0065431C" w:rsidRDefault="0065431C" w:rsidP="0065431C">
      <w:pPr>
        <w:pStyle w:val="References"/>
        <w:rPr>
          <w:noProof/>
        </w:rPr>
      </w:pPr>
      <w:bookmarkStart w:id="255" w:name="_ENREF_38"/>
      <w:r>
        <w:rPr>
          <w:noProof/>
        </w:rPr>
        <w:t>Grant, P 2015</w:t>
      </w:r>
      <w:r w:rsidR="00733D0D">
        <w:rPr>
          <w:noProof/>
        </w:rPr>
        <w:t xml:space="preserve">. </w:t>
      </w:r>
      <w:r w:rsidR="00BE6A61" w:rsidRPr="00BE6A61">
        <w:rPr>
          <w:i/>
          <w:noProof/>
        </w:rPr>
        <w:t>Pricing of Regulated Water and Sewerage Services: Review of the R</w:t>
      </w:r>
      <w:r w:rsidRPr="00BE6A61">
        <w:rPr>
          <w:i/>
          <w:noProof/>
        </w:rPr>
        <w:t>egul</w:t>
      </w:r>
      <w:r w:rsidR="00BE6A61" w:rsidRPr="00BE6A61">
        <w:rPr>
          <w:i/>
          <w:noProof/>
        </w:rPr>
        <w:t>atory F</w:t>
      </w:r>
      <w:r w:rsidR="00D2715C" w:rsidRPr="00BE6A61">
        <w:rPr>
          <w:i/>
          <w:noProof/>
        </w:rPr>
        <w:t xml:space="preserve">ramework – </w:t>
      </w:r>
      <w:r w:rsidR="00BE6A61" w:rsidRPr="00BE6A61">
        <w:rPr>
          <w:i/>
          <w:noProof/>
        </w:rPr>
        <w:t>Final R</w:t>
      </w:r>
      <w:r w:rsidR="00733D0D" w:rsidRPr="00BE6A61">
        <w:rPr>
          <w:i/>
          <w:noProof/>
        </w:rPr>
        <w:t>eport</w:t>
      </w:r>
      <w:r w:rsidR="00733D0D">
        <w:rPr>
          <w:noProof/>
        </w:rPr>
        <w:t>.</w:t>
      </w:r>
      <w:r>
        <w:rPr>
          <w:noProof/>
        </w:rPr>
        <w:t xml:space="preserve"> Canberra: ACT Government.</w:t>
      </w:r>
      <w:bookmarkEnd w:id="255"/>
    </w:p>
    <w:p w:rsidR="0065431C" w:rsidRDefault="00733D0D" w:rsidP="0065431C">
      <w:pPr>
        <w:pStyle w:val="References"/>
        <w:rPr>
          <w:noProof/>
        </w:rPr>
      </w:pPr>
      <w:bookmarkStart w:id="256" w:name="_ENREF_39"/>
      <w:r>
        <w:rPr>
          <w:noProof/>
        </w:rPr>
        <w:t xml:space="preserve">Green, R 2007. </w:t>
      </w:r>
      <w:r w:rsidR="00BE6A61">
        <w:rPr>
          <w:noProof/>
        </w:rPr>
        <w:t>‘Nodal pricing of electricity: H</w:t>
      </w:r>
      <w:r w:rsidR="0065431C">
        <w:rPr>
          <w:noProof/>
        </w:rPr>
        <w:t>ow muc</w:t>
      </w:r>
      <w:r>
        <w:rPr>
          <w:noProof/>
        </w:rPr>
        <w:t>h does it cost to get it wrong?</w:t>
      </w:r>
      <w:r w:rsidR="00BE6A61">
        <w:rPr>
          <w:noProof/>
        </w:rPr>
        <w:t>’</w:t>
      </w:r>
      <w:r w:rsidR="0065431C">
        <w:rPr>
          <w:noProof/>
        </w:rPr>
        <w:t xml:space="preserve"> </w:t>
      </w:r>
      <w:r w:rsidR="0065431C" w:rsidRPr="00B55183">
        <w:rPr>
          <w:i/>
          <w:noProof/>
        </w:rPr>
        <w:t>Journal of Regulatory Economics</w:t>
      </w:r>
      <w:r w:rsidR="0065431C">
        <w:rPr>
          <w:noProof/>
        </w:rPr>
        <w:t>. 31, 12</w:t>
      </w:r>
      <w:r>
        <w:rPr>
          <w:noProof/>
        </w:rPr>
        <w:t>5–</w:t>
      </w:r>
      <w:r w:rsidR="0065431C">
        <w:rPr>
          <w:noProof/>
        </w:rPr>
        <w:t>149.</w:t>
      </w:r>
      <w:bookmarkEnd w:id="256"/>
    </w:p>
    <w:p w:rsidR="0065431C" w:rsidRDefault="0065431C" w:rsidP="0065431C">
      <w:pPr>
        <w:pStyle w:val="References"/>
        <w:rPr>
          <w:noProof/>
        </w:rPr>
      </w:pPr>
      <w:bookmarkStart w:id="257" w:name="_ENREF_40"/>
      <w:r>
        <w:rPr>
          <w:noProof/>
        </w:rPr>
        <w:t>Hunter Wate</w:t>
      </w:r>
      <w:r w:rsidR="00BE6A61">
        <w:rPr>
          <w:noProof/>
        </w:rPr>
        <w:t xml:space="preserve">r 2015a. </w:t>
      </w:r>
      <w:r w:rsidR="00BE6A61" w:rsidRPr="00BE6A61">
        <w:rPr>
          <w:i/>
          <w:noProof/>
        </w:rPr>
        <w:t>Customer C</w:t>
      </w:r>
      <w:r w:rsidR="00733D0D" w:rsidRPr="00BE6A61">
        <w:rPr>
          <w:i/>
          <w:noProof/>
        </w:rPr>
        <w:t>harges 2015–16</w:t>
      </w:r>
      <w:r w:rsidR="00733D0D">
        <w:rPr>
          <w:noProof/>
        </w:rPr>
        <w:t>.</w:t>
      </w:r>
      <w:r>
        <w:rPr>
          <w:noProof/>
        </w:rPr>
        <w:t xml:space="preserve"> Newcastle: Hunter Water.</w:t>
      </w:r>
      <w:bookmarkEnd w:id="257"/>
    </w:p>
    <w:p w:rsidR="0065431C" w:rsidRDefault="00733D0D" w:rsidP="0065431C">
      <w:pPr>
        <w:pStyle w:val="References"/>
        <w:rPr>
          <w:noProof/>
        </w:rPr>
      </w:pPr>
      <w:bookmarkStart w:id="258" w:name="_ENREF_41"/>
      <w:r>
        <w:rPr>
          <w:noProof/>
        </w:rPr>
        <w:t xml:space="preserve">Hunter Water 2015b. </w:t>
      </w:r>
      <w:r w:rsidR="0065431C" w:rsidRPr="00BE6A61">
        <w:rPr>
          <w:i/>
          <w:noProof/>
        </w:rPr>
        <w:t>Non-residenti</w:t>
      </w:r>
      <w:r w:rsidR="00BE6A61" w:rsidRPr="00BE6A61">
        <w:rPr>
          <w:i/>
          <w:noProof/>
        </w:rPr>
        <w:t>al P</w:t>
      </w:r>
      <w:r w:rsidRPr="00BE6A61">
        <w:rPr>
          <w:i/>
          <w:noProof/>
        </w:rPr>
        <w:t>ricing a</w:t>
      </w:r>
      <w:r w:rsidR="00BE6A61" w:rsidRPr="00BE6A61">
        <w:rPr>
          <w:i/>
          <w:noProof/>
        </w:rPr>
        <w:t>nd C</w:t>
      </w:r>
      <w:r w:rsidRPr="00BE6A61">
        <w:rPr>
          <w:i/>
          <w:noProof/>
        </w:rPr>
        <w:t>harges 2015–16</w:t>
      </w:r>
      <w:r>
        <w:rPr>
          <w:noProof/>
        </w:rPr>
        <w:t>.</w:t>
      </w:r>
      <w:r w:rsidR="0065431C">
        <w:rPr>
          <w:noProof/>
        </w:rPr>
        <w:t xml:space="preserve"> Newcastle: Hunter Water.</w:t>
      </w:r>
      <w:bookmarkEnd w:id="258"/>
    </w:p>
    <w:p w:rsidR="0065431C" w:rsidRDefault="00733D0D" w:rsidP="0065431C">
      <w:pPr>
        <w:pStyle w:val="References"/>
        <w:rPr>
          <w:noProof/>
        </w:rPr>
      </w:pPr>
      <w:bookmarkStart w:id="259" w:name="_ENREF_42"/>
      <w:r>
        <w:rPr>
          <w:noProof/>
        </w:rPr>
        <w:t xml:space="preserve">ICRC 2007a. </w:t>
      </w:r>
      <w:r w:rsidR="0065431C" w:rsidRPr="005F4367">
        <w:rPr>
          <w:i/>
          <w:noProof/>
        </w:rPr>
        <w:t>Water and Wastewa</w:t>
      </w:r>
      <w:r w:rsidRPr="005F4367">
        <w:rPr>
          <w:i/>
          <w:noProof/>
        </w:rPr>
        <w:t>ter Discussion Paper 3: Prices</w:t>
      </w:r>
      <w:r>
        <w:rPr>
          <w:noProof/>
        </w:rPr>
        <w:t>.</w:t>
      </w:r>
      <w:r w:rsidR="0065431C">
        <w:rPr>
          <w:noProof/>
        </w:rPr>
        <w:t xml:space="preserve"> Canberra: Independent Competition and Regulatory Commission</w:t>
      </w:r>
      <w:bookmarkEnd w:id="259"/>
      <w:r>
        <w:rPr>
          <w:noProof/>
        </w:rPr>
        <w:t>.</w:t>
      </w:r>
    </w:p>
    <w:p w:rsidR="0065431C" w:rsidRDefault="00733D0D" w:rsidP="0065431C">
      <w:pPr>
        <w:pStyle w:val="References"/>
        <w:rPr>
          <w:noProof/>
        </w:rPr>
      </w:pPr>
      <w:bookmarkStart w:id="260" w:name="_ENREF_43"/>
      <w:r>
        <w:rPr>
          <w:noProof/>
        </w:rPr>
        <w:t xml:space="preserve">ICRC 2007b. </w:t>
      </w:r>
      <w:r w:rsidR="0065431C" w:rsidRPr="005F4367">
        <w:rPr>
          <w:i/>
          <w:noProof/>
        </w:rPr>
        <w:t xml:space="preserve">Water and Wastewater Price Review: Draft </w:t>
      </w:r>
      <w:r w:rsidRPr="005F4367">
        <w:rPr>
          <w:i/>
          <w:noProof/>
        </w:rPr>
        <w:t>Report and Price Determination</w:t>
      </w:r>
      <w:r>
        <w:rPr>
          <w:noProof/>
        </w:rPr>
        <w:t>.</w:t>
      </w:r>
      <w:r w:rsidR="0065431C">
        <w:rPr>
          <w:noProof/>
        </w:rPr>
        <w:t xml:space="preserve"> Canberra: Independent Competition and Regulatory Commission.</w:t>
      </w:r>
      <w:bookmarkEnd w:id="260"/>
    </w:p>
    <w:p w:rsidR="0065431C" w:rsidRDefault="00733D0D" w:rsidP="0065431C">
      <w:pPr>
        <w:pStyle w:val="References"/>
        <w:rPr>
          <w:noProof/>
        </w:rPr>
      </w:pPr>
      <w:bookmarkStart w:id="261" w:name="_ENREF_44"/>
      <w:r>
        <w:rPr>
          <w:noProof/>
        </w:rPr>
        <w:t xml:space="preserve">ICRC 2007c. </w:t>
      </w:r>
      <w:r w:rsidR="0065431C" w:rsidRPr="005F4367">
        <w:rPr>
          <w:i/>
          <w:noProof/>
        </w:rPr>
        <w:t>Water and Wastewater Pri</w:t>
      </w:r>
      <w:r w:rsidRPr="005F4367">
        <w:rPr>
          <w:i/>
          <w:noProof/>
        </w:rPr>
        <w:t xml:space="preserve">ce Review: Working </w:t>
      </w:r>
      <w:r w:rsidR="005F4367">
        <w:rPr>
          <w:i/>
          <w:noProof/>
        </w:rPr>
        <w:t>C</w:t>
      </w:r>
      <w:r w:rsidRPr="005F4367">
        <w:rPr>
          <w:i/>
          <w:noProof/>
        </w:rPr>
        <w:t>onclusions</w:t>
      </w:r>
      <w:r>
        <w:rPr>
          <w:noProof/>
        </w:rPr>
        <w:t>.</w:t>
      </w:r>
      <w:r w:rsidR="0065431C">
        <w:rPr>
          <w:noProof/>
        </w:rPr>
        <w:t xml:space="preserve"> Canberra: Independent Competition and Regulatory Commission</w:t>
      </w:r>
      <w:bookmarkEnd w:id="261"/>
      <w:r>
        <w:rPr>
          <w:noProof/>
        </w:rPr>
        <w:t>.</w:t>
      </w:r>
    </w:p>
    <w:p w:rsidR="0065431C" w:rsidRDefault="00733D0D" w:rsidP="0065431C">
      <w:pPr>
        <w:pStyle w:val="References"/>
        <w:rPr>
          <w:noProof/>
        </w:rPr>
      </w:pPr>
      <w:bookmarkStart w:id="262" w:name="_ENREF_45"/>
      <w:r>
        <w:rPr>
          <w:noProof/>
        </w:rPr>
        <w:t xml:space="preserve">ICRC 2011. </w:t>
      </w:r>
      <w:r w:rsidR="0065431C" w:rsidRPr="005F4367">
        <w:rPr>
          <w:i/>
          <w:noProof/>
        </w:rPr>
        <w:t>Productivity Commission Draft Report: A</w:t>
      </w:r>
      <w:r w:rsidR="00D2715C" w:rsidRPr="005F4367">
        <w:rPr>
          <w:i/>
          <w:noProof/>
        </w:rPr>
        <w:t xml:space="preserve">ustralia’s Urban Water Sector – </w:t>
      </w:r>
      <w:r w:rsidRPr="005F4367">
        <w:rPr>
          <w:i/>
          <w:noProof/>
        </w:rPr>
        <w:t>Submission</w:t>
      </w:r>
      <w:r>
        <w:rPr>
          <w:noProof/>
        </w:rPr>
        <w:t>.</w:t>
      </w:r>
      <w:r w:rsidR="0065431C">
        <w:rPr>
          <w:noProof/>
        </w:rPr>
        <w:t xml:space="preserve"> Canberra: Independent Competition and Regulatory Commission</w:t>
      </w:r>
      <w:bookmarkEnd w:id="262"/>
      <w:r>
        <w:rPr>
          <w:noProof/>
        </w:rPr>
        <w:t>.</w:t>
      </w:r>
    </w:p>
    <w:p w:rsidR="0065431C" w:rsidRDefault="00733D0D" w:rsidP="0065431C">
      <w:pPr>
        <w:pStyle w:val="References"/>
        <w:rPr>
          <w:noProof/>
        </w:rPr>
      </w:pPr>
      <w:bookmarkStart w:id="263" w:name="_ENREF_46"/>
      <w:r>
        <w:rPr>
          <w:noProof/>
        </w:rPr>
        <w:t xml:space="preserve">ICRC 2012. </w:t>
      </w:r>
      <w:r w:rsidR="005F4367" w:rsidRPr="005F4367">
        <w:rPr>
          <w:i/>
          <w:noProof/>
        </w:rPr>
        <w:t>Final R</w:t>
      </w:r>
      <w:r w:rsidR="0065431C" w:rsidRPr="005F4367">
        <w:rPr>
          <w:i/>
          <w:noProof/>
        </w:rPr>
        <w:t xml:space="preserve">eport: </w:t>
      </w:r>
      <w:r w:rsidR="005F4367" w:rsidRPr="005F4367">
        <w:rPr>
          <w:i/>
          <w:noProof/>
        </w:rPr>
        <w:t>Secondary Water U</w:t>
      </w:r>
      <w:r w:rsidRPr="005F4367">
        <w:rPr>
          <w:i/>
          <w:noProof/>
        </w:rPr>
        <w:t>se in the ACT</w:t>
      </w:r>
      <w:r>
        <w:rPr>
          <w:noProof/>
        </w:rPr>
        <w:t>.</w:t>
      </w:r>
      <w:r w:rsidR="0065431C">
        <w:rPr>
          <w:noProof/>
        </w:rPr>
        <w:t xml:space="preserve"> Canberra: Independent Competition and Regulatory Commission</w:t>
      </w:r>
      <w:bookmarkEnd w:id="263"/>
      <w:r>
        <w:rPr>
          <w:noProof/>
        </w:rPr>
        <w:t>.</w:t>
      </w:r>
    </w:p>
    <w:p w:rsidR="0065431C" w:rsidRDefault="00733D0D" w:rsidP="0065431C">
      <w:pPr>
        <w:pStyle w:val="References"/>
        <w:rPr>
          <w:noProof/>
        </w:rPr>
      </w:pPr>
      <w:bookmarkStart w:id="264" w:name="_ENREF_47"/>
      <w:r>
        <w:rPr>
          <w:noProof/>
        </w:rPr>
        <w:t xml:space="preserve">ICRC 2013a. </w:t>
      </w:r>
      <w:r w:rsidR="0065431C" w:rsidRPr="003D0AD4">
        <w:rPr>
          <w:i/>
          <w:noProof/>
        </w:rPr>
        <w:t>Final Report</w:t>
      </w:r>
      <w:r w:rsidR="003D0AD4" w:rsidRPr="003D0AD4">
        <w:rPr>
          <w:i/>
          <w:noProof/>
        </w:rPr>
        <w:t>:</w:t>
      </w:r>
      <w:r w:rsidR="0065431C" w:rsidRPr="003D0AD4">
        <w:rPr>
          <w:i/>
          <w:noProof/>
        </w:rPr>
        <w:t xml:space="preserve"> Regulated Water and Sewerage Servic</w:t>
      </w:r>
      <w:r w:rsidRPr="003D0AD4">
        <w:rPr>
          <w:i/>
          <w:noProof/>
        </w:rPr>
        <w:t xml:space="preserve">es </w:t>
      </w:r>
      <w:r w:rsidR="005F4367" w:rsidRPr="003D0AD4">
        <w:rPr>
          <w:i/>
          <w:noProof/>
        </w:rPr>
        <w:t xml:space="preserve">– </w:t>
      </w:r>
      <w:r w:rsidRPr="003D0AD4">
        <w:rPr>
          <w:i/>
          <w:noProof/>
        </w:rPr>
        <w:t>1 July 2013 to 30 June 2019</w:t>
      </w:r>
      <w:r>
        <w:rPr>
          <w:noProof/>
        </w:rPr>
        <w:t>.</w:t>
      </w:r>
      <w:r w:rsidR="0065431C">
        <w:rPr>
          <w:noProof/>
        </w:rPr>
        <w:t xml:space="preserve"> Ca</w:t>
      </w:r>
      <w:r>
        <w:rPr>
          <w:noProof/>
        </w:rPr>
        <w:t>nberra: Independent Competition and Regulatory Commission</w:t>
      </w:r>
      <w:r w:rsidR="0065431C">
        <w:rPr>
          <w:noProof/>
        </w:rPr>
        <w:t>.</w:t>
      </w:r>
      <w:bookmarkEnd w:id="264"/>
    </w:p>
    <w:p w:rsidR="0065431C" w:rsidRDefault="00733D0D" w:rsidP="0065431C">
      <w:pPr>
        <w:pStyle w:val="References"/>
        <w:rPr>
          <w:noProof/>
        </w:rPr>
      </w:pPr>
      <w:bookmarkStart w:id="265" w:name="_ENREF_48"/>
      <w:r>
        <w:rPr>
          <w:noProof/>
        </w:rPr>
        <w:t xml:space="preserve">ICRC 2013b. </w:t>
      </w:r>
      <w:r w:rsidR="0065431C" w:rsidRPr="00896600">
        <w:rPr>
          <w:i/>
          <w:noProof/>
        </w:rPr>
        <w:t>Price Direction</w:t>
      </w:r>
      <w:r w:rsidR="00896600">
        <w:rPr>
          <w:i/>
          <w:noProof/>
        </w:rPr>
        <w:t>:</w:t>
      </w:r>
      <w:r w:rsidR="0065431C" w:rsidRPr="00896600">
        <w:rPr>
          <w:i/>
          <w:noProof/>
        </w:rPr>
        <w:t xml:space="preserve"> Regulated Water and Sewerage Services </w:t>
      </w:r>
      <w:r w:rsidR="005F4367" w:rsidRPr="00896600">
        <w:rPr>
          <w:i/>
          <w:noProof/>
        </w:rPr>
        <w:t xml:space="preserve">– </w:t>
      </w:r>
      <w:r w:rsidR="0065431C" w:rsidRPr="00896600">
        <w:rPr>
          <w:i/>
          <w:noProof/>
        </w:rPr>
        <w:t xml:space="preserve">1 July 2013 </w:t>
      </w:r>
      <w:r w:rsidRPr="00896600">
        <w:rPr>
          <w:i/>
          <w:noProof/>
        </w:rPr>
        <w:t>to 30 June 2019</w:t>
      </w:r>
      <w:r>
        <w:rPr>
          <w:noProof/>
        </w:rPr>
        <w:t>. Canberra: Independent Competition and Regulatory Commission</w:t>
      </w:r>
      <w:r w:rsidR="0065431C">
        <w:rPr>
          <w:noProof/>
        </w:rPr>
        <w:t>.</w:t>
      </w:r>
      <w:bookmarkEnd w:id="265"/>
    </w:p>
    <w:p w:rsidR="0065431C" w:rsidRDefault="00D2715C" w:rsidP="0065431C">
      <w:pPr>
        <w:pStyle w:val="References"/>
        <w:rPr>
          <w:noProof/>
        </w:rPr>
      </w:pPr>
      <w:bookmarkStart w:id="266" w:name="_ENREF_49"/>
      <w:r>
        <w:rPr>
          <w:noProof/>
        </w:rPr>
        <w:t xml:space="preserve">ICRC 2013c. </w:t>
      </w:r>
      <w:r w:rsidR="0065431C">
        <w:rPr>
          <w:noProof/>
        </w:rPr>
        <w:t>Pub</w:t>
      </w:r>
      <w:r w:rsidR="005F4367">
        <w:rPr>
          <w:noProof/>
        </w:rPr>
        <w:t>lic forum on the draft r</w:t>
      </w:r>
      <w:r>
        <w:rPr>
          <w:noProof/>
        </w:rPr>
        <w:t xml:space="preserve">eport – </w:t>
      </w:r>
      <w:r w:rsidR="005F4367">
        <w:rPr>
          <w:noProof/>
        </w:rPr>
        <w:t>record of proceedings.</w:t>
      </w:r>
      <w:r w:rsidR="0065431C">
        <w:rPr>
          <w:noProof/>
        </w:rPr>
        <w:t xml:space="preserve"> Chatham House Room, Wa</w:t>
      </w:r>
      <w:r>
        <w:rPr>
          <w:noProof/>
        </w:rPr>
        <w:t>ldorf on London, 26 March 2013.</w:t>
      </w:r>
      <w:r w:rsidR="0065431C">
        <w:rPr>
          <w:noProof/>
        </w:rPr>
        <w:t xml:space="preserve"> Canberra: I</w:t>
      </w:r>
      <w:r w:rsidR="005F4367">
        <w:rPr>
          <w:noProof/>
        </w:rPr>
        <w:t xml:space="preserve">ndependent </w:t>
      </w:r>
      <w:r w:rsidR="0065431C">
        <w:rPr>
          <w:noProof/>
        </w:rPr>
        <w:t>C</w:t>
      </w:r>
      <w:r w:rsidR="005F4367">
        <w:rPr>
          <w:noProof/>
        </w:rPr>
        <w:t xml:space="preserve">ompetition and </w:t>
      </w:r>
      <w:r w:rsidR="0065431C">
        <w:rPr>
          <w:noProof/>
        </w:rPr>
        <w:t>R</w:t>
      </w:r>
      <w:r w:rsidR="005F4367">
        <w:rPr>
          <w:noProof/>
        </w:rPr>
        <w:t xml:space="preserve">egulatory </w:t>
      </w:r>
      <w:r w:rsidR="0065431C">
        <w:rPr>
          <w:noProof/>
        </w:rPr>
        <w:t>C</w:t>
      </w:r>
      <w:r w:rsidR="005F4367">
        <w:rPr>
          <w:noProof/>
        </w:rPr>
        <w:t>ommission</w:t>
      </w:r>
      <w:r w:rsidR="0065431C">
        <w:rPr>
          <w:noProof/>
        </w:rPr>
        <w:t>.</w:t>
      </w:r>
      <w:bookmarkEnd w:id="266"/>
    </w:p>
    <w:p w:rsidR="0065431C" w:rsidRDefault="00733D0D" w:rsidP="0065431C">
      <w:pPr>
        <w:pStyle w:val="References"/>
        <w:rPr>
          <w:noProof/>
        </w:rPr>
      </w:pPr>
      <w:bookmarkStart w:id="267" w:name="_ENREF_50"/>
      <w:r>
        <w:rPr>
          <w:noProof/>
        </w:rPr>
        <w:t xml:space="preserve">ICRC 2015a. </w:t>
      </w:r>
      <w:r w:rsidR="0065431C" w:rsidRPr="00896600">
        <w:rPr>
          <w:i/>
          <w:noProof/>
        </w:rPr>
        <w:t>Regulate</w:t>
      </w:r>
      <w:r w:rsidR="00896600" w:rsidRPr="00896600">
        <w:rPr>
          <w:i/>
          <w:noProof/>
        </w:rPr>
        <w:t>d Water and Sewerage S</w:t>
      </w:r>
      <w:r w:rsidRPr="00896600">
        <w:rPr>
          <w:i/>
          <w:noProof/>
        </w:rPr>
        <w:t>ervi</w:t>
      </w:r>
      <w:r w:rsidR="00C3310E" w:rsidRPr="00896600">
        <w:rPr>
          <w:i/>
          <w:noProof/>
        </w:rPr>
        <w:t xml:space="preserve">ces – </w:t>
      </w:r>
      <w:r w:rsidR="0065431C" w:rsidRPr="00896600">
        <w:rPr>
          <w:i/>
          <w:noProof/>
        </w:rPr>
        <w:t xml:space="preserve">The Industry Panel </w:t>
      </w:r>
      <w:r w:rsidR="00896600" w:rsidRPr="00896600">
        <w:rPr>
          <w:i/>
          <w:noProof/>
        </w:rPr>
        <w:t>Process: Outcomes and P</w:t>
      </w:r>
      <w:r w:rsidRPr="00896600">
        <w:rPr>
          <w:i/>
          <w:noProof/>
        </w:rPr>
        <w:t>rospects</w:t>
      </w:r>
      <w:r>
        <w:rPr>
          <w:noProof/>
        </w:rPr>
        <w:t>.</w:t>
      </w:r>
      <w:r w:rsidR="0065431C">
        <w:rPr>
          <w:noProof/>
        </w:rPr>
        <w:t xml:space="preserve"> Canberra: Independent Competition and Regulatory Commission.</w:t>
      </w:r>
      <w:bookmarkEnd w:id="267"/>
    </w:p>
    <w:p w:rsidR="0065431C" w:rsidRDefault="00733D0D" w:rsidP="0065431C">
      <w:pPr>
        <w:pStyle w:val="References"/>
        <w:rPr>
          <w:noProof/>
        </w:rPr>
      </w:pPr>
      <w:bookmarkStart w:id="268" w:name="_ENREF_51"/>
      <w:r>
        <w:rPr>
          <w:noProof/>
        </w:rPr>
        <w:t xml:space="preserve">ICRC 2015b. </w:t>
      </w:r>
      <w:r w:rsidR="0065431C" w:rsidRPr="00896600">
        <w:rPr>
          <w:i/>
          <w:noProof/>
        </w:rPr>
        <w:t>Water Demand For</w:t>
      </w:r>
      <w:r w:rsidRPr="00896600">
        <w:rPr>
          <w:i/>
          <w:noProof/>
        </w:rPr>
        <w:t>ecasting</w:t>
      </w:r>
      <w:r w:rsidR="00896600">
        <w:rPr>
          <w:i/>
          <w:noProof/>
        </w:rPr>
        <w:t>:</w:t>
      </w:r>
      <w:r w:rsidRPr="00896600">
        <w:rPr>
          <w:i/>
          <w:noProof/>
        </w:rPr>
        <w:t xml:space="preserve"> Final Technical Paper</w:t>
      </w:r>
      <w:r>
        <w:rPr>
          <w:noProof/>
        </w:rPr>
        <w:t>.</w:t>
      </w:r>
      <w:r w:rsidR="0065431C">
        <w:rPr>
          <w:noProof/>
        </w:rPr>
        <w:t xml:space="preserve"> Canberra: Independent Competition and Regulatory Commision.</w:t>
      </w:r>
      <w:bookmarkEnd w:id="268"/>
    </w:p>
    <w:p w:rsidR="0065431C" w:rsidRDefault="00733D0D" w:rsidP="0065431C">
      <w:pPr>
        <w:pStyle w:val="References"/>
        <w:rPr>
          <w:noProof/>
        </w:rPr>
      </w:pPr>
      <w:bookmarkStart w:id="269" w:name="_ENREF_52"/>
      <w:r>
        <w:rPr>
          <w:noProof/>
        </w:rPr>
        <w:t xml:space="preserve">Industry Panel 2015a. </w:t>
      </w:r>
      <w:r w:rsidR="0065431C" w:rsidRPr="00896600">
        <w:rPr>
          <w:i/>
          <w:noProof/>
        </w:rPr>
        <w:t>Final Report: Review of the Independent Compet</w:t>
      </w:r>
      <w:r w:rsidRPr="00896600">
        <w:rPr>
          <w:i/>
          <w:noProof/>
        </w:rPr>
        <w:t>ition and Regulatory Commission’</w:t>
      </w:r>
      <w:r w:rsidR="0065431C" w:rsidRPr="00896600">
        <w:rPr>
          <w:i/>
          <w:noProof/>
        </w:rPr>
        <w:t>s 2013 Price Direction for Regulated Water an</w:t>
      </w:r>
      <w:r w:rsidRPr="00896600">
        <w:rPr>
          <w:i/>
          <w:noProof/>
        </w:rPr>
        <w:t>d Sewerage Services in the ACT</w:t>
      </w:r>
      <w:r>
        <w:rPr>
          <w:noProof/>
        </w:rPr>
        <w:t>.</w:t>
      </w:r>
      <w:r w:rsidR="0065431C">
        <w:rPr>
          <w:noProof/>
        </w:rPr>
        <w:t xml:space="preserve"> Canberra: Industry Panel.</w:t>
      </w:r>
      <w:bookmarkEnd w:id="269"/>
    </w:p>
    <w:p w:rsidR="0065431C" w:rsidRDefault="0065431C" w:rsidP="0065431C">
      <w:pPr>
        <w:pStyle w:val="References"/>
        <w:rPr>
          <w:noProof/>
        </w:rPr>
      </w:pPr>
      <w:bookmarkStart w:id="270" w:name="_ENREF_53"/>
      <w:r>
        <w:rPr>
          <w:noProof/>
        </w:rPr>
        <w:t>Indu</w:t>
      </w:r>
      <w:r w:rsidR="00733D0D">
        <w:rPr>
          <w:noProof/>
        </w:rPr>
        <w:t xml:space="preserve">stry Panel 2015b. </w:t>
      </w:r>
      <w:r w:rsidRPr="00896600">
        <w:rPr>
          <w:i/>
          <w:noProof/>
        </w:rPr>
        <w:t>Substituted Price Direction: Regulated Water and Sewerage Servic</w:t>
      </w:r>
      <w:r w:rsidR="00733D0D" w:rsidRPr="00896600">
        <w:rPr>
          <w:i/>
          <w:noProof/>
        </w:rPr>
        <w:t xml:space="preserve">es </w:t>
      </w:r>
      <w:r w:rsidR="00896600" w:rsidRPr="00896600">
        <w:rPr>
          <w:i/>
          <w:noProof/>
        </w:rPr>
        <w:t xml:space="preserve">– </w:t>
      </w:r>
      <w:r w:rsidR="00733D0D" w:rsidRPr="00896600">
        <w:rPr>
          <w:i/>
          <w:noProof/>
        </w:rPr>
        <w:t>1 July 2013 to 30 June 2018</w:t>
      </w:r>
      <w:r w:rsidR="00733D0D">
        <w:rPr>
          <w:noProof/>
        </w:rPr>
        <w:t>.</w:t>
      </w:r>
      <w:r>
        <w:rPr>
          <w:noProof/>
        </w:rPr>
        <w:t xml:space="preserve"> Canberra: Industry Panel.</w:t>
      </w:r>
      <w:bookmarkEnd w:id="270"/>
    </w:p>
    <w:p w:rsidR="0065431C" w:rsidRDefault="00733D0D" w:rsidP="0065431C">
      <w:pPr>
        <w:pStyle w:val="References"/>
        <w:rPr>
          <w:noProof/>
        </w:rPr>
      </w:pPr>
      <w:bookmarkStart w:id="271" w:name="_ENREF_54"/>
      <w:r>
        <w:rPr>
          <w:noProof/>
        </w:rPr>
        <w:t xml:space="preserve">IPART 2012a. </w:t>
      </w:r>
      <w:r w:rsidR="00896600" w:rsidRPr="00896600">
        <w:rPr>
          <w:i/>
          <w:noProof/>
        </w:rPr>
        <w:t>Review of Price S</w:t>
      </w:r>
      <w:r w:rsidR="0065431C" w:rsidRPr="00896600">
        <w:rPr>
          <w:i/>
          <w:noProof/>
        </w:rPr>
        <w:t>tructures for</w:t>
      </w:r>
      <w:r w:rsidR="00896600" w:rsidRPr="00896600">
        <w:rPr>
          <w:i/>
          <w:noProof/>
        </w:rPr>
        <w:t xml:space="preserve"> M</w:t>
      </w:r>
      <w:r w:rsidR="00C3310E" w:rsidRPr="00896600">
        <w:rPr>
          <w:i/>
          <w:noProof/>
        </w:rPr>
        <w:t>etro</w:t>
      </w:r>
      <w:r w:rsidR="00896600" w:rsidRPr="00896600">
        <w:rPr>
          <w:i/>
          <w:noProof/>
        </w:rPr>
        <w:t>politan Water Utilities:</w:t>
      </w:r>
      <w:r w:rsidR="00C3310E" w:rsidRPr="00896600">
        <w:rPr>
          <w:i/>
          <w:noProof/>
        </w:rPr>
        <w:t xml:space="preserve"> </w:t>
      </w:r>
      <w:r w:rsidRPr="00896600">
        <w:rPr>
          <w:i/>
          <w:noProof/>
        </w:rPr>
        <w:t>Final Report</w:t>
      </w:r>
      <w:r>
        <w:rPr>
          <w:noProof/>
        </w:rPr>
        <w:t>.</w:t>
      </w:r>
      <w:r w:rsidR="0065431C">
        <w:rPr>
          <w:noProof/>
        </w:rPr>
        <w:t xml:space="preserve"> Sydney: Independent Pricing and Regulatory Tribunal.</w:t>
      </w:r>
      <w:bookmarkEnd w:id="271"/>
    </w:p>
    <w:p w:rsidR="0065431C" w:rsidRDefault="00733D0D" w:rsidP="0065431C">
      <w:pPr>
        <w:pStyle w:val="References"/>
        <w:rPr>
          <w:noProof/>
        </w:rPr>
      </w:pPr>
      <w:bookmarkStart w:id="272" w:name="_ENREF_55"/>
      <w:r>
        <w:rPr>
          <w:noProof/>
        </w:rPr>
        <w:t xml:space="preserve">IPART 2012b. </w:t>
      </w:r>
      <w:r w:rsidR="00896600" w:rsidRPr="00896600">
        <w:rPr>
          <w:i/>
          <w:noProof/>
        </w:rPr>
        <w:t>Review of P</w:t>
      </w:r>
      <w:r w:rsidR="0065431C" w:rsidRPr="00896600">
        <w:rPr>
          <w:i/>
          <w:noProof/>
        </w:rPr>
        <w:t>ric</w:t>
      </w:r>
      <w:r w:rsidRPr="00896600">
        <w:rPr>
          <w:i/>
          <w:noProof/>
        </w:rPr>
        <w:t>es for Sydney Water Corporation’</w:t>
      </w:r>
      <w:r w:rsidR="00896600" w:rsidRPr="00896600">
        <w:rPr>
          <w:i/>
          <w:noProof/>
        </w:rPr>
        <w:t>s Water, Sewerage, Stormwater Drainage and Other S</w:t>
      </w:r>
      <w:r w:rsidR="00896600">
        <w:rPr>
          <w:i/>
          <w:noProof/>
        </w:rPr>
        <w:t>ervices</w:t>
      </w:r>
      <w:r w:rsidR="00896600" w:rsidRPr="00896600">
        <w:rPr>
          <w:i/>
          <w:noProof/>
        </w:rPr>
        <w:t xml:space="preserve"> </w:t>
      </w:r>
      <w:r w:rsidR="0065431C" w:rsidRPr="00896600">
        <w:rPr>
          <w:i/>
          <w:noProof/>
        </w:rPr>
        <w:t>from 1</w:t>
      </w:r>
      <w:r w:rsidRPr="00896600">
        <w:rPr>
          <w:i/>
          <w:noProof/>
        </w:rPr>
        <w:t xml:space="preserve"> July 2012 to 30 June 20</w:t>
      </w:r>
      <w:r w:rsidR="00896600" w:rsidRPr="00896600">
        <w:rPr>
          <w:i/>
          <w:noProof/>
        </w:rPr>
        <w:t>16 – Water:</w:t>
      </w:r>
      <w:r w:rsidR="00C3310E" w:rsidRPr="00896600">
        <w:rPr>
          <w:i/>
        </w:rPr>
        <w:t xml:space="preserve"> </w:t>
      </w:r>
      <w:r w:rsidRPr="00896600">
        <w:rPr>
          <w:i/>
          <w:noProof/>
        </w:rPr>
        <w:t>Final Report</w:t>
      </w:r>
      <w:r>
        <w:rPr>
          <w:noProof/>
        </w:rPr>
        <w:t>.</w:t>
      </w:r>
      <w:r w:rsidR="0065431C">
        <w:rPr>
          <w:noProof/>
        </w:rPr>
        <w:t xml:space="preserve"> Sydney: Independent Pricing and Regulatory Tribunal.</w:t>
      </w:r>
      <w:bookmarkEnd w:id="272"/>
    </w:p>
    <w:p w:rsidR="0065431C" w:rsidRDefault="0065431C" w:rsidP="0065431C">
      <w:pPr>
        <w:pStyle w:val="References"/>
        <w:rPr>
          <w:noProof/>
        </w:rPr>
      </w:pPr>
      <w:bookmarkStart w:id="273" w:name="_ENREF_56"/>
      <w:r>
        <w:rPr>
          <w:noProof/>
        </w:rPr>
        <w:t xml:space="preserve">IPART </w:t>
      </w:r>
      <w:r w:rsidR="00733D0D">
        <w:rPr>
          <w:noProof/>
        </w:rPr>
        <w:t xml:space="preserve">2013. </w:t>
      </w:r>
      <w:r w:rsidR="00733D0D" w:rsidRPr="00896600">
        <w:rPr>
          <w:i/>
          <w:noProof/>
        </w:rPr>
        <w:t>Hunter Water Corporation’</w:t>
      </w:r>
      <w:r w:rsidR="00896600" w:rsidRPr="00896600">
        <w:rPr>
          <w:i/>
          <w:noProof/>
        </w:rPr>
        <w:t>s Water, Sewerage, Stormwater Drainage and Other Services: Review of P</w:t>
      </w:r>
      <w:r w:rsidRPr="00896600">
        <w:rPr>
          <w:i/>
          <w:noProof/>
        </w:rPr>
        <w:t xml:space="preserve">rices from 1 July 2013 to 30 </w:t>
      </w:r>
      <w:r w:rsidR="00C3310E" w:rsidRPr="00896600">
        <w:rPr>
          <w:i/>
          <w:noProof/>
        </w:rPr>
        <w:t xml:space="preserve">June 2017 – </w:t>
      </w:r>
      <w:r w:rsidR="00733D0D" w:rsidRPr="00896600">
        <w:rPr>
          <w:i/>
          <w:noProof/>
        </w:rPr>
        <w:t>Water</w:t>
      </w:r>
      <w:r w:rsidR="00896600" w:rsidRPr="00896600">
        <w:rPr>
          <w:i/>
          <w:noProof/>
        </w:rPr>
        <w:t>:</w:t>
      </w:r>
      <w:r w:rsidR="00733D0D" w:rsidRPr="00896600">
        <w:rPr>
          <w:i/>
          <w:noProof/>
        </w:rPr>
        <w:t xml:space="preserve"> Final Report</w:t>
      </w:r>
      <w:r w:rsidR="00733D0D">
        <w:rPr>
          <w:noProof/>
        </w:rPr>
        <w:t>.</w:t>
      </w:r>
      <w:r>
        <w:rPr>
          <w:noProof/>
        </w:rPr>
        <w:t xml:space="preserve"> Sydney: Independent Pricing and Regulatory Tribunal.</w:t>
      </w:r>
      <w:bookmarkEnd w:id="273"/>
    </w:p>
    <w:p w:rsidR="0065431C" w:rsidRDefault="00733D0D" w:rsidP="0065431C">
      <w:pPr>
        <w:pStyle w:val="References"/>
        <w:rPr>
          <w:noProof/>
        </w:rPr>
      </w:pPr>
      <w:bookmarkStart w:id="274" w:name="_ENREF_57"/>
      <w:r>
        <w:rPr>
          <w:noProof/>
        </w:rPr>
        <w:t>Ito, K 201</w:t>
      </w:r>
      <w:r w:rsidR="002A176F">
        <w:rPr>
          <w:noProof/>
        </w:rPr>
        <w:t>4</w:t>
      </w:r>
      <w:r>
        <w:rPr>
          <w:noProof/>
        </w:rPr>
        <w:t xml:space="preserve">. </w:t>
      </w:r>
      <w:r w:rsidR="00896600">
        <w:rPr>
          <w:noProof/>
        </w:rPr>
        <w:t>‘Do consumers respond to marginal or a</w:t>
      </w:r>
      <w:r w:rsidR="0065431C">
        <w:rPr>
          <w:noProof/>
        </w:rPr>
        <w:t xml:space="preserve">verage </w:t>
      </w:r>
      <w:r w:rsidR="00896600">
        <w:rPr>
          <w:noProof/>
        </w:rPr>
        <w:t>p</w:t>
      </w:r>
      <w:r w:rsidR="0065431C">
        <w:rPr>
          <w:noProof/>
        </w:rPr>
        <w:t>rice? Evidence from</w:t>
      </w:r>
      <w:r w:rsidR="00896600">
        <w:rPr>
          <w:noProof/>
        </w:rPr>
        <w:t xml:space="preserve"> nonlinear electricity p</w:t>
      </w:r>
      <w:r>
        <w:rPr>
          <w:noProof/>
        </w:rPr>
        <w:t>ricing</w:t>
      </w:r>
      <w:r w:rsidR="00751C28">
        <w:rPr>
          <w:noProof/>
        </w:rPr>
        <w:t>’</w:t>
      </w:r>
      <w:r>
        <w:rPr>
          <w:noProof/>
        </w:rPr>
        <w:t>.</w:t>
      </w:r>
      <w:r w:rsidR="0065431C">
        <w:rPr>
          <w:noProof/>
        </w:rPr>
        <w:t xml:space="preserve"> </w:t>
      </w:r>
      <w:r w:rsidR="002A176F">
        <w:rPr>
          <w:noProof/>
        </w:rPr>
        <w:t>American Economic Review, 104, 537-63</w:t>
      </w:r>
      <w:bookmarkEnd w:id="274"/>
      <w:r w:rsidR="002A176F">
        <w:rPr>
          <w:noProof/>
        </w:rPr>
        <w:t>.</w:t>
      </w:r>
    </w:p>
    <w:p w:rsidR="0065431C" w:rsidRDefault="00733D0D" w:rsidP="0065431C">
      <w:pPr>
        <w:pStyle w:val="References"/>
        <w:rPr>
          <w:noProof/>
        </w:rPr>
      </w:pPr>
      <w:bookmarkStart w:id="275" w:name="_ENREF_58"/>
      <w:r>
        <w:rPr>
          <w:noProof/>
        </w:rPr>
        <w:t xml:space="preserve">London Economics 1997. </w:t>
      </w:r>
      <w:r w:rsidR="0065431C" w:rsidRPr="00751C28">
        <w:rPr>
          <w:i/>
          <w:noProof/>
        </w:rPr>
        <w:t xml:space="preserve">Water Pricing: The </w:t>
      </w:r>
      <w:r w:rsidR="00751C28" w:rsidRPr="00751C28">
        <w:rPr>
          <w:i/>
          <w:noProof/>
        </w:rPr>
        <w:t>I</w:t>
      </w:r>
      <w:r w:rsidR="0065431C" w:rsidRPr="00751C28">
        <w:rPr>
          <w:i/>
          <w:noProof/>
        </w:rPr>
        <w:t>mporta</w:t>
      </w:r>
      <w:r w:rsidR="00751C28" w:rsidRPr="00751C28">
        <w:rPr>
          <w:i/>
          <w:noProof/>
        </w:rPr>
        <w:t>nce of Long Run Marginal C</w:t>
      </w:r>
      <w:r w:rsidRPr="00751C28">
        <w:rPr>
          <w:i/>
          <w:noProof/>
        </w:rPr>
        <w:t>osts</w:t>
      </w:r>
      <w:r>
        <w:rPr>
          <w:noProof/>
        </w:rPr>
        <w:t>.</w:t>
      </w:r>
      <w:r w:rsidR="0065431C">
        <w:rPr>
          <w:noProof/>
        </w:rPr>
        <w:t xml:space="preserve"> London: Office of Water Services.</w:t>
      </w:r>
      <w:bookmarkEnd w:id="275"/>
    </w:p>
    <w:p w:rsidR="0065431C" w:rsidRDefault="0065431C" w:rsidP="0065431C">
      <w:pPr>
        <w:pStyle w:val="References"/>
        <w:rPr>
          <w:noProof/>
        </w:rPr>
      </w:pPr>
      <w:bookmarkStart w:id="276" w:name="_ENREF_59"/>
      <w:r>
        <w:rPr>
          <w:noProof/>
        </w:rPr>
        <w:t>Mann, PC and Schle</w:t>
      </w:r>
      <w:r w:rsidR="00733D0D">
        <w:rPr>
          <w:noProof/>
        </w:rPr>
        <w:t xml:space="preserve">nger, DL 1982. </w:t>
      </w:r>
      <w:r w:rsidR="00751C28">
        <w:rPr>
          <w:noProof/>
        </w:rPr>
        <w:t>‘</w:t>
      </w:r>
      <w:r>
        <w:rPr>
          <w:noProof/>
        </w:rPr>
        <w:t>Marginal cost and sea</w:t>
      </w:r>
      <w:r w:rsidR="00733D0D">
        <w:rPr>
          <w:noProof/>
        </w:rPr>
        <w:t>sonal pricing of water service</w:t>
      </w:r>
      <w:r w:rsidR="00751C28">
        <w:rPr>
          <w:noProof/>
        </w:rPr>
        <w:t>’</w:t>
      </w:r>
      <w:r w:rsidR="00733D0D">
        <w:rPr>
          <w:noProof/>
        </w:rPr>
        <w:t>.</w:t>
      </w:r>
      <w:r>
        <w:rPr>
          <w:noProof/>
        </w:rPr>
        <w:t xml:space="preserve"> </w:t>
      </w:r>
      <w:r w:rsidRPr="00B55183">
        <w:rPr>
          <w:i/>
          <w:noProof/>
        </w:rPr>
        <w:t>Journal of the American Water Works Association</w:t>
      </w:r>
      <w:r w:rsidR="00733D0D">
        <w:rPr>
          <w:noProof/>
        </w:rPr>
        <w:t>. 74, 6–</w:t>
      </w:r>
      <w:r>
        <w:rPr>
          <w:noProof/>
        </w:rPr>
        <w:t>11.</w:t>
      </w:r>
      <w:bookmarkEnd w:id="276"/>
    </w:p>
    <w:p w:rsidR="0065431C" w:rsidRDefault="00BC5669" w:rsidP="0065431C">
      <w:pPr>
        <w:pStyle w:val="References"/>
        <w:rPr>
          <w:noProof/>
        </w:rPr>
      </w:pPr>
      <w:bookmarkStart w:id="277" w:name="_ENREF_60"/>
      <w:r>
        <w:rPr>
          <w:noProof/>
        </w:rPr>
        <w:t xml:space="preserve">Marsden Jacob Associates 2004. </w:t>
      </w:r>
      <w:r w:rsidR="0065431C" w:rsidRPr="00751C28">
        <w:rPr>
          <w:i/>
          <w:noProof/>
        </w:rPr>
        <w:t>Estimation of Lo</w:t>
      </w:r>
      <w:r w:rsidR="00751C28">
        <w:rPr>
          <w:i/>
          <w:noProof/>
        </w:rPr>
        <w:t>ng Run Marginal Cost (LRMC): A R</w:t>
      </w:r>
      <w:r w:rsidR="0065431C" w:rsidRPr="00751C28">
        <w:rPr>
          <w:i/>
          <w:noProof/>
        </w:rPr>
        <w:t xml:space="preserve">eport </w:t>
      </w:r>
      <w:r w:rsidR="00751C28">
        <w:rPr>
          <w:i/>
          <w:noProof/>
        </w:rPr>
        <w:t>P</w:t>
      </w:r>
      <w:r w:rsidR="0065431C" w:rsidRPr="00751C28">
        <w:rPr>
          <w:i/>
          <w:noProof/>
        </w:rPr>
        <w:t>repared for the Queensland Competition A</w:t>
      </w:r>
      <w:r w:rsidRPr="00751C28">
        <w:rPr>
          <w:i/>
          <w:noProof/>
        </w:rPr>
        <w:t>uthority</w:t>
      </w:r>
      <w:r>
        <w:rPr>
          <w:noProof/>
        </w:rPr>
        <w:t>.</w:t>
      </w:r>
      <w:r w:rsidR="0065431C">
        <w:rPr>
          <w:noProof/>
        </w:rPr>
        <w:t xml:space="preserve"> Brisbane.</w:t>
      </w:r>
      <w:bookmarkEnd w:id="277"/>
    </w:p>
    <w:p w:rsidR="0065431C" w:rsidRDefault="0065431C" w:rsidP="0065431C">
      <w:pPr>
        <w:pStyle w:val="References"/>
        <w:rPr>
          <w:noProof/>
        </w:rPr>
      </w:pPr>
      <w:bookmarkStart w:id="278" w:name="_ENREF_61"/>
      <w:r>
        <w:rPr>
          <w:noProof/>
        </w:rPr>
        <w:t xml:space="preserve">Mas-Colell, A, Whinston, MD and Green, JR 1995. </w:t>
      </w:r>
      <w:r w:rsidRPr="00B55183">
        <w:rPr>
          <w:i/>
          <w:noProof/>
        </w:rPr>
        <w:t>Microeconomic Theory</w:t>
      </w:r>
      <w:r w:rsidR="00751C28">
        <w:rPr>
          <w:noProof/>
        </w:rPr>
        <w:t>.</w:t>
      </w:r>
      <w:r w:rsidRPr="00B55183">
        <w:rPr>
          <w:i/>
          <w:noProof/>
        </w:rPr>
        <w:t xml:space="preserve"> </w:t>
      </w:r>
      <w:r w:rsidR="00751C28">
        <w:rPr>
          <w:noProof/>
        </w:rPr>
        <w:t>New York:</w:t>
      </w:r>
      <w:r>
        <w:rPr>
          <w:noProof/>
        </w:rPr>
        <w:t xml:space="preserve"> Oxford Economic Press.</w:t>
      </w:r>
      <w:bookmarkEnd w:id="278"/>
    </w:p>
    <w:p w:rsidR="0065431C" w:rsidRDefault="00BC5669" w:rsidP="0065431C">
      <w:pPr>
        <w:pStyle w:val="References"/>
        <w:rPr>
          <w:noProof/>
        </w:rPr>
      </w:pPr>
      <w:bookmarkStart w:id="279" w:name="_ENREF_62"/>
      <w:r>
        <w:rPr>
          <w:noProof/>
        </w:rPr>
        <w:t xml:space="preserve">NERA 2014. </w:t>
      </w:r>
      <w:r w:rsidR="0065431C" w:rsidRPr="00751C28">
        <w:rPr>
          <w:i/>
          <w:noProof/>
        </w:rPr>
        <w:t>Economic Concepts for Pricing Electricity Network Services: A Report for the Austr</w:t>
      </w:r>
      <w:r w:rsidRPr="00751C28">
        <w:rPr>
          <w:i/>
          <w:noProof/>
        </w:rPr>
        <w:t>alian Energy Market Commission</w:t>
      </w:r>
      <w:r>
        <w:rPr>
          <w:noProof/>
        </w:rPr>
        <w:t>.</w:t>
      </w:r>
      <w:r w:rsidR="0065431C">
        <w:rPr>
          <w:noProof/>
        </w:rPr>
        <w:t xml:space="preserve"> Melbourne: NERA Economic Consulting.</w:t>
      </w:r>
      <w:bookmarkEnd w:id="279"/>
    </w:p>
    <w:p w:rsidR="0065431C" w:rsidRDefault="00BC5669" w:rsidP="0065431C">
      <w:pPr>
        <w:pStyle w:val="References"/>
        <w:rPr>
          <w:noProof/>
        </w:rPr>
      </w:pPr>
      <w:bookmarkStart w:id="280" w:name="_ENREF_63"/>
      <w:r>
        <w:rPr>
          <w:noProof/>
        </w:rPr>
        <w:t xml:space="preserve">Nieswiadomy, ML 1992. </w:t>
      </w:r>
      <w:r w:rsidR="00751C28">
        <w:rPr>
          <w:noProof/>
        </w:rPr>
        <w:t>‘</w:t>
      </w:r>
      <w:r w:rsidR="0065431C">
        <w:rPr>
          <w:noProof/>
        </w:rPr>
        <w:t>Estimating urban residential water demand: Effects of price structur</w:t>
      </w:r>
      <w:r>
        <w:rPr>
          <w:noProof/>
        </w:rPr>
        <w:t>e, conservation, and education</w:t>
      </w:r>
      <w:r w:rsidR="00751C28">
        <w:rPr>
          <w:noProof/>
        </w:rPr>
        <w:t>’</w:t>
      </w:r>
      <w:r>
        <w:rPr>
          <w:noProof/>
        </w:rPr>
        <w:t>.</w:t>
      </w:r>
      <w:r w:rsidR="0065431C">
        <w:rPr>
          <w:noProof/>
        </w:rPr>
        <w:t xml:space="preserve"> </w:t>
      </w:r>
      <w:r w:rsidR="0065431C" w:rsidRPr="00B55183">
        <w:rPr>
          <w:i/>
          <w:noProof/>
        </w:rPr>
        <w:t>Water Resources Research</w:t>
      </w:r>
      <w:r w:rsidR="0065431C">
        <w:rPr>
          <w:noProof/>
        </w:rPr>
        <w:t>. 28, 609–615.</w:t>
      </w:r>
      <w:bookmarkEnd w:id="280"/>
    </w:p>
    <w:p w:rsidR="0065431C" w:rsidRDefault="0065431C" w:rsidP="0065431C">
      <w:pPr>
        <w:pStyle w:val="References"/>
        <w:rPr>
          <w:noProof/>
        </w:rPr>
      </w:pPr>
      <w:bookmarkStart w:id="281" w:name="_ENREF_64"/>
      <w:r>
        <w:rPr>
          <w:noProof/>
        </w:rPr>
        <w:t>Nieswi</w:t>
      </w:r>
      <w:r w:rsidR="00BC5669">
        <w:rPr>
          <w:noProof/>
        </w:rPr>
        <w:t xml:space="preserve">adomy, ML and Molina, DJ 1991. </w:t>
      </w:r>
      <w:r w:rsidR="00751C28">
        <w:rPr>
          <w:noProof/>
        </w:rPr>
        <w:t>‘A n</w:t>
      </w:r>
      <w:r>
        <w:rPr>
          <w:noProof/>
        </w:rPr>
        <w:t xml:space="preserve">ote on </w:t>
      </w:r>
      <w:r w:rsidR="00751C28">
        <w:rPr>
          <w:noProof/>
        </w:rPr>
        <w:t>price p</w:t>
      </w:r>
      <w:r>
        <w:rPr>
          <w:noProof/>
        </w:rPr>
        <w:t>ercept</w:t>
      </w:r>
      <w:r w:rsidR="00751C28">
        <w:rPr>
          <w:noProof/>
        </w:rPr>
        <w:t>ion in water demand m</w:t>
      </w:r>
      <w:r w:rsidR="00BC5669">
        <w:rPr>
          <w:noProof/>
        </w:rPr>
        <w:t>odels</w:t>
      </w:r>
      <w:r w:rsidR="00751C28">
        <w:rPr>
          <w:noProof/>
        </w:rPr>
        <w:t>’</w:t>
      </w:r>
      <w:r w:rsidR="00BC5669">
        <w:rPr>
          <w:noProof/>
        </w:rPr>
        <w:t>.</w:t>
      </w:r>
      <w:r>
        <w:rPr>
          <w:noProof/>
        </w:rPr>
        <w:t xml:space="preserve"> </w:t>
      </w:r>
      <w:r w:rsidRPr="00B55183">
        <w:rPr>
          <w:i/>
          <w:noProof/>
        </w:rPr>
        <w:t>Land Economics</w:t>
      </w:r>
      <w:r>
        <w:rPr>
          <w:noProof/>
        </w:rPr>
        <w:t>. 67, 352</w:t>
      </w:r>
      <w:r w:rsidR="00BC5669">
        <w:rPr>
          <w:noProof/>
        </w:rPr>
        <w:t>–</w:t>
      </w:r>
      <w:r>
        <w:rPr>
          <w:noProof/>
        </w:rPr>
        <w:t>359.</w:t>
      </w:r>
      <w:bookmarkEnd w:id="281"/>
    </w:p>
    <w:p w:rsidR="0065431C" w:rsidRDefault="00BC5669" w:rsidP="0065431C">
      <w:pPr>
        <w:pStyle w:val="References"/>
        <w:rPr>
          <w:noProof/>
        </w:rPr>
      </w:pPr>
      <w:bookmarkStart w:id="282" w:name="_ENREF_65"/>
      <w:r>
        <w:rPr>
          <w:noProof/>
        </w:rPr>
        <w:t xml:space="preserve">NRMMC 2010. </w:t>
      </w:r>
      <w:r w:rsidR="0065431C" w:rsidRPr="00751C28">
        <w:rPr>
          <w:i/>
          <w:noProof/>
        </w:rPr>
        <w:t>National Water</w:t>
      </w:r>
      <w:r w:rsidRPr="00751C28">
        <w:rPr>
          <w:i/>
          <w:noProof/>
        </w:rPr>
        <w:t xml:space="preserve"> Initiative Pricing Principles</w:t>
      </w:r>
      <w:r>
        <w:rPr>
          <w:noProof/>
        </w:rPr>
        <w:t>.</w:t>
      </w:r>
      <w:r w:rsidR="0065431C">
        <w:rPr>
          <w:noProof/>
        </w:rPr>
        <w:t xml:space="preserve"> Canberra: Natural Resource Management Ministerial Council</w:t>
      </w:r>
      <w:bookmarkEnd w:id="282"/>
      <w:r>
        <w:rPr>
          <w:noProof/>
        </w:rPr>
        <w:t>.</w:t>
      </w:r>
    </w:p>
    <w:p w:rsidR="0065431C" w:rsidRDefault="00BC5669" w:rsidP="0065431C">
      <w:pPr>
        <w:pStyle w:val="References"/>
        <w:rPr>
          <w:noProof/>
        </w:rPr>
      </w:pPr>
      <w:bookmarkStart w:id="283" w:name="_ENREF_66"/>
      <w:r>
        <w:rPr>
          <w:noProof/>
        </w:rPr>
        <w:t xml:space="preserve">NWC 2011a. </w:t>
      </w:r>
      <w:r w:rsidR="00751C28" w:rsidRPr="00751C28">
        <w:rPr>
          <w:i/>
          <w:noProof/>
        </w:rPr>
        <w:t>Efficient Water Resource Pricing in Australia: An Assessment of Administered S</w:t>
      </w:r>
      <w:r w:rsidRPr="00751C28">
        <w:rPr>
          <w:i/>
          <w:noProof/>
        </w:rPr>
        <w:t xml:space="preserve">carcity </w:t>
      </w:r>
      <w:r w:rsidR="00751C28" w:rsidRPr="00751C28">
        <w:rPr>
          <w:i/>
          <w:noProof/>
        </w:rPr>
        <w:t>Pricing in Urban A</w:t>
      </w:r>
      <w:r w:rsidRPr="00751C28">
        <w:rPr>
          <w:i/>
          <w:noProof/>
        </w:rPr>
        <w:t>reas</w:t>
      </w:r>
      <w:r>
        <w:rPr>
          <w:noProof/>
        </w:rPr>
        <w:t>.</w:t>
      </w:r>
      <w:r w:rsidR="0065431C">
        <w:rPr>
          <w:noProof/>
        </w:rPr>
        <w:t xml:space="preserve"> Canberra: National Water Commission.</w:t>
      </w:r>
      <w:bookmarkEnd w:id="283"/>
    </w:p>
    <w:p w:rsidR="0065431C" w:rsidRDefault="00BC5669" w:rsidP="0065431C">
      <w:pPr>
        <w:pStyle w:val="References"/>
        <w:rPr>
          <w:noProof/>
        </w:rPr>
      </w:pPr>
      <w:bookmarkStart w:id="284" w:name="_ENREF_67"/>
      <w:r>
        <w:rPr>
          <w:noProof/>
        </w:rPr>
        <w:t xml:space="preserve">NWC 2011b. </w:t>
      </w:r>
      <w:r w:rsidR="00751C28" w:rsidRPr="00751C28">
        <w:rPr>
          <w:i/>
          <w:noProof/>
        </w:rPr>
        <w:t>Review of Pricing R</w:t>
      </w:r>
      <w:r w:rsidR="0065431C" w:rsidRPr="00751C28">
        <w:rPr>
          <w:i/>
          <w:noProof/>
        </w:rPr>
        <w:t xml:space="preserve">eform </w:t>
      </w:r>
      <w:r w:rsidRPr="00751C28">
        <w:rPr>
          <w:i/>
          <w:noProof/>
        </w:rPr>
        <w:t xml:space="preserve">in the Australian </w:t>
      </w:r>
      <w:r w:rsidR="00751C28" w:rsidRPr="00751C28">
        <w:rPr>
          <w:i/>
          <w:noProof/>
        </w:rPr>
        <w:t>Water S</w:t>
      </w:r>
      <w:r w:rsidRPr="00751C28">
        <w:rPr>
          <w:i/>
          <w:noProof/>
        </w:rPr>
        <w:t>ector</w:t>
      </w:r>
      <w:r>
        <w:rPr>
          <w:noProof/>
        </w:rPr>
        <w:t>.</w:t>
      </w:r>
      <w:r w:rsidR="0065431C">
        <w:rPr>
          <w:noProof/>
        </w:rPr>
        <w:t xml:space="preserve"> Canberra: National Water Commission.</w:t>
      </w:r>
      <w:bookmarkEnd w:id="284"/>
    </w:p>
    <w:p w:rsidR="0065431C" w:rsidRDefault="00BC5669" w:rsidP="0065431C">
      <w:pPr>
        <w:pStyle w:val="References"/>
        <w:rPr>
          <w:noProof/>
        </w:rPr>
      </w:pPr>
      <w:bookmarkStart w:id="285" w:name="_ENREF_68"/>
      <w:r>
        <w:rPr>
          <w:noProof/>
        </w:rPr>
        <w:t xml:space="preserve">OTTER 2015. </w:t>
      </w:r>
      <w:r w:rsidR="0065431C" w:rsidRPr="00751C28">
        <w:rPr>
          <w:i/>
          <w:noProof/>
        </w:rPr>
        <w:t>2015 Pri</w:t>
      </w:r>
      <w:r w:rsidR="00C3310E" w:rsidRPr="00751C28">
        <w:rPr>
          <w:i/>
          <w:noProof/>
        </w:rPr>
        <w:t xml:space="preserve">ce Detrmination Investigation – </w:t>
      </w:r>
      <w:r w:rsidR="00751C28" w:rsidRPr="00751C28">
        <w:rPr>
          <w:i/>
          <w:noProof/>
        </w:rPr>
        <w:t>Regulated Water and Sewerage S</w:t>
      </w:r>
      <w:r w:rsidR="0065431C" w:rsidRPr="00751C28">
        <w:rPr>
          <w:i/>
          <w:noProof/>
        </w:rPr>
        <w:t>erv</w:t>
      </w:r>
      <w:r w:rsidR="00751C28" w:rsidRPr="00751C28">
        <w:rPr>
          <w:i/>
          <w:noProof/>
        </w:rPr>
        <w:t>ices in Tasmania: Final R</w:t>
      </w:r>
      <w:r w:rsidRPr="00751C28">
        <w:rPr>
          <w:i/>
          <w:noProof/>
        </w:rPr>
        <w:t>eport</w:t>
      </w:r>
      <w:r w:rsidR="0065431C">
        <w:rPr>
          <w:noProof/>
        </w:rPr>
        <w:t>. Hobart: Office of the Tasmanian Economic Regulator.</w:t>
      </w:r>
      <w:bookmarkEnd w:id="285"/>
    </w:p>
    <w:p w:rsidR="0065431C" w:rsidRDefault="0065431C" w:rsidP="0065431C">
      <w:pPr>
        <w:pStyle w:val="References"/>
        <w:rPr>
          <w:noProof/>
        </w:rPr>
      </w:pPr>
      <w:bookmarkStart w:id="286" w:name="_ENREF_69"/>
      <w:r>
        <w:rPr>
          <w:noProof/>
        </w:rPr>
        <w:t xml:space="preserve">Productivity Commission 2011. </w:t>
      </w:r>
      <w:r w:rsidRPr="00B55183">
        <w:rPr>
          <w:i/>
          <w:noProof/>
        </w:rPr>
        <w:t>Australia’s Urban Water Sector</w:t>
      </w:r>
      <w:r w:rsidR="00751C28">
        <w:rPr>
          <w:noProof/>
        </w:rPr>
        <w:t>. Report n</w:t>
      </w:r>
      <w:r>
        <w:rPr>
          <w:noProof/>
        </w:rPr>
        <w:t>o. 55, Fin</w:t>
      </w:r>
      <w:r w:rsidR="00751C28">
        <w:rPr>
          <w:noProof/>
        </w:rPr>
        <w:t>al Inquiry Report, v</w:t>
      </w:r>
      <w:r>
        <w:rPr>
          <w:noProof/>
        </w:rPr>
        <w:t>ol</w:t>
      </w:r>
      <w:r w:rsidR="00751C28">
        <w:rPr>
          <w:noProof/>
        </w:rPr>
        <w:t>.</w:t>
      </w:r>
      <w:r>
        <w:rPr>
          <w:noProof/>
        </w:rPr>
        <w:t xml:space="preserve"> 1</w:t>
      </w:r>
      <w:r w:rsidR="00751C28">
        <w:rPr>
          <w:noProof/>
        </w:rPr>
        <w:t>.</w:t>
      </w:r>
      <w:r>
        <w:rPr>
          <w:noProof/>
        </w:rPr>
        <w:t xml:space="preserve"> </w:t>
      </w:r>
      <w:r w:rsidR="00751C28">
        <w:rPr>
          <w:noProof/>
        </w:rPr>
        <w:t xml:space="preserve">Canberra: </w:t>
      </w:r>
      <w:r>
        <w:rPr>
          <w:noProof/>
        </w:rPr>
        <w:t>Productivity Commission.</w:t>
      </w:r>
      <w:bookmarkEnd w:id="286"/>
    </w:p>
    <w:p w:rsidR="0065431C" w:rsidRDefault="00BC5669" w:rsidP="0065431C">
      <w:pPr>
        <w:pStyle w:val="References"/>
        <w:rPr>
          <w:noProof/>
        </w:rPr>
      </w:pPr>
      <w:bookmarkStart w:id="287" w:name="_ENREF_70"/>
      <w:r>
        <w:rPr>
          <w:noProof/>
        </w:rPr>
        <w:t xml:space="preserve">Ramsey, FP 1927. </w:t>
      </w:r>
      <w:r w:rsidR="00751C28">
        <w:rPr>
          <w:noProof/>
        </w:rPr>
        <w:t>‘A c</w:t>
      </w:r>
      <w:r w:rsidR="0065431C">
        <w:rPr>
          <w:noProof/>
        </w:rPr>
        <w:t>ontribu</w:t>
      </w:r>
      <w:r w:rsidR="00751C28">
        <w:rPr>
          <w:noProof/>
        </w:rPr>
        <w:t>tion to the theory of t</w:t>
      </w:r>
      <w:r>
        <w:rPr>
          <w:noProof/>
        </w:rPr>
        <w:t>axation</w:t>
      </w:r>
      <w:r w:rsidR="00751C28">
        <w:rPr>
          <w:noProof/>
        </w:rPr>
        <w:t>’</w:t>
      </w:r>
      <w:r>
        <w:rPr>
          <w:noProof/>
        </w:rPr>
        <w:t>.</w:t>
      </w:r>
      <w:r w:rsidR="0065431C">
        <w:rPr>
          <w:noProof/>
        </w:rPr>
        <w:t xml:space="preserve"> </w:t>
      </w:r>
      <w:r w:rsidR="0065431C" w:rsidRPr="00B55183">
        <w:rPr>
          <w:i/>
          <w:noProof/>
        </w:rPr>
        <w:t>The Economic Journal</w:t>
      </w:r>
      <w:r>
        <w:rPr>
          <w:noProof/>
        </w:rPr>
        <w:t>. 37, 47–</w:t>
      </w:r>
      <w:r w:rsidR="0065431C">
        <w:rPr>
          <w:noProof/>
        </w:rPr>
        <w:t>61.</w:t>
      </w:r>
      <w:bookmarkEnd w:id="287"/>
    </w:p>
    <w:p w:rsidR="0065431C" w:rsidRDefault="00BC5669" w:rsidP="0065431C">
      <w:pPr>
        <w:pStyle w:val="References"/>
        <w:rPr>
          <w:noProof/>
        </w:rPr>
      </w:pPr>
      <w:bookmarkStart w:id="288" w:name="_ENREF_71"/>
      <w:r>
        <w:rPr>
          <w:noProof/>
        </w:rPr>
        <w:t xml:space="preserve">SA Water 2015. </w:t>
      </w:r>
      <w:r w:rsidRPr="00751C28">
        <w:rPr>
          <w:i/>
          <w:noProof/>
        </w:rPr>
        <w:t>Fees and Charges Schedule 2015–16</w:t>
      </w:r>
      <w:r>
        <w:rPr>
          <w:noProof/>
        </w:rPr>
        <w:t>.</w:t>
      </w:r>
      <w:r w:rsidR="0065431C">
        <w:rPr>
          <w:noProof/>
        </w:rPr>
        <w:t xml:space="preserve"> Adelaide: South Australian Water Corporation.</w:t>
      </w:r>
      <w:bookmarkEnd w:id="288"/>
    </w:p>
    <w:p w:rsidR="0065431C" w:rsidRDefault="00BC5669" w:rsidP="0065431C">
      <w:pPr>
        <w:pStyle w:val="References"/>
        <w:rPr>
          <w:noProof/>
        </w:rPr>
      </w:pPr>
      <w:bookmarkStart w:id="289" w:name="_ENREF_72"/>
      <w:r>
        <w:rPr>
          <w:noProof/>
        </w:rPr>
        <w:t xml:space="preserve">Shin, J-S 1985. </w:t>
      </w:r>
      <w:r w:rsidR="00751C28">
        <w:rPr>
          <w:noProof/>
        </w:rPr>
        <w:t>‘</w:t>
      </w:r>
      <w:r w:rsidR="0065431C">
        <w:rPr>
          <w:noProof/>
        </w:rPr>
        <w:t>Perception of price whe</w:t>
      </w:r>
      <w:r w:rsidR="00751C28">
        <w:rPr>
          <w:noProof/>
        </w:rPr>
        <w:t>n price information is costly: E</w:t>
      </w:r>
      <w:r w:rsidR="0065431C">
        <w:rPr>
          <w:noProof/>
        </w:rPr>
        <w:t xml:space="preserve">vidence from </w:t>
      </w:r>
      <w:r>
        <w:rPr>
          <w:noProof/>
        </w:rPr>
        <w:t>residential electricity demand</w:t>
      </w:r>
      <w:r w:rsidR="00751C28">
        <w:rPr>
          <w:noProof/>
        </w:rPr>
        <w:t>’</w:t>
      </w:r>
      <w:r>
        <w:rPr>
          <w:noProof/>
        </w:rPr>
        <w:t>.</w:t>
      </w:r>
      <w:r w:rsidR="0065431C">
        <w:rPr>
          <w:noProof/>
        </w:rPr>
        <w:t xml:space="preserve"> </w:t>
      </w:r>
      <w:r w:rsidR="0065431C" w:rsidRPr="00B55183">
        <w:rPr>
          <w:i/>
          <w:noProof/>
        </w:rPr>
        <w:t>Review of Economics and Statistics</w:t>
      </w:r>
      <w:r w:rsidR="0065431C">
        <w:rPr>
          <w:noProof/>
        </w:rPr>
        <w:t>. 67, 591–598.</w:t>
      </w:r>
      <w:bookmarkEnd w:id="289"/>
    </w:p>
    <w:p w:rsidR="0065431C" w:rsidRDefault="00751C28" w:rsidP="0065431C">
      <w:pPr>
        <w:pStyle w:val="References"/>
        <w:rPr>
          <w:noProof/>
        </w:rPr>
      </w:pPr>
      <w:bookmarkStart w:id="290" w:name="_ENREF_73"/>
      <w:r>
        <w:rPr>
          <w:noProof/>
        </w:rPr>
        <w:t>Sibly, H 2006. ‘Urban water p</w:t>
      </w:r>
      <w:r w:rsidR="00BC5669">
        <w:rPr>
          <w:noProof/>
        </w:rPr>
        <w:t>ricing</w:t>
      </w:r>
      <w:r>
        <w:rPr>
          <w:noProof/>
        </w:rPr>
        <w:t>’</w:t>
      </w:r>
      <w:r w:rsidR="00BC5669">
        <w:rPr>
          <w:noProof/>
        </w:rPr>
        <w:t>.</w:t>
      </w:r>
      <w:r w:rsidR="0065431C">
        <w:rPr>
          <w:noProof/>
        </w:rPr>
        <w:t xml:space="preserve"> </w:t>
      </w:r>
      <w:r w:rsidR="0065431C" w:rsidRPr="00B55183">
        <w:rPr>
          <w:i/>
          <w:noProof/>
        </w:rPr>
        <w:t>Agenda</w:t>
      </w:r>
      <w:r w:rsidR="00BC5669">
        <w:rPr>
          <w:noProof/>
        </w:rPr>
        <w:t>. 13, 17–</w:t>
      </w:r>
      <w:r w:rsidR="0065431C">
        <w:rPr>
          <w:noProof/>
        </w:rPr>
        <w:t>30.</w:t>
      </w:r>
      <w:bookmarkEnd w:id="290"/>
    </w:p>
    <w:p w:rsidR="0065431C" w:rsidRDefault="0065431C" w:rsidP="0065431C">
      <w:pPr>
        <w:pStyle w:val="References"/>
        <w:rPr>
          <w:noProof/>
        </w:rPr>
      </w:pPr>
      <w:bookmarkStart w:id="291" w:name="_ENREF_74"/>
      <w:r>
        <w:rPr>
          <w:noProof/>
        </w:rPr>
        <w:t xml:space="preserve">Stigler, GJ 1966. </w:t>
      </w:r>
      <w:r w:rsidRPr="00B55183">
        <w:rPr>
          <w:i/>
          <w:noProof/>
        </w:rPr>
        <w:t>Theory of price</w:t>
      </w:r>
      <w:r w:rsidR="00816D57">
        <w:rPr>
          <w:noProof/>
        </w:rPr>
        <w:t>.</w:t>
      </w:r>
      <w:r w:rsidRPr="00B55183">
        <w:rPr>
          <w:i/>
          <w:noProof/>
        </w:rPr>
        <w:t xml:space="preserve"> </w:t>
      </w:r>
      <w:r w:rsidR="00751C28">
        <w:rPr>
          <w:noProof/>
        </w:rPr>
        <w:t xml:space="preserve">New York: </w:t>
      </w:r>
      <w:r>
        <w:rPr>
          <w:noProof/>
        </w:rPr>
        <w:t>Macmillan Company.</w:t>
      </w:r>
      <w:bookmarkEnd w:id="291"/>
    </w:p>
    <w:p w:rsidR="0065431C" w:rsidRDefault="0065431C" w:rsidP="0065431C">
      <w:pPr>
        <w:pStyle w:val="References"/>
        <w:rPr>
          <w:noProof/>
        </w:rPr>
      </w:pPr>
      <w:bookmarkStart w:id="292" w:name="_ENREF_75"/>
      <w:r>
        <w:rPr>
          <w:noProof/>
        </w:rPr>
        <w:t xml:space="preserve">Sydney </w:t>
      </w:r>
      <w:r w:rsidR="00BC5669">
        <w:rPr>
          <w:noProof/>
        </w:rPr>
        <w:t xml:space="preserve">Water 2011. </w:t>
      </w:r>
      <w:r w:rsidR="00751C28" w:rsidRPr="00751C28">
        <w:rPr>
          <w:i/>
          <w:noProof/>
        </w:rPr>
        <w:t>Policy: Funding Infrastructure to Service G</w:t>
      </w:r>
      <w:r w:rsidRPr="00751C28">
        <w:rPr>
          <w:i/>
          <w:noProof/>
        </w:rPr>
        <w:t>rowth</w:t>
      </w:r>
      <w:r>
        <w:rPr>
          <w:noProof/>
        </w:rPr>
        <w:t>. Sydney: Sydney Water</w:t>
      </w:r>
      <w:r w:rsidR="00751C28">
        <w:rPr>
          <w:noProof/>
        </w:rPr>
        <w:t xml:space="preserve"> Corporation</w:t>
      </w:r>
      <w:r>
        <w:rPr>
          <w:noProof/>
        </w:rPr>
        <w:t>.</w:t>
      </w:r>
      <w:bookmarkEnd w:id="292"/>
    </w:p>
    <w:p w:rsidR="0065431C" w:rsidRDefault="00AA37D8" w:rsidP="0065431C">
      <w:pPr>
        <w:pStyle w:val="References"/>
        <w:rPr>
          <w:noProof/>
        </w:rPr>
      </w:pPr>
      <w:bookmarkStart w:id="293" w:name="_ENREF_76"/>
      <w:r>
        <w:rPr>
          <w:noProof/>
        </w:rPr>
        <w:t xml:space="preserve">Sydney Water 2015a. </w:t>
      </w:r>
      <w:r w:rsidR="00751C28" w:rsidRPr="00751C28">
        <w:rPr>
          <w:i/>
          <w:noProof/>
        </w:rPr>
        <w:t>Commercial Customers: Trade W</w:t>
      </w:r>
      <w:r w:rsidR="0065431C" w:rsidRPr="00751C28">
        <w:rPr>
          <w:i/>
          <w:noProof/>
        </w:rPr>
        <w:t>astewate</w:t>
      </w:r>
      <w:r w:rsidR="00751C28" w:rsidRPr="00751C28">
        <w:rPr>
          <w:i/>
          <w:noProof/>
        </w:rPr>
        <w:t>r Fees and C</w:t>
      </w:r>
      <w:r w:rsidRPr="00751C28">
        <w:rPr>
          <w:i/>
          <w:noProof/>
        </w:rPr>
        <w:t>harges for 2015–16</w:t>
      </w:r>
      <w:r>
        <w:rPr>
          <w:noProof/>
        </w:rPr>
        <w:t>.</w:t>
      </w:r>
      <w:r w:rsidR="0065431C">
        <w:rPr>
          <w:noProof/>
        </w:rPr>
        <w:t xml:space="preserve"> Sydney: Sydney Water</w:t>
      </w:r>
      <w:r w:rsidR="00751C28">
        <w:rPr>
          <w:noProof/>
        </w:rPr>
        <w:t xml:space="preserve"> Corporation</w:t>
      </w:r>
      <w:r w:rsidR="0065431C">
        <w:rPr>
          <w:noProof/>
        </w:rPr>
        <w:t>.</w:t>
      </w:r>
      <w:bookmarkEnd w:id="293"/>
    </w:p>
    <w:p w:rsidR="0065431C" w:rsidRDefault="00AA37D8" w:rsidP="0065431C">
      <w:pPr>
        <w:pStyle w:val="References"/>
        <w:rPr>
          <w:noProof/>
        </w:rPr>
      </w:pPr>
      <w:bookmarkStart w:id="294" w:name="_ENREF_77"/>
      <w:r>
        <w:rPr>
          <w:noProof/>
        </w:rPr>
        <w:t xml:space="preserve">Sydney Water 2015b. </w:t>
      </w:r>
      <w:r w:rsidR="00751C28" w:rsidRPr="00751C28">
        <w:rPr>
          <w:i/>
          <w:noProof/>
        </w:rPr>
        <w:t>Prices for Your B</w:t>
      </w:r>
      <w:r w:rsidR="0065431C" w:rsidRPr="00751C28">
        <w:rPr>
          <w:i/>
          <w:noProof/>
        </w:rPr>
        <w:t>usines</w:t>
      </w:r>
      <w:r w:rsidRPr="00751C28">
        <w:rPr>
          <w:i/>
          <w:noProof/>
        </w:rPr>
        <w:t>s: 1 July 2015 to 30 June 2016</w:t>
      </w:r>
      <w:r w:rsidR="0065431C">
        <w:rPr>
          <w:noProof/>
        </w:rPr>
        <w:t>. Sydney: Sydney Water Corporation.</w:t>
      </w:r>
      <w:bookmarkEnd w:id="294"/>
    </w:p>
    <w:p w:rsidR="0065431C" w:rsidRDefault="00AA37D8" w:rsidP="0065431C">
      <w:pPr>
        <w:pStyle w:val="References"/>
        <w:rPr>
          <w:noProof/>
        </w:rPr>
      </w:pPr>
      <w:bookmarkStart w:id="295" w:name="_ENREF_78"/>
      <w:r>
        <w:rPr>
          <w:noProof/>
        </w:rPr>
        <w:t xml:space="preserve">Sydney Water 2015c. </w:t>
      </w:r>
      <w:r w:rsidR="00751C28" w:rsidRPr="00751C28">
        <w:rPr>
          <w:i/>
          <w:noProof/>
        </w:rPr>
        <w:t>Prices for Your H</w:t>
      </w:r>
      <w:r w:rsidR="0065431C" w:rsidRPr="00751C28">
        <w:rPr>
          <w:i/>
          <w:noProof/>
        </w:rPr>
        <w:t>om</w:t>
      </w:r>
      <w:r w:rsidRPr="00751C28">
        <w:rPr>
          <w:i/>
          <w:noProof/>
        </w:rPr>
        <w:t>e: 1 July 2015 to 30 June 2016</w:t>
      </w:r>
      <w:r w:rsidR="0065431C">
        <w:rPr>
          <w:noProof/>
        </w:rPr>
        <w:t>. Sydney: Sydney Water Corporation.</w:t>
      </w:r>
      <w:bookmarkEnd w:id="295"/>
    </w:p>
    <w:p w:rsidR="0065431C" w:rsidRDefault="00AA37D8" w:rsidP="0065431C">
      <w:pPr>
        <w:pStyle w:val="References"/>
        <w:rPr>
          <w:noProof/>
        </w:rPr>
      </w:pPr>
      <w:bookmarkStart w:id="296" w:name="_ENREF_79"/>
      <w:r>
        <w:rPr>
          <w:noProof/>
        </w:rPr>
        <w:t xml:space="preserve">TasWater 2015. </w:t>
      </w:r>
      <w:r w:rsidR="00751C28" w:rsidRPr="00751C28">
        <w:rPr>
          <w:i/>
          <w:noProof/>
        </w:rPr>
        <w:t>Price and S</w:t>
      </w:r>
      <w:r w:rsidR="004E4A2A" w:rsidRPr="00751C28">
        <w:rPr>
          <w:i/>
          <w:noProof/>
        </w:rPr>
        <w:t xml:space="preserve">ervice </w:t>
      </w:r>
      <w:r w:rsidR="00751C28" w:rsidRPr="00751C28">
        <w:rPr>
          <w:i/>
          <w:noProof/>
        </w:rPr>
        <w:t>P</w:t>
      </w:r>
      <w:r w:rsidR="004E4A2A" w:rsidRPr="00751C28">
        <w:rPr>
          <w:i/>
          <w:noProof/>
        </w:rPr>
        <w:t>lan 2015–</w:t>
      </w:r>
      <w:r w:rsidR="0065431C" w:rsidRPr="00751C28">
        <w:rPr>
          <w:i/>
          <w:noProof/>
        </w:rPr>
        <w:t>18</w:t>
      </w:r>
      <w:r w:rsidRPr="00751C28">
        <w:rPr>
          <w:i/>
          <w:noProof/>
        </w:rPr>
        <w:t>: Schedule of Fees and Charges</w:t>
      </w:r>
      <w:r>
        <w:rPr>
          <w:noProof/>
        </w:rPr>
        <w:t>.</w:t>
      </w:r>
      <w:r w:rsidR="0065431C">
        <w:rPr>
          <w:noProof/>
        </w:rPr>
        <w:t xml:space="preserve"> Hobart: TasWater.</w:t>
      </w:r>
      <w:bookmarkEnd w:id="296"/>
    </w:p>
    <w:p w:rsidR="0065431C" w:rsidRDefault="004E4A2A" w:rsidP="0065431C">
      <w:pPr>
        <w:pStyle w:val="References"/>
        <w:rPr>
          <w:noProof/>
        </w:rPr>
      </w:pPr>
      <w:bookmarkStart w:id="297" w:name="_ENREF_80"/>
      <w:r>
        <w:rPr>
          <w:noProof/>
        </w:rPr>
        <w:t xml:space="preserve">The Brattle Group 2014. </w:t>
      </w:r>
      <w:r w:rsidR="0065431C" w:rsidRPr="00751C28">
        <w:rPr>
          <w:i/>
          <w:noProof/>
        </w:rPr>
        <w:t>Structure of Electricity Distribution Network Tarif</w:t>
      </w:r>
      <w:r w:rsidRPr="00751C28">
        <w:rPr>
          <w:i/>
          <w:noProof/>
        </w:rPr>
        <w:t>fs: Recovery of Residual Costs</w:t>
      </w:r>
      <w:r>
        <w:rPr>
          <w:noProof/>
        </w:rPr>
        <w:t>.</w:t>
      </w:r>
      <w:r w:rsidR="0065431C">
        <w:rPr>
          <w:noProof/>
        </w:rPr>
        <w:t xml:space="preserve"> Sydney: Australian Energy Market Commission.</w:t>
      </w:r>
      <w:bookmarkEnd w:id="297"/>
    </w:p>
    <w:p w:rsidR="0065431C" w:rsidRDefault="0065431C" w:rsidP="0065431C">
      <w:pPr>
        <w:pStyle w:val="References"/>
        <w:rPr>
          <w:noProof/>
        </w:rPr>
      </w:pPr>
      <w:bookmarkStart w:id="298" w:name="_ENREF_81"/>
      <w:r>
        <w:rPr>
          <w:noProof/>
        </w:rPr>
        <w:t xml:space="preserve">Train, KE 1991. </w:t>
      </w:r>
      <w:r w:rsidRPr="00B55183">
        <w:rPr>
          <w:i/>
          <w:noProof/>
        </w:rPr>
        <w:t>Optimal Regulation: The Economic Theory of Natural Monopoly</w:t>
      </w:r>
      <w:r w:rsidR="00751C28">
        <w:rPr>
          <w:noProof/>
        </w:rPr>
        <w:t>.</w:t>
      </w:r>
      <w:r w:rsidRPr="00751C28">
        <w:rPr>
          <w:noProof/>
        </w:rPr>
        <w:t xml:space="preserve"> </w:t>
      </w:r>
      <w:r w:rsidR="00751C28">
        <w:rPr>
          <w:noProof/>
        </w:rPr>
        <w:t>London:</w:t>
      </w:r>
      <w:r>
        <w:rPr>
          <w:noProof/>
        </w:rPr>
        <w:t xml:space="preserve"> MIT Press.</w:t>
      </w:r>
      <w:bookmarkEnd w:id="298"/>
    </w:p>
    <w:p w:rsidR="0065431C" w:rsidRDefault="004E4A2A" w:rsidP="0065431C">
      <w:pPr>
        <w:pStyle w:val="References"/>
        <w:rPr>
          <w:noProof/>
        </w:rPr>
      </w:pPr>
      <w:bookmarkStart w:id="299" w:name="_ENREF_82"/>
      <w:r>
        <w:rPr>
          <w:noProof/>
        </w:rPr>
        <w:t xml:space="preserve">Turvey, R 1964. </w:t>
      </w:r>
      <w:r w:rsidR="00751C28">
        <w:rPr>
          <w:noProof/>
        </w:rPr>
        <w:t>‘</w:t>
      </w:r>
      <w:r w:rsidR="0065431C">
        <w:rPr>
          <w:noProof/>
        </w:rPr>
        <w:t>Mar</w:t>
      </w:r>
      <w:r>
        <w:rPr>
          <w:noProof/>
        </w:rPr>
        <w:t>ginal cost pricing in practice</w:t>
      </w:r>
      <w:r w:rsidR="00751C28">
        <w:rPr>
          <w:noProof/>
        </w:rPr>
        <w:t>’</w:t>
      </w:r>
      <w:r>
        <w:rPr>
          <w:noProof/>
        </w:rPr>
        <w:t>.</w:t>
      </w:r>
      <w:r w:rsidR="0065431C">
        <w:rPr>
          <w:noProof/>
        </w:rPr>
        <w:t xml:space="preserve"> </w:t>
      </w:r>
      <w:r w:rsidR="0065431C" w:rsidRPr="00B55183">
        <w:rPr>
          <w:i/>
          <w:noProof/>
        </w:rPr>
        <w:t>Economica</w:t>
      </w:r>
      <w:r>
        <w:rPr>
          <w:noProof/>
        </w:rPr>
        <w:t>. 31, 426–</w:t>
      </w:r>
      <w:r w:rsidR="0065431C">
        <w:rPr>
          <w:noProof/>
        </w:rPr>
        <w:t>432.</w:t>
      </w:r>
      <w:bookmarkEnd w:id="299"/>
    </w:p>
    <w:p w:rsidR="0065431C" w:rsidRDefault="004E4A2A" w:rsidP="0065431C">
      <w:pPr>
        <w:pStyle w:val="References"/>
        <w:rPr>
          <w:noProof/>
        </w:rPr>
      </w:pPr>
      <w:bookmarkStart w:id="300" w:name="_ENREF_83"/>
      <w:r>
        <w:rPr>
          <w:noProof/>
        </w:rPr>
        <w:t xml:space="preserve">Vickrey, W 1955. </w:t>
      </w:r>
      <w:r w:rsidR="00751C28">
        <w:rPr>
          <w:noProof/>
        </w:rPr>
        <w:t>‘</w:t>
      </w:r>
      <w:r w:rsidR="0065431C">
        <w:rPr>
          <w:noProof/>
        </w:rPr>
        <w:t>Some implications of marginal cost pricing for</w:t>
      </w:r>
      <w:r>
        <w:rPr>
          <w:noProof/>
        </w:rPr>
        <w:t xml:space="preserve"> utilities</w:t>
      </w:r>
      <w:r w:rsidR="00751C28">
        <w:rPr>
          <w:noProof/>
        </w:rPr>
        <w:t>’</w:t>
      </w:r>
      <w:r>
        <w:rPr>
          <w:noProof/>
        </w:rPr>
        <w:t>.</w:t>
      </w:r>
      <w:r w:rsidR="0065431C">
        <w:rPr>
          <w:noProof/>
        </w:rPr>
        <w:t xml:space="preserve"> </w:t>
      </w:r>
      <w:r w:rsidR="0065431C" w:rsidRPr="00B55183">
        <w:rPr>
          <w:i/>
          <w:noProof/>
        </w:rPr>
        <w:t>The American Economic Review</w:t>
      </w:r>
      <w:r>
        <w:rPr>
          <w:noProof/>
        </w:rPr>
        <w:t>. 45, 605–</w:t>
      </w:r>
      <w:r w:rsidR="0065431C">
        <w:rPr>
          <w:noProof/>
        </w:rPr>
        <w:t>620.</w:t>
      </w:r>
      <w:bookmarkEnd w:id="300"/>
    </w:p>
    <w:p w:rsidR="0065431C" w:rsidRDefault="004E4A2A" w:rsidP="0065431C">
      <w:pPr>
        <w:pStyle w:val="References"/>
        <w:rPr>
          <w:noProof/>
        </w:rPr>
      </w:pPr>
      <w:bookmarkStart w:id="301" w:name="_ENREF_84"/>
      <w:r>
        <w:rPr>
          <w:noProof/>
        </w:rPr>
        <w:t xml:space="preserve">Vohra, R 1990. </w:t>
      </w:r>
      <w:r w:rsidR="003F3435">
        <w:rPr>
          <w:noProof/>
        </w:rPr>
        <w:t>‘</w:t>
      </w:r>
      <w:r w:rsidR="0065431C">
        <w:rPr>
          <w:noProof/>
        </w:rPr>
        <w:t>On th</w:t>
      </w:r>
      <w:r w:rsidR="003F3435">
        <w:rPr>
          <w:noProof/>
        </w:rPr>
        <w:t>e i</w:t>
      </w:r>
      <w:r w:rsidR="0065431C">
        <w:rPr>
          <w:noProof/>
        </w:rPr>
        <w:t>n</w:t>
      </w:r>
      <w:r>
        <w:rPr>
          <w:noProof/>
        </w:rPr>
        <w:t xml:space="preserve">efficiency of </w:t>
      </w:r>
      <w:r w:rsidR="003F3435">
        <w:rPr>
          <w:noProof/>
        </w:rPr>
        <w:t>two-part t</w:t>
      </w:r>
      <w:r>
        <w:rPr>
          <w:noProof/>
        </w:rPr>
        <w:t>ariffs</w:t>
      </w:r>
      <w:r w:rsidR="003F3435">
        <w:rPr>
          <w:noProof/>
        </w:rPr>
        <w:t>’</w:t>
      </w:r>
      <w:r>
        <w:rPr>
          <w:noProof/>
        </w:rPr>
        <w:t>.</w:t>
      </w:r>
      <w:r w:rsidR="0065431C">
        <w:rPr>
          <w:noProof/>
        </w:rPr>
        <w:t xml:space="preserve"> </w:t>
      </w:r>
      <w:r w:rsidR="0065431C" w:rsidRPr="00B55183">
        <w:rPr>
          <w:i/>
          <w:noProof/>
        </w:rPr>
        <w:t>The Review of Economic Studies</w:t>
      </w:r>
      <w:r>
        <w:rPr>
          <w:noProof/>
        </w:rPr>
        <w:t>. 57, 415–</w:t>
      </w:r>
      <w:r w:rsidR="0065431C">
        <w:rPr>
          <w:noProof/>
        </w:rPr>
        <w:t>438.</w:t>
      </w:r>
      <w:bookmarkEnd w:id="301"/>
    </w:p>
    <w:p w:rsidR="0065431C" w:rsidRDefault="0065431C" w:rsidP="0065431C">
      <w:pPr>
        <w:pStyle w:val="References"/>
        <w:rPr>
          <w:noProof/>
        </w:rPr>
      </w:pPr>
      <w:bookmarkStart w:id="302" w:name="_ENREF_85"/>
      <w:r>
        <w:rPr>
          <w:noProof/>
        </w:rPr>
        <w:t>Waddams, C, C</w:t>
      </w:r>
      <w:r w:rsidR="004E4A2A">
        <w:rPr>
          <w:noProof/>
        </w:rPr>
        <w:t xml:space="preserve">layton, K and Webster, K 2011. </w:t>
      </w:r>
      <w:r w:rsidR="003F3435" w:rsidRPr="003F3435">
        <w:rPr>
          <w:i/>
          <w:noProof/>
        </w:rPr>
        <w:t>Benefits and Costs of Introducing Tariff Choice in U</w:t>
      </w:r>
      <w:r w:rsidR="004E4A2A" w:rsidRPr="003F3435">
        <w:rPr>
          <w:i/>
          <w:noProof/>
        </w:rPr>
        <w:t>ncon</w:t>
      </w:r>
      <w:r w:rsidR="003F3435" w:rsidRPr="003F3435">
        <w:rPr>
          <w:i/>
          <w:noProof/>
        </w:rPr>
        <w:t>tested Markets:</w:t>
      </w:r>
      <w:r w:rsidR="00C3310E" w:rsidRPr="003F3435">
        <w:rPr>
          <w:i/>
          <w:noProof/>
        </w:rPr>
        <w:t xml:space="preserve"> </w:t>
      </w:r>
      <w:r w:rsidR="004E4A2A" w:rsidRPr="003F3435">
        <w:rPr>
          <w:i/>
          <w:noProof/>
        </w:rPr>
        <w:t>A Report for Ofwat</w:t>
      </w:r>
      <w:r w:rsidR="004E4A2A">
        <w:rPr>
          <w:noProof/>
        </w:rPr>
        <w:t>.</w:t>
      </w:r>
      <w:r>
        <w:rPr>
          <w:noProof/>
        </w:rPr>
        <w:t xml:space="preserve"> United Kingdom: Ofwat.</w:t>
      </w:r>
      <w:bookmarkEnd w:id="302"/>
    </w:p>
    <w:p w:rsidR="0065431C" w:rsidRDefault="0065431C" w:rsidP="0065431C">
      <w:pPr>
        <w:pStyle w:val="References"/>
        <w:rPr>
          <w:noProof/>
        </w:rPr>
      </w:pPr>
      <w:bookmarkStart w:id="303" w:name="_ENREF_86"/>
      <w:r>
        <w:rPr>
          <w:noProof/>
        </w:rPr>
        <w:t xml:space="preserve">Wilson, CM and Waddams Price, C 2010. </w:t>
      </w:r>
      <w:r w:rsidR="003F3435">
        <w:rPr>
          <w:noProof/>
        </w:rPr>
        <w:t>‘</w:t>
      </w:r>
      <w:r>
        <w:rPr>
          <w:noProof/>
        </w:rPr>
        <w:t>Do consume</w:t>
      </w:r>
      <w:r w:rsidR="004E4A2A">
        <w:rPr>
          <w:noProof/>
        </w:rPr>
        <w:t>rs switch to the best supplier?</w:t>
      </w:r>
      <w:r w:rsidR="003F3435">
        <w:rPr>
          <w:noProof/>
        </w:rPr>
        <w:t>’</w:t>
      </w:r>
      <w:r>
        <w:rPr>
          <w:noProof/>
        </w:rPr>
        <w:t xml:space="preserve"> </w:t>
      </w:r>
      <w:r w:rsidRPr="00B55183">
        <w:rPr>
          <w:i/>
          <w:noProof/>
        </w:rPr>
        <w:t>Oxford Economic Papers</w:t>
      </w:r>
      <w:r w:rsidR="004E4A2A">
        <w:rPr>
          <w:noProof/>
        </w:rPr>
        <w:t>. 62, 647–</w:t>
      </w:r>
      <w:r>
        <w:rPr>
          <w:noProof/>
        </w:rPr>
        <w:t>668.</w:t>
      </w:r>
      <w:bookmarkEnd w:id="303"/>
    </w:p>
    <w:p w:rsidR="00A21DDD" w:rsidRDefault="00A7215E" w:rsidP="004E4A2A">
      <w:pPr>
        <w:pStyle w:val="References"/>
        <w:ind w:left="0" w:firstLine="0"/>
      </w:pPr>
      <w:r w:rsidRPr="001D57A3">
        <w:fldChar w:fldCharType="begin"/>
      </w:r>
      <w:r w:rsidR="00D92B9C" w:rsidRPr="001D57A3">
        <w:instrText xml:space="preserve"> ADDIN EN.REFLIST </w:instrText>
      </w:r>
      <w:r w:rsidRPr="001D57A3">
        <w:fldChar w:fldCharType="end"/>
      </w:r>
    </w:p>
    <w:sectPr w:rsidR="00A21DDD" w:rsidSect="00FD0141">
      <w:headerReference w:type="even" r:id="rId77"/>
      <w:headerReference w:type="default" r:id="rId78"/>
      <w:endnotePr>
        <w:numFmt w:val="decimal"/>
      </w:endnotePr>
      <w:type w:val="continuous"/>
      <w:pgSz w:w="11907" w:h="16840" w:code="9"/>
      <w:pgMar w:top="2268" w:right="2098" w:bottom="1701" w:left="2098" w:header="578" w:footer="578" w:gutter="0"/>
      <w:cols w:space="720"/>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F82DBC7" w15:done="0"/>
  <w15:commentEx w15:paraId="4746DD15" w15:done="0"/>
  <w15:commentEx w15:paraId="14E23B5C" w15:done="0"/>
  <w15:commentEx w15:paraId="15AF6C22" w15:done="0"/>
  <w15:commentEx w15:paraId="2D691978" w15:done="0"/>
  <w15:commentEx w15:paraId="68787508" w15:done="0"/>
  <w15:commentEx w15:paraId="4804009D" w15:done="0"/>
  <w15:commentEx w15:paraId="01DF11E7" w15:done="0"/>
  <w15:commentEx w15:paraId="485740C5" w15:done="0"/>
  <w15:commentEx w15:paraId="5089824D" w15:done="0"/>
  <w15:commentEx w15:paraId="4775EF14" w15:done="0"/>
  <w15:commentEx w15:paraId="48EBF7E1" w15:done="0"/>
  <w15:commentEx w15:paraId="500E8A8E" w15:done="0"/>
  <w15:commentEx w15:paraId="3AA5603B" w15:done="0"/>
  <w15:commentEx w15:paraId="139C8119" w15:done="0"/>
  <w15:commentEx w15:paraId="33CFADE4" w15:done="0"/>
  <w15:commentEx w15:paraId="66287AE6" w15:done="0"/>
  <w15:commentEx w15:paraId="65B1EFB8" w15:done="0"/>
  <w15:commentEx w15:paraId="2F10F373" w15:done="0"/>
  <w15:commentEx w15:paraId="5E9518F7" w15:done="0"/>
  <w15:commentEx w15:paraId="73B472D1" w15:done="0"/>
  <w15:commentEx w15:paraId="375FCC33" w15:done="0"/>
  <w15:commentEx w15:paraId="0C43A221" w15:done="0"/>
  <w15:commentEx w15:paraId="64CB8894" w15:done="0"/>
  <w15:commentEx w15:paraId="13F2E576" w15:done="0"/>
  <w15:commentEx w15:paraId="0AAC752C" w15:done="0"/>
  <w15:commentEx w15:paraId="70FE596A" w15:done="0"/>
  <w15:commentEx w15:paraId="5093871E" w15:done="0"/>
  <w15:commentEx w15:paraId="02AD32E1" w15:done="0"/>
  <w15:commentEx w15:paraId="0C64A7A0" w15:done="0"/>
  <w15:commentEx w15:paraId="5381DF23" w15:done="0"/>
  <w15:commentEx w15:paraId="2CB8BF18" w15:done="0"/>
  <w15:commentEx w15:paraId="3D558BB5" w15:done="0"/>
  <w15:commentEx w15:paraId="6CD49249" w15:done="0"/>
  <w15:commentEx w15:paraId="397994D5" w15:done="0"/>
  <w15:commentEx w15:paraId="4D2B95FC" w15:done="0"/>
  <w15:commentEx w15:paraId="47B80800" w15:done="0"/>
  <w15:commentEx w15:paraId="285A9934" w15:done="0"/>
  <w15:commentEx w15:paraId="23AFFAEA" w15:done="0"/>
  <w15:commentEx w15:paraId="6777FA3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5ACF" w:rsidRDefault="00705ACF" w:rsidP="00474ECC">
      <w:pPr>
        <w:spacing w:after="0" w:line="240" w:lineRule="auto"/>
      </w:pPr>
      <w:r>
        <w:separator/>
      </w:r>
    </w:p>
    <w:p w:rsidR="00705ACF" w:rsidRDefault="00705ACF"/>
  </w:endnote>
  <w:endnote w:type="continuationSeparator" w:id="0">
    <w:p w:rsidR="00705ACF" w:rsidRDefault="00705ACF" w:rsidP="00474ECC">
      <w:pPr>
        <w:spacing w:after="0" w:line="240" w:lineRule="auto"/>
      </w:pPr>
      <w:r>
        <w:continuationSeparator/>
      </w:r>
    </w:p>
    <w:p w:rsidR="00705ACF" w:rsidRDefault="00705ACF"/>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00"/>
    <w:family w:val="modern"/>
    <w:pitch w:val="fixed"/>
    <w:sig w:usb0="E10002FF" w:usb1="4000FCFF" w:usb2="00000009"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889"/>
      <w:gridCol w:w="7038"/>
    </w:tblGrid>
    <w:tr w:rsidR="003766AB" w:rsidTr="00DE64FD">
      <w:tc>
        <w:tcPr>
          <w:tcW w:w="918" w:type="dxa"/>
          <w:vAlign w:val="center"/>
        </w:tcPr>
        <w:p w:rsidR="003766AB" w:rsidRDefault="00A7215E" w:rsidP="00DE64FD">
          <w:pPr>
            <w:pStyle w:val="Footer"/>
            <w:jc w:val="center"/>
            <w:rPr>
              <w:b/>
              <w:color w:val="4F81BD" w:themeColor="accent1"/>
              <w:sz w:val="32"/>
              <w:szCs w:val="32"/>
            </w:rPr>
          </w:pPr>
          <w:r w:rsidRPr="00A7215E">
            <w:fldChar w:fldCharType="begin"/>
          </w:r>
          <w:r w:rsidR="003766AB">
            <w:instrText xml:space="preserve"> PAGE   \* MERGEFORMAT </w:instrText>
          </w:r>
          <w:r w:rsidRPr="00A7215E">
            <w:fldChar w:fldCharType="separate"/>
          </w:r>
          <w:r w:rsidR="003766AB" w:rsidRPr="00CB1337">
            <w:rPr>
              <w:b/>
              <w:noProof/>
              <w:color w:val="4F81BD" w:themeColor="accent1"/>
              <w:sz w:val="32"/>
              <w:szCs w:val="32"/>
            </w:rPr>
            <w:t>106</w:t>
          </w:r>
          <w:r>
            <w:rPr>
              <w:b/>
              <w:noProof/>
              <w:color w:val="4F81BD" w:themeColor="accent1"/>
              <w:sz w:val="32"/>
              <w:szCs w:val="32"/>
            </w:rPr>
            <w:fldChar w:fldCharType="end"/>
          </w:r>
        </w:p>
      </w:tc>
      <w:tc>
        <w:tcPr>
          <w:tcW w:w="7938" w:type="dxa"/>
          <w:vAlign w:val="center"/>
        </w:tcPr>
        <w:p w:rsidR="003766AB" w:rsidRDefault="00A7215E" w:rsidP="00DE64FD">
          <w:pPr>
            <w:pStyle w:val="Footer"/>
            <w:ind w:left="-1134"/>
            <w:jc w:val="right"/>
          </w:pPr>
          <w:r>
            <w:rPr>
              <w:noProof/>
              <w:lang w:val="en-AU" w:eastAsia="en-AU"/>
            </w:rPr>
            <w:pict>
              <v:shapetype id="_x0000_t202" coordsize="21600,21600" o:spt="202" path="m,l,21600r21600,l21600,xe">
                <v:stroke joinstyle="miter"/>
                <v:path gradientshapeok="t" o:connecttype="rect"/>
              </v:shapetype>
              <v:shape id="Text Box 97" o:spid="_x0000_s2136" type="#_x0000_t202" style="position:absolute;left:0;text-align:left;margin-left:-3.4pt;margin-top:3.15pt;width:202.2pt;height:21.9pt;z-index:2517073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HRgwIAABE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" stroked="f">
                <v:textbox>
                  <w:txbxContent>
                    <w:p w:rsidR="003766AB" w:rsidRDefault="00A7215E" w:rsidP="00723FE5">
                      <w:pPr>
                        <w:pStyle w:val="Footer"/>
                        <w:ind w:left="-1134"/>
                        <w:jc w:val="both"/>
                      </w:pPr>
                      <w:fldSimple w:instr=" PAGE ">
                        <w:r w:rsidR="003766AB">
                          <w:rPr>
                            <w:noProof/>
                          </w:rPr>
                          <w:t>106</w:t>
                        </w:r>
                      </w:fldSimple>
                      <w:r w:rsidR="003766AB">
                        <w:t xml:space="preserve"> —&lt;Insert   </w:t>
                      </w:r>
                      <w:sdt>
                        <w:sdtPr>
                          <w:alias w:val="Title"/>
                          <w:id w:val="1290505120"/>
                          <w:dataBinding w:prefixMappings="xmlns:ns0='http://purl.org/dc/elements/1.1/' xmlns:ns1='http://schemas.openxmlformats.org/package/2006/metadata/core-properties' " w:xpath="/ns1:coreProperties[1]/ns0:title[1]" w:storeItemID="{6C3C8BC8-F283-45AE-878A-BAB7291924A1}"/>
                          <w:text/>
                        </w:sdtPr>
                        <w:sdtContent>
                          <w:r w:rsidR="00263424">
                            <w:rPr>
                              <w:lang w:val="en-AU"/>
                            </w:rPr>
                            <w:t>Regulated Water and Sewerage Services</w:t>
                          </w:r>
                        </w:sdtContent>
                      </w:sdt>
                    </w:p>
                    <w:p w:rsidR="003766AB" w:rsidRDefault="003766AB" w:rsidP="00723FE5"/>
                  </w:txbxContent>
                </v:textbox>
              </v:shape>
            </w:pict>
          </w:r>
          <w:r w:rsidR="003766AB" w:rsidRPr="00DE64FD">
            <w:rPr>
              <w:noProof/>
              <w:lang w:val="en-AU" w:eastAsia="en-AU"/>
            </w:rPr>
            <w:drawing>
              <wp:inline distT="0" distB="0" distL="0" distR="0">
                <wp:extent cx="1159470" cy="381693"/>
                <wp:effectExtent l="19050" t="0" r="2580" b="0"/>
                <wp:docPr id="22" name="Picture 7" descr="ICRC logo New 2011.jpg"/>
                <wp:cNvGraphicFramePr/>
                <a:graphic xmlns:a="http://schemas.openxmlformats.org/drawingml/2006/main">
                  <a:graphicData uri="http://schemas.openxmlformats.org/drawingml/2006/picture">
                    <pic:pic xmlns:pic="http://schemas.openxmlformats.org/drawingml/2006/picture">
                      <pic:nvPicPr>
                        <pic:cNvPr id="0" name="Picture 0" descr="ICRC logo New 2011.jpg"/>
                        <pic:cNvPicPr>
                          <a:picLocks noChangeAspect="1" noChangeArrowheads="1"/>
                        </pic:cNvPicPr>
                      </pic:nvPicPr>
                      <pic:blipFill>
                        <a:blip r:embed="rId1">
                          <a:duotone>
                            <a:schemeClr val="accent1">
                              <a:shade val="45000"/>
                              <a:satMod val="135000"/>
                            </a:schemeClr>
                            <a:prstClr val="white"/>
                          </a:duotone>
                        </a:blip>
                        <a:srcRect/>
                        <a:stretch>
                          <a:fillRect/>
                        </a:stretch>
                      </pic:blipFill>
                      <pic:spPr bwMode="auto">
                        <a:xfrm>
                          <a:off x="0" y="0"/>
                          <a:ext cx="1157656" cy="381096"/>
                        </a:xfrm>
                        <a:prstGeom prst="rect">
                          <a:avLst/>
                        </a:prstGeom>
                        <a:noFill/>
                        <a:ln w="9525">
                          <a:noFill/>
                          <a:miter lim="800000"/>
                          <a:headEnd/>
                          <a:tailEnd/>
                        </a:ln>
                      </pic:spPr>
                    </pic:pic>
                  </a:graphicData>
                </a:graphic>
              </wp:inline>
            </w:drawing>
          </w:r>
        </w:p>
      </w:tc>
    </w:tr>
  </w:tbl>
  <w:p w:rsidR="003766AB" w:rsidRDefault="003766A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AB" w:rsidRDefault="003766AB" w:rsidP="00EF6AF3">
    <w:pPr>
      <w:pStyle w:val="Footer"/>
    </w:pPr>
    <w:r>
      <w:t xml:space="preserve">ICRC </w:t>
    </w:r>
    <w:r>
      <w:tab/>
      <w:t xml:space="preserve">Draft Report — Enlarged Cotter Dam Water Security Project — </w:t>
    </w:r>
    <w:fldSimple w:instr=" PAGE ">
      <w:r>
        <w:rPr>
          <w:noProof/>
        </w:rPr>
        <w:t>i</w:t>
      </w:r>
    </w:fldSimple>
  </w:p>
  <w:p w:rsidR="003766AB" w:rsidRDefault="003766A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AB" w:rsidRDefault="003766AB">
    <w:pPr>
      <w:pStyle w:val="Footer"/>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Style1"/>
      <w:tblW w:w="7905" w:type="dxa"/>
      <w:tblBorders>
        <w:top w:val="none" w:sz="0" w:space="0" w:color="auto"/>
        <w:bottom w:val="none" w:sz="0" w:space="0" w:color="auto"/>
      </w:tblBorders>
      <w:tblLook w:val="04A0"/>
    </w:tblPr>
    <w:tblGrid>
      <w:gridCol w:w="2943"/>
      <w:gridCol w:w="4962"/>
    </w:tblGrid>
    <w:tr w:rsidR="003766AB" w:rsidRPr="00280AFD" w:rsidTr="00FD5811">
      <w:trPr>
        <w:trHeight w:hRule="exact" w:val="655"/>
      </w:trPr>
      <w:tc>
        <w:tcPr>
          <w:tcW w:w="2943" w:type="dxa"/>
          <w:vAlign w:val="center"/>
        </w:tcPr>
        <w:p w:rsidR="003766AB" w:rsidRPr="00280AFD" w:rsidRDefault="00A7215E" w:rsidP="00176E6A">
          <w:pPr>
            <w:pStyle w:val="Footer"/>
            <w:tabs>
              <w:tab w:val="clear" w:pos="8732"/>
            </w:tabs>
          </w:pPr>
          <w:r w:rsidRPr="00A7215E">
            <w:rPr>
              <w:noProof/>
              <w:color w:val="auto"/>
              <w:lang w:val="en-AU" w:eastAsia="en-AU"/>
            </w:rPr>
            <w:pict>
              <v:rect id="Rectangle 152" o:spid="_x0000_s2135" style="position:absolute;margin-left:-5.95pt;margin-top:-8.55pt;width:396.85pt;height:1.1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" fillcolor="#ffa12d" stroked="f">
                <v:fill color2="#fff5e9" rotate="t" angle="90" focus="100%" type="gradient"/>
              </v:rect>
            </w:pict>
          </w:r>
          <w:r w:rsidRPr="00A7215E">
            <w:rPr>
              <w:color w:val="000033"/>
            </w:rPr>
            <w:fldChar w:fldCharType="begin"/>
          </w:r>
          <w:r w:rsidR="003766AB" w:rsidRPr="00280AFD">
            <w:rPr>
              <w:color w:val="000033"/>
            </w:rPr>
            <w:instrText xml:space="preserve"> PAGE   \* MERGEFORMAT </w:instrText>
          </w:r>
          <w:r w:rsidRPr="00A7215E">
            <w:rPr>
              <w:color w:val="000033"/>
            </w:rPr>
            <w:fldChar w:fldCharType="separate"/>
          </w:r>
          <w:r w:rsidR="004415F8" w:rsidRPr="004415F8">
            <w:rPr>
              <w:b/>
              <w:noProof/>
              <w:color w:val="000033"/>
              <w:sz w:val="32"/>
              <w:szCs w:val="32"/>
            </w:rPr>
            <w:t>96</w:t>
          </w:r>
          <w:r w:rsidRPr="00280AFD">
            <w:rPr>
              <w:b/>
              <w:noProof/>
              <w:color w:val="000033"/>
              <w:sz w:val="32"/>
              <w:szCs w:val="32"/>
            </w:rPr>
            <w:fldChar w:fldCharType="end"/>
          </w:r>
        </w:p>
      </w:tc>
      <w:tc>
        <w:tcPr>
          <w:tcW w:w="4962" w:type="dxa"/>
          <w:vAlign w:val="center"/>
        </w:tcPr>
        <w:p w:rsidR="003766AB" w:rsidRDefault="003766AB" w:rsidP="00280AFD">
          <w:pPr>
            <w:pStyle w:val="Footer"/>
            <w:tabs>
              <w:tab w:val="clear" w:pos="8732"/>
            </w:tabs>
            <w:jc w:val="right"/>
          </w:pPr>
          <w:r>
            <w:t>Issues paper</w:t>
          </w:r>
        </w:p>
        <w:p w:rsidR="003766AB" w:rsidRPr="00280AFD" w:rsidRDefault="003766AB" w:rsidP="00E9444F">
          <w:pPr>
            <w:pStyle w:val="Footer"/>
            <w:tabs>
              <w:tab w:val="clear" w:pos="8732"/>
            </w:tabs>
            <w:jc w:val="right"/>
            <w:rPr>
              <w:color w:val="000033"/>
            </w:rPr>
          </w:pPr>
          <w:r>
            <w:t>Tariff Review 2016</w:t>
          </w:r>
        </w:p>
      </w:tc>
    </w:tr>
  </w:tbl>
  <w:p w:rsidR="003766AB" w:rsidRPr="00D5242B" w:rsidRDefault="003766AB" w:rsidP="00280AFD">
    <w:pPr>
      <w:pStyle w:val="Footer"/>
    </w:pPr>
    <w:r>
      <w:rPr>
        <w:noProof/>
        <w:lang w:val="en-AU" w:eastAsia="en-AU"/>
      </w:rPr>
      <w:drawing>
        <wp:anchor distT="0" distB="0" distL="114300" distR="114300" simplePos="0" relativeHeight="251783168" behindDoc="0" locked="1" layoutInCell="1" allowOverlap="1">
          <wp:simplePos x="0" y="0"/>
          <wp:positionH relativeFrom="column">
            <wp:posOffset>458470</wp:posOffset>
          </wp:positionH>
          <wp:positionV relativeFrom="paragraph">
            <wp:posOffset>-344170</wp:posOffset>
          </wp:positionV>
          <wp:extent cx="1123950" cy="266700"/>
          <wp:effectExtent l="19050" t="0" r="0" b="0"/>
          <wp:wrapNone/>
          <wp:docPr id="9" name="Picture 1" descr="ICRC logo New Blue (modified 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C logo New Blue (modified JG).jpg"/>
                  <pic:cNvPicPr/>
                </pic:nvPicPr>
                <pic:blipFill>
                  <a:blip r:embed="rId1"/>
                  <a:stretch>
                    <a:fillRect/>
                  </a:stretch>
                </pic:blipFill>
                <pic:spPr>
                  <a:xfrm>
                    <a:off x="0" y="0"/>
                    <a:ext cx="1123950" cy="266700"/>
                  </a:xfrm>
                  <a:prstGeom prst="rect">
                    <a:avLst/>
                  </a:prstGeom>
                </pic:spPr>
              </pic:pic>
            </a:graphicData>
          </a:graphic>
        </wp:anchor>
      </w:drawing>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Style1"/>
      <w:tblW w:w="7905" w:type="dxa"/>
      <w:tblBorders>
        <w:top w:val="none" w:sz="0" w:space="0" w:color="auto"/>
        <w:bottom w:val="none" w:sz="0" w:space="0" w:color="auto"/>
      </w:tblBorders>
      <w:tblLook w:val="04A0"/>
    </w:tblPr>
    <w:tblGrid>
      <w:gridCol w:w="5070"/>
      <w:gridCol w:w="2835"/>
    </w:tblGrid>
    <w:tr w:rsidR="003766AB" w:rsidRPr="00280AFD" w:rsidTr="00594C5C">
      <w:trPr>
        <w:trHeight w:hRule="exact" w:val="641"/>
      </w:trPr>
      <w:tc>
        <w:tcPr>
          <w:tcW w:w="5070" w:type="dxa"/>
          <w:vAlign w:val="center"/>
        </w:tcPr>
        <w:p w:rsidR="003766AB" w:rsidRDefault="00A7215E" w:rsidP="00280AFD">
          <w:pPr>
            <w:pStyle w:val="Footer"/>
            <w:tabs>
              <w:tab w:val="clear" w:pos="8732"/>
            </w:tabs>
          </w:pPr>
          <w:r w:rsidRPr="00A7215E">
            <w:rPr>
              <w:noProof/>
              <w:color w:val="auto"/>
              <w:lang w:val="en-AU" w:eastAsia="en-AU"/>
            </w:rPr>
            <w:pict>
              <v:rect id="_x0000_s2134" style="position:absolute;margin-left:-6.3pt;margin-top:-6.45pt;width:396.85pt;height:1.15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" fillcolor="#fff5e9" stroked="f">
                <v:fill color2="#ffa12d" rotate="t" angle="90" focus="100%" type="gradient"/>
              </v:rect>
            </w:pict>
          </w:r>
          <w:r w:rsidR="003766AB">
            <w:t>Issues paper</w:t>
          </w:r>
        </w:p>
        <w:p w:rsidR="003766AB" w:rsidRPr="00280AFD" w:rsidRDefault="003766AB" w:rsidP="00E9444F">
          <w:pPr>
            <w:pStyle w:val="Footer"/>
            <w:tabs>
              <w:tab w:val="clear" w:pos="8732"/>
            </w:tabs>
          </w:pPr>
          <w:r>
            <w:t>Tariff Review 2016</w:t>
          </w:r>
        </w:p>
      </w:tc>
      <w:tc>
        <w:tcPr>
          <w:tcW w:w="2835" w:type="dxa"/>
          <w:vAlign w:val="center"/>
        </w:tcPr>
        <w:p w:rsidR="003766AB" w:rsidRPr="001E3780" w:rsidRDefault="00A7215E" w:rsidP="00280AFD">
          <w:pPr>
            <w:pStyle w:val="Footer"/>
            <w:tabs>
              <w:tab w:val="clear" w:pos="8732"/>
            </w:tabs>
            <w:jc w:val="right"/>
            <w:rPr>
              <w:color w:val="000033"/>
              <w:sz w:val="32"/>
              <w:szCs w:val="32"/>
            </w:rPr>
          </w:pPr>
          <w:r w:rsidRPr="00A7215E">
            <w:rPr>
              <w:color w:val="000033"/>
              <w:sz w:val="32"/>
              <w:szCs w:val="32"/>
            </w:rPr>
            <w:fldChar w:fldCharType="begin"/>
          </w:r>
          <w:r w:rsidR="003766AB" w:rsidRPr="001E3780">
            <w:rPr>
              <w:color w:val="000033"/>
              <w:sz w:val="32"/>
              <w:szCs w:val="32"/>
            </w:rPr>
            <w:instrText xml:space="preserve"> PAGE   \* MERGEFORMAT </w:instrText>
          </w:r>
          <w:r w:rsidRPr="00A7215E">
            <w:rPr>
              <w:color w:val="000033"/>
              <w:sz w:val="32"/>
              <w:szCs w:val="32"/>
            </w:rPr>
            <w:fldChar w:fldCharType="separate"/>
          </w:r>
          <w:r w:rsidR="004415F8" w:rsidRPr="004415F8">
            <w:rPr>
              <w:rFonts w:eastAsia="Cambria"/>
              <w:b/>
              <w:bCs/>
              <w:noProof/>
              <w:color w:val="000033"/>
              <w:sz w:val="32"/>
              <w:szCs w:val="32"/>
              <w:lang w:val="en-US"/>
            </w:rPr>
            <w:t>i</w:t>
          </w:r>
          <w:r w:rsidRPr="001E3780">
            <w:rPr>
              <w:b/>
              <w:noProof/>
              <w:color w:val="000033"/>
              <w:sz w:val="32"/>
              <w:szCs w:val="32"/>
            </w:rPr>
            <w:fldChar w:fldCharType="end"/>
          </w:r>
        </w:p>
      </w:tc>
    </w:tr>
  </w:tbl>
  <w:p w:rsidR="003766AB" w:rsidRPr="00E42160" w:rsidRDefault="003766AB" w:rsidP="00280AFD">
    <w:pPr>
      <w:pStyle w:val="Footer"/>
    </w:pPr>
    <w:r>
      <w:rPr>
        <w:noProof/>
        <w:lang w:val="en-AU" w:eastAsia="en-AU"/>
      </w:rPr>
      <w:drawing>
        <wp:anchor distT="0" distB="0" distL="114300" distR="114300" simplePos="0" relativeHeight="251781120" behindDoc="0" locked="1" layoutInCell="1" allowOverlap="1">
          <wp:simplePos x="0" y="0"/>
          <wp:positionH relativeFrom="column">
            <wp:posOffset>3296920</wp:posOffset>
          </wp:positionH>
          <wp:positionV relativeFrom="paragraph">
            <wp:posOffset>-344170</wp:posOffset>
          </wp:positionV>
          <wp:extent cx="1123950" cy="266700"/>
          <wp:effectExtent l="19050" t="0" r="0" b="0"/>
          <wp:wrapNone/>
          <wp:docPr id="10" name="Picture 1" descr="ICRC logo New Blue (modified 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C logo New Blue (modified JG).jpg"/>
                  <pic:cNvPicPr/>
                </pic:nvPicPr>
                <pic:blipFill>
                  <a:blip r:embed="rId1"/>
                  <a:stretch>
                    <a:fillRect/>
                  </a:stretch>
                </pic:blipFill>
                <pic:spPr>
                  <a:xfrm>
                    <a:off x="0" y="0"/>
                    <a:ext cx="1123950" cy="266700"/>
                  </a:xfrm>
                  <a:prstGeom prst="rect">
                    <a:avLst/>
                  </a:prstGeom>
                </pic:spPr>
              </pic:pic>
            </a:graphicData>
          </a:graphic>
        </wp:anchor>
      </w:drawing>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Style1"/>
      <w:tblW w:w="7905" w:type="dxa"/>
      <w:tblBorders>
        <w:top w:val="none" w:sz="0" w:space="0" w:color="auto"/>
        <w:bottom w:val="none" w:sz="0" w:space="0" w:color="auto"/>
      </w:tblBorders>
      <w:tblLook w:val="04A0"/>
    </w:tblPr>
    <w:tblGrid>
      <w:gridCol w:w="5070"/>
      <w:gridCol w:w="2835"/>
    </w:tblGrid>
    <w:tr w:rsidR="003766AB" w:rsidRPr="00280AFD" w:rsidTr="00594C5C">
      <w:trPr>
        <w:trHeight w:hRule="exact" w:val="641"/>
      </w:trPr>
      <w:tc>
        <w:tcPr>
          <w:tcW w:w="5070" w:type="dxa"/>
          <w:vAlign w:val="center"/>
        </w:tcPr>
        <w:p w:rsidR="003766AB" w:rsidRDefault="00A7215E" w:rsidP="00280AFD">
          <w:pPr>
            <w:pStyle w:val="Footer"/>
            <w:tabs>
              <w:tab w:val="clear" w:pos="8732"/>
            </w:tabs>
          </w:pPr>
          <w:r>
            <w:rPr>
              <w:noProof/>
              <w:lang w:val="en-AU" w:eastAsia="en-AU"/>
            </w:rPr>
            <w:pict>
              <v:rect id="Rectangle 151" o:spid="_x0000_s2133" style="position:absolute;margin-left:-6.3pt;margin-top:-6.45pt;width:396.85pt;height:1.15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" fillcolor="#fff5e9" stroked="f">
                <v:fill color2="#ffa12d" rotate="t" angle="90" focus="100%" type="gradient"/>
              </v:rect>
            </w:pict>
          </w:r>
          <w:r w:rsidR="003766AB" w:rsidRPr="005172A0">
            <w:t>Issues paper</w:t>
          </w:r>
        </w:p>
        <w:p w:rsidR="003766AB" w:rsidRPr="00280AFD" w:rsidRDefault="003766AB" w:rsidP="005172A0">
          <w:pPr>
            <w:pStyle w:val="Footer"/>
            <w:tabs>
              <w:tab w:val="clear" w:pos="8732"/>
            </w:tabs>
          </w:pPr>
          <w:r>
            <w:t>Tariff Review 201</w:t>
          </w:r>
          <w:r w:rsidRPr="00D535AD">
            <w:t>6</w:t>
          </w:r>
        </w:p>
      </w:tc>
      <w:tc>
        <w:tcPr>
          <w:tcW w:w="2835" w:type="dxa"/>
          <w:vAlign w:val="center"/>
        </w:tcPr>
        <w:p w:rsidR="003766AB" w:rsidRPr="001E3780" w:rsidRDefault="00A7215E" w:rsidP="00280AFD">
          <w:pPr>
            <w:pStyle w:val="Footer"/>
            <w:tabs>
              <w:tab w:val="clear" w:pos="8732"/>
            </w:tabs>
            <w:jc w:val="right"/>
            <w:rPr>
              <w:color w:val="000033"/>
              <w:sz w:val="32"/>
              <w:szCs w:val="32"/>
            </w:rPr>
          </w:pPr>
          <w:r w:rsidRPr="00A7215E">
            <w:rPr>
              <w:color w:val="000033"/>
              <w:sz w:val="32"/>
              <w:szCs w:val="32"/>
            </w:rPr>
            <w:fldChar w:fldCharType="begin"/>
          </w:r>
          <w:r w:rsidR="003766AB" w:rsidRPr="001E3780">
            <w:rPr>
              <w:color w:val="000033"/>
              <w:sz w:val="32"/>
              <w:szCs w:val="32"/>
            </w:rPr>
            <w:instrText xml:space="preserve"> PAGE   \* MERGEFORMAT </w:instrText>
          </w:r>
          <w:r w:rsidRPr="00A7215E">
            <w:rPr>
              <w:color w:val="000033"/>
              <w:sz w:val="32"/>
              <w:szCs w:val="32"/>
            </w:rPr>
            <w:fldChar w:fldCharType="separate"/>
          </w:r>
          <w:r w:rsidR="004415F8" w:rsidRPr="004415F8">
            <w:rPr>
              <w:rFonts w:eastAsia="Cambria"/>
              <w:b/>
              <w:bCs/>
              <w:noProof/>
              <w:color w:val="000033"/>
              <w:sz w:val="32"/>
              <w:szCs w:val="32"/>
              <w:lang w:val="en-US"/>
            </w:rPr>
            <w:t>95</w:t>
          </w:r>
          <w:r w:rsidRPr="001E3780">
            <w:rPr>
              <w:b/>
              <w:noProof/>
              <w:color w:val="000033"/>
              <w:sz w:val="32"/>
              <w:szCs w:val="32"/>
            </w:rPr>
            <w:fldChar w:fldCharType="end"/>
          </w:r>
        </w:p>
      </w:tc>
    </w:tr>
  </w:tbl>
  <w:p w:rsidR="003766AB" w:rsidRPr="00E42160" w:rsidRDefault="003766AB" w:rsidP="00280AFD">
    <w:pPr>
      <w:pStyle w:val="Footer"/>
    </w:pPr>
    <w:r>
      <w:rPr>
        <w:noProof/>
        <w:lang w:val="en-AU" w:eastAsia="en-AU"/>
      </w:rPr>
      <w:drawing>
        <wp:anchor distT="0" distB="0" distL="114300" distR="114300" simplePos="0" relativeHeight="251656192" behindDoc="0" locked="1" layoutInCell="1" allowOverlap="1">
          <wp:simplePos x="0" y="0"/>
          <wp:positionH relativeFrom="column">
            <wp:posOffset>3296920</wp:posOffset>
          </wp:positionH>
          <wp:positionV relativeFrom="paragraph">
            <wp:posOffset>-344170</wp:posOffset>
          </wp:positionV>
          <wp:extent cx="1123950" cy="266700"/>
          <wp:effectExtent l="19050" t="0" r="0" b="0"/>
          <wp:wrapNone/>
          <wp:docPr id="1" name="Picture 1" descr="ICRC logo New Blue (modified 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C logo New Blue (modified JG).jpg"/>
                  <pic:cNvPicPr/>
                </pic:nvPicPr>
                <pic:blipFill>
                  <a:blip r:embed="rId1"/>
                  <a:stretch>
                    <a:fillRect/>
                  </a:stretch>
                </pic:blipFill>
                <pic:spPr>
                  <a:xfrm>
                    <a:off x="0" y="0"/>
                    <a:ext cx="1123950" cy="26670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5ACF" w:rsidRDefault="00705ACF" w:rsidP="006522B3">
      <w:pPr>
        <w:spacing w:after="0" w:line="240" w:lineRule="auto"/>
      </w:pPr>
      <w:r>
        <w:separator/>
      </w:r>
    </w:p>
  </w:footnote>
  <w:footnote w:type="continuationSeparator" w:id="0">
    <w:p w:rsidR="00705ACF" w:rsidRDefault="00705ACF" w:rsidP="006522B3">
      <w:pPr>
        <w:spacing w:after="0" w:line="240" w:lineRule="auto"/>
      </w:pPr>
      <w:r>
        <w:continuationSeparator/>
      </w:r>
    </w:p>
  </w:footnote>
  <w:footnote w:type="continuationNotice" w:id="1">
    <w:p w:rsidR="00705ACF" w:rsidRDefault="00705ACF">
      <w:pPr>
        <w:spacing w:after="0" w:line="240" w:lineRule="auto"/>
      </w:pPr>
    </w:p>
  </w:footnote>
  <w:footnote w:id="2">
    <w:p w:rsidR="003766AB" w:rsidRDefault="003766AB" w:rsidP="00FD5BFB">
      <w:pPr>
        <w:pStyle w:val="FootnoteText"/>
      </w:pPr>
      <w:r>
        <w:rPr>
          <w:rStyle w:val="FootnoteReference"/>
        </w:rPr>
        <w:footnoteRef/>
      </w:r>
      <w:r>
        <w:t xml:space="preserve"> These equity matters are discussed in more detail in Chapter </w:t>
      </w:r>
      <w:r w:rsidR="00A7215E">
        <w:fldChar w:fldCharType="begin"/>
      </w:r>
      <w:r>
        <w:instrText xml:space="preserve"> REF _Ref429472647 \r \h </w:instrText>
      </w:r>
      <w:r w:rsidR="00A7215E">
        <w:fldChar w:fldCharType="separate"/>
      </w:r>
      <w:r w:rsidR="00E43227">
        <w:t>3</w:t>
      </w:r>
      <w:r w:rsidR="00A7215E">
        <w:fldChar w:fldCharType="end"/>
      </w:r>
      <w:r>
        <w:t xml:space="preserve"> and will be considered at length in the draft report by modelling the impact of any proposed changes on customer bills.</w:t>
      </w:r>
    </w:p>
  </w:footnote>
  <w:footnote w:id="3">
    <w:p w:rsidR="003766AB" w:rsidRDefault="003766AB" w:rsidP="00FD5BFB">
      <w:pPr>
        <w:pStyle w:val="FootnoteText"/>
      </w:pPr>
      <w:r>
        <w:rPr>
          <w:rStyle w:val="FootnoteReference"/>
        </w:rPr>
        <w:footnoteRef/>
      </w:r>
      <w:r>
        <w:t xml:space="preserve"> </w:t>
      </w:r>
      <w:r>
        <w:rPr>
          <w:noProof/>
        </w:rPr>
        <w:t xml:space="preserve">ICRC, 2013c: </w:t>
      </w:r>
      <w:r>
        <w:t>13–14.</w:t>
      </w:r>
    </w:p>
  </w:footnote>
  <w:footnote w:id="4">
    <w:p w:rsidR="003766AB" w:rsidRDefault="003766AB" w:rsidP="00FD5BFB">
      <w:pPr>
        <w:pStyle w:val="FootnoteText"/>
      </w:pPr>
      <w:r>
        <w:rPr>
          <w:rStyle w:val="FootnoteReference"/>
        </w:rPr>
        <w:footnoteRef/>
      </w:r>
      <w:r>
        <w:t xml:space="preserve"> </w:t>
      </w:r>
      <w:r>
        <w:rPr>
          <w:noProof/>
        </w:rPr>
        <w:t xml:space="preserve">ICRC, 2013a: </w:t>
      </w:r>
      <w:r>
        <w:t>165.</w:t>
      </w:r>
    </w:p>
  </w:footnote>
  <w:footnote w:id="5">
    <w:p w:rsidR="003766AB" w:rsidRDefault="003766AB" w:rsidP="00FD5BFB">
      <w:pPr>
        <w:pStyle w:val="FootnoteText"/>
      </w:pPr>
      <w:r>
        <w:rPr>
          <w:rStyle w:val="FootnoteReference"/>
        </w:rPr>
        <w:footnoteRef/>
      </w:r>
      <w:r>
        <w:t xml:space="preserve"> </w:t>
      </w:r>
      <w:r>
        <w:rPr>
          <w:noProof/>
        </w:rPr>
        <w:t xml:space="preserve">ICRC, 2013b: </w:t>
      </w:r>
      <w:r>
        <w:t>13.</w:t>
      </w:r>
    </w:p>
  </w:footnote>
  <w:footnote w:id="6">
    <w:p w:rsidR="003766AB" w:rsidRDefault="003766AB" w:rsidP="00FD5BFB">
      <w:pPr>
        <w:pStyle w:val="FootnoteText"/>
      </w:pPr>
      <w:r>
        <w:rPr>
          <w:rStyle w:val="FootnoteReference"/>
        </w:rPr>
        <w:footnoteRef/>
      </w:r>
      <w:r>
        <w:t xml:space="preserve"> </w:t>
      </w:r>
      <w:r>
        <w:rPr>
          <w:noProof/>
        </w:rPr>
        <w:t xml:space="preserve">Industry Panel, 2015b: </w:t>
      </w:r>
      <w:r>
        <w:t>12.</w:t>
      </w:r>
    </w:p>
  </w:footnote>
  <w:footnote w:id="7">
    <w:p w:rsidR="003766AB" w:rsidRDefault="003766AB" w:rsidP="00FD5BFB">
      <w:pPr>
        <w:pStyle w:val="FootnoteText"/>
      </w:pPr>
      <w:r>
        <w:rPr>
          <w:rStyle w:val="FootnoteReference"/>
        </w:rPr>
        <w:footnoteRef/>
      </w:r>
      <w:r>
        <w:t xml:space="preserve"> A more fulsome explanation of the Commission’s pricing approach is provided in a schematic in </w:t>
      </w:r>
      <w:r w:rsidR="00A7215E">
        <w:fldChar w:fldCharType="begin"/>
      </w:r>
      <w:r>
        <w:instrText xml:space="preserve"> REF _Ref429484930 \r \h </w:instrText>
      </w:r>
      <w:r w:rsidR="00A7215E">
        <w:fldChar w:fldCharType="separate"/>
      </w:r>
      <w:r w:rsidR="00E43227">
        <w:t>Appendix 1</w:t>
      </w:r>
      <w:r w:rsidR="00A7215E">
        <w:fldChar w:fldCharType="end"/>
      </w:r>
      <w:r>
        <w:t>.</w:t>
      </w:r>
    </w:p>
  </w:footnote>
  <w:footnote w:id="8">
    <w:p w:rsidR="003766AB" w:rsidRDefault="003766AB" w:rsidP="00FD5BFB">
      <w:pPr>
        <w:pStyle w:val="FootnoteText"/>
      </w:pPr>
      <w:r>
        <w:rPr>
          <w:rStyle w:val="FootnoteReference"/>
        </w:rPr>
        <w:footnoteRef/>
      </w:r>
      <w:r>
        <w:t xml:space="preserve"> See section </w:t>
      </w:r>
      <w:r w:rsidR="00A7215E">
        <w:fldChar w:fldCharType="begin"/>
      </w:r>
      <w:r>
        <w:instrText xml:space="preserve"> REF _Ref430588840 \r \h </w:instrText>
      </w:r>
      <w:r w:rsidR="00A7215E">
        <w:fldChar w:fldCharType="separate"/>
      </w:r>
      <w:r w:rsidR="00E43227">
        <w:t>2.3</w:t>
      </w:r>
      <w:r w:rsidR="00A7215E">
        <w:fldChar w:fldCharType="end"/>
      </w:r>
      <w:r>
        <w:t xml:space="preserve"> for more detail on the ICRC Act requirements.</w:t>
      </w:r>
    </w:p>
  </w:footnote>
  <w:footnote w:id="9">
    <w:p w:rsidR="00FC4230" w:rsidRDefault="00FC4230" w:rsidP="00FC4230">
      <w:pPr>
        <w:pStyle w:val="FootnoteText"/>
      </w:pPr>
      <w:r>
        <w:rPr>
          <w:rStyle w:val="FootnoteReference"/>
        </w:rPr>
        <w:footnoteRef/>
      </w:r>
      <w:r>
        <w:t xml:space="preserve"> </w:t>
      </w:r>
      <w:r w:rsidRPr="007E20E5">
        <w:t>www.icrc.act.gov.au</w:t>
      </w:r>
      <w:r>
        <w:t>.</w:t>
      </w:r>
    </w:p>
  </w:footnote>
  <w:footnote w:id="10">
    <w:p w:rsidR="003766AB" w:rsidRDefault="003766AB" w:rsidP="00FD5BFB">
      <w:pPr>
        <w:pStyle w:val="FootnoteText"/>
      </w:pPr>
      <w:r>
        <w:rPr>
          <w:rStyle w:val="FootnoteReference"/>
        </w:rPr>
        <w:footnoteRef/>
      </w:r>
      <w:r>
        <w:t xml:space="preserve"> Note that any recommended changes to current tariff structures may include a transition period should a significant change with substantial customer impacts be contemplated.</w:t>
      </w:r>
    </w:p>
  </w:footnote>
  <w:footnote w:id="11">
    <w:p w:rsidR="003766AB" w:rsidRDefault="003766AB" w:rsidP="00FD5BFB">
      <w:pPr>
        <w:pStyle w:val="FootnoteText"/>
      </w:pPr>
      <w:r>
        <w:rPr>
          <w:rStyle w:val="FootnoteReference"/>
        </w:rPr>
        <w:footnoteRef/>
      </w:r>
      <w:r>
        <w:t xml:space="preserve"> </w:t>
      </w:r>
      <w:r>
        <w:rPr>
          <w:noProof/>
        </w:rPr>
        <w:t xml:space="preserve">Industry Panel, 2015a: </w:t>
      </w:r>
      <w:r>
        <w:t>27.</w:t>
      </w:r>
    </w:p>
  </w:footnote>
  <w:footnote w:id="12">
    <w:p w:rsidR="003766AB" w:rsidRDefault="003766AB" w:rsidP="00FD5BFB">
      <w:pPr>
        <w:pStyle w:val="FootnoteText"/>
      </w:pPr>
      <w:r>
        <w:rPr>
          <w:rStyle w:val="FootnoteReference"/>
        </w:rPr>
        <w:footnoteRef/>
      </w:r>
      <w:r>
        <w:t xml:space="preserve"> </w:t>
      </w:r>
      <w:r>
        <w:rPr>
          <w:noProof/>
        </w:rPr>
        <w:t xml:space="preserve">ICRC, 2015a: </w:t>
      </w:r>
      <w:r>
        <w:t>11.</w:t>
      </w:r>
    </w:p>
  </w:footnote>
  <w:footnote w:id="13">
    <w:p w:rsidR="003766AB" w:rsidRDefault="003766AB" w:rsidP="00FD5BFB">
      <w:pPr>
        <w:pStyle w:val="FootnoteText"/>
      </w:pPr>
      <w:r>
        <w:rPr>
          <w:rStyle w:val="FootnoteReference"/>
        </w:rPr>
        <w:footnoteRef/>
      </w:r>
      <w:r>
        <w:t xml:space="preserve"> </w:t>
      </w:r>
      <w:r>
        <w:rPr>
          <w:noProof/>
        </w:rPr>
        <w:t xml:space="preserve">Industry Panel, 2015b: </w:t>
      </w:r>
      <w:r>
        <w:t>13.</w:t>
      </w:r>
    </w:p>
  </w:footnote>
  <w:footnote w:id="14">
    <w:p w:rsidR="003766AB" w:rsidRDefault="003766AB" w:rsidP="00FD5BFB">
      <w:pPr>
        <w:pStyle w:val="FootnoteText"/>
      </w:pPr>
      <w:r>
        <w:rPr>
          <w:rStyle w:val="FootnoteReference"/>
        </w:rPr>
        <w:footnoteRef/>
      </w:r>
      <w:r>
        <w:t xml:space="preserve"> </w:t>
      </w:r>
      <w:r>
        <w:rPr>
          <w:noProof/>
        </w:rPr>
        <w:t xml:space="preserve">ACT Government, 1997: </w:t>
      </w:r>
      <w:r>
        <w:t>8.</w:t>
      </w:r>
    </w:p>
  </w:footnote>
  <w:footnote w:id="15">
    <w:p w:rsidR="003766AB" w:rsidRDefault="003766AB" w:rsidP="00FD5BFB">
      <w:pPr>
        <w:pStyle w:val="FootnoteText"/>
      </w:pPr>
      <w:r>
        <w:rPr>
          <w:rStyle w:val="FootnoteReference"/>
        </w:rPr>
        <w:footnoteRef/>
      </w:r>
      <w:r>
        <w:t xml:space="preserve"> </w:t>
      </w:r>
      <w:r>
        <w:rPr>
          <w:noProof/>
        </w:rPr>
        <w:t xml:space="preserve">ACT Government, 1997: </w:t>
      </w:r>
      <w:r>
        <w:t>26–27.</w:t>
      </w:r>
    </w:p>
  </w:footnote>
  <w:footnote w:id="16">
    <w:p w:rsidR="003766AB" w:rsidRDefault="003766AB" w:rsidP="00FD5BFB">
      <w:pPr>
        <w:pStyle w:val="FootnoteText"/>
      </w:pPr>
      <w:r>
        <w:rPr>
          <w:rStyle w:val="FootnoteReference"/>
        </w:rPr>
        <w:footnoteRef/>
      </w:r>
      <w:r>
        <w:t xml:space="preserve"> </w:t>
      </w:r>
      <w:r>
        <w:rPr>
          <w:noProof/>
        </w:rPr>
        <w:t xml:space="preserve">ACT Government, 2014c: </w:t>
      </w:r>
      <w:r>
        <w:t>37.</w:t>
      </w:r>
    </w:p>
  </w:footnote>
  <w:footnote w:id="17">
    <w:p w:rsidR="003766AB" w:rsidRDefault="003766AB" w:rsidP="00FD5BFB">
      <w:pPr>
        <w:pStyle w:val="FootnoteText"/>
      </w:pPr>
      <w:r>
        <w:rPr>
          <w:rStyle w:val="FootnoteReference"/>
        </w:rPr>
        <w:footnoteRef/>
      </w:r>
      <w:r>
        <w:t xml:space="preserve"> </w:t>
      </w:r>
      <w:r>
        <w:rPr>
          <w:noProof/>
        </w:rPr>
        <w:t xml:space="preserve">ACT Government, 2014c: </w:t>
      </w:r>
      <w:r>
        <w:t>37.</w:t>
      </w:r>
    </w:p>
  </w:footnote>
  <w:footnote w:id="18">
    <w:p w:rsidR="003766AB" w:rsidRDefault="003766AB" w:rsidP="00FD5BFB">
      <w:pPr>
        <w:pStyle w:val="FootnoteText"/>
      </w:pPr>
      <w:r>
        <w:rPr>
          <w:rStyle w:val="FootnoteReference"/>
        </w:rPr>
        <w:footnoteRef/>
      </w:r>
      <w:r>
        <w:t xml:space="preserve"> </w:t>
      </w:r>
      <w:r>
        <w:rPr>
          <w:noProof/>
        </w:rPr>
        <w:t xml:space="preserve">ACT Government, 2010c: </w:t>
      </w:r>
      <w:r>
        <w:t>1–9.</w:t>
      </w:r>
    </w:p>
  </w:footnote>
  <w:footnote w:id="19">
    <w:p w:rsidR="003766AB" w:rsidRDefault="003766AB" w:rsidP="00FD5BFB">
      <w:pPr>
        <w:pStyle w:val="FootnoteText"/>
      </w:pPr>
      <w:r>
        <w:rPr>
          <w:rStyle w:val="FootnoteReference"/>
        </w:rPr>
        <w:footnoteRef/>
      </w:r>
      <w:r>
        <w:t xml:space="preserve"> </w:t>
      </w:r>
      <w:r>
        <w:rPr>
          <w:noProof/>
        </w:rPr>
        <w:t xml:space="preserve">ACT Government, 2010b: </w:t>
      </w:r>
      <w:r>
        <w:t>1–6.</w:t>
      </w:r>
    </w:p>
  </w:footnote>
  <w:footnote w:id="20">
    <w:p w:rsidR="003766AB" w:rsidRDefault="003766AB" w:rsidP="00FD5BFB">
      <w:pPr>
        <w:pStyle w:val="FootnoteText"/>
      </w:pPr>
      <w:r>
        <w:rPr>
          <w:rStyle w:val="FootnoteReference"/>
        </w:rPr>
        <w:footnoteRef/>
      </w:r>
      <w:r>
        <w:t xml:space="preserve"> </w:t>
      </w:r>
      <w:r>
        <w:rPr>
          <w:noProof/>
        </w:rPr>
        <w:t xml:space="preserve">ACT Government, 2010a: </w:t>
      </w:r>
      <w:r>
        <w:t>1.</w:t>
      </w:r>
    </w:p>
  </w:footnote>
  <w:footnote w:id="21">
    <w:p w:rsidR="003766AB" w:rsidRDefault="003766AB" w:rsidP="00FD5BFB">
      <w:pPr>
        <w:pStyle w:val="FootnoteText"/>
      </w:pPr>
      <w:r>
        <w:rPr>
          <w:rStyle w:val="FootnoteReference"/>
        </w:rPr>
        <w:footnoteRef/>
      </w:r>
      <w:r>
        <w:t xml:space="preserve"> </w:t>
      </w:r>
      <w:r w:rsidRPr="00D131F6">
        <w:t xml:space="preserve">The </w:t>
      </w:r>
      <w:r>
        <w:t>Water Sensitive Urban Design C</w:t>
      </w:r>
      <w:r w:rsidRPr="00D131F6">
        <w:t>ode applies to</w:t>
      </w:r>
      <w:r>
        <w:t xml:space="preserve"> the</w:t>
      </w:r>
      <w:r w:rsidRPr="00D131F6">
        <w:t xml:space="preserve"> development of new residential neighbourhoods and estates</w:t>
      </w:r>
      <w:r>
        <w:t xml:space="preserve">, </w:t>
      </w:r>
      <w:r w:rsidRPr="00D131F6">
        <w:t>redevelopment or infill development within the existing built environment and institutional, commercial and industrial developments with a site area greater than 2,000</w:t>
      </w:r>
      <w:r>
        <w:t xml:space="preserve"> square </w:t>
      </w:r>
      <w:r w:rsidRPr="00D131F6">
        <w:t>m</w:t>
      </w:r>
      <w:r>
        <w:t>etres.</w:t>
      </w:r>
    </w:p>
  </w:footnote>
  <w:footnote w:id="22">
    <w:p w:rsidR="003766AB" w:rsidRDefault="003766AB" w:rsidP="00FD5BFB">
      <w:pPr>
        <w:pStyle w:val="FootnoteText"/>
      </w:pPr>
      <w:r>
        <w:rPr>
          <w:rStyle w:val="FootnoteReference"/>
        </w:rPr>
        <w:footnoteRef/>
      </w:r>
      <w:r>
        <w:t xml:space="preserve"> </w:t>
      </w:r>
      <w:r>
        <w:rPr>
          <w:noProof/>
        </w:rPr>
        <w:t xml:space="preserve">ACT Government, 2009: </w:t>
      </w:r>
      <w:r>
        <w:t>23.</w:t>
      </w:r>
    </w:p>
  </w:footnote>
  <w:footnote w:id="23">
    <w:p w:rsidR="003766AB" w:rsidRDefault="003766AB" w:rsidP="00FD5BFB">
      <w:pPr>
        <w:pStyle w:val="FootnoteText"/>
      </w:pPr>
      <w:r>
        <w:rPr>
          <w:rStyle w:val="FootnoteReference"/>
        </w:rPr>
        <w:footnoteRef/>
      </w:r>
      <w:r>
        <w:t xml:space="preserve"> </w:t>
      </w:r>
      <w:r>
        <w:rPr>
          <w:noProof/>
        </w:rPr>
        <w:t xml:space="preserve">ICRC, 2012: </w:t>
      </w:r>
      <w:r>
        <w:t>79.</w:t>
      </w:r>
    </w:p>
  </w:footnote>
  <w:footnote w:id="24">
    <w:p w:rsidR="003766AB" w:rsidRDefault="003766AB" w:rsidP="00FD5BFB">
      <w:pPr>
        <w:pStyle w:val="FootnoteText"/>
      </w:pPr>
      <w:r>
        <w:rPr>
          <w:rStyle w:val="FootnoteReference"/>
        </w:rPr>
        <w:footnoteRef/>
      </w:r>
      <w:r>
        <w:t xml:space="preserve"> </w:t>
      </w:r>
      <w:r>
        <w:rPr>
          <w:noProof/>
        </w:rPr>
        <w:t xml:space="preserve">ACT Government, 2013: </w:t>
      </w:r>
      <w:r>
        <w:t>3.</w:t>
      </w:r>
    </w:p>
  </w:footnote>
  <w:footnote w:id="25">
    <w:p w:rsidR="003766AB" w:rsidRDefault="003766AB" w:rsidP="00FD5BFB">
      <w:pPr>
        <w:pStyle w:val="FootnoteText"/>
      </w:pPr>
      <w:r>
        <w:rPr>
          <w:rStyle w:val="FootnoteReference"/>
        </w:rPr>
        <w:footnoteRef/>
      </w:r>
      <w:r>
        <w:t xml:space="preserve"> </w:t>
      </w:r>
      <w:r>
        <w:rPr>
          <w:noProof/>
        </w:rPr>
        <w:t xml:space="preserve">ACT Government, 2014e: </w:t>
      </w:r>
      <w:r>
        <w:t>1–88.</w:t>
      </w:r>
    </w:p>
  </w:footnote>
  <w:footnote w:id="26">
    <w:p w:rsidR="003766AB" w:rsidRDefault="003766AB" w:rsidP="00FD5BFB">
      <w:pPr>
        <w:pStyle w:val="FootnoteText"/>
      </w:pPr>
      <w:r>
        <w:rPr>
          <w:rStyle w:val="FootnoteReference"/>
        </w:rPr>
        <w:footnoteRef/>
      </w:r>
      <w:r>
        <w:t xml:space="preserve"> See </w:t>
      </w:r>
      <w:r w:rsidRPr="004E755B">
        <w:t>www.icrc.act.gov.au/wp-content/uploads/2013/03/Report_6_of_2012_July_2012.pdf</w:t>
      </w:r>
      <w:r>
        <w:t>.</w:t>
      </w:r>
    </w:p>
  </w:footnote>
  <w:footnote w:id="27">
    <w:p w:rsidR="003766AB" w:rsidRDefault="003766AB" w:rsidP="00FD5BFB">
      <w:pPr>
        <w:pStyle w:val="FootnoteText"/>
      </w:pPr>
      <w:r>
        <w:rPr>
          <w:rStyle w:val="FootnoteReference"/>
        </w:rPr>
        <w:footnoteRef/>
      </w:r>
      <w:r>
        <w:t xml:space="preserve"> A net cap means gross water extractions minus water returned to the river system after use.</w:t>
      </w:r>
    </w:p>
  </w:footnote>
  <w:footnote w:id="28">
    <w:p w:rsidR="003766AB" w:rsidRDefault="003766AB" w:rsidP="00FD5BFB">
      <w:pPr>
        <w:pStyle w:val="FootnoteText"/>
      </w:pPr>
      <w:r>
        <w:rPr>
          <w:rStyle w:val="FootnoteReference"/>
        </w:rPr>
        <w:footnoteRef/>
      </w:r>
      <w:r>
        <w:t xml:space="preserve"> For more detail on the Basin Plan, see </w:t>
      </w:r>
      <w:r w:rsidRPr="00005B7D">
        <w:t>www.mdba.gov.au/what-we-do/basin-plan</w:t>
      </w:r>
      <w:r>
        <w:t>.</w:t>
      </w:r>
    </w:p>
  </w:footnote>
  <w:footnote w:id="29">
    <w:p w:rsidR="003766AB" w:rsidRDefault="003766AB" w:rsidP="00FD5BFB">
      <w:pPr>
        <w:pStyle w:val="FootnoteText"/>
      </w:pPr>
      <w:r>
        <w:rPr>
          <w:rStyle w:val="FootnoteReference"/>
        </w:rPr>
        <w:footnoteRef/>
      </w:r>
      <w:r>
        <w:t xml:space="preserve"> </w:t>
      </w:r>
      <w:r>
        <w:rPr>
          <w:noProof/>
        </w:rPr>
        <w:t xml:space="preserve">Commonwealth of Australia, 2012: </w:t>
      </w:r>
      <w:r>
        <w:t>199.</w:t>
      </w:r>
    </w:p>
  </w:footnote>
  <w:footnote w:id="30">
    <w:p w:rsidR="003766AB" w:rsidRDefault="003766AB" w:rsidP="00FD5BFB">
      <w:pPr>
        <w:pStyle w:val="FootnoteText"/>
      </w:pPr>
      <w:r>
        <w:rPr>
          <w:rStyle w:val="FootnoteReference"/>
        </w:rPr>
        <w:footnoteRef/>
      </w:r>
      <w:r>
        <w:t xml:space="preserve"> </w:t>
      </w:r>
      <w:r w:rsidRPr="005C4646">
        <w:t xml:space="preserve">In any case, following the introduction of the Basin Plan, should the ACT be unable to use water stored in its dams because it has reached the </w:t>
      </w:r>
      <w:r>
        <w:t>sustainable diversion limit</w:t>
      </w:r>
      <w:r w:rsidRPr="005C4646">
        <w:t>, water trading offers a relatively simple solution,</w:t>
      </w:r>
      <w:r>
        <w:t xml:space="preserve"> albeit with cost implications. Icon Water already holds 4.145 GL of New South Wales high-security water access entitlements.</w:t>
      </w:r>
    </w:p>
  </w:footnote>
  <w:footnote w:id="31">
    <w:p w:rsidR="003766AB" w:rsidRDefault="003766AB" w:rsidP="00FD5BFB">
      <w:pPr>
        <w:pStyle w:val="FootnoteText"/>
      </w:pPr>
      <w:r>
        <w:rPr>
          <w:rStyle w:val="FootnoteReference"/>
        </w:rPr>
        <w:footnoteRef/>
      </w:r>
      <w:r>
        <w:t xml:space="preserve"> The National Water Initiative is an intergovernmental agreement between the</w:t>
      </w:r>
      <w:r w:rsidRPr="00337FFB">
        <w:rPr>
          <w:lang w:eastAsia="en-AU"/>
        </w:rPr>
        <w:t xml:space="preserve"> Commonwealth of Australia and the </w:t>
      </w:r>
      <w:r>
        <w:rPr>
          <w:lang w:eastAsia="en-AU"/>
        </w:rPr>
        <w:t>g</w:t>
      </w:r>
      <w:r w:rsidRPr="00337FFB">
        <w:rPr>
          <w:lang w:eastAsia="en-AU"/>
        </w:rPr>
        <w:t>overnments of New South Wales, Victoria, Queensland, South Australia, the Australian Capital Territory</w:t>
      </w:r>
      <w:r>
        <w:t xml:space="preserve"> </w:t>
      </w:r>
      <w:r w:rsidRPr="00337FFB">
        <w:rPr>
          <w:lang w:eastAsia="en-AU"/>
        </w:rPr>
        <w:t>and the Northern Territory</w:t>
      </w:r>
      <w:r>
        <w:t>.</w:t>
      </w:r>
    </w:p>
  </w:footnote>
  <w:footnote w:id="32">
    <w:p w:rsidR="003766AB" w:rsidRDefault="003766AB" w:rsidP="00FD5BFB">
      <w:pPr>
        <w:pStyle w:val="FootnoteText"/>
      </w:pPr>
      <w:r>
        <w:rPr>
          <w:rStyle w:val="FootnoteReference"/>
        </w:rPr>
        <w:footnoteRef/>
      </w:r>
      <w:r>
        <w:t xml:space="preserve"> See </w:t>
      </w:r>
      <w:r w:rsidRPr="00C26CAB">
        <w:t>www.environment.gov.au/topics/water/australian-government-water-leadership/national-water-initiative/national-water</w:t>
      </w:r>
      <w:r>
        <w:t>.</w:t>
      </w:r>
    </w:p>
  </w:footnote>
  <w:footnote w:id="33">
    <w:p w:rsidR="003766AB" w:rsidRDefault="003766AB" w:rsidP="00FD5BFB">
      <w:pPr>
        <w:pStyle w:val="FootnoteText"/>
      </w:pPr>
      <w:r>
        <w:rPr>
          <w:rStyle w:val="FootnoteReference"/>
        </w:rPr>
        <w:footnoteRef/>
      </w:r>
      <w:r>
        <w:t xml:space="preserve"> The National Water Initiative defines upper bound pricing as</w:t>
      </w:r>
      <w:r w:rsidRPr="00494DC3">
        <w:t xml:space="preserve"> </w:t>
      </w:r>
      <w:r>
        <w:t>‘</w:t>
      </w:r>
      <w:r w:rsidRPr="00494DC3">
        <w:t xml:space="preserve">the level at which, to avoid monopoly rents, a water business should not recover more than the operational, maintenance and administrative costs, externalities, </w:t>
      </w:r>
      <w:r>
        <w:t>taxes or tax equivalent regimes</w:t>
      </w:r>
      <w:r w:rsidRPr="00494DC3">
        <w:t>, provision for the cost of asset consumption and cost of capital, the latter being calculated using a weighted average cost of capital</w:t>
      </w:r>
      <w:r>
        <w:t>’ (</w:t>
      </w:r>
      <w:r>
        <w:rPr>
          <w:noProof/>
        </w:rPr>
        <w:t xml:space="preserve">COAG, 2004: </w:t>
      </w:r>
      <w:r>
        <w:t>30)</w:t>
      </w:r>
      <w:r w:rsidRPr="00494DC3">
        <w:t>.</w:t>
      </w:r>
    </w:p>
  </w:footnote>
  <w:footnote w:id="34">
    <w:p w:rsidR="003766AB" w:rsidRDefault="003766AB" w:rsidP="00FD5BFB">
      <w:pPr>
        <w:pStyle w:val="FootnoteText"/>
      </w:pPr>
      <w:r>
        <w:rPr>
          <w:rStyle w:val="FootnoteReference"/>
        </w:rPr>
        <w:footnoteRef/>
      </w:r>
      <w:r>
        <w:t xml:space="preserve"> </w:t>
      </w:r>
      <w:r>
        <w:rPr>
          <w:noProof/>
        </w:rPr>
        <w:t xml:space="preserve">Grafton and Ward, 2010: </w:t>
      </w:r>
      <w:r>
        <w:t>i.</w:t>
      </w:r>
    </w:p>
  </w:footnote>
  <w:footnote w:id="35">
    <w:p w:rsidR="003766AB" w:rsidRDefault="003766AB" w:rsidP="00FD5BFB">
      <w:pPr>
        <w:pStyle w:val="FootnoteText"/>
      </w:pPr>
      <w:r>
        <w:rPr>
          <w:rStyle w:val="FootnoteReference"/>
        </w:rPr>
        <w:footnoteRef/>
      </w:r>
      <w:r>
        <w:t xml:space="preserve"> </w:t>
      </w:r>
      <w:r w:rsidRPr="00BF0069">
        <w:rPr>
          <w:noProof/>
        </w:rPr>
        <w:t xml:space="preserve">Grafton and Ward, 2010: </w:t>
      </w:r>
      <w:r>
        <w:t>2.</w:t>
      </w:r>
    </w:p>
  </w:footnote>
  <w:footnote w:id="36">
    <w:p w:rsidR="003766AB" w:rsidRDefault="003766AB" w:rsidP="00FD5BFB">
      <w:pPr>
        <w:pStyle w:val="FootnoteText"/>
      </w:pPr>
      <w:r>
        <w:rPr>
          <w:rStyle w:val="FootnoteReference"/>
        </w:rPr>
        <w:footnoteRef/>
      </w:r>
      <w:r>
        <w:t xml:space="preserve"> </w:t>
      </w:r>
      <w:r>
        <w:rPr>
          <w:noProof/>
        </w:rPr>
        <w:t xml:space="preserve">ICRC, 2011: </w:t>
      </w:r>
      <w:r>
        <w:t>1–5.</w:t>
      </w:r>
    </w:p>
  </w:footnote>
  <w:footnote w:id="37">
    <w:p w:rsidR="003766AB" w:rsidRDefault="003766AB" w:rsidP="00951AB3">
      <w:pPr>
        <w:pStyle w:val="FootnoteText"/>
      </w:pPr>
      <w:r>
        <w:rPr>
          <w:rStyle w:val="FootnoteReference"/>
        </w:rPr>
        <w:footnoteRef/>
      </w:r>
      <w:r>
        <w:t xml:space="preserve"> </w:t>
      </w:r>
      <w:r>
        <w:rPr>
          <w:noProof/>
        </w:rPr>
        <w:t xml:space="preserve">Productivity Commission, 2011: </w:t>
      </w:r>
      <w:r>
        <w:t>XLIX–L.</w:t>
      </w:r>
    </w:p>
  </w:footnote>
  <w:footnote w:id="38">
    <w:p w:rsidR="003766AB" w:rsidRDefault="003766AB" w:rsidP="00AE7D78">
      <w:pPr>
        <w:pStyle w:val="FootnoteText"/>
      </w:pPr>
      <w:r>
        <w:rPr>
          <w:rStyle w:val="FootnoteReference"/>
        </w:rPr>
        <w:footnoteRef/>
      </w:r>
      <w:r>
        <w:t xml:space="preserve"> </w:t>
      </w:r>
      <w:r>
        <w:rPr>
          <w:noProof/>
        </w:rPr>
        <w:t xml:space="preserve">Productivity Commission, 2011: </w:t>
      </w:r>
      <w:r>
        <w:t>L–LI.</w:t>
      </w:r>
    </w:p>
  </w:footnote>
  <w:footnote w:id="39">
    <w:p w:rsidR="003766AB" w:rsidRDefault="003766AB" w:rsidP="00E41D1A">
      <w:pPr>
        <w:pStyle w:val="FootnoteText"/>
      </w:pPr>
      <w:r>
        <w:rPr>
          <w:rStyle w:val="FootnoteReference"/>
        </w:rPr>
        <w:footnoteRef/>
      </w:r>
      <w:r>
        <w:t xml:space="preserve"> </w:t>
      </w:r>
      <w:r>
        <w:rPr>
          <w:noProof/>
        </w:rPr>
        <w:t xml:space="preserve">Productivity Commission, 2011: </w:t>
      </w:r>
      <w:r>
        <w:t>LVI.</w:t>
      </w:r>
    </w:p>
  </w:footnote>
  <w:footnote w:id="40">
    <w:p w:rsidR="003766AB" w:rsidRDefault="003766AB" w:rsidP="00FD5BFB">
      <w:pPr>
        <w:pStyle w:val="FootnoteText"/>
      </w:pPr>
      <w:r>
        <w:rPr>
          <w:rStyle w:val="FootnoteReference"/>
        </w:rPr>
        <w:footnoteRef/>
      </w:r>
      <w:r>
        <w:t xml:space="preserve"> </w:t>
      </w:r>
      <w:r>
        <w:rPr>
          <w:noProof/>
        </w:rPr>
        <w:t xml:space="preserve">NWC, 2011b: </w:t>
      </w:r>
      <w:r>
        <w:t>xiii.</w:t>
      </w:r>
    </w:p>
  </w:footnote>
  <w:footnote w:id="41">
    <w:p w:rsidR="003766AB" w:rsidRDefault="003766AB" w:rsidP="00FD5BFB">
      <w:pPr>
        <w:pStyle w:val="FootnoteText"/>
      </w:pPr>
      <w:r>
        <w:rPr>
          <w:rStyle w:val="FootnoteReference"/>
        </w:rPr>
        <w:footnoteRef/>
      </w:r>
      <w:r>
        <w:t xml:space="preserve"> </w:t>
      </w:r>
      <w:r>
        <w:rPr>
          <w:noProof/>
        </w:rPr>
        <w:t xml:space="preserve">NWC, 2011b: </w:t>
      </w:r>
      <w:r>
        <w:t>xvi.</w:t>
      </w:r>
    </w:p>
  </w:footnote>
  <w:footnote w:id="42">
    <w:p w:rsidR="003766AB" w:rsidRDefault="003766AB" w:rsidP="00FD5BFB">
      <w:pPr>
        <w:pStyle w:val="FootnoteText"/>
      </w:pPr>
      <w:r>
        <w:rPr>
          <w:rStyle w:val="FootnoteReference"/>
        </w:rPr>
        <w:footnoteRef/>
      </w:r>
      <w:r>
        <w:t xml:space="preserve"> </w:t>
      </w:r>
      <w:r>
        <w:rPr>
          <w:noProof/>
        </w:rPr>
        <w:t xml:space="preserve">NWC, 2011a: </w:t>
      </w:r>
      <w:r>
        <w:t>vii.</w:t>
      </w:r>
    </w:p>
  </w:footnote>
  <w:footnote w:id="43">
    <w:p w:rsidR="003766AB" w:rsidRDefault="003766AB" w:rsidP="00FD5BFB">
      <w:pPr>
        <w:pStyle w:val="FootnoteText"/>
      </w:pPr>
      <w:r>
        <w:rPr>
          <w:rStyle w:val="FootnoteReference"/>
        </w:rPr>
        <w:footnoteRef/>
      </w:r>
      <w:r>
        <w:t xml:space="preserve"> </w:t>
      </w:r>
      <w:r>
        <w:rPr>
          <w:noProof/>
        </w:rPr>
        <w:t xml:space="preserve">IPART, 2012a: </w:t>
      </w:r>
      <w:r>
        <w:t>1.</w:t>
      </w:r>
    </w:p>
  </w:footnote>
  <w:footnote w:id="44">
    <w:p w:rsidR="003766AB" w:rsidRDefault="003766AB" w:rsidP="00FD5BFB">
      <w:pPr>
        <w:pStyle w:val="FootnoteText"/>
      </w:pPr>
      <w:r>
        <w:rPr>
          <w:rStyle w:val="FootnoteReference"/>
        </w:rPr>
        <w:footnoteRef/>
      </w:r>
      <w:r>
        <w:t xml:space="preserve"> </w:t>
      </w:r>
      <w:r>
        <w:rPr>
          <w:noProof/>
        </w:rPr>
        <w:t xml:space="preserve">IPART, 2012a: </w:t>
      </w:r>
      <w:r>
        <w:t>2.</w:t>
      </w:r>
    </w:p>
  </w:footnote>
  <w:footnote w:id="45">
    <w:p w:rsidR="003766AB" w:rsidRDefault="003766AB" w:rsidP="00FD5BFB">
      <w:pPr>
        <w:pStyle w:val="FootnoteText"/>
      </w:pPr>
      <w:r>
        <w:rPr>
          <w:rStyle w:val="FootnoteReference"/>
        </w:rPr>
        <w:footnoteRef/>
      </w:r>
      <w:r>
        <w:t xml:space="preserve"> </w:t>
      </w:r>
      <w:r>
        <w:rPr>
          <w:noProof/>
        </w:rPr>
        <w:t xml:space="preserve">AEMC, 2014: </w:t>
      </w:r>
      <w:r>
        <w:t>1–232.</w:t>
      </w:r>
    </w:p>
  </w:footnote>
  <w:footnote w:id="46">
    <w:p w:rsidR="003766AB" w:rsidRDefault="003766AB" w:rsidP="00FD5BFB">
      <w:pPr>
        <w:pStyle w:val="FootnoteText"/>
      </w:pPr>
      <w:r>
        <w:rPr>
          <w:rStyle w:val="FootnoteReference"/>
        </w:rPr>
        <w:footnoteRef/>
      </w:r>
      <w:r>
        <w:t xml:space="preserve"> </w:t>
      </w:r>
      <w:r>
        <w:rPr>
          <w:noProof/>
        </w:rPr>
        <w:t xml:space="preserve">ICRC, 2012: </w:t>
      </w:r>
      <w:r>
        <w:t>17.</w:t>
      </w:r>
    </w:p>
  </w:footnote>
  <w:footnote w:id="47">
    <w:p w:rsidR="003766AB" w:rsidRDefault="003766AB" w:rsidP="00FD5BFB">
      <w:pPr>
        <w:pStyle w:val="FootnoteText"/>
      </w:pPr>
      <w:r>
        <w:rPr>
          <w:rStyle w:val="FootnoteReference"/>
        </w:rPr>
        <w:footnoteRef/>
      </w:r>
      <w:r>
        <w:t xml:space="preserve"> Consumption in this context refers to water abstracted from ACT dams and rivers by Icon Water to supply the ACT and Queanbeyan. It incorporates network losses through leakage and the like as water is delivered to the final end-user through Icon Water’s distribution and treatment network.</w:t>
      </w:r>
    </w:p>
  </w:footnote>
  <w:footnote w:id="48">
    <w:p w:rsidR="003766AB" w:rsidRDefault="003766AB" w:rsidP="00FD5BFB">
      <w:pPr>
        <w:pStyle w:val="FootnoteText"/>
      </w:pPr>
      <w:r>
        <w:rPr>
          <w:rStyle w:val="FootnoteReference"/>
        </w:rPr>
        <w:footnoteRef/>
      </w:r>
      <w:r>
        <w:t xml:space="preserve"> See section </w:t>
      </w:r>
      <w:r w:rsidR="00A7215E">
        <w:fldChar w:fldCharType="begin"/>
      </w:r>
      <w:r>
        <w:instrText xml:space="preserve"> REF _Ref429658343 \r \h </w:instrText>
      </w:r>
      <w:r w:rsidR="00A7215E">
        <w:fldChar w:fldCharType="separate"/>
      </w:r>
      <w:r w:rsidR="00E43227">
        <w:t>4.1</w:t>
      </w:r>
      <w:r w:rsidR="00A7215E">
        <w:fldChar w:fldCharType="end"/>
      </w:r>
      <w:r>
        <w:t xml:space="preserve"> for more details on current and historical water prices.</w:t>
      </w:r>
    </w:p>
  </w:footnote>
  <w:footnote w:id="49">
    <w:p w:rsidR="003766AB" w:rsidRDefault="003766AB" w:rsidP="00FD5BFB">
      <w:pPr>
        <w:pStyle w:val="FootnoteText"/>
      </w:pPr>
      <w:r>
        <w:rPr>
          <w:rStyle w:val="FootnoteReference"/>
        </w:rPr>
        <w:footnoteRef/>
      </w:r>
      <w:r>
        <w:t xml:space="preserve"> For example, the ACT Government’s report into its review of the </w:t>
      </w:r>
      <w:r w:rsidRPr="00A05534">
        <w:rPr>
          <w:rStyle w:val="Italic"/>
        </w:rPr>
        <w:t>Waterways: Water Sensitive Urban Design General Code</w:t>
      </w:r>
      <w:r>
        <w:rPr>
          <w:rStyle w:val="Italic"/>
        </w:rPr>
        <w:t xml:space="preserve"> </w:t>
      </w:r>
      <w:r>
        <w:t xml:space="preserve">notes that there is a trend </w:t>
      </w:r>
      <w:r w:rsidRPr="00A05534">
        <w:t>towards reduced block sizes</w:t>
      </w:r>
      <w:r>
        <w:t xml:space="preserve"> and </w:t>
      </w:r>
      <w:r w:rsidRPr="00A05534">
        <w:t>larger building envelopes</w:t>
      </w:r>
      <w:r>
        <w:t xml:space="preserve"> (</w:t>
      </w:r>
      <w:r>
        <w:rPr>
          <w:noProof/>
        </w:rPr>
        <w:t xml:space="preserve">ACT Government, 2014e: </w:t>
      </w:r>
      <w:r>
        <w:t>26).</w:t>
      </w:r>
    </w:p>
  </w:footnote>
  <w:footnote w:id="50">
    <w:p w:rsidR="003766AB" w:rsidRDefault="003766AB" w:rsidP="00FD5BFB">
      <w:pPr>
        <w:pStyle w:val="FootnoteText"/>
      </w:pPr>
      <w:r>
        <w:rPr>
          <w:rStyle w:val="FootnoteReference"/>
        </w:rPr>
        <w:footnoteRef/>
      </w:r>
      <w:r>
        <w:t xml:space="preserve"> </w:t>
      </w:r>
      <w:r>
        <w:rPr>
          <w:noProof/>
        </w:rPr>
        <w:t xml:space="preserve">ICRC, 2012: </w:t>
      </w:r>
      <w:r>
        <w:t>xi.</w:t>
      </w:r>
    </w:p>
  </w:footnote>
  <w:footnote w:id="51">
    <w:p w:rsidR="003766AB" w:rsidRDefault="003766AB" w:rsidP="00FD5BFB">
      <w:pPr>
        <w:pStyle w:val="FootnoteText"/>
      </w:pPr>
      <w:r>
        <w:rPr>
          <w:rStyle w:val="FootnoteReference"/>
        </w:rPr>
        <w:footnoteRef/>
      </w:r>
      <w:r>
        <w:t xml:space="preserve"> </w:t>
      </w:r>
      <w:r>
        <w:rPr>
          <w:noProof/>
        </w:rPr>
        <w:t xml:space="preserve">Grant, 2015: </w:t>
      </w:r>
      <w:r>
        <w:t>xii.</w:t>
      </w:r>
    </w:p>
  </w:footnote>
  <w:footnote w:id="52">
    <w:p w:rsidR="003766AB" w:rsidRDefault="003766AB" w:rsidP="00FD5BFB">
      <w:pPr>
        <w:pStyle w:val="FootnoteText"/>
      </w:pPr>
      <w:r>
        <w:rPr>
          <w:rStyle w:val="FootnoteReference"/>
        </w:rPr>
        <w:footnoteRef/>
      </w:r>
      <w:r>
        <w:t xml:space="preserve"> </w:t>
      </w:r>
      <w:r>
        <w:rPr>
          <w:noProof/>
        </w:rPr>
        <w:t xml:space="preserve">COAG, 2004: </w:t>
      </w:r>
      <w:r>
        <w:t>3.</w:t>
      </w:r>
    </w:p>
  </w:footnote>
  <w:footnote w:id="53">
    <w:p w:rsidR="003766AB" w:rsidRDefault="003766AB" w:rsidP="00FD5BFB">
      <w:pPr>
        <w:pStyle w:val="FootnoteText"/>
      </w:pPr>
      <w:r>
        <w:rPr>
          <w:rStyle w:val="FootnoteReference"/>
        </w:rPr>
        <w:footnoteRef/>
      </w:r>
      <w:r>
        <w:t xml:space="preserve"> </w:t>
      </w:r>
      <w:r>
        <w:rPr>
          <w:noProof/>
        </w:rPr>
        <w:t xml:space="preserve">Grant, 2015: </w:t>
      </w:r>
      <w:r>
        <w:t>86.</w:t>
      </w:r>
    </w:p>
  </w:footnote>
  <w:footnote w:id="54">
    <w:p w:rsidR="003766AB" w:rsidRDefault="003766AB" w:rsidP="00FD5BFB">
      <w:pPr>
        <w:pStyle w:val="FootnoteText"/>
      </w:pPr>
      <w:r>
        <w:rPr>
          <w:rStyle w:val="FootnoteReference"/>
        </w:rPr>
        <w:footnoteRef/>
      </w:r>
      <w:r>
        <w:t xml:space="preserve"> </w:t>
      </w:r>
      <w:r>
        <w:rPr>
          <w:noProof/>
        </w:rPr>
        <w:t xml:space="preserve">ACT Government, 2015a: </w:t>
      </w:r>
      <w:r>
        <w:t>7.</w:t>
      </w:r>
    </w:p>
  </w:footnote>
  <w:footnote w:id="55">
    <w:p w:rsidR="003766AB" w:rsidRDefault="003766AB" w:rsidP="00FD5BFB">
      <w:pPr>
        <w:pStyle w:val="FootnoteText"/>
      </w:pPr>
      <w:r>
        <w:rPr>
          <w:rStyle w:val="FootnoteReference"/>
        </w:rPr>
        <w:footnoteRef/>
      </w:r>
      <w:r>
        <w:t xml:space="preserve"> For a full treatment of welfare economics and Pareto efficiency, see </w:t>
      </w:r>
      <w:r>
        <w:rPr>
          <w:noProof/>
        </w:rPr>
        <w:t xml:space="preserve">Mas-Colell, Whinston and Green, 1995: </w:t>
      </w:r>
      <w:r>
        <w:t>Chapter 10.</w:t>
      </w:r>
    </w:p>
  </w:footnote>
  <w:footnote w:id="56">
    <w:p w:rsidR="003766AB" w:rsidRDefault="003766AB" w:rsidP="00FD5BFB">
      <w:pPr>
        <w:pStyle w:val="FootnoteText"/>
      </w:pPr>
      <w:r>
        <w:rPr>
          <w:rStyle w:val="FootnoteReference"/>
        </w:rPr>
        <w:footnoteRef/>
      </w:r>
      <w:r>
        <w:t xml:space="preserve"> Measuring welfare using the concept of aggregate surplus, which is the sum of producers’ and consumers’ surplus, was introduced by Alfred Marshall in his analysis of the effects of taxes and price shifts on market equilibrium.</w:t>
      </w:r>
    </w:p>
  </w:footnote>
  <w:footnote w:id="57">
    <w:p w:rsidR="003766AB" w:rsidRDefault="003766AB" w:rsidP="00FD5BFB">
      <w:pPr>
        <w:pStyle w:val="FootnoteText"/>
      </w:pPr>
      <w:r>
        <w:rPr>
          <w:rStyle w:val="FootnoteReference"/>
        </w:rPr>
        <w:footnoteRef/>
      </w:r>
      <w:r>
        <w:t xml:space="preserve"> </w:t>
      </w:r>
      <w:r>
        <w:rPr>
          <w:noProof/>
        </w:rPr>
        <w:t xml:space="preserve">Train, 1991: </w:t>
      </w:r>
      <w:r>
        <w:t>2.</w:t>
      </w:r>
    </w:p>
  </w:footnote>
  <w:footnote w:id="58">
    <w:p w:rsidR="003766AB" w:rsidRDefault="003766AB" w:rsidP="00FD5BFB">
      <w:pPr>
        <w:pStyle w:val="FootnoteText"/>
      </w:pPr>
      <w:r>
        <w:rPr>
          <w:rStyle w:val="FootnoteReference"/>
        </w:rPr>
        <w:footnoteRef/>
      </w:r>
      <w:r>
        <w:t xml:space="preserve"> </w:t>
      </w:r>
      <w:r>
        <w:rPr>
          <w:noProof/>
        </w:rPr>
        <w:t xml:space="preserve">AEMC, 2013: </w:t>
      </w:r>
      <w:r>
        <w:t>9.</w:t>
      </w:r>
    </w:p>
  </w:footnote>
  <w:footnote w:id="59">
    <w:p w:rsidR="003766AB" w:rsidRDefault="003766AB" w:rsidP="00FD5BFB">
      <w:pPr>
        <w:pStyle w:val="FootnoteText"/>
      </w:pPr>
      <w:r>
        <w:rPr>
          <w:rStyle w:val="FootnoteReference"/>
        </w:rPr>
        <w:footnoteRef/>
      </w:r>
      <w:r>
        <w:t xml:space="preserve"> The environmental requirements are considered within the rubric of economic efficiency.</w:t>
      </w:r>
    </w:p>
  </w:footnote>
  <w:footnote w:id="60">
    <w:p w:rsidR="003766AB" w:rsidRDefault="003766AB" w:rsidP="00FD5BFB">
      <w:pPr>
        <w:pStyle w:val="FootnoteText"/>
      </w:pPr>
      <w:r>
        <w:rPr>
          <w:rStyle w:val="FootnoteReference"/>
        </w:rPr>
        <w:footnoteRef/>
      </w:r>
      <w:r>
        <w:t xml:space="preserve"> This is important because, as discussed below, it is likely that the nature of the water and sewerage services industry is such that the (unconstrained) social optimum would involve less than full recovery of the costs of providing the services.</w:t>
      </w:r>
    </w:p>
  </w:footnote>
  <w:footnote w:id="61">
    <w:p w:rsidR="003766AB" w:rsidRDefault="003766AB" w:rsidP="00FD5BFB">
      <w:pPr>
        <w:pStyle w:val="FootnoteText"/>
      </w:pPr>
      <w:r>
        <w:rPr>
          <w:rStyle w:val="FootnoteReference"/>
        </w:rPr>
        <w:footnoteRef/>
      </w:r>
      <w:r>
        <w:t xml:space="preserve"> </w:t>
      </w:r>
      <w:r>
        <w:rPr>
          <w:noProof/>
        </w:rPr>
        <w:t xml:space="preserve">Mas-Colell, Whinston and Green, 1995: </w:t>
      </w:r>
      <w:r>
        <w:t>307.</w:t>
      </w:r>
    </w:p>
  </w:footnote>
  <w:footnote w:id="62">
    <w:p w:rsidR="003766AB" w:rsidRDefault="003766AB" w:rsidP="00FD5BFB">
      <w:pPr>
        <w:pStyle w:val="FootnoteText"/>
      </w:pPr>
      <w:r>
        <w:rPr>
          <w:rStyle w:val="FootnoteReference"/>
        </w:rPr>
        <w:footnoteRef/>
      </w:r>
      <w:r>
        <w:t xml:space="preserve"> This encompasses both the total amount of water and sewerage services consumed and the distribution of that consumption among customers. The objective is to secure an outcome in which social welfare could not be improved by consuming more of the services, nor by reallocating consumption between users, nor by some combination of the two.</w:t>
      </w:r>
    </w:p>
  </w:footnote>
  <w:footnote w:id="63">
    <w:p w:rsidR="003766AB" w:rsidRDefault="003766AB" w:rsidP="00FD5BFB">
      <w:pPr>
        <w:pStyle w:val="FootnoteText"/>
      </w:pPr>
      <w:r>
        <w:rPr>
          <w:rStyle w:val="FootnoteReference"/>
        </w:rPr>
        <w:footnoteRef/>
      </w:r>
      <w:r>
        <w:t xml:space="preserve"> It is important to note that prices can be cost-reflective only if the costs reflected are prudent and efficient.</w:t>
      </w:r>
    </w:p>
  </w:footnote>
  <w:footnote w:id="64">
    <w:p w:rsidR="003766AB" w:rsidRDefault="003766AB" w:rsidP="00FD5BFB">
      <w:pPr>
        <w:pStyle w:val="FootnoteText"/>
      </w:pPr>
      <w:r>
        <w:rPr>
          <w:rStyle w:val="FootnoteReference"/>
        </w:rPr>
        <w:footnoteRef/>
      </w:r>
      <w:r>
        <w:t xml:space="preserve"> In its 2013 final report on regulated water and sewerage services, the Commission noted the distinction between the ACT community as customers and taxpayers on the basis that there are likely to be taxpayers who consume virtually no water and large water customers who may pay little tax (</w:t>
      </w:r>
      <w:r>
        <w:rPr>
          <w:noProof/>
        </w:rPr>
        <w:t xml:space="preserve">ICRC, 2013a: </w:t>
      </w:r>
      <w:r>
        <w:t>63).</w:t>
      </w:r>
    </w:p>
  </w:footnote>
  <w:footnote w:id="65">
    <w:p w:rsidR="003766AB" w:rsidRDefault="003766AB" w:rsidP="00FD5BFB">
      <w:pPr>
        <w:pStyle w:val="FootnoteText"/>
      </w:pPr>
      <w:r>
        <w:rPr>
          <w:rStyle w:val="FootnoteReference"/>
        </w:rPr>
        <w:footnoteRef/>
      </w:r>
      <w:r>
        <w:t xml:space="preserve"> Note that the current 50 per cent rebate on water and sewerage charges for educational and church institutions is not subsidised by other water and sewerage services customers. Rather, Icon Water is compensated for the cost of the rebate by the ACT Government.</w:t>
      </w:r>
    </w:p>
  </w:footnote>
  <w:footnote w:id="66">
    <w:p w:rsidR="003766AB" w:rsidRDefault="003766AB" w:rsidP="00FD5BFB">
      <w:pPr>
        <w:pStyle w:val="FootnoteText"/>
      </w:pPr>
      <w:r>
        <w:rPr>
          <w:rStyle w:val="FootnoteReference"/>
        </w:rPr>
        <w:footnoteRef/>
      </w:r>
      <w:r>
        <w:t xml:space="preserve"> </w:t>
      </w:r>
      <w:r w:rsidRPr="006A18F3">
        <w:t>The Commission already applies this approach when setting Icon Water’s regulated prices</w:t>
      </w:r>
      <w:r>
        <w:t>. It does this by determining Icon Water’s prudent and efficient operating and capital costs as the first step in the price determination process</w:t>
      </w:r>
      <w:r w:rsidRPr="006A18F3">
        <w:t>.</w:t>
      </w:r>
    </w:p>
  </w:footnote>
  <w:footnote w:id="67">
    <w:p w:rsidR="003766AB" w:rsidRDefault="003766AB" w:rsidP="00FD5BFB">
      <w:pPr>
        <w:pStyle w:val="FootnoteText"/>
      </w:pPr>
      <w:r>
        <w:rPr>
          <w:rStyle w:val="FootnoteReference"/>
        </w:rPr>
        <w:footnoteRef/>
      </w:r>
      <w:r>
        <w:t xml:space="preserve"> It is important to note that the broader question of determining a revenue allowance that allows recovery of Icon Water’s full costs over the lifetime of its infrastructure assets </w:t>
      </w:r>
      <w:r>
        <w:sym w:font="Symbol" w:char="F02D"/>
      </w:r>
      <w:r>
        <w:t xml:space="preserve"> multiple regulatory periods </w:t>
      </w:r>
      <w:r>
        <w:sym w:font="Symbol" w:char="F02D"/>
      </w:r>
      <w:r>
        <w:t xml:space="preserve"> is not a matter for the tariff review. The Commission, in its </w:t>
      </w:r>
      <w:r w:rsidRPr="00E940DC">
        <w:t xml:space="preserve">response to the </w:t>
      </w:r>
      <w:r>
        <w:t xml:space="preserve">Industry </w:t>
      </w:r>
      <w:r w:rsidRPr="00E940DC">
        <w:t>Panel process</w:t>
      </w:r>
      <w:r>
        <w:t>,</w:t>
      </w:r>
      <w:r w:rsidRPr="00E940DC">
        <w:t xml:space="preserve"> </w:t>
      </w:r>
      <w:r>
        <w:t>has commented at length on the longer-term financial risks associated with the indexed RAB approach adopted by the Industry Panel to determine Icon Water’s cost of capital (</w:t>
      </w:r>
      <w:r>
        <w:rPr>
          <w:noProof/>
        </w:rPr>
        <w:t xml:space="preserve">ICRC, 2015a: </w:t>
      </w:r>
      <w:r>
        <w:t>Appendix 2).</w:t>
      </w:r>
    </w:p>
  </w:footnote>
  <w:footnote w:id="68">
    <w:p w:rsidR="003766AB" w:rsidRDefault="003766AB" w:rsidP="00FD5BFB">
      <w:pPr>
        <w:pStyle w:val="FootnoteText"/>
      </w:pPr>
      <w:r>
        <w:rPr>
          <w:rStyle w:val="FootnoteReference"/>
        </w:rPr>
        <w:footnoteRef/>
      </w:r>
      <w:r>
        <w:t xml:space="preserve"> Given the current water security situation as discussed in section </w:t>
      </w:r>
      <w:r w:rsidR="00A7215E">
        <w:fldChar w:fldCharType="begin"/>
      </w:r>
      <w:r>
        <w:instrText xml:space="preserve"> REF _Ref434494168 \r \h </w:instrText>
      </w:r>
      <w:r w:rsidR="00A7215E">
        <w:fldChar w:fldCharType="separate"/>
      </w:r>
      <w:r w:rsidR="00E43227">
        <w:t>2.6</w:t>
      </w:r>
      <w:r w:rsidR="00A7215E">
        <w:fldChar w:fldCharType="end"/>
      </w:r>
      <w:r>
        <w:t>, the Commission’s view is that the likelihood of Icon Water facing any water supply-side risk is remote.</w:t>
      </w:r>
    </w:p>
  </w:footnote>
  <w:footnote w:id="69">
    <w:p w:rsidR="003766AB" w:rsidRDefault="003766AB" w:rsidP="00FD5BFB">
      <w:pPr>
        <w:pStyle w:val="FootnoteText"/>
      </w:pPr>
      <w:r>
        <w:rPr>
          <w:rStyle w:val="FootnoteReference"/>
        </w:rPr>
        <w:footnoteRef/>
      </w:r>
      <w:r>
        <w:t xml:space="preserve"> </w:t>
      </w:r>
      <w:r>
        <w:rPr>
          <w:noProof/>
        </w:rPr>
        <w:t xml:space="preserve">Grant, 2015: </w:t>
      </w:r>
      <w:r>
        <w:t>xii.</w:t>
      </w:r>
    </w:p>
  </w:footnote>
  <w:footnote w:id="70">
    <w:p w:rsidR="003766AB" w:rsidRDefault="003766AB" w:rsidP="00461796">
      <w:pPr>
        <w:pStyle w:val="FootnoteText"/>
      </w:pPr>
      <w:r>
        <w:rPr>
          <w:rStyle w:val="FootnoteReference"/>
        </w:rPr>
        <w:footnoteRef/>
      </w:r>
      <w:r>
        <w:t xml:space="preserve"> The Commission’s daily pricing regime allows for 548 L/day, which approximates to 50 kL/quarter or 200 kL/year.</w:t>
      </w:r>
    </w:p>
  </w:footnote>
  <w:footnote w:id="71">
    <w:p w:rsidR="003766AB" w:rsidRDefault="003766AB" w:rsidP="00461796">
      <w:pPr>
        <w:pStyle w:val="FootnoteText"/>
      </w:pPr>
      <w:r>
        <w:rPr>
          <w:rStyle w:val="FootnoteReference"/>
        </w:rPr>
        <w:footnoteRef/>
      </w:r>
      <w:r>
        <w:t xml:space="preserve"> See </w:t>
      </w:r>
      <w:hyperlink r:id="rId1" w:history="1">
        <w:r w:rsidRPr="00435689">
          <w:rPr>
            <w:rStyle w:val="Hyperlink"/>
            <w:sz w:val="18"/>
          </w:rPr>
          <w:t>www.environment.act.gov.au/water/water_planning_and_management/</w:t>
        </w:r>
      </w:hyperlink>
      <w:r>
        <w:t xml:space="preserve"> for more information.</w:t>
      </w:r>
    </w:p>
  </w:footnote>
  <w:footnote w:id="72">
    <w:p w:rsidR="003766AB" w:rsidRDefault="003766AB" w:rsidP="00461796">
      <w:pPr>
        <w:pStyle w:val="FootnoteText"/>
      </w:pPr>
      <w:r>
        <w:rPr>
          <w:rStyle w:val="FootnoteReference"/>
        </w:rPr>
        <w:footnoteRef/>
      </w:r>
      <w:r>
        <w:t xml:space="preserve"> </w:t>
      </w:r>
      <w:r>
        <w:rPr>
          <w:noProof/>
        </w:rPr>
        <w:t xml:space="preserve">ACT Government, 2015b: </w:t>
      </w:r>
      <w:r>
        <w:t>3.</w:t>
      </w:r>
    </w:p>
  </w:footnote>
  <w:footnote w:id="73">
    <w:p w:rsidR="003766AB" w:rsidRDefault="003766AB" w:rsidP="00461796">
      <w:pPr>
        <w:pStyle w:val="FootnoteText"/>
      </w:pPr>
      <w:r>
        <w:rPr>
          <w:rStyle w:val="FootnoteReference"/>
        </w:rPr>
        <w:footnoteRef/>
      </w:r>
      <w:r>
        <w:t xml:space="preserve"> </w:t>
      </w:r>
      <w:r>
        <w:rPr>
          <w:noProof/>
        </w:rPr>
        <w:t xml:space="preserve">IPART, 2012b: </w:t>
      </w:r>
      <w:r>
        <w:t>101.</w:t>
      </w:r>
    </w:p>
  </w:footnote>
  <w:footnote w:id="74">
    <w:p w:rsidR="003766AB" w:rsidRDefault="003766AB" w:rsidP="00461796">
      <w:pPr>
        <w:pStyle w:val="FootnoteText"/>
      </w:pPr>
      <w:r>
        <w:rPr>
          <w:rStyle w:val="FootnoteReference"/>
        </w:rPr>
        <w:footnoteRef/>
      </w:r>
      <w:r>
        <w:t xml:space="preserve"> </w:t>
      </w:r>
      <w:r>
        <w:rPr>
          <w:noProof/>
        </w:rPr>
        <w:t xml:space="preserve">IPART, 2012b: </w:t>
      </w:r>
      <w:r>
        <w:t>215.</w:t>
      </w:r>
    </w:p>
  </w:footnote>
  <w:footnote w:id="75">
    <w:p w:rsidR="003766AB" w:rsidRDefault="003766AB" w:rsidP="00461796">
      <w:pPr>
        <w:pStyle w:val="FootnoteText"/>
      </w:pPr>
      <w:r>
        <w:rPr>
          <w:rStyle w:val="FootnoteReference"/>
        </w:rPr>
        <w:footnoteRef/>
      </w:r>
      <w:r>
        <w:t xml:space="preserve"> </w:t>
      </w:r>
      <w:r>
        <w:rPr>
          <w:noProof/>
        </w:rPr>
        <w:t xml:space="preserve">OTTER, 2015: </w:t>
      </w:r>
      <w:r>
        <w:t>78.</w:t>
      </w:r>
    </w:p>
  </w:footnote>
  <w:footnote w:id="76">
    <w:p w:rsidR="003766AB" w:rsidRDefault="003766AB" w:rsidP="00461796">
      <w:pPr>
        <w:pStyle w:val="FootnoteText"/>
      </w:pPr>
      <w:r>
        <w:rPr>
          <w:rStyle w:val="FootnoteReference"/>
        </w:rPr>
        <w:footnoteRef/>
      </w:r>
      <w:r>
        <w:t xml:space="preserve"> </w:t>
      </w:r>
      <w:r>
        <w:rPr>
          <w:noProof/>
        </w:rPr>
        <w:t xml:space="preserve">ACCC, 2008: </w:t>
      </w:r>
      <w:r>
        <w:t>15.</w:t>
      </w:r>
    </w:p>
  </w:footnote>
  <w:footnote w:id="77">
    <w:p w:rsidR="003766AB" w:rsidRDefault="003766AB" w:rsidP="00461796">
      <w:pPr>
        <w:pStyle w:val="FootnoteText"/>
      </w:pPr>
      <w:r>
        <w:rPr>
          <w:rStyle w:val="FootnoteReference"/>
        </w:rPr>
        <w:footnoteRef/>
      </w:r>
      <w:r>
        <w:t xml:space="preserve"> Prices for the bulk water service are set under a contractual arrangement between Icon Water and the Queanbeyan City Council. As such, the bulk water service is not of direct concern in the tariff review process.</w:t>
      </w:r>
    </w:p>
  </w:footnote>
  <w:footnote w:id="78">
    <w:p w:rsidR="003766AB" w:rsidRDefault="003766AB" w:rsidP="00461796">
      <w:pPr>
        <w:pStyle w:val="FootnoteText"/>
      </w:pPr>
      <w:r>
        <w:rPr>
          <w:rStyle w:val="FootnoteReference"/>
        </w:rPr>
        <w:footnoteRef/>
      </w:r>
      <w:r>
        <w:t xml:space="preserve"> It should be noted that it is possible for two goods to be substitutes where wealth effects are taken into account, and complements in circumstances where wealth effects are not considered. In the former case, if the price of one good is raised, the compensated demand for the other increases. In the latter case, an increase in the price of one good can decrease the demand for both goods: that is, in gross terms, the two goods may be complements. See </w:t>
      </w:r>
      <w:r>
        <w:rPr>
          <w:noProof/>
        </w:rPr>
        <w:t xml:space="preserve">Mas-Colell, Whinston and Green (1995) </w:t>
      </w:r>
      <w:r>
        <w:t>for a full treatment of Hicksian compensated demand curves and the gross substitution concept.</w:t>
      </w:r>
    </w:p>
  </w:footnote>
  <w:footnote w:id="79">
    <w:p w:rsidR="003766AB" w:rsidRDefault="003766AB" w:rsidP="00461796">
      <w:pPr>
        <w:pStyle w:val="FootnoteText"/>
      </w:pPr>
      <w:r>
        <w:rPr>
          <w:rStyle w:val="FootnoteReference"/>
        </w:rPr>
        <w:footnoteRef/>
      </w:r>
      <w:r>
        <w:t xml:space="preserve"> The average price is defined as the total bill for water including the fixed charge divided by the number of kilolitres consumed.</w:t>
      </w:r>
    </w:p>
  </w:footnote>
  <w:footnote w:id="80">
    <w:p w:rsidR="003766AB" w:rsidRDefault="003766AB" w:rsidP="00461796">
      <w:pPr>
        <w:pStyle w:val="FootnoteText"/>
      </w:pPr>
      <w:r>
        <w:rPr>
          <w:rStyle w:val="FootnoteReference"/>
        </w:rPr>
        <w:footnoteRef/>
      </w:r>
      <w:r>
        <w:t xml:space="preserve"> For example, see </w:t>
      </w:r>
      <w:r>
        <w:rPr>
          <w:noProof/>
        </w:rPr>
        <w:t xml:space="preserve">Borenstein, 2009: </w:t>
      </w:r>
      <w:r>
        <w:t xml:space="preserve">1–37; and </w:t>
      </w:r>
      <w:r>
        <w:rPr>
          <w:noProof/>
        </w:rPr>
        <w:t>Ito, 201</w:t>
      </w:r>
      <w:r w:rsidR="000D0708">
        <w:rPr>
          <w:noProof/>
        </w:rPr>
        <w:t>4</w:t>
      </w:r>
      <w:r>
        <w:rPr>
          <w:noProof/>
        </w:rPr>
        <w:t xml:space="preserve">: </w:t>
      </w:r>
      <w:r>
        <w:t>1–55.</w:t>
      </w:r>
    </w:p>
  </w:footnote>
  <w:footnote w:id="81">
    <w:p w:rsidR="003766AB" w:rsidRDefault="003766AB" w:rsidP="00461796">
      <w:pPr>
        <w:pStyle w:val="FootnoteText"/>
      </w:pPr>
      <w:r>
        <w:rPr>
          <w:rStyle w:val="FootnoteReference"/>
        </w:rPr>
        <w:footnoteRef/>
      </w:r>
      <w:r>
        <w:t xml:space="preserve"> </w:t>
      </w:r>
      <w:r>
        <w:rPr>
          <w:noProof/>
        </w:rPr>
        <w:t xml:space="preserve">Mas-Colell, Whinston and Green, 1995: </w:t>
      </w:r>
      <w:r>
        <w:t>308.</w:t>
      </w:r>
    </w:p>
  </w:footnote>
  <w:footnote w:id="82">
    <w:p w:rsidR="003766AB" w:rsidRDefault="003766AB" w:rsidP="00461796">
      <w:pPr>
        <w:pStyle w:val="FootnoteText"/>
      </w:pPr>
      <w:r>
        <w:rPr>
          <w:rStyle w:val="FootnoteReference"/>
        </w:rPr>
        <w:footnoteRef/>
      </w:r>
      <w:r>
        <w:t xml:space="preserve"> For full treatment of Marshallian partial equilibrium analysis, see </w:t>
      </w:r>
      <w:r>
        <w:rPr>
          <w:noProof/>
        </w:rPr>
        <w:t xml:space="preserve">Mas-Colell, Whinston and Green, 1995: </w:t>
      </w:r>
      <w:r>
        <w:t>Part 3.</w:t>
      </w:r>
    </w:p>
  </w:footnote>
  <w:footnote w:id="83">
    <w:p w:rsidR="003766AB" w:rsidRDefault="003766AB" w:rsidP="00461796">
      <w:pPr>
        <w:pStyle w:val="FootnoteText"/>
      </w:pPr>
      <w:r>
        <w:rPr>
          <w:rStyle w:val="FootnoteReference"/>
        </w:rPr>
        <w:footnoteRef/>
      </w:r>
      <w:r>
        <w:t xml:space="preserve"> Note that consumers’ surplus is the aggregate of all individual consumers’ surplus in the particular market, and likewise for producers’ surplus.</w:t>
      </w:r>
    </w:p>
  </w:footnote>
  <w:footnote w:id="84">
    <w:p w:rsidR="003766AB" w:rsidRDefault="003766AB" w:rsidP="00461796">
      <w:pPr>
        <w:pStyle w:val="FootnoteText"/>
      </w:pPr>
      <w:r>
        <w:rPr>
          <w:rStyle w:val="FootnoteReference"/>
        </w:rPr>
        <w:footnoteRef/>
      </w:r>
      <w:r>
        <w:t xml:space="preserve"> George Stigler, in his 1966 textbook on the theory of price, provides an apt description of consumers’ surplus: ‘When a reflective man buys a crowbar to pry open a treasure chest, he may well remark to himself that if necessary he would have been prepared to pay tenfold the price. When a parched man drinks a free beer on a hot day, he is apt to consider it a bargain. Marshall gave the odd name of ‘consumer’s surplus’ to these fugitive sentiments.’ (</w:t>
      </w:r>
      <w:r>
        <w:rPr>
          <w:noProof/>
        </w:rPr>
        <w:t xml:space="preserve">Stigler, 1966: </w:t>
      </w:r>
      <w:r>
        <w:t>78).</w:t>
      </w:r>
    </w:p>
  </w:footnote>
  <w:footnote w:id="85">
    <w:p w:rsidR="003766AB" w:rsidRDefault="003766AB" w:rsidP="00461796">
      <w:pPr>
        <w:pStyle w:val="FootnoteText"/>
      </w:pPr>
      <w:r>
        <w:rPr>
          <w:rStyle w:val="FootnoteReference"/>
        </w:rPr>
        <w:footnoteRef/>
      </w:r>
      <w:r>
        <w:t xml:space="preserve"> Producers’ surplus can also be defined as the earnings of firms over and above their variable costs.</w:t>
      </w:r>
    </w:p>
  </w:footnote>
  <w:footnote w:id="86">
    <w:p w:rsidR="003766AB" w:rsidRDefault="003766AB" w:rsidP="00461796">
      <w:pPr>
        <w:pStyle w:val="FootnoteText"/>
      </w:pPr>
      <w:r>
        <w:rPr>
          <w:rStyle w:val="FootnoteReference"/>
        </w:rPr>
        <w:footnoteRef/>
      </w:r>
      <w:r>
        <w:t xml:space="preserve"> Remembering, of course, that this conclusion depends on the same assumptions as those underpinning the first fundamental theorem of welfare economics, as discussed above.</w:t>
      </w:r>
    </w:p>
  </w:footnote>
  <w:footnote w:id="87">
    <w:p w:rsidR="003766AB" w:rsidRDefault="003766AB" w:rsidP="00461796">
      <w:pPr>
        <w:pStyle w:val="FootnoteText"/>
      </w:pPr>
      <w:r>
        <w:rPr>
          <w:rStyle w:val="FootnoteReference"/>
        </w:rPr>
        <w:footnoteRef/>
      </w:r>
      <w:r>
        <w:t xml:space="preserve"> </w:t>
      </w:r>
      <w:r>
        <w:rPr>
          <w:noProof/>
        </w:rPr>
        <w:t xml:space="preserve">Train, 1991: </w:t>
      </w:r>
      <w:r>
        <w:t>1.</w:t>
      </w:r>
    </w:p>
  </w:footnote>
  <w:footnote w:id="88">
    <w:p w:rsidR="003766AB" w:rsidRDefault="003766AB" w:rsidP="00461796">
      <w:pPr>
        <w:pStyle w:val="FootnoteText"/>
      </w:pPr>
      <w:r>
        <w:rPr>
          <w:rStyle w:val="FootnoteReference"/>
        </w:rPr>
        <w:footnoteRef/>
      </w:r>
      <w:r>
        <w:t xml:space="preserve"> If the monopolist was able to perfectly discriminate among its customers by knowing customer preferences and making a distinct offer to each customer, there would be no welfare deadweight loss. </w:t>
      </w:r>
      <w:r>
        <w:rPr>
          <w:noProof/>
        </w:rPr>
        <w:t xml:space="preserve">Mas-Colell, Whinston and Green (1995) </w:t>
      </w:r>
      <w:r>
        <w:t>note that such discrimination is impractical, in particular due to a lack of information about customer preferences and the possibility of customer resale.</w:t>
      </w:r>
    </w:p>
  </w:footnote>
  <w:footnote w:id="89">
    <w:p w:rsidR="003766AB" w:rsidRDefault="003766AB" w:rsidP="00461796">
      <w:pPr>
        <w:pStyle w:val="FootnoteText"/>
      </w:pPr>
      <w:r>
        <w:rPr>
          <w:rStyle w:val="FootnoteReference"/>
        </w:rPr>
        <w:footnoteRef/>
      </w:r>
      <w:r>
        <w:t xml:space="preserve"> </w:t>
      </w:r>
      <w:r>
        <w:rPr>
          <w:noProof/>
        </w:rPr>
        <w:t xml:space="preserve">Brown, Heller and Starr, 1992: </w:t>
      </w:r>
      <w:r>
        <w:t>53.</w:t>
      </w:r>
    </w:p>
  </w:footnote>
  <w:footnote w:id="90">
    <w:p w:rsidR="003766AB" w:rsidRDefault="003766AB" w:rsidP="00461796">
      <w:pPr>
        <w:pStyle w:val="FootnoteText"/>
      </w:pPr>
      <w:r>
        <w:rPr>
          <w:rStyle w:val="FootnoteReference"/>
        </w:rPr>
        <w:footnoteRef/>
      </w:r>
      <w:r>
        <w:t xml:space="preserve"> </w:t>
      </w:r>
      <w:r>
        <w:rPr>
          <w:noProof/>
        </w:rPr>
        <w:t xml:space="preserve">Brown, Heller and Starr, 1992: </w:t>
      </w:r>
      <w:r>
        <w:t>71.</w:t>
      </w:r>
    </w:p>
  </w:footnote>
  <w:footnote w:id="91">
    <w:p w:rsidR="003766AB" w:rsidRDefault="003766AB" w:rsidP="00461796">
      <w:pPr>
        <w:pStyle w:val="FootnoteText"/>
      </w:pPr>
      <w:r>
        <w:rPr>
          <w:rStyle w:val="FootnoteReference"/>
        </w:rPr>
        <w:footnoteRef/>
      </w:r>
      <w:r>
        <w:t xml:space="preserve"> </w:t>
      </w:r>
      <w:r>
        <w:rPr>
          <w:noProof/>
        </w:rPr>
        <w:t xml:space="preserve">Train, 1991: </w:t>
      </w:r>
      <w:r>
        <w:t>191.</w:t>
      </w:r>
    </w:p>
  </w:footnote>
  <w:footnote w:id="92">
    <w:p w:rsidR="003766AB" w:rsidRDefault="003766AB" w:rsidP="00461796">
      <w:pPr>
        <w:pStyle w:val="FootnoteText"/>
      </w:pPr>
      <w:r>
        <w:rPr>
          <w:rStyle w:val="FootnoteReference"/>
        </w:rPr>
        <w:footnoteRef/>
      </w:r>
      <w:r>
        <w:t xml:space="preserve"> </w:t>
      </w:r>
      <w:r w:rsidRPr="00D46E4F">
        <w:t>Frank Ramsey</w:t>
      </w:r>
      <w:r>
        <w:t>,</w:t>
      </w:r>
      <w:r w:rsidRPr="00D46E4F">
        <w:t xml:space="preserve"> </w:t>
      </w:r>
      <w:r>
        <w:t xml:space="preserve">in his 1927 seminal article on optimal </w:t>
      </w:r>
      <w:r w:rsidRPr="00D46E4F">
        <w:t>taxation</w:t>
      </w:r>
      <w:r>
        <w:t>,</w:t>
      </w:r>
      <w:r w:rsidRPr="00D46E4F">
        <w:t xml:space="preserve"> provided at least implicitly a solution to the optimal pricing problem for an industry in which marginal cost prices do not cover total costs</w:t>
      </w:r>
      <w:r>
        <w:t xml:space="preserve"> (</w:t>
      </w:r>
      <w:r>
        <w:rPr>
          <w:noProof/>
        </w:rPr>
        <w:t xml:space="preserve">Ramsey, 1927: </w:t>
      </w:r>
      <w:r>
        <w:t>47–61).</w:t>
      </w:r>
    </w:p>
  </w:footnote>
  <w:footnote w:id="93">
    <w:p w:rsidR="003766AB" w:rsidRDefault="003766AB" w:rsidP="00461796">
      <w:pPr>
        <w:pStyle w:val="FootnoteText"/>
      </w:pPr>
      <w:r>
        <w:rPr>
          <w:rStyle w:val="FootnoteReference"/>
        </w:rPr>
        <w:footnoteRef/>
      </w:r>
      <w:r>
        <w:t>The price elasticity of demand is the percentage change in quantity demanded divided by the percentage change in price that brought it about. Demand is said to be elastic if the percentage change in quantity is greater than the percentage change in price (elasticity is greater than one). Demand is inelastic if the percentage change in quantity is less than the percentage change in price (elasticity is less than one).</w:t>
      </w:r>
    </w:p>
  </w:footnote>
  <w:footnote w:id="94">
    <w:p w:rsidR="003766AB" w:rsidRDefault="003766AB" w:rsidP="00461796">
      <w:pPr>
        <w:pStyle w:val="FootnoteText"/>
      </w:pPr>
      <w:r>
        <w:rPr>
          <w:rStyle w:val="FootnoteReference"/>
        </w:rPr>
        <w:footnoteRef/>
      </w:r>
      <w:r>
        <w:t xml:space="preserve"> </w:t>
      </w:r>
      <w:r>
        <w:rPr>
          <w:noProof/>
        </w:rPr>
        <w:t xml:space="preserve">The Brattle Group, 2014: </w:t>
      </w:r>
      <w:r>
        <w:t>5.</w:t>
      </w:r>
    </w:p>
  </w:footnote>
  <w:footnote w:id="95">
    <w:p w:rsidR="003766AB" w:rsidRDefault="003766AB" w:rsidP="00461796">
      <w:pPr>
        <w:pStyle w:val="FootnoteText"/>
      </w:pPr>
      <w:r>
        <w:rPr>
          <w:rStyle w:val="FootnoteReference"/>
        </w:rPr>
        <w:footnoteRef/>
      </w:r>
      <w:r>
        <w:t xml:space="preserve"> </w:t>
      </w:r>
      <w:r>
        <w:rPr>
          <w:noProof/>
        </w:rPr>
        <w:t xml:space="preserve">Della Valle, 1988: </w:t>
      </w:r>
      <w:r>
        <w:t>283.</w:t>
      </w:r>
    </w:p>
  </w:footnote>
  <w:footnote w:id="96">
    <w:p w:rsidR="003766AB" w:rsidRDefault="003766AB" w:rsidP="00461796">
      <w:pPr>
        <w:pStyle w:val="FootnoteText"/>
      </w:pPr>
      <w:r>
        <w:rPr>
          <w:rStyle w:val="FootnoteReference"/>
        </w:rPr>
        <w:footnoteRef/>
      </w:r>
      <w:r>
        <w:t xml:space="preserve"> </w:t>
      </w:r>
      <w:r>
        <w:rPr>
          <w:noProof/>
        </w:rPr>
        <w:t xml:space="preserve">Boiteux, 1960: </w:t>
      </w:r>
      <w:r>
        <w:t>165.</w:t>
      </w:r>
    </w:p>
  </w:footnote>
  <w:footnote w:id="97">
    <w:p w:rsidR="003766AB" w:rsidRDefault="003766AB" w:rsidP="00461796">
      <w:pPr>
        <w:pStyle w:val="FootnoteText"/>
      </w:pPr>
      <w:r>
        <w:rPr>
          <w:rStyle w:val="FootnoteReference"/>
        </w:rPr>
        <w:footnoteRef/>
      </w:r>
      <w:r>
        <w:t xml:space="preserve"> </w:t>
      </w:r>
      <w:r>
        <w:rPr>
          <w:noProof/>
        </w:rPr>
        <w:t xml:space="preserve">Turvey, 1964: </w:t>
      </w:r>
      <w:r>
        <w:t>427.</w:t>
      </w:r>
    </w:p>
  </w:footnote>
  <w:footnote w:id="98">
    <w:p w:rsidR="003766AB" w:rsidRDefault="003766AB" w:rsidP="00461796">
      <w:pPr>
        <w:pStyle w:val="FootnoteText"/>
      </w:pPr>
      <w:r>
        <w:rPr>
          <w:rStyle w:val="FootnoteReference"/>
        </w:rPr>
        <w:footnoteRef/>
      </w:r>
      <w:r>
        <w:t xml:space="preserve"> </w:t>
      </w:r>
      <w:r>
        <w:rPr>
          <w:noProof/>
        </w:rPr>
        <w:t xml:space="preserve">Andersson and Bohman, 1985: </w:t>
      </w:r>
      <w:r>
        <w:t>279.</w:t>
      </w:r>
    </w:p>
  </w:footnote>
  <w:footnote w:id="99">
    <w:p w:rsidR="003766AB" w:rsidRDefault="003766AB" w:rsidP="00461796">
      <w:pPr>
        <w:pStyle w:val="FootnoteText"/>
      </w:pPr>
      <w:r>
        <w:rPr>
          <w:rStyle w:val="FootnoteReference"/>
        </w:rPr>
        <w:footnoteRef/>
      </w:r>
      <w:r>
        <w:t xml:space="preserve"> </w:t>
      </w:r>
      <w:r>
        <w:rPr>
          <w:noProof/>
        </w:rPr>
        <w:t xml:space="preserve">Della Valle, 1988: </w:t>
      </w:r>
      <w:r>
        <w:t>283.</w:t>
      </w:r>
    </w:p>
  </w:footnote>
  <w:footnote w:id="100">
    <w:p w:rsidR="003766AB" w:rsidRDefault="003766AB" w:rsidP="00461796">
      <w:pPr>
        <w:pStyle w:val="FootnoteText"/>
      </w:pPr>
      <w:r>
        <w:rPr>
          <w:rStyle w:val="FootnoteReference"/>
        </w:rPr>
        <w:footnoteRef/>
      </w:r>
      <w:r>
        <w:t xml:space="preserve"> </w:t>
      </w:r>
      <w:r>
        <w:rPr>
          <w:noProof/>
        </w:rPr>
        <w:t xml:space="preserve">London Economics, 1997: </w:t>
      </w:r>
      <w:r>
        <w:t>13.</w:t>
      </w:r>
    </w:p>
  </w:footnote>
  <w:footnote w:id="101">
    <w:p w:rsidR="003766AB" w:rsidRDefault="003766AB" w:rsidP="00461796">
      <w:pPr>
        <w:pStyle w:val="FootnoteText"/>
      </w:pPr>
      <w:r>
        <w:rPr>
          <w:rStyle w:val="FootnoteReference"/>
        </w:rPr>
        <w:footnoteRef/>
      </w:r>
      <w:r>
        <w:t xml:space="preserve"> </w:t>
      </w:r>
      <w:r>
        <w:rPr>
          <w:noProof/>
        </w:rPr>
        <w:t xml:space="preserve">AEMC, 2013: </w:t>
      </w:r>
      <w:r>
        <w:t>29.</w:t>
      </w:r>
    </w:p>
  </w:footnote>
  <w:footnote w:id="102">
    <w:p w:rsidR="003766AB" w:rsidRDefault="003766AB" w:rsidP="00461796">
      <w:pPr>
        <w:pStyle w:val="FootnoteText"/>
      </w:pPr>
      <w:r>
        <w:rPr>
          <w:rStyle w:val="FootnoteReference"/>
        </w:rPr>
        <w:footnoteRef/>
      </w:r>
      <w:r>
        <w:t xml:space="preserve"> </w:t>
      </w:r>
      <w:r>
        <w:rPr>
          <w:noProof/>
        </w:rPr>
        <w:t xml:space="preserve">Vickrey, 1955: </w:t>
      </w:r>
      <w:r>
        <w:t>605.</w:t>
      </w:r>
    </w:p>
  </w:footnote>
  <w:footnote w:id="103">
    <w:p w:rsidR="003766AB" w:rsidRDefault="003766AB" w:rsidP="00461796">
      <w:pPr>
        <w:pStyle w:val="FootnoteText"/>
      </w:pPr>
      <w:r>
        <w:rPr>
          <w:rStyle w:val="FootnoteReference"/>
        </w:rPr>
        <w:footnoteRef/>
      </w:r>
      <w:r>
        <w:t xml:space="preserve"> </w:t>
      </w:r>
      <w:r>
        <w:rPr>
          <w:noProof/>
        </w:rPr>
        <w:t xml:space="preserve">Grafton and Ward, 2010: </w:t>
      </w:r>
      <w:r>
        <w:t>6.</w:t>
      </w:r>
    </w:p>
  </w:footnote>
  <w:footnote w:id="104">
    <w:p w:rsidR="003766AB" w:rsidRDefault="003766AB" w:rsidP="00461796">
      <w:pPr>
        <w:pStyle w:val="FootnoteText"/>
      </w:pPr>
      <w:r>
        <w:rPr>
          <w:rStyle w:val="FootnoteReference"/>
        </w:rPr>
        <w:footnoteRef/>
      </w:r>
      <w:r>
        <w:t xml:space="preserve"> </w:t>
      </w:r>
      <w:r>
        <w:rPr>
          <w:noProof/>
        </w:rPr>
        <w:t xml:space="preserve">NWC, 2011a: </w:t>
      </w:r>
      <w:r>
        <w:t>5.</w:t>
      </w:r>
    </w:p>
  </w:footnote>
  <w:footnote w:id="105">
    <w:p w:rsidR="003766AB" w:rsidRDefault="003766AB" w:rsidP="00461796">
      <w:pPr>
        <w:pStyle w:val="FootnoteText"/>
      </w:pPr>
      <w:r>
        <w:rPr>
          <w:rStyle w:val="FootnoteReference"/>
        </w:rPr>
        <w:footnoteRef/>
      </w:r>
      <w:r>
        <w:t xml:space="preserve"> </w:t>
      </w:r>
      <w:r>
        <w:rPr>
          <w:noProof/>
        </w:rPr>
        <w:t xml:space="preserve">Grafton and Ward, 2010: </w:t>
      </w:r>
      <w:r>
        <w:t>1.</w:t>
      </w:r>
    </w:p>
  </w:footnote>
  <w:footnote w:id="106">
    <w:p w:rsidR="003766AB" w:rsidRDefault="003766AB" w:rsidP="00461796">
      <w:pPr>
        <w:pStyle w:val="FootnoteText"/>
      </w:pPr>
      <w:r>
        <w:rPr>
          <w:rStyle w:val="FootnoteReference"/>
        </w:rPr>
        <w:footnoteRef/>
      </w:r>
      <w:r>
        <w:t xml:space="preserve"> </w:t>
      </w:r>
      <w:r>
        <w:rPr>
          <w:noProof/>
        </w:rPr>
        <w:t xml:space="preserve">Grafton and Ward, 2010: </w:t>
      </w:r>
      <w:r>
        <w:t>20.</w:t>
      </w:r>
    </w:p>
  </w:footnote>
  <w:footnote w:id="107">
    <w:p w:rsidR="003766AB" w:rsidRDefault="003766AB" w:rsidP="00461796">
      <w:pPr>
        <w:pStyle w:val="FootnoteText"/>
      </w:pPr>
      <w:r>
        <w:rPr>
          <w:rStyle w:val="FootnoteReference"/>
        </w:rPr>
        <w:footnoteRef/>
      </w:r>
      <w:r>
        <w:t xml:space="preserve"> </w:t>
      </w:r>
      <w:r>
        <w:rPr>
          <w:noProof/>
        </w:rPr>
        <w:t xml:space="preserve">Grafton, Kompas and Ward, 2011: </w:t>
      </w:r>
      <w:r>
        <w:t>21.</w:t>
      </w:r>
    </w:p>
  </w:footnote>
  <w:footnote w:id="108">
    <w:p w:rsidR="003766AB" w:rsidRDefault="003766AB" w:rsidP="00461796">
      <w:pPr>
        <w:pStyle w:val="FootnoteText"/>
      </w:pPr>
      <w:r>
        <w:rPr>
          <w:rStyle w:val="FootnoteReference"/>
        </w:rPr>
        <w:footnoteRef/>
      </w:r>
      <w:r>
        <w:t xml:space="preserve"> </w:t>
      </w:r>
      <w:r>
        <w:rPr>
          <w:noProof/>
        </w:rPr>
        <w:t xml:space="preserve">ACT Government, 2010b: </w:t>
      </w:r>
      <w:r>
        <w:t>3.</w:t>
      </w:r>
    </w:p>
  </w:footnote>
  <w:footnote w:id="109">
    <w:p w:rsidR="003766AB" w:rsidRDefault="003766AB" w:rsidP="00461796">
      <w:pPr>
        <w:pStyle w:val="FootnoteText"/>
      </w:pPr>
      <w:r>
        <w:rPr>
          <w:rStyle w:val="FootnoteReference"/>
        </w:rPr>
        <w:footnoteRef/>
      </w:r>
      <w:r>
        <w:t xml:space="preserve"> </w:t>
      </w:r>
      <w:r>
        <w:rPr>
          <w:noProof/>
        </w:rPr>
        <w:t xml:space="preserve">Mann and Schlenger, 1982: </w:t>
      </w:r>
      <w:r>
        <w:t>7.</w:t>
      </w:r>
    </w:p>
  </w:footnote>
  <w:footnote w:id="110">
    <w:p w:rsidR="003766AB" w:rsidRDefault="003766AB" w:rsidP="00461796">
      <w:pPr>
        <w:pStyle w:val="FootnoteText"/>
      </w:pPr>
      <w:r>
        <w:rPr>
          <w:rStyle w:val="FootnoteReference"/>
        </w:rPr>
        <w:footnoteRef/>
      </w:r>
      <w:r>
        <w:t xml:space="preserve"> </w:t>
      </w:r>
      <w:r>
        <w:rPr>
          <w:noProof/>
        </w:rPr>
        <w:t xml:space="preserve">ICRC, 2007a: </w:t>
      </w:r>
      <w:r>
        <w:t>32.</w:t>
      </w:r>
    </w:p>
  </w:footnote>
  <w:footnote w:id="111">
    <w:p w:rsidR="003766AB" w:rsidRDefault="003766AB" w:rsidP="00461796">
      <w:pPr>
        <w:pStyle w:val="FootnoteText"/>
      </w:pPr>
      <w:r>
        <w:rPr>
          <w:rStyle w:val="FootnoteReference"/>
        </w:rPr>
        <w:footnoteRef/>
      </w:r>
      <w:r>
        <w:t xml:space="preserve"> </w:t>
      </w:r>
      <w:r>
        <w:rPr>
          <w:noProof/>
        </w:rPr>
        <w:t xml:space="preserve">ICRC, 2007c: </w:t>
      </w:r>
      <w:r>
        <w:t>72.</w:t>
      </w:r>
    </w:p>
  </w:footnote>
  <w:footnote w:id="112">
    <w:p w:rsidR="003766AB" w:rsidRDefault="003766AB" w:rsidP="00461796">
      <w:pPr>
        <w:pStyle w:val="FootnoteText"/>
      </w:pPr>
      <w:r>
        <w:rPr>
          <w:rStyle w:val="FootnoteReference"/>
        </w:rPr>
        <w:footnoteRef/>
      </w:r>
      <w:r>
        <w:t xml:space="preserve"> </w:t>
      </w:r>
      <w:r>
        <w:rPr>
          <w:noProof/>
        </w:rPr>
        <w:t xml:space="preserve">ICRC, 2007b: </w:t>
      </w:r>
      <w:r>
        <w:t>124.</w:t>
      </w:r>
    </w:p>
  </w:footnote>
  <w:footnote w:id="113">
    <w:p w:rsidR="003766AB" w:rsidRDefault="003766AB" w:rsidP="00461796">
      <w:pPr>
        <w:pStyle w:val="FootnoteText"/>
      </w:pPr>
      <w:r>
        <w:rPr>
          <w:rStyle w:val="FootnoteReference"/>
        </w:rPr>
        <w:footnoteRef/>
      </w:r>
      <w:r>
        <w:t xml:space="preserve"> A common tariff distinction in the electricity industry is between time-of-use tariffs and standard flat-rate tariffs.</w:t>
      </w:r>
    </w:p>
  </w:footnote>
  <w:footnote w:id="114">
    <w:p w:rsidR="003766AB" w:rsidRDefault="003766AB" w:rsidP="00461796">
      <w:pPr>
        <w:pStyle w:val="FootnoteText"/>
      </w:pPr>
      <w:r>
        <w:rPr>
          <w:rStyle w:val="FootnoteReference"/>
        </w:rPr>
        <w:footnoteRef/>
      </w:r>
      <w:r>
        <w:t xml:space="preserve"> </w:t>
      </w:r>
      <w:r>
        <w:rPr>
          <w:noProof/>
        </w:rPr>
        <w:t xml:space="preserve">Train, 1991: </w:t>
      </w:r>
      <w:r>
        <w:t>264. Train also notes that the popularity of such tariffs is due to the fact that it is easier for a regulated firm to get a new tariff approved if presented as a self-selecting alternative to the existing tariff.</w:t>
      </w:r>
    </w:p>
  </w:footnote>
  <w:footnote w:id="115">
    <w:p w:rsidR="003766AB" w:rsidRDefault="003766AB" w:rsidP="00461796">
      <w:pPr>
        <w:pStyle w:val="FootnoteText"/>
      </w:pPr>
      <w:r>
        <w:rPr>
          <w:rStyle w:val="FootnoteReference"/>
        </w:rPr>
        <w:footnoteRef/>
      </w:r>
      <w:r>
        <w:t xml:space="preserve"> In the electricity industry, nodal pricing is commonly referred to as locational marginal pricing.</w:t>
      </w:r>
    </w:p>
  </w:footnote>
  <w:footnote w:id="116">
    <w:p w:rsidR="003766AB" w:rsidRDefault="003766AB" w:rsidP="00461796">
      <w:pPr>
        <w:pStyle w:val="FootnoteText"/>
      </w:pPr>
      <w:r>
        <w:rPr>
          <w:rStyle w:val="FootnoteReference"/>
        </w:rPr>
        <w:footnoteRef/>
      </w:r>
      <w:r>
        <w:t xml:space="preserve"> </w:t>
      </w:r>
      <w:r>
        <w:rPr>
          <w:noProof/>
        </w:rPr>
        <w:t xml:space="preserve">Green, 2007: </w:t>
      </w:r>
      <w:r>
        <w:t>126.</w:t>
      </w:r>
    </w:p>
  </w:footnote>
  <w:footnote w:id="117">
    <w:p w:rsidR="0050549B" w:rsidRDefault="0050549B">
      <w:pPr>
        <w:pStyle w:val="FootnoteText"/>
      </w:pPr>
      <w:r>
        <w:rPr>
          <w:rStyle w:val="FootnoteReference"/>
        </w:rPr>
        <w:footnoteRef/>
      </w:r>
      <w:r>
        <w:t xml:space="preserve"> Green-field developments would include brand new estates. Brown-field developments would include infill developments in already established areas.   </w:t>
      </w:r>
    </w:p>
  </w:footnote>
  <w:footnote w:id="118">
    <w:p w:rsidR="003766AB" w:rsidRDefault="003766AB" w:rsidP="00461796">
      <w:pPr>
        <w:pStyle w:val="FootnoteText"/>
      </w:pPr>
      <w:r>
        <w:rPr>
          <w:rStyle w:val="FootnoteReference"/>
        </w:rPr>
        <w:footnoteRef/>
      </w:r>
      <w:r>
        <w:t xml:space="preserve"> </w:t>
      </w:r>
      <w:r>
        <w:rPr>
          <w:noProof/>
        </w:rPr>
        <w:t xml:space="preserve">Frontier Economics, 2008: </w:t>
      </w:r>
      <w:r>
        <w:t>20.</w:t>
      </w:r>
    </w:p>
  </w:footnote>
  <w:footnote w:id="119">
    <w:p w:rsidR="003766AB" w:rsidRDefault="003766AB" w:rsidP="00461796">
      <w:pPr>
        <w:pStyle w:val="FootnoteText"/>
      </w:pPr>
      <w:r>
        <w:rPr>
          <w:rStyle w:val="FootnoteReference"/>
        </w:rPr>
        <w:footnoteRef/>
      </w:r>
      <w:r>
        <w:t xml:space="preserve"> </w:t>
      </w:r>
      <w:r>
        <w:rPr>
          <w:noProof/>
        </w:rPr>
        <w:t xml:space="preserve">ACTEW, 2011: </w:t>
      </w:r>
      <w:r>
        <w:t>4.</w:t>
      </w:r>
    </w:p>
  </w:footnote>
  <w:footnote w:id="120">
    <w:p w:rsidR="003766AB" w:rsidRDefault="003766AB" w:rsidP="00461796">
      <w:pPr>
        <w:pStyle w:val="FootnoteText"/>
      </w:pPr>
      <w:r>
        <w:rPr>
          <w:rStyle w:val="FootnoteReference"/>
        </w:rPr>
        <w:footnoteRef/>
      </w:r>
      <w:r>
        <w:t xml:space="preserve"> Sydney Water does require developer charges for recycled water developments.</w:t>
      </w:r>
    </w:p>
  </w:footnote>
  <w:footnote w:id="121">
    <w:p w:rsidR="003766AB" w:rsidRDefault="003766AB" w:rsidP="00461796">
      <w:pPr>
        <w:pStyle w:val="FootnoteText"/>
      </w:pPr>
      <w:r>
        <w:rPr>
          <w:rStyle w:val="FootnoteReference"/>
        </w:rPr>
        <w:footnoteRef/>
      </w:r>
      <w:r>
        <w:t xml:space="preserve"> </w:t>
      </w:r>
      <w:r>
        <w:rPr>
          <w:noProof/>
        </w:rPr>
        <w:t xml:space="preserve">Sydney Water, 2011: </w:t>
      </w:r>
      <w:r>
        <w:t>1.</w:t>
      </w:r>
    </w:p>
  </w:footnote>
  <w:footnote w:id="122">
    <w:p w:rsidR="003766AB" w:rsidRDefault="003766AB" w:rsidP="00461796">
      <w:pPr>
        <w:pStyle w:val="FootnoteText"/>
      </w:pPr>
      <w:r>
        <w:rPr>
          <w:rStyle w:val="FootnoteReference"/>
        </w:rPr>
        <w:footnoteRef/>
      </w:r>
      <w:r>
        <w:t xml:space="preserve"> </w:t>
      </w:r>
      <w:r>
        <w:rPr>
          <w:noProof/>
        </w:rPr>
        <w:t xml:space="preserve">City West Water, 2015b: </w:t>
      </w:r>
      <w:r>
        <w:t>17.</w:t>
      </w:r>
    </w:p>
  </w:footnote>
  <w:footnote w:id="123">
    <w:p w:rsidR="003766AB" w:rsidRDefault="003766AB" w:rsidP="00461796">
      <w:pPr>
        <w:pStyle w:val="FootnoteText"/>
      </w:pPr>
      <w:r>
        <w:rPr>
          <w:rStyle w:val="FootnoteReference"/>
        </w:rPr>
        <w:footnoteRef/>
      </w:r>
      <w:r>
        <w:t xml:space="preserve"> </w:t>
      </w:r>
      <w:r>
        <w:rPr>
          <w:noProof/>
        </w:rPr>
        <w:t xml:space="preserve">ESC, 2011b: </w:t>
      </w:r>
      <w:r>
        <w:t>10.</w:t>
      </w:r>
    </w:p>
  </w:footnote>
  <w:footnote w:id="124">
    <w:p w:rsidR="003766AB" w:rsidRDefault="003766AB" w:rsidP="00461796">
      <w:pPr>
        <w:pStyle w:val="FootnoteText"/>
      </w:pPr>
      <w:r>
        <w:rPr>
          <w:rStyle w:val="FootnoteReference"/>
        </w:rPr>
        <w:footnoteRef/>
      </w:r>
      <w:r>
        <w:t xml:space="preserve"> See </w:t>
      </w:r>
      <w:r>
        <w:rPr>
          <w:noProof/>
        </w:rPr>
        <w:t xml:space="preserve">ICRC (2012) </w:t>
      </w:r>
      <w:r>
        <w:t>for more detail.</w:t>
      </w:r>
    </w:p>
  </w:footnote>
  <w:footnote w:id="125">
    <w:p w:rsidR="003766AB" w:rsidRDefault="003766AB" w:rsidP="00461796">
      <w:pPr>
        <w:pStyle w:val="FootnoteText"/>
      </w:pPr>
      <w:r>
        <w:rPr>
          <w:rStyle w:val="FootnoteReference"/>
        </w:rPr>
        <w:footnoteRef/>
      </w:r>
      <w:r>
        <w:t xml:space="preserve"> </w:t>
      </w:r>
      <w:r w:rsidRPr="00C53ABB">
        <w:t>Levelised unit cost is a common cost-effectiveness analysis tool</w:t>
      </w:r>
      <w:r>
        <w:t xml:space="preserve"> and is </w:t>
      </w:r>
      <w:r w:rsidRPr="00C53ABB">
        <w:t>usually calculated as the present value of the costs of an initiative divided by the present value of the water supplied (or saved in the case of demand-management measures)</w:t>
      </w:r>
      <w:r>
        <w:t>.</w:t>
      </w:r>
    </w:p>
  </w:footnote>
  <w:footnote w:id="126">
    <w:p w:rsidR="003766AB" w:rsidRDefault="003766AB" w:rsidP="0065431C">
      <w:pPr>
        <w:pStyle w:val="FootnoteText"/>
      </w:pPr>
      <w:r>
        <w:rPr>
          <w:rStyle w:val="FootnoteReference"/>
        </w:rPr>
        <w:footnoteRef/>
      </w:r>
      <w:r>
        <w:t xml:space="preserve"> </w:t>
      </w:r>
      <w:r>
        <w:rPr>
          <w:noProof/>
        </w:rPr>
        <w:t xml:space="preserve">IPART, 2013: </w:t>
      </w:r>
      <w:r>
        <w:t>118.</w:t>
      </w:r>
    </w:p>
  </w:footnote>
  <w:footnote w:id="127">
    <w:p w:rsidR="003766AB" w:rsidRDefault="003766AB" w:rsidP="0065431C">
      <w:pPr>
        <w:pStyle w:val="FootnoteText"/>
      </w:pPr>
      <w:r>
        <w:rPr>
          <w:rStyle w:val="FootnoteReference"/>
        </w:rPr>
        <w:footnoteRef/>
      </w:r>
      <w:r>
        <w:t xml:space="preserve"> </w:t>
      </w:r>
      <w:r>
        <w:rPr>
          <w:noProof/>
        </w:rPr>
        <w:t xml:space="preserve">IPART, 2012b: </w:t>
      </w:r>
      <w:r>
        <w:t>103.</w:t>
      </w:r>
    </w:p>
  </w:footnote>
  <w:footnote w:id="128">
    <w:p w:rsidR="003766AB" w:rsidRDefault="003766AB" w:rsidP="0065431C">
      <w:pPr>
        <w:pStyle w:val="FootnoteText"/>
      </w:pPr>
      <w:r>
        <w:rPr>
          <w:rStyle w:val="FootnoteReference"/>
        </w:rPr>
        <w:footnoteRef/>
      </w:r>
      <w:r>
        <w:t xml:space="preserve"> City West Water also offers alternative sewage volume calculation options. For more detail, see </w:t>
      </w:r>
      <w:r w:rsidRPr="005D7B8F">
        <w:t>www.citywestwater.com.au/residents/charges_explained.aspx</w:t>
      </w:r>
      <w:r>
        <w:t>.</w:t>
      </w:r>
    </w:p>
  </w:footnote>
  <w:footnote w:id="129">
    <w:p w:rsidR="003766AB" w:rsidRDefault="003766AB" w:rsidP="0065431C">
      <w:pPr>
        <w:pStyle w:val="FootnoteText"/>
      </w:pPr>
      <w:r>
        <w:rPr>
          <w:rStyle w:val="FootnoteReference"/>
        </w:rPr>
        <w:footnoteRef/>
      </w:r>
      <w:r>
        <w:t xml:space="preserve"> </w:t>
      </w:r>
      <w:r>
        <w:rPr>
          <w:noProof/>
        </w:rPr>
        <w:t xml:space="preserve">Sydney Water, 2015a: </w:t>
      </w:r>
      <w:r>
        <w:t>3.</w:t>
      </w:r>
    </w:p>
  </w:footnote>
  <w:footnote w:id="130">
    <w:p w:rsidR="003766AB" w:rsidRDefault="003766AB" w:rsidP="0065431C">
      <w:pPr>
        <w:pStyle w:val="FootnoteText"/>
      </w:pPr>
      <w:r>
        <w:rPr>
          <w:rStyle w:val="FootnoteReference"/>
        </w:rPr>
        <w:footnoteRef/>
      </w:r>
      <w:r>
        <w:t xml:space="preserve"> </w:t>
      </w:r>
      <w:r>
        <w:rPr>
          <w:noProof/>
        </w:rPr>
        <w:t xml:space="preserve">Gotora, 2012: </w:t>
      </w:r>
      <w:r>
        <w:t>1.</w:t>
      </w:r>
    </w:p>
  </w:footnote>
  <w:footnote w:id="131">
    <w:p w:rsidR="003766AB" w:rsidRDefault="003766AB" w:rsidP="0065431C">
      <w:pPr>
        <w:pStyle w:val="FootnoteText"/>
      </w:pPr>
      <w:r>
        <w:rPr>
          <w:rStyle w:val="FootnoteReference"/>
        </w:rPr>
        <w:footnoteRef/>
      </w:r>
      <w:r>
        <w:t xml:space="preserve"> </w:t>
      </w:r>
      <w:r>
        <w:rPr>
          <w:noProof/>
        </w:rPr>
        <w:t xml:space="preserve">COAG, 2004: </w:t>
      </w:r>
      <w:r>
        <w:t>14.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AB" w:rsidRDefault="003766AB">
    <w:pPr>
      <w:spacing w:after="0" w:line="240" w:lineRule="auto"/>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AB" w:rsidRDefault="003766AB"/>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AB" w:rsidRDefault="003766AB" w:rsidP="00D67976">
    <w:pPr>
      <w:spacing w:after="0"/>
      <w:jc w:val="right"/>
    </w:pPr>
  </w:p>
  <w:p w:rsidR="003766AB" w:rsidRPr="0048615F" w:rsidRDefault="003766AB" w:rsidP="00522FB8">
    <w:pPr>
      <w:pStyle w:val="Headerodd"/>
      <w:rPr>
        <w:color w:val="auto"/>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AB" w:rsidRDefault="003766AB" w:rsidP="00D67976">
    <w:pPr>
      <w:spacing w:after="0"/>
    </w:pPr>
  </w:p>
  <w:p w:rsidR="003766AB" w:rsidRDefault="003766AB" w:rsidP="00D67976">
    <w:pPr>
      <w:spacing w:after="0"/>
    </w:pPr>
  </w:p>
  <w:p w:rsidR="003766AB" w:rsidRDefault="00A7215E" w:rsidP="00502D80">
    <w:pPr>
      <w:pStyle w:val="Headereven"/>
    </w:pPr>
    <w:r>
      <w:fldChar w:fldCharType="begin"/>
    </w:r>
    <w:r w:rsidR="003766AB">
      <w:instrText xml:space="preserve"> REF _Ref338172668 \r \h </w:instrText>
    </w:r>
    <w:r>
      <w:fldChar w:fldCharType="separate"/>
    </w:r>
    <w:r w:rsidR="00E43227">
      <w:rPr>
        <w:b/>
        <w:bCs/>
        <w:lang w:val="en-US"/>
      </w:rPr>
      <w:t>Error! Reference source not found.</w:t>
    </w:r>
    <w:r>
      <w:fldChar w:fldCharType="end"/>
    </w:r>
    <w:r w:rsidR="003766AB">
      <w:t xml:space="preserve"> – </w:t>
    </w:r>
    <w:r>
      <w:fldChar w:fldCharType="begin"/>
    </w:r>
    <w:r w:rsidR="003766AB">
      <w:instrText xml:space="preserve"> REF _Ref338172668 \h </w:instrText>
    </w:r>
    <w:r>
      <w:fldChar w:fldCharType="separate"/>
    </w:r>
    <w:r w:rsidR="00E43227">
      <w:rPr>
        <w:b/>
        <w:bCs/>
        <w:lang w:val="en-US"/>
      </w:rPr>
      <w:t>Error! Reference source not found.</w:t>
    </w:r>
    <w:r>
      <w:fldChar w:fldCharType="end"/>
    </w:r>
  </w:p>
  <w:p w:rsidR="003766AB" w:rsidRDefault="00A7215E" w:rsidP="00502D80">
    <w:pPr>
      <w:pStyle w:val="Headereven"/>
    </w:pPr>
    <w:r>
      <w:fldChar w:fldCharType="begin"/>
    </w:r>
    <w:r w:rsidR="003766AB">
      <w:instrText xml:space="preserve"> REF _Ref349552358 \r \h </w:instrText>
    </w:r>
    <w:r>
      <w:fldChar w:fldCharType="separate"/>
    </w:r>
    <w:r w:rsidR="00E43227">
      <w:rPr>
        <w:b/>
        <w:bCs/>
        <w:lang w:val="en-US"/>
      </w:rPr>
      <w:t>Error! Reference source not found.</w:t>
    </w:r>
    <w:r>
      <w:fldChar w:fldCharType="end"/>
    </w:r>
    <w:r w:rsidR="003766AB">
      <w:t xml:space="preserve"> – </w:t>
    </w:r>
    <w:r>
      <w:fldChar w:fldCharType="begin"/>
    </w:r>
    <w:r w:rsidR="003766AB">
      <w:instrText xml:space="preserve"> REF _Ref349552358 \h </w:instrText>
    </w:r>
    <w:r>
      <w:fldChar w:fldCharType="separate"/>
    </w:r>
    <w:r w:rsidR="00E43227">
      <w:rPr>
        <w:b/>
        <w:bCs/>
        <w:lang w:val="en-US"/>
      </w:rPr>
      <w:t>Error! Reference source not found.</w:t>
    </w:r>
    <w:r>
      <w:fldChar w:fldCharType="end"/>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AB" w:rsidRDefault="003766AB" w:rsidP="00D67976">
    <w:pPr>
      <w:spacing w:after="0"/>
      <w:jc w:val="right"/>
    </w:pPr>
  </w:p>
  <w:p w:rsidR="003766AB" w:rsidRDefault="003766AB" w:rsidP="00D67976">
    <w:pPr>
      <w:spacing w:after="0"/>
      <w:jc w:val="right"/>
    </w:pPr>
  </w:p>
  <w:p w:rsidR="003766AB" w:rsidRDefault="003766AB" w:rsidP="00502D80">
    <w:pPr>
      <w:pStyle w:val="Headerodd"/>
    </w:pPr>
  </w:p>
  <w:p w:rsidR="003766AB" w:rsidRPr="00790F62" w:rsidRDefault="003766AB" w:rsidP="00502D80">
    <w:pPr>
      <w:pStyle w:val="Headerodd"/>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AB" w:rsidRDefault="003766AB" w:rsidP="00D67976">
    <w:pPr>
      <w:spacing w:after="0"/>
    </w:pPr>
  </w:p>
  <w:p w:rsidR="003766AB" w:rsidRDefault="003766AB" w:rsidP="00D67976">
    <w:pPr>
      <w:spacing w:after="0"/>
    </w:pPr>
  </w:p>
  <w:p w:rsidR="003766AB" w:rsidRDefault="00A7215E" w:rsidP="00502D80">
    <w:pPr>
      <w:pStyle w:val="Headereven"/>
    </w:pPr>
    <w:r>
      <w:fldChar w:fldCharType="begin"/>
    </w:r>
    <w:r w:rsidR="003766AB">
      <w:instrText xml:space="preserve"> REF _Ref364695177 \r \h </w:instrText>
    </w:r>
    <w:r>
      <w:fldChar w:fldCharType="separate"/>
    </w:r>
    <w:r w:rsidR="00E43227">
      <w:t>1</w:t>
    </w:r>
    <w:r>
      <w:fldChar w:fldCharType="end"/>
    </w:r>
    <w:r w:rsidR="003766AB">
      <w:t xml:space="preserve"> – </w:t>
    </w:r>
    <w:r>
      <w:fldChar w:fldCharType="begin"/>
    </w:r>
    <w:r w:rsidR="003766AB">
      <w:instrText xml:space="preserve"> REF _Ref364695177 \h </w:instrText>
    </w:r>
    <w:r>
      <w:fldChar w:fldCharType="separate"/>
    </w:r>
    <w:r w:rsidR="00E43227">
      <w:t>Introduction</w:t>
    </w:r>
    <w:r>
      <w:fldChar w:fldCharType="end"/>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AB" w:rsidRDefault="003766AB" w:rsidP="00D67976">
    <w:pPr>
      <w:spacing w:after="0"/>
      <w:jc w:val="right"/>
    </w:pPr>
  </w:p>
  <w:p w:rsidR="003766AB" w:rsidRDefault="003766AB" w:rsidP="00D67976">
    <w:pPr>
      <w:spacing w:after="0"/>
      <w:jc w:val="right"/>
    </w:pPr>
  </w:p>
  <w:p w:rsidR="003766AB" w:rsidRPr="00790F62" w:rsidRDefault="00A7215E" w:rsidP="00502D80">
    <w:pPr>
      <w:pStyle w:val="Headerodd"/>
    </w:pPr>
    <w:r>
      <w:fldChar w:fldCharType="begin"/>
    </w:r>
    <w:r w:rsidR="003766AB">
      <w:instrText xml:space="preserve"> PAGEREF _Ref364695177 \h </w:instrText>
    </w:r>
    <w:r>
      <w:fldChar w:fldCharType="separate"/>
    </w:r>
    <w:r w:rsidR="004415F8">
      <w:rPr>
        <w:noProof/>
      </w:rPr>
      <w:t>1</w:t>
    </w:r>
    <w:r>
      <w:fldChar w:fldCharType="end"/>
    </w:r>
    <w:r w:rsidR="003766AB">
      <w:t xml:space="preserve"> – </w:t>
    </w:r>
    <w:r>
      <w:fldChar w:fldCharType="begin"/>
    </w:r>
    <w:r w:rsidR="003766AB">
      <w:instrText xml:space="preserve"> REF _Ref364695177 \h </w:instrText>
    </w:r>
    <w:r>
      <w:fldChar w:fldCharType="separate"/>
    </w:r>
    <w:r w:rsidR="00E43227">
      <w:t>Introduction</w:t>
    </w:r>
    <w:r>
      <w:fldChar w:fldCharType="end"/>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AB" w:rsidRDefault="003766AB" w:rsidP="00D67976">
    <w:pPr>
      <w:spacing w:after="0"/>
    </w:pPr>
  </w:p>
  <w:p w:rsidR="003766AB" w:rsidRDefault="003766AB" w:rsidP="00D67976">
    <w:pPr>
      <w:spacing w:after="0"/>
    </w:pPr>
  </w:p>
  <w:p w:rsidR="003766AB" w:rsidRDefault="003766AB" w:rsidP="00502D80">
    <w:pPr>
      <w:pStyle w:val="Headereven"/>
    </w:pPr>
  </w:p>
  <w:p w:rsidR="003766AB" w:rsidRDefault="00A7215E" w:rsidP="00502D80">
    <w:pPr>
      <w:pStyle w:val="Headereven"/>
    </w:pPr>
    <w:r>
      <w:fldChar w:fldCharType="begin"/>
    </w:r>
    <w:r w:rsidR="003766AB">
      <w:instrText xml:space="preserve"> REF _Ref364695177 \r \h </w:instrText>
    </w:r>
    <w:r>
      <w:fldChar w:fldCharType="separate"/>
    </w:r>
    <w:r w:rsidR="00E43227">
      <w:t>1</w:t>
    </w:r>
    <w:r>
      <w:fldChar w:fldCharType="end"/>
    </w:r>
    <w:r w:rsidR="003766AB">
      <w:t xml:space="preserve"> – </w:t>
    </w:r>
    <w:r>
      <w:fldChar w:fldCharType="begin"/>
    </w:r>
    <w:r w:rsidR="003766AB">
      <w:instrText xml:space="preserve"> REF _Ref364695177 \h </w:instrText>
    </w:r>
    <w:r>
      <w:fldChar w:fldCharType="separate"/>
    </w:r>
    <w:r w:rsidR="00E43227">
      <w:t>Introduction</w:t>
    </w:r>
    <w:r>
      <w:fldChar w:fldCharType="end"/>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AB" w:rsidRDefault="003766AB" w:rsidP="00D67976">
    <w:pPr>
      <w:spacing w:after="0"/>
      <w:jc w:val="right"/>
    </w:pPr>
  </w:p>
  <w:p w:rsidR="003766AB" w:rsidRDefault="003766AB" w:rsidP="00D67976">
    <w:pPr>
      <w:spacing w:after="0"/>
      <w:jc w:val="right"/>
    </w:pPr>
  </w:p>
  <w:p w:rsidR="003766AB" w:rsidRDefault="003766AB" w:rsidP="00502D80">
    <w:pPr>
      <w:pStyle w:val="Headerodd"/>
    </w:pPr>
  </w:p>
  <w:p w:rsidR="003766AB" w:rsidRPr="00790F62" w:rsidRDefault="003766AB" w:rsidP="00502D80">
    <w:pPr>
      <w:pStyle w:val="Headerodd"/>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AB" w:rsidRDefault="003766AB" w:rsidP="00D67976">
    <w:pPr>
      <w:spacing w:after="0"/>
    </w:pPr>
  </w:p>
  <w:p w:rsidR="003766AB" w:rsidRDefault="003766AB" w:rsidP="00D67976">
    <w:pPr>
      <w:spacing w:after="0"/>
    </w:pPr>
  </w:p>
  <w:p w:rsidR="003766AB" w:rsidRDefault="00A7215E" w:rsidP="00502D80">
    <w:pPr>
      <w:pStyle w:val="Headereven"/>
    </w:pPr>
    <w:r>
      <w:fldChar w:fldCharType="begin"/>
    </w:r>
    <w:r w:rsidR="003766AB">
      <w:instrText xml:space="preserve"> REF _Ref415046117 \r \h </w:instrText>
    </w:r>
    <w:r>
      <w:fldChar w:fldCharType="separate"/>
    </w:r>
    <w:r w:rsidR="00E43227">
      <w:t>2</w:t>
    </w:r>
    <w:r>
      <w:fldChar w:fldCharType="end"/>
    </w:r>
    <w:r w:rsidR="003766AB">
      <w:t xml:space="preserve"> – </w:t>
    </w:r>
    <w:r>
      <w:fldChar w:fldCharType="begin"/>
    </w:r>
    <w:r w:rsidR="003766AB">
      <w:instrText xml:space="preserve"> REF _Ref429472550 \h </w:instrText>
    </w:r>
    <w:r>
      <w:fldChar w:fldCharType="separate"/>
    </w:r>
    <w:r w:rsidR="00E43227">
      <w:t>Context for the review</w:t>
    </w:r>
    <w:r>
      <w:fldChar w:fldCharType="end"/>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AB" w:rsidRDefault="003766AB" w:rsidP="00D67976">
    <w:pPr>
      <w:spacing w:after="0"/>
      <w:jc w:val="right"/>
    </w:pPr>
  </w:p>
  <w:p w:rsidR="003766AB" w:rsidRDefault="003766AB" w:rsidP="00D67976">
    <w:pPr>
      <w:spacing w:after="0"/>
      <w:jc w:val="right"/>
    </w:pPr>
  </w:p>
  <w:p w:rsidR="003766AB" w:rsidRDefault="00A7215E" w:rsidP="003875C5">
    <w:pPr>
      <w:pStyle w:val="Headerodd"/>
    </w:pPr>
    <w:r>
      <w:fldChar w:fldCharType="begin"/>
    </w:r>
    <w:r w:rsidR="003766AB">
      <w:instrText xml:space="preserve"> REF _Ref415046117 \r \h </w:instrText>
    </w:r>
    <w:r>
      <w:fldChar w:fldCharType="separate"/>
    </w:r>
    <w:r w:rsidR="00E43227">
      <w:t>2</w:t>
    </w:r>
    <w:r>
      <w:fldChar w:fldCharType="end"/>
    </w:r>
    <w:r w:rsidR="003766AB">
      <w:t xml:space="preserve"> – </w:t>
    </w:r>
    <w:r>
      <w:fldChar w:fldCharType="begin"/>
    </w:r>
    <w:r w:rsidR="003766AB">
      <w:instrText xml:space="preserve"> REF _Ref429472550 \h </w:instrText>
    </w:r>
    <w:r>
      <w:fldChar w:fldCharType="separate"/>
    </w:r>
    <w:r w:rsidR="00E43227">
      <w:t>Context for the review</w:t>
    </w:r>
    <w:r>
      <w:fldChar w:fldCharType="end"/>
    </w:r>
  </w:p>
  <w:p w:rsidR="003766AB" w:rsidRPr="00790F62" w:rsidRDefault="003766AB" w:rsidP="00E809D3">
    <w:pPr>
      <w:pStyle w:val="Headerod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AB" w:rsidRPr="00EC19F8" w:rsidRDefault="00A7215E" w:rsidP="00EF6AF3">
    <w:pPr>
      <w:jc w:val="center"/>
      <w:rPr>
        <w:sz w:val="44"/>
      </w:rPr>
    </w:pPr>
    <w:r>
      <w:rPr>
        <w:noProof/>
        <w:sz w:val="44"/>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672428" o:spid="_x0000_s2131" type="#_x0000_t75" style="position:absolute;left:0;text-align:left;margin-left:0;margin-top:0;width:416.3pt;height:662.55pt;z-index:-251626496;mso-position-horizontal:center;mso-position-horizontal-relative:margin;mso-position-vertical:center;mso-position-vertical-relative:margin" o:allowincell="f">
          <v:imagedata r:id="rId1" o:title="ICRC_reports_cover"/>
          <w10:wrap anchorx="margin" anchory="margin"/>
        </v:shape>
      </w:pict>
    </w:r>
    <w:r w:rsidR="003766AB" w:rsidRPr="00EC19F8">
      <w:rPr>
        <w:sz w:val="44"/>
      </w:rPr>
      <w:t>Commission-in-Confidence</w:t>
    </w:r>
  </w:p>
  <w:p w:rsidR="003766AB" w:rsidRDefault="003766AB"/>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AB" w:rsidRDefault="003766AB" w:rsidP="00ED2CCF">
    <w:pPr>
      <w:spacing w:after="0"/>
    </w:pPr>
  </w:p>
  <w:p w:rsidR="003766AB" w:rsidRDefault="003766AB" w:rsidP="00ED2CCF">
    <w:pPr>
      <w:spacing w:after="0"/>
    </w:pPr>
  </w:p>
  <w:p w:rsidR="003766AB" w:rsidRDefault="00A7215E" w:rsidP="00A859E0">
    <w:pPr>
      <w:pStyle w:val="Headereven"/>
    </w:pPr>
    <w:r>
      <w:fldChar w:fldCharType="begin"/>
    </w:r>
    <w:r w:rsidR="003766AB">
      <w:instrText xml:space="preserve"> REF _Ref338172668 \r \h  \* MERGEFORMAT </w:instrText>
    </w:r>
    <w:r>
      <w:fldChar w:fldCharType="separate"/>
    </w:r>
    <w:r w:rsidR="00E43227">
      <w:rPr>
        <w:b/>
        <w:bCs/>
        <w:lang w:val="en-US"/>
      </w:rPr>
      <w:t>Error! Reference source not found.</w:t>
    </w:r>
    <w:r>
      <w:fldChar w:fldCharType="end"/>
    </w:r>
    <w:r w:rsidR="003766AB">
      <w:t xml:space="preserve"> – </w:t>
    </w:r>
    <w:r>
      <w:fldChar w:fldCharType="begin"/>
    </w:r>
    <w:r w:rsidR="003766AB">
      <w:instrText xml:space="preserve"> REF _Ref338172668 \h  \* MERGEFORMAT </w:instrText>
    </w:r>
    <w:r>
      <w:fldChar w:fldCharType="separate"/>
    </w:r>
    <w:r w:rsidR="00E43227">
      <w:rPr>
        <w:b/>
        <w:bCs/>
        <w:lang w:val="en-US"/>
      </w:rPr>
      <w:t>Error! Reference source not found.</w:t>
    </w:r>
    <w:r>
      <w:fldChar w:fldCharType="end"/>
    </w:r>
  </w:p>
  <w:p w:rsidR="003766AB" w:rsidRPr="00EF3464" w:rsidRDefault="00A7215E" w:rsidP="00A859E0">
    <w:pPr>
      <w:pStyle w:val="Headereven"/>
    </w:pPr>
    <w:r>
      <w:fldChar w:fldCharType="begin"/>
    </w:r>
    <w:r w:rsidR="003766AB">
      <w:instrText xml:space="preserve"> REF _Ref348703089 \r \h </w:instrText>
    </w:r>
    <w:r>
      <w:fldChar w:fldCharType="separate"/>
    </w:r>
    <w:r w:rsidR="00E43227">
      <w:rPr>
        <w:b/>
        <w:bCs/>
        <w:lang w:val="en-US"/>
      </w:rPr>
      <w:t>Error! Reference source not found.</w:t>
    </w:r>
    <w:r>
      <w:fldChar w:fldCharType="end"/>
    </w:r>
    <w:r w:rsidR="003766AB">
      <w:t xml:space="preserve"> – </w:t>
    </w:r>
    <w:r>
      <w:fldChar w:fldCharType="begin"/>
    </w:r>
    <w:r w:rsidR="003766AB">
      <w:instrText xml:space="preserve"> REF _Ref348703052 \h </w:instrText>
    </w:r>
    <w:r>
      <w:fldChar w:fldCharType="separate"/>
    </w:r>
    <w:r w:rsidR="00E43227">
      <w:rPr>
        <w:b/>
        <w:bCs/>
        <w:lang w:val="en-US"/>
      </w:rPr>
      <w:t>Error! Reference source not found.</w:t>
    </w:r>
    <w:r>
      <w:fldChar w:fldCharType="end"/>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AB" w:rsidRDefault="003766AB" w:rsidP="00ED2CCF">
    <w:pPr>
      <w:spacing w:after="0"/>
      <w:jc w:val="right"/>
    </w:pPr>
  </w:p>
  <w:p w:rsidR="003766AB" w:rsidRDefault="003766AB" w:rsidP="00ED2CCF">
    <w:pPr>
      <w:spacing w:after="0"/>
      <w:jc w:val="right"/>
    </w:pPr>
  </w:p>
  <w:p w:rsidR="003766AB" w:rsidRDefault="003766AB" w:rsidP="00A859E0">
    <w:pPr>
      <w:pStyle w:val="Headerodd"/>
    </w:pPr>
  </w:p>
  <w:p w:rsidR="003766AB" w:rsidRPr="00EF3464" w:rsidRDefault="003766AB" w:rsidP="00A859E0">
    <w:pPr>
      <w:pStyle w:val="Headerodd"/>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AB" w:rsidRDefault="003766AB" w:rsidP="00D67976">
    <w:pPr>
      <w:spacing w:after="0"/>
    </w:pPr>
  </w:p>
  <w:p w:rsidR="003766AB" w:rsidRDefault="003766AB" w:rsidP="00D67976">
    <w:pPr>
      <w:spacing w:after="0"/>
    </w:pPr>
  </w:p>
  <w:p w:rsidR="003766AB" w:rsidRDefault="00A7215E" w:rsidP="00502D80">
    <w:pPr>
      <w:pStyle w:val="Headereven"/>
    </w:pPr>
    <w:r>
      <w:fldChar w:fldCharType="begin"/>
    </w:r>
    <w:r w:rsidR="003766AB">
      <w:instrText xml:space="preserve"> REF _Ref429472647 \r \h </w:instrText>
    </w:r>
    <w:r>
      <w:fldChar w:fldCharType="separate"/>
    </w:r>
    <w:r w:rsidR="00E43227">
      <w:t>3</w:t>
    </w:r>
    <w:r>
      <w:fldChar w:fldCharType="end"/>
    </w:r>
    <w:r w:rsidR="003766AB">
      <w:t xml:space="preserve"> – </w:t>
    </w:r>
    <w:r>
      <w:fldChar w:fldCharType="begin"/>
    </w:r>
    <w:r w:rsidR="003766AB">
      <w:instrText xml:space="preserve"> REF _Ref429472647 \h </w:instrText>
    </w:r>
    <w:r>
      <w:fldChar w:fldCharType="separate"/>
    </w:r>
    <w:r w:rsidR="00E43227">
      <w:t>Proposed economic regulation objective and pricing principles</w:t>
    </w:r>
    <w:r>
      <w:fldChar w:fldCharType="end"/>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AB" w:rsidRDefault="003766AB" w:rsidP="00D67976">
    <w:pPr>
      <w:spacing w:after="0"/>
      <w:jc w:val="right"/>
    </w:pPr>
  </w:p>
  <w:p w:rsidR="003766AB" w:rsidRDefault="003766AB" w:rsidP="00D67976">
    <w:pPr>
      <w:spacing w:after="0"/>
      <w:jc w:val="right"/>
    </w:pPr>
  </w:p>
  <w:p w:rsidR="003766AB" w:rsidRDefault="00A7215E" w:rsidP="003875C5">
    <w:pPr>
      <w:pStyle w:val="Headerodd"/>
    </w:pPr>
    <w:r>
      <w:fldChar w:fldCharType="begin"/>
    </w:r>
    <w:r w:rsidR="003766AB">
      <w:instrText xml:space="preserve"> REF _Ref429472647 \r \h </w:instrText>
    </w:r>
    <w:r>
      <w:fldChar w:fldCharType="separate"/>
    </w:r>
    <w:r w:rsidR="00E43227">
      <w:t>3</w:t>
    </w:r>
    <w:r>
      <w:fldChar w:fldCharType="end"/>
    </w:r>
    <w:r w:rsidR="003766AB">
      <w:t xml:space="preserve"> – </w:t>
    </w:r>
    <w:r>
      <w:fldChar w:fldCharType="begin"/>
    </w:r>
    <w:r w:rsidR="003766AB">
      <w:instrText xml:space="preserve"> REF _Ref429472647 \h </w:instrText>
    </w:r>
    <w:r>
      <w:fldChar w:fldCharType="separate"/>
    </w:r>
    <w:r w:rsidR="00E43227">
      <w:t>Proposed economic regulation objective and pricing principles</w:t>
    </w:r>
    <w:r>
      <w:fldChar w:fldCharType="end"/>
    </w:r>
  </w:p>
  <w:p w:rsidR="003766AB" w:rsidRPr="00790F62" w:rsidRDefault="003766AB" w:rsidP="00E809D3">
    <w:pPr>
      <w:pStyle w:val="Headerodd"/>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AB" w:rsidRDefault="003766AB" w:rsidP="00ED2CCF">
    <w:pPr>
      <w:spacing w:after="0"/>
    </w:pPr>
  </w:p>
  <w:p w:rsidR="003766AB" w:rsidRDefault="003766AB" w:rsidP="00ED2CCF">
    <w:pPr>
      <w:spacing w:after="0"/>
    </w:pPr>
  </w:p>
  <w:p w:rsidR="003766AB" w:rsidRDefault="00A7215E" w:rsidP="00A859E0">
    <w:pPr>
      <w:pStyle w:val="Headereven"/>
    </w:pPr>
    <w:r>
      <w:fldChar w:fldCharType="begin"/>
    </w:r>
    <w:r w:rsidR="003766AB">
      <w:instrText xml:space="preserve"> REF _Ref338172668 \r \h  \* MERGEFORMAT </w:instrText>
    </w:r>
    <w:r>
      <w:fldChar w:fldCharType="separate"/>
    </w:r>
    <w:r w:rsidR="00E43227">
      <w:rPr>
        <w:b/>
        <w:bCs/>
        <w:lang w:val="en-US"/>
      </w:rPr>
      <w:t>Error! Reference source not found.</w:t>
    </w:r>
    <w:r>
      <w:fldChar w:fldCharType="end"/>
    </w:r>
    <w:r w:rsidR="003766AB">
      <w:t xml:space="preserve"> – </w:t>
    </w:r>
    <w:r>
      <w:fldChar w:fldCharType="begin"/>
    </w:r>
    <w:r w:rsidR="003766AB">
      <w:instrText xml:space="preserve"> REF _Ref338172668 \h  \* MERGEFORMAT </w:instrText>
    </w:r>
    <w:r>
      <w:fldChar w:fldCharType="separate"/>
    </w:r>
    <w:r w:rsidR="00E43227">
      <w:rPr>
        <w:b/>
        <w:bCs/>
        <w:lang w:val="en-US"/>
      </w:rPr>
      <w:t>Error! Reference source not found.</w:t>
    </w:r>
    <w:r>
      <w:fldChar w:fldCharType="end"/>
    </w:r>
  </w:p>
  <w:p w:rsidR="003766AB" w:rsidRPr="00EF3464" w:rsidRDefault="00A7215E" w:rsidP="00A859E0">
    <w:pPr>
      <w:pStyle w:val="Headereven"/>
    </w:pPr>
    <w:r>
      <w:fldChar w:fldCharType="begin"/>
    </w:r>
    <w:r w:rsidR="003766AB">
      <w:instrText xml:space="preserve"> REF _Ref348703089 \r \h </w:instrText>
    </w:r>
    <w:r>
      <w:fldChar w:fldCharType="separate"/>
    </w:r>
    <w:r w:rsidR="00E43227">
      <w:rPr>
        <w:b/>
        <w:bCs/>
        <w:lang w:val="en-US"/>
      </w:rPr>
      <w:t>Error! Reference source not found.</w:t>
    </w:r>
    <w:r>
      <w:fldChar w:fldCharType="end"/>
    </w:r>
    <w:r w:rsidR="003766AB">
      <w:t xml:space="preserve"> – </w:t>
    </w:r>
    <w:r>
      <w:fldChar w:fldCharType="begin"/>
    </w:r>
    <w:r w:rsidR="003766AB">
      <w:instrText xml:space="preserve"> REF _Ref348703052 \h </w:instrText>
    </w:r>
    <w:r>
      <w:fldChar w:fldCharType="separate"/>
    </w:r>
    <w:r w:rsidR="00E43227">
      <w:rPr>
        <w:b/>
        <w:bCs/>
        <w:lang w:val="en-US"/>
      </w:rPr>
      <w:t>Error! Reference source not found.</w:t>
    </w:r>
    <w:r>
      <w:fldChar w:fldCharType="end"/>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AB" w:rsidRDefault="003766AB" w:rsidP="00ED2CCF">
    <w:pPr>
      <w:spacing w:after="0"/>
      <w:jc w:val="right"/>
    </w:pPr>
  </w:p>
  <w:p w:rsidR="003766AB" w:rsidRDefault="003766AB" w:rsidP="00ED2CCF">
    <w:pPr>
      <w:spacing w:after="0"/>
      <w:jc w:val="right"/>
    </w:pPr>
  </w:p>
  <w:p w:rsidR="003766AB" w:rsidRDefault="003766AB" w:rsidP="00A859E0">
    <w:pPr>
      <w:pStyle w:val="Headerodd"/>
    </w:pPr>
  </w:p>
  <w:p w:rsidR="003766AB" w:rsidRPr="00EF3464" w:rsidRDefault="003766AB" w:rsidP="00A859E0">
    <w:pPr>
      <w:pStyle w:val="Headerodd"/>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AB" w:rsidRDefault="003766AB" w:rsidP="00D67976">
    <w:pPr>
      <w:spacing w:after="0"/>
    </w:pPr>
  </w:p>
  <w:p w:rsidR="003766AB" w:rsidRDefault="003766AB" w:rsidP="00D67976">
    <w:pPr>
      <w:spacing w:after="0"/>
    </w:pPr>
  </w:p>
  <w:p w:rsidR="003766AB" w:rsidRDefault="00A7215E" w:rsidP="00502D80">
    <w:pPr>
      <w:pStyle w:val="Headereven"/>
    </w:pPr>
    <w:r>
      <w:fldChar w:fldCharType="begin"/>
    </w:r>
    <w:r w:rsidR="003766AB">
      <w:instrText xml:space="preserve"> REF _Ref429472738 \r \h </w:instrText>
    </w:r>
    <w:r>
      <w:fldChar w:fldCharType="separate"/>
    </w:r>
    <w:r w:rsidR="00E43227">
      <w:t>4</w:t>
    </w:r>
    <w:r>
      <w:fldChar w:fldCharType="end"/>
    </w:r>
    <w:r w:rsidR="003766AB">
      <w:t xml:space="preserve"> – </w:t>
    </w:r>
    <w:r>
      <w:fldChar w:fldCharType="begin"/>
    </w:r>
    <w:r w:rsidR="003766AB">
      <w:instrText xml:space="preserve"> REF _Ref429472738 \h </w:instrText>
    </w:r>
    <w:r>
      <w:fldChar w:fldCharType="separate"/>
    </w:r>
    <w:r w:rsidR="00E43227">
      <w:t>Water pricing</w:t>
    </w:r>
    <w:r>
      <w:fldChar w:fldCharType="end"/>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AB" w:rsidRDefault="003766AB" w:rsidP="00D67976">
    <w:pPr>
      <w:spacing w:after="0"/>
      <w:jc w:val="right"/>
    </w:pPr>
  </w:p>
  <w:p w:rsidR="003766AB" w:rsidRDefault="003766AB" w:rsidP="00D67976">
    <w:pPr>
      <w:spacing w:after="0"/>
      <w:jc w:val="right"/>
    </w:pPr>
  </w:p>
  <w:p w:rsidR="003766AB" w:rsidRDefault="00A7215E" w:rsidP="003875C5">
    <w:pPr>
      <w:pStyle w:val="Headerodd"/>
    </w:pPr>
    <w:r>
      <w:fldChar w:fldCharType="begin"/>
    </w:r>
    <w:r w:rsidR="003766AB">
      <w:instrText xml:space="preserve"> REF _Ref429472738 \r \h </w:instrText>
    </w:r>
    <w:r>
      <w:fldChar w:fldCharType="separate"/>
    </w:r>
    <w:r w:rsidR="00E43227">
      <w:t>4</w:t>
    </w:r>
    <w:r>
      <w:fldChar w:fldCharType="end"/>
    </w:r>
    <w:r w:rsidR="003766AB">
      <w:t xml:space="preserve"> – </w:t>
    </w:r>
    <w:r>
      <w:fldChar w:fldCharType="begin"/>
    </w:r>
    <w:r w:rsidR="003766AB">
      <w:instrText xml:space="preserve"> REF _Ref429472738 \h </w:instrText>
    </w:r>
    <w:r>
      <w:fldChar w:fldCharType="separate"/>
    </w:r>
    <w:r w:rsidR="00E43227">
      <w:t>Water pricing</w:t>
    </w:r>
    <w:r>
      <w:fldChar w:fldCharType="end"/>
    </w:r>
  </w:p>
  <w:p w:rsidR="003766AB" w:rsidRPr="00790F62" w:rsidRDefault="003766AB" w:rsidP="00E809D3">
    <w:pPr>
      <w:pStyle w:val="Headerodd"/>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AB" w:rsidRDefault="003766AB" w:rsidP="00ED2CCF">
    <w:pPr>
      <w:spacing w:after="0"/>
      <w:jc w:val="right"/>
    </w:pPr>
  </w:p>
  <w:p w:rsidR="003766AB" w:rsidRDefault="003766AB" w:rsidP="00ED2CCF">
    <w:pPr>
      <w:spacing w:after="0"/>
      <w:jc w:val="right"/>
    </w:pPr>
  </w:p>
  <w:p w:rsidR="003766AB" w:rsidRDefault="003766AB" w:rsidP="00702AA2">
    <w:pPr>
      <w:pStyle w:val="Headereven"/>
    </w:pPr>
  </w:p>
  <w:p w:rsidR="003766AB" w:rsidRDefault="00A7215E" w:rsidP="00702AA2">
    <w:pPr>
      <w:pStyle w:val="Headerodd"/>
    </w:pPr>
    <w:r>
      <w:fldChar w:fldCharType="begin"/>
    </w:r>
    <w:r w:rsidR="00971491">
      <w:instrText xml:space="preserve"> REF _Ref429472738 \r \h </w:instrText>
    </w:r>
    <w:r>
      <w:fldChar w:fldCharType="separate"/>
    </w:r>
    <w:r w:rsidR="00E43227">
      <w:t>4</w:t>
    </w:r>
    <w:r>
      <w:fldChar w:fldCharType="end"/>
    </w:r>
    <w:r w:rsidR="004349D8">
      <w:t xml:space="preserve"> </w:t>
    </w:r>
    <w:r w:rsidR="003766AB">
      <w:t>–</w:t>
    </w:r>
    <w:r w:rsidR="00714248">
      <w:t xml:space="preserve"> </w:t>
    </w:r>
    <w:r>
      <w:fldChar w:fldCharType="begin"/>
    </w:r>
    <w:r w:rsidR="00714248">
      <w:instrText xml:space="preserve"> REF _Ref429472738 \h </w:instrText>
    </w:r>
    <w:r>
      <w:fldChar w:fldCharType="separate"/>
    </w:r>
    <w:r w:rsidR="00E43227">
      <w:t>Water pricing</w:t>
    </w:r>
    <w:r>
      <w:fldChar w:fldCharType="end"/>
    </w:r>
  </w:p>
  <w:p w:rsidR="003766AB" w:rsidRDefault="003766AB" w:rsidP="008B2A2F">
    <w:pPr>
      <w:pStyle w:val="Headereven"/>
    </w:pPr>
  </w:p>
  <w:p w:rsidR="003766AB" w:rsidRPr="00EF3464" w:rsidRDefault="003766AB" w:rsidP="00E21F29">
    <w:pPr>
      <w:pStyle w:val="Headerodd"/>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946" w:rsidRDefault="006A0946" w:rsidP="00ED2CCF">
    <w:pPr>
      <w:spacing w:after="0"/>
      <w:jc w:val="right"/>
    </w:pPr>
  </w:p>
  <w:p w:rsidR="006A0946" w:rsidRDefault="006A0946" w:rsidP="00ED2CCF">
    <w:pPr>
      <w:spacing w:after="0"/>
      <w:jc w:val="right"/>
    </w:pPr>
  </w:p>
  <w:p w:rsidR="006A0946" w:rsidRDefault="006A0946" w:rsidP="00702AA2">
    <w:pPr>
      <w:pStyle w:val="Headereven"/>
    </w:pPr>
  </w:p>
  <w:p w:rsidR="006A0946" w:rsidRDefault="008F62E2" w:rsidP="008F62E2">
    <w:pPr>
      <w:pStyle w:val="Headereven"/>
      <w:tabs>
        <w:tab w:val="left" w:pos="5898"/>
      </w:tabs>
    </w:pPr>
    <w:r>
      <w:tab/>
    </w:r>
  </w:p>
  <w:p w:rsidR="006A0946" w:rsidRPr="00EF3464" w:rsidRDefault="006A0946" w:rsidP="00E21F29">
    <w:pPr>
      <w:pStyle w:val="Headerod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AB" w:rsidRDefault="00A7215E">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672426" o:spid="_x0000_s2129" type="#_x0000_t75" style="position:absolute;margin-left:0;margin-top:0;width:457.8pt;height:728.6pt;z-index:-251628544;mso-position-horizontal:center;mso-position-horizontal-relative:margin;mso-position-vertical:center;mso-position-vertical-relative:margin" o:allowincell="f">
          <v:imagedata r:id="rId1" o:title="ICRC_reports_cover"/>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934" w:rsidRDefault="00D92934" w:rsidP="00D67976">
    <w:pPr>
      <w:spacing w:after="0"/>
    </w:pPr>
  </w:p>
  <w:p w:rsidR="00D92934" w:rsidRDefault="00D92934" w:rsidP="00D67976">
    <w:pPr>
      <w:spacing w:after="0"/>
    </w:pPr>
  </w:p>
  <w:p w:rsidR="00D92934" w:rsidRDefault="00A7215E" w:rsidP="00502D80">
    <w:pPr>
      <w:pStyle w:val="Headereven"/>
    </w:pPr>
    <w:r>
      <w:fldChar w:fldCharType="begin"/>
    </w:r>
    <w:r w:rsidR="00D92934">
      <w:instrText xml:space="preserve"> REF _Ref429472781 \r \h </w:instrText>
    </w:r>
    <w:r>
      <w:fldChar w:fldCharType="separate"/>
    </w:r>
    <w:r w:rsidR="00E43227">
      <w:t>5</w:t>
    </w:r>
    <w:r>
      <w:fldChar w:fldCharType="end"/>
    </w:r>
    <w:r w:rsidR="00D92934">
      <w:t xml:space="preserve"> – </w:t>
    </w:r>
    <w:r>
      <w:fldChar w:fldCharType="begin"/>
    </w:r>
    <w:r w:rsidR="00D92934">
      <w:instrText xml:space="preserve"> REF _Ref429472781 \h </w:instrText>
    </w:r>
    <w:r>
      <w:fldChar w:fldCharType="separate"/>
    </w:r>
    <w:r w:rsidR="00E43227">
      <w:t>Sewerage services pricing</w:t>
    </w:r>
    <w:r>
      <w:fldChar w:fldCharType="end"/>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8DE" w:rsidRDefault="00CC18DE" w:rsidP="00ED2CCF">
    <w:pPr>
      <w:spacing w:after="0"/>
      <w:jc w:val="right"/>
    </w:pPr>
  </w:p>
  <w:p w:rsidR="00CC18DE" w:rsidRDefault="00CC18DE" w:rsidP="00ED2CCF">
    <w:pPr>
      <w:spacing w:after="0"/>
      <w:jc w:val="right"/>
    </w:pPr>
  </w:p>
  <w:p w:rsidR="00CC18DE" w:rsidRDefault="00CC18DE" w:rsidP="00702AA2">
    <w:pPr>
      <w:pStyle w:val="Headereven"/>
    </w:pPr>
  </w:p>
  <w:p w:rsidR="00CC18DE" w:rsidRDefault="00A7215E" w:rsidP="00CC18DE">
    <w:pPr>
      <w:pStyle w:val="Headerodd"/>
    </w:pPr>
    <w:fldSimple w:instr=" REF _Ref429472781 \r \h  \* MERGEFORMAT ">
      <w:r w:rsidR="00E43227">
        <w:t>5</w:t>
      </w:r>
    </w:fldSimple>
    <w:r w:rsidR="00CC18DE">
      <w:t xml:space="preserve"> – </w:t>
    </w:r>
    <w:fldSimple w:instr=" REF _Ref429472781 \h  \* MERGEFORMAT ">
      <w:r w:rsidR="00E43227">
        <w:t>Sewerage services pricing</w:t>
      </w:r>
    </w:fldSimple>
    <w:r w:rsidR="00CC18DE">
      <w:tab/>
    </w:r>
  </w:p>
  <w:p w:rsidR="00CC18DE" w:rsidRPr="00EF3464" w:rsidRDefault="00CC18DE" w:rsidP="00E21F29">
    <w:pPr>
      <w:pStyle w:val="Headerodd"/>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AB" w:rsidRDefault="003766AB" w:rsidP="00ED2CCF">
    <w:pPr>
      <w:spacing w:after="0"/>
    </w:pPr>
  </w:p>
  <w:p w:rsidR="003766AB" w:rsidRDefault="003766AB" w:rsidP="00ED2CCF">
    <w:pPr>
      <w:spacing w:after="0"/>
    </w:pPr>
  </w:p>
  <w:p w:rsidR="003766AB" w:rsidRDefault="00A7215E" w:rsidP="00E21F29">
    <w:pPr>
      <w:pStyle w:val="Headereven"/>
    </w:pPr>
    <w:r>
      <w:fldChar w:fldCharType="begin"/>
    </w:r>
    <w:r w:rsidR="003766AB">
      <w:instrText xml:space="preserve"> REF _Ref370456821 \n \h </w:instrText>
    </w:r>
    <w:r>
      <w:fldChar w:fldCharType="separate"/>
    </w:r>
    <w:r w:rsidR="00E43227">
      <w:rPr>
        <w:b/>
        <w:bCs/>
        <w:lang w:val="en-US"/>
      </w:rPr>
      <w:t>Error! Reference source not found.</w:t>
    </w:r>
    <w:r>
      <w:fldChar w:fldCharType="end"/>
    </w:r>
    <w:r w:rsidR="003766AB">
      <w:t xml:space="preserve"> – </w:t>
    </w:r>
    <w:r>
      <w:fldChar w:fldCharType="begin"/>
    </w:r>
    <w:r w:rsidR="003766AB">
      <w:instrText xml:space="preserve"> REF _Ref370456821 \h </w:instrText>
    </w:r>
    <w:r>
      <w:fldChar w:fldCharType="separate"/>
    </w:r>
    <w:r w:rsidR="00E43227">
      <w:rPr>
        <w:b/>
        <w:bCs/>
        <w:lang w:val="en-US"/>
      </w:rPr>
      <w:t>Error! Reference source not found.</w:t>
    </w:r>
    <w:r>
      <w:fldChar w:fldCharType="end"/>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AB" w:rsidRDefault="003766AB" w:rsidP="00ED2CCF">
    <w:pPr>
      <w:spacing w:after="0"/>
      <w:jc w:val="right"/>
    </w:pPr>
  </w:p>
  <w:p w:rsidR="003766AB" w:rsidRDefault="003766AB" w:rsidP="00ED2CCF">
    <w:pPr>
      <w:spacing w:after="0"/>
      <w:jc w:val="right"/>
    </w:pPr>
  </w:p>
  <w:p w:rsidR="003766AB" w:rsidRDefault="003766AB" w:rsidP="008B2A2F">
    <w:pPr>
      <w:pStyle w:val="Headereven"/>
    </w:pPr>
  </w:p>
  <w:p w:rsidR="003766AB" w:rsidRPr="00EF3464" w:rsidRDefault="003766AB" w:rsidP="00E21F29">
    <w:pPr>
      <w:pStyle w:val="Headerodd"/>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AB" w:rsidRDefault="003766AB" w:rsidP="00ED2CCF">
    <w:pPr>
      <w:spacing w:after="0"/>
    </w:pPr>
  </w:p>
  <w:p w:rsidR="003766AB" w:rsidRDefault="003766AB" w:rsidP="00ED2CCF">
    <w:pPr>
      <w:spacing w:after="0"/>
    </w:pPr>
  </w:p>
  <w:p w:rsidR="003766AB" w:rsidRPr="00EF3464" w:rsidRDefault="00A7215E" w:rsidP="00E21F29">
    <w:pPr>
      <w:pStyle w:val="Headereven"/>
    </w:pPr>
    <w:r>
      <w:fldChar w:fldCharType="begin"/>
    </w:r>
    <w:r w:rsidR="003766AB">
      <w:instrText xml:space="preserve"> REF _Ref415046290 \r \h </w:instrText>
    </w:r>
    <w:r>
      <w:fldChar w:fldCharType="separate"/>
    </w:r>
    <w:r w:rsidR="00E43227">
      <w:t>6</w:t>
    </w:r>
    <w:r>
      <w:fldChar w:fldCharType="end"/>
    </w:r>
    <w:r w:rsidR="003766AB">
      <w:t xml:space="preserve"> – </w:t>
    </w:r>
    <w:r>
      <w:fldChar w:fldCharType="begin"/>
    </w:r>
    <w:r w:rsidR="003766AB">
      <w:instrText xml:space="preserve"> REF _Ref415046290 \h </w:instrText>
    </w:r>
    <w:r>
      <w:fldChar w:fldCharType="separate"/>
    </w:r>
    <w:r w:rsidR="00E43227">
      <w:t>Next steps</w:t>
    </w:r>
    <w:r>
      <w:fldChar w:fldCharType="end"/>
    </w:r>
    <w:r w:rsidR="003766AB">
      <w:t xml:space="preserve"> </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AB" w:rsidRDefault="003766AB" w:rsidP="00ED2CCF">
    <w:pPr>
      <w:spacing w:after="0"/>
      <w:jc w:val="right"/>
    </w:pPr>
  </w:p>
  <w:p w:rsidR="003766AB" w:rsidRDefault="003766AB" w:rsidP="00ED2CCF">
    <w:pPr>
      <w:spacing w:after="0"/>
      <w:jc w:val="right"/>
    </w:pPr>
  </w:p>
  <w:p w:rsidR="003766AB" w:rsidRPr="00EF3464" w:rsidRDefault="00A7215E" w:rsidP="00FF0E1E">
    <w:pPr>
      <w:pStyle w:val="Headerodd"/>
    </w:pPr>
    <w:r>
      <w:fldChar w:fldCharType="begin"/>
    </w:r>
    <w:r w:rsidR="003766AB">
      <w:instrText xml:space="preserve"> REF _Ref369876481 \r \h </w:instrText>
    </w:r>
    <w:r>
      <w:fldChar w:fldCharType="separate"/>
    </w:r>
    <w:r w:rsidR="00E43227">
      <w:rPr>
        <w:b/>
        <w:bCs/>
        <w:lang w:val="en-US"/>
      </w:rPr>
      <w:t>Error! Reference source not found.</w:t>
    </w:r>
    <w:r>
      <w:fldChar w:fldCharType="end"/>
    </w:r>
    <w:r w:rsidR="003766AB">
      <w:t xml:space="preserve"> – </w:t>
    </w:r>
    <w:r>
      <w:fldChar w:fldCharType="begin"/>
    </w:r>
    <w:r w:rsidR="003766AB">
      <w:instrText xml:space="preserve"> REF _Ref369876493 \h </w:instrText>
    </w:r>
    <w:r>
      <w:fldChar w:fldCharType="separate"/>
    </w:r>
    <w:r w:rsidR="00E43227">
      <w:rPr>
        <w:b/>
        <w:bCs/>
        <w:lang w:val="en-US"/>
      </w:rPr>
      <w:t>Error! Reference source not found.</w:t>
    </w:r>
    <w:r>
      <w:fldChar w:fldCharType="end"/>
    </w:r>
  </w:p>
  <w:p w:rsidR="003766AB" w:rsidRPr="00EF3464" w:rsidRDefault="003766AB" w:rsidP="00FF0E1E">
    <w:pPr>
      <w:pStyle w:val="Headerodd"/>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AB" w:rsidRDefault="003766AB" w:rsidP="00D641A8">
    <w:pPr>
      <w:spacing w:after="0"/>
    </w:pPr>
  </w:p>
  <w:p w:rsidR="003766AB" w:rsidRDefault="003766AB" w:rsidP="00D641A8">
    <w:pPr>
      <w:spacing w:after="0"/>
    </w:pPr>
  </w:p>
  <w:p w:rsidR="003766AB" w:rsidRDefault="003766AB" w:rsidP="00D641A8">
    <w:pPr>
      <w:spacing w:after="0"/>
    </w:pPr>
  </w:p>
  <w:p w:rsidR="003766AB" w:rsidRPr="00E67D26" w:rsidRDefault="00A7215E" w:rsidP="00034E5E">
    <w:pPr>
      <w:pStyle w:val="Headereven"/>
    </w:pPr>
    <w:r>
      <w:fldChar w:fldCharType="begin"/>
    </w:r>
    <w:r w:rsidR="003766AB">
      <w:instrText xml:space="preserve"> REF _Ref338249950 \r \h </w:instrText>
    </w:r>
    <w:r>
      <w:fldChar w:fldCharType="separate"/>
    </w:r>
    <w:r w:rsidR="00E43227">
      <w:rPr>
        <w:b/>
        <w:bCs/>
        <w:lang w:val="en-US"/>
      </w:rPr>
      <w:t>Error! Reference source not found.</w:t>
    </w:r>
    <w:r>
      <w:fldChar w:fldCharType="end"/>
    </w:r>
    <w:r w:rsidR="003766AB">
      <w:t xml:space="preserve"> – </w:t>
    </w:r>
    <w:r>
      <w:fldChar w:fldCharType="begin"/>
    </w:r>
    <w:r w:rsidR="003766AB">
      <w:instrText xml:space="preserve"> REF _Ref338249950 \h </w:instrText>
    </w:r>
    <w:r>
      <w:fldChar w:fldCharType="separate"/>
    </w:r>
    <w:r w:rsidR="00E43227">
      <w:rPr>
        <w:b/>
        <w:bCs/>
        <w:lang w:val="en-US"/>
      </w:rPr>
      <w:t>Error! Reference source not found.</w:t>
    </w:r>
    <w:r>
      <w:fldChar w:fldCharType="end"/>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AB" w:rsidRDefault="003766AB" w:rsidP="00D641A8">
    <w:pPr>
      <w:spacing w:after="0"/>
      <w:jc w:val="right"/>
    </w:pPr>
  </w:p>
  <w:p w:rsidR="003766AB" w:rsidRDefault="003766AB" w:rsidP="00D641A8">
    <w:pPr>
      <w:spacing w:after="0"/>
      <w:jc w:val="right"/>
    </w:pPr>
  </w:p>
  <w:p w:rsidR="003766AB" w:rsidRDefault="003766AB" w:rsidP="00D641A8">
    <w:pPr>
      <w:spacing w:after="0"/>
      <w:jc w:val="right"/>
    </w:pPr>
  </w:p>
  <w:p w:rsidR="003766AB" w:rsidRDefault="003766AB" w:rsidP="00E42FAB">
    <w:pPr>
      <w:pStyle w:val="Headerodd"/>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AB" w:rsidRDefault="003766AB" w:rsidP="00D641A8">
    <w:pPr>
      <w:spacing w:after="0"/>
    </w:pPr>
  </w:p>
  <w:p w:rsidR="003766AB" w:rsidRDefault="003766AB" w:rsidP="00D641A8">
    <w:pPr>
      <w:spacing w:after="0"/>
    </w:pPr>
  </w:p>
  <w:p w:rsidR="003766AB" w:rsidRDefault="00A7215E" w:rsidP="00496E92">
    <w:pPr>
      <w:pStyle w:val="Headereven"/>
    </w:pPr>
    <w:r>
      <w:fldChar w:fldCharType="begin"/>
    </w:r>
    <w:r w:rsidR="003766AB">
      <w:instrText xml:space="preserve"> REF _Ref338249950 \r \h </w:instrText>
    </w:r>
    <w:r>
      <w:fldChar w:fldCharType="separate"/>
    </w:r>
    <w:r w:rsidR="00E43227">
      <w:rPr>
        <w:b/>
        <w:bCs/>
        <w:lang w:val="en-US"/>
      </w:rPr>
      <w:t>Error! Reference source not found.</w:t>
    </w:r>
    <w:r>
      <w:fldChar w:fldCharType="end"/>
    </w:r>
    <w:r w:rsidR="003766AB">
      <w:t xml:space="preserve"> – </w:t>
    </w:r>
    <w:r>
      <w:fldChar w:fldCharType="begin"/>
    </w:r>
    <w:r w:rsidR="003766AB">
      <w:instrText xml:space="preserve"> REF _Ref338249950 \h </w:instrText>
    </w:r>
    <w:r>
      <w:fldChar w:fldCharType="separate"/>
    </w:r>
    <w:r w:rsidR="00E43227">
      <w:rPr>
        <w:b/>
        <w:bCs/>
        <w:lang w:val="en-US"/>
      </w:rPr>
      <w:t>Error! Reference source not found.</w:t>
    </w:r>
    <w:r>
      <w:fldChar w:fldCharType="end"/>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AB" w:rsidRDefault="003766AB" w:rsidP="00D641A8">
    <w:pPr>
      <w:spacing w:after="0"/>
      <w:jc w:val="right"/>
    </w:pPr>
    <w:r>
      <w:t>`</w:t>
    </w:r>
  </w:p>
  <w:p w:rsidR="003766AB" w:rsidRDefault="003766AB" w:rsidP="00D641A8">
    <w:pPr>
      <w:spacing w:after="0"/>
      <w:jc w:val="right"/>
    </w:pPr>
  </w:p>
  <w:p w:rsidR="003766AB" w:rsidRDefault="003766AB" w:rsidP="00D641A8">
    <w:pPr>
      <w:spacing w:after="0"/>
      <w:jc w:val="right"/>
    </w:pPr>
  </w:p>
  <w:p w:rsidR="003766AB" w:rsidRDefault="00A7215E" w:rsidP="00E42FAB">
    <w:pPr>
      <w:pStyle w:val="Headerodd"/>
    </w:pPr>
    <w:r>
      <w:fldChar w:fldCharType="begin"/>
    </w:r>
    <w:r w:rsidR="003766AB">
      <w:instrText xml:space="preserve"> REF _Ref369876643 \r \h </w:instrText>
    </w:r>
    <w:r>
      <w:fldChar w:fldCharType="separate"/>
    </w:r>
    <w:r w:rsidR="00E43227">
      <w:rPr>
        <w:b/>
        <w:bCs/>
        <w:lang w:val="en-US"/>
      </w:rPr>
      <w:t>Error! Reference source not found.</w:t>
    </w:r>
    <w:r>
      <w:fldChar w:fldCharType="end"/>
    </w:r>
    <w:r w:rsidR="003766AB">
      <w:t xml:space="preserve"> – </w:t>
    </w:r>
    <w:r>
      <w:fldChar w:fldCharType="begin"/>
    </w:r>
    <w:r w:rsidR="003766AB">
      <w:instrText xml:space="preserve"> REF _Ref369876643 \h </w:instrText>
    </w:r>
    <w:r>
      <w:fldChar w:fldCharType="separate"/>
    </w:r>
    <w:r w:rsidR="00E43227">
      <w:rPr>
        <w:b/>
        <w:bCs/>
        <w:lang w:val="en-US"/>
      </w:rPr>
      <w:t>Error! Reference source not found.</w:t>
    </w:r>
    <w: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AB" w:rsidRDefault="003766AB"/>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AB" w:rsidRDefault="003766AB" w:rsidP="00D641A8">
    <w:pPr>
      <w:spacing w:after="0"/>
    </w:pPr>
  </w:p>
  <w:p w:rsidR="003766AB" w:rsidRDefault="003766AB" w:rsidP="00D641A8">
    <w:pPr>
      <w:spacing w:after="0"/>
    </w:pPr>
  </w:p>
  <w:p w:rsidR="003766AB" w:rsidRDefault="003766AB" w:rsidP="00D641A8">
    <w:pPr>
      <w:spacing w:after="0"/>
    </w:pPr>
  </w:p>
  <w:p w:rsidR="003766AB" w:rsidRPr="00E67D26" w:rsidRDefault="00A7215E" w:rsidP="00034E5E">
    <w:pPr>
      <w:pStyle w:val="Headereven"/>
    </w:pPr>
    <w:r>
      <w:fldChar w:fldCharType="begin"/>
    </w:r>
    <w:r w:rsidR="003766AB">
      <w:instrText xml:space="preserve"> REF Abbreviations_and_acronyms \h </w:instrText>
    </w:r>
    <w:r>
      <w:fldChar w:fldCharType="separate"/>
    </w:r>
    <w:r w:rsidR="00E43227" w:rsidRPr="002E2FD3">
      <w:t>Abbreviations and acronyms</w:t>
    </w:r>
    <w:r>
      <w:fldChar w:fldCharType="end"/>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AB" w:rsidRDefault="003766AB" w:rsidP="00D641A8">
    <w:pPr>
      <w:spacing w:after="0"/>
      <w:jc w:val="right"/>
    </w:pPr>
  </w:p>
  <w:p w:rsidR="003766AB" w:rsidRDefault="003766AB" w:rsidP="00D641A8">
    <w:pPr>
      <w:spacing w:after="0"/>
      <w:jc w:val="right"/>
    </w:pPr>
  </w:p>
  <w:p w:rsidR="003766AB" w:rsidRDefault="003766AB" w:rsidP="00D641A8">
    <w:pPr>
      <w:spacing w:after="0"/>
      <w:jc w:val="right"/>
    </w:pPr>
  </w:p>
  <w:p w:rsidR="003766AB" w:rsidRDefault="003766AB" w:rsidP="00E42FAB">
    <w:pPr>
      <w:pStyle w:val="Headerodd"/>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AB" w:rsidRDefault="003766AB" w:rsidP="00D641A8">
    <w:pPr>
      <w:spacing w:after="0"/>
    </w:pPr>
  </w:p>
  <w:p w:rsidR="003766AB" w:rsidRDefault="003766AB" w:rsidP="00D641A8">
    <w:pPr>
      <w:spacing w:after="0"/>
    </w:pPr>
  </w:p>
  <w:p w:rsidR="003766AB" w:rsidRPr="00E67D26" w:rsidRDefault="00A7215E" w:rsidP="00034E5E">
    <w:pPr>
      <w:pStyle w:val="Headereven"/>
    </w:pPr>
    <w:r>
      <w:fldChar w:fldCharType="begin"/>
    </w:r>
    <w:r w:rsidR="003766AB">
      <w:instrText xml:space="preserve"> REF Abbreviations_and_acronyms \h </w:instrText>
    </w:r>
    <w:r>
      <w:fldChar w:fldCharType="separate"/>
    </w:r>
    <w:r w:rsidR="00E43227" w:rsidRPr="002E2FD3">
      <w:t>Abbreviations and acronyms</w:t>
    </w:r>
    <w:r>
      <w:fldChar w:fldCharType="end"/>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AB" w:rsidRDefault="003766AB" w:rsidP="00D641A8">
    <w:pPr>
      <w:spacing w:after="0"/>
      <w:jc w:val="right"/>
    </w:pPr>
  </w:p>
  <w:p w:rsidR="003766AB" w:rsidRDefault="003766AB" w:rsidP="00D641A8">
    <w:pPr>
      <w:spacing w:after="0"/>
      <w:jc w:val="right"/>
    </w:pPr>
  </w:p>
  <w:p w:rsidR="003766AB" w:rsidRDefault="003766AB" w:rsidP="00D641A8">
    <w:pPr>
      <w:spacing w:after="0"/>
      <w:jc w:val="right"/>
    </w:pPr>
  </w:p>
  <w:p w:rsidR="003766AB" w:rsidRDefault="00A7215E" w:rsidP="00E42FAB">
    <w:pPr>
      <w:pStyle w:val="Headerodd"/>
    </w:pPr>
    <w:r>
      <w:fldChar w:fldCharType="begin"/>
    </w:r>
    <w:r w:rsidR="003766AB">
      <w:instrText xml:space="preserve"> REF Abbreviations_and_acronyms \h </w:instrText>
    </w:r>
    <w:r>
      <w:fldChar w:fldCharType="separate"/>
    </w:r>
    <w:r w:rsidR="00E43227" w:rsidRPr="002E2FD3">
      <w:t>Abbreviations and acronyms</w:t>
    </w:r>
    <w:r>
      <w:fldChar w:fldCharType="end"/>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AB" w:rsidRDefault="003766AB" w:rsidP="00D641A8">
    <w:pPr>
      <w:spacing w:after="0"/>
    </w:pPr>
  </w:p>
  <w:p w:rsidR="003766AB" w:rsidRDefault="003766AB" w:rsidP="00D641A8">
    <w:pPr>
      <w:spacing w:after="0"/>
    </w:pPr>
  </w:p>
  <w:p w:rsidR="003766AB" w:rsidRDefault="003766AB" w:rsidP="00D641A8">
    <w:pPr>
      <w:spacing w:after="0"/>
    </w:pPr>
  </w:p>
  <w:p w:rsidR="003766AB" w:rsidRPr="00E67D26" w:rsidRDefault="003766AB" w:rsidP="00034E5E">
    <w:pPr>
      <w:pStyle w:val="Headereven"/>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AB" w:rsidRDefault="003766AB" w:rsidP="00D641A8">
    <w:pPr>
      <w:spacing w:after="0"/>
      <w:jc w:val="right"/>
    </w:pPr>
  </w:p>
  <w:p w:rsidR="003766AB" w:rsidRDefault="003766AB" w:rsidP="00D641A8">
    <w:pPr>
      <w:spacing w:after="0"/>
      <w:jc w:val="right"/>
    </w:pPr>
  </w:p>
  <w:p w:rsidR="003766AB" w:rsidRDefault="003766AB" w:rsidP="00D641A8">
    <w:pPr>
      <w:spacing w:after="0"/>
      <w:jc w:val="right"/>
    </w:pPr>
  </w:p>
  <w:p w:rsidR="003766AB" w:rsidRDefault="003766AB" w:rsidP="003C49C5">
    <w:pPr>
      <w:pStyle w:val="Headerodd"/>
    </w:pPr>
  </w:p>
  <w:p w:rsidR="003766AB" w:rsidRDefault="003766AB" w:rsidP="00E42FAB">
    <w:pPr>
      <w:pStyle w:val="Headerodd"/>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AB" w:rsidRDefault="003766AB" w:rsidP="00D641A8">
    <w:pPr>
      <w:spacing w:after="0"/>
    </w:pPr>
  </w:p>
  <w:p w:rsidR="003766AB" w:rsidRDefault="003766AB" w:rsidP="00D641A8">
    <w:pPr>
      <w:spacing w:after="0"/>
    </w:pPr>
  </w:p>
  <w:p w:rsidR="003766AB" w:rsidRDefault="00A7215E" w:rsidP="00617DBD">
    <w:pPr>
      <w:pStyle w:val="Headereven"/>
    </w:pPr>
    <w:r>
      <w:fldChar w:fldCharType="begin"/>
    </w:r>
    <w:r w:rsidR="003766AB">
      <w:instrText xml:space="preserve"> REF References \h  \* MERGEFORMAT </w:instrText>
    </w:r>
    <w:r>
      <w:fldChar w:fldCharType="end"/>
    </w:r>
  </w:p>
  <w:p w:rsidR="003766AB" w:rsidRDefault="003766AB">
    <w:pPr>
      <w:pStyle w:val="Headereven"/>
    </w:pPr>
    <w:r>
      <w:t>References</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AB" w:rsidRDefault="003766AB" w:rsidP="00A74C85">
    <w:pPr>
      <w:pStyle w:val="Headerodd"/>
    </w:pPr>
  </w:p>
  <w:p w:rsidR="003766AB" w:rsidRDefault="003766AB" w:rsidP="00A74C85">
    <w:pPr>
      <w:pStyle w:val="Headerodd"/>
    </w:pPr>
  </w:p>
  <w:p w:rsidR="003766AB" w:rsidRDefault="003766AB" w:rsidP="00A74C85">
    <w:pPr>
      <w:pStyle w:val="Headerodd"/>
    </w:pPr>
  </w:p>
  <w:p w:rsidR="003766AB" w:rsidRDefault="003766AB" w:rsidP="00562AD6">
    <w:pPr>
      <w:pStyle w:val="Headerodd"/>
    </w:pPr>
    <w:r>
      <w:t>References</w:t>
    </w:r>
  </w:p>
  <w:p w:rsidR="003766AB" w:rsidRDefault="003766AB" w:rsidP="00D641A8">
    <w:pPr>
      <w:spacing w:after="0"/>
      <w:jc w:val="right"/>
    </w:pPr>
  </w:p>
  <w:p w:rsidR="003766AB" w:rsidRDefault="003766AB" w:rsidP="00D641A8">
    <w:pPr>
      <w:spacing w:after="0"/>
      <w:jc w:val="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AB" w:rsidRPr="00E42160" w:rsidRDefault="003766AB" w:rsidP="00E42160"/>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AB" w:rsidRDefault="003766AB">
    <w:r>
      <w:rPr>
        <w:noProof/>
        <w:lang w:val="en-AU" w:eastAsia="en-AU"/>
      </w:rPr>
      <w:drawing>
        <wp:anchor distT="0" distB="0" distL="114300" distR="114300" simplePos="0" relativeHeight="251779072" behindDoc="1" locked="0" layoutInCell="0" allowOverlap="1">
          <wp:simplePos x="0" y="0"/>
          <wp:positionH relativeFrom="margin">
            <wp:align>center</wp:align>
          </wp:positionH>
          <wp:positionV relativeFrom="margin">
            <wp:align>center</wp:align>
          </wp:positionV>
          <wp:extent cx="5287010" cy="8414385"/>
          <wp:effectExtent l="0" t="0" r="0" b="0"/>
          <wp:wrapNone/>
          <wp:docPr id="92" name="Picture 92" descr="ICRC_reports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CRC_reports_cover"/>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7010" cy="8414385"/>
                  </a:xfrm>
                  <a:prstGeom prst="rect">
                    <a:avLst/>
                  </a:prstGeom>
                  <a:noFill/>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AB" w:rsidRDefault="003766AB"/>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AB" w:rsidRPr="00E42160" w:rsidRDefault="003766AB" w:rsidP="00E42160"/>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AB" w:rsidRDefault="00A7215E">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672429" o:spid="_x0000_s2132" type="#_x0000_t75" style="position:absolute;margin-left:0;margin-top:0;width:416.3pt;height:662.55pt;z-index:-251625472;mso-position-horizontal:center;mso-position-horizontal-relative:margin;mso-position-vertical:center;mso-position-vertical-relative:margin" o:allowincell="f">
          <v:imagedata r:id="rId1" o:title="ICRC_reports_cover"/>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CB1B64"/>
    <w:multiLevelType w:val="hybridMultilevel"/>
    <w:tmpl w:val="82FC36B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88"/>
    <w:multiLevelType w:val="singleLevel"/>
    <w:tmpl w:val="0A4A05DC"/>
    <w:lvl w:ilvl="0">
      <w:start w:val="1"/>
      <w:numFmt w:val="decimal"/>
      <w:pStyle w:val="ListNumber"/>
      <w:lvlText w:val="%1."/>
      <w:lvlJc w:val="left"/>
      <w:pPr>
        <w:tabs>
          <w:tab w:val="num" w:pos="360"/>
        </w:tabs>
        <w:ind w:left="360" w:hanging="360"/>
      </w:pPr>
    </w:lvl>
  </w:abstractNum>
  <w:abstractNum w:abstractNumId="2">
    <w:nsid w:val="FFFFFF89"/>
    <w:multiLevelType w:val="singleLevel"/>
    <w:tmpl w:val="AD0E7942"/>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FFFFFFFE"/>
    <w:multiLevelType w:val="singleLevel"/>
    <w:tmpl w:val="1F9E56BC"/>
    <w:lvl w:ilvl="0">
      <w:numFmt w:val="decimal"/>
      <w:pStyle w:val="QuoteBullet"/>
      <w:lvlText w:val="*"/>
      <w:lvlJc w:val="left"/>
      <w:rPr>
        <w:rFonts w:cs="Times New Roman"/>
      </w:rPr>
    </w:lvl>
  </w:abstractNum>
  <w:abstractNum w:abstractNumId="4">
    <w:nsid w:val="0119CEB5"/>
    <w:multiLevelType w:val="hybridMultilevel"/>
    <w:tmpl w:val="5C2D540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3434E67"/>
    <w:multiLevelType w:val="multilevel"/>
    <w:tmpl w:val="CF62576C"/>
    <w:lvl w:ilvl="0">
      <w:start w:val="1"/>
      <w:numFmt w:val="upperRoman"/>
      <w:pStyle w:val="HeadingPart"/>
      <w:lvlText w:val="Part %1"/>
      <w:lvlJc w:val="left"/>
      <w:pPr>
        <w:ind w:left="1814" w:hanging="181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18576930"/>
    <w:multiLevelType w:val="hybridMultilevel"/>
    <w:tmpl w:val="23CCC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0D8251C"/>
    <w:multiLevelType w:val="hybridMultilevel"/>
    <w:tmpl w:val="DF4268C8"/>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Arial"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Arial"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Arial"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8">
    <w:nsid w:val="2B075CC9"/>
    <w:multiLevelType w:val="multilevel"/>
    <w:tmpl w:val="C37E6462"/>
    <w:lvl w:ilvl="0">
      <w:start w:val="1"/>
      <w:numFmt w:val="decimal"/>
      <w:lvlText w:val="(%1)"/>
      <w:lvlJc w:val="left"/>
      <w:pPr>
        <w:ind w:left="717" w:hanging="360"/>
      </w:pPr>
      <w:rPr>
        <w:rFonts w:ascii="Times New Roman" w:hAnsi="Times New Roman" w:hint="default"/>
        <w:b w:val="0"/>
        <w:i w:val="0"/>
        <w:sz w:val="20"/>
      </w:rPr>
    </w:lvl>
    <w:lvl w:ilvl="1">
      <w:start w:val="1"/>
      <w:numFmt w:val="lowerLetter"/>
      <w:lvlText w:val="(%2)"/>
      <w:lvlJc w:val="left"/>
      <w:pPr>
        <w:ind w:left="1077"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lvlText w:val="(%3)"/>
      <w:lvlJc w:val="left"/>
      <w:pPr>
        <w:ind w:left="1437" w:hanging="360"/>
      </w:pPr>
      <w:rPr>
        <w:rFonts w:hint="default"/>
      </w:rPr>
    </w:lvl>
    <w:lvl w:ilvl="3">
      <w:start w:val="1"/>
      <w:numFmt w:val="decimal"/>
      <w:lvlText w:val="(%4)"/>
      <w:lvlJc w:val="left"/>
      <w:pPr>
        <w:ind w:left="1797" w:hanging="360"/>
      </w:pPr>
      <w:rPr>
        <w:rFonts w:hint="default"/>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9">
    <w:nsid w:val="2D525F94"/>
    <w:multiLevelType w:val="hybridMultilevel"/>
    <w:tmpl w:val="493287DA"/>
    <w:lvl w:ilvl="0" w:tplc="0C09000F">
      <w:start w:val="1"/>
      <w:numFmt w:val="decimal"/>
      <w:lvlText w:val="%1."/>
      <w:lvlJc w:val="left"/>
      <w:pPr>
        <w:tabs>
          <w:tab w:val="num" w:pos="720"/>
        </w:tabs>
        <w:ind w:left="720"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0">
    <w:nsid w:val="31D90C0E"/>
    <w:multiLevelType w:val="hybridMultilevel"/>
    <w:tmpl w:val="65CA815C"/>
    <w:lvl w:ilvl="0" w:tplc="0C090011">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1">
    <w:nsid w:val="40774F1A"/>
    <w:multiLevelType w:val="multilevel"/>
    <w:tmpl w:val="DA104F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080"/>
        </w:tabs>
        <w:ind w:left="720" w:hanging="720"/>
      </w:pPr>
      <w:rPr>
        <w:rFonts w:cs="Times New Roman"/>
      </w:rPr>
    </w:lvl>
    <w:lvl w:ilvl="2">
      <w:start w:val="1"/>
      <w:numFmt w:val="decimal"/>
      <w:lvlText w:val="%1.%2.%3"/>
      <w:lvlJc w:val="left"/>
      <w:pPr>
        <w:tabs>
          <w:tab w:val="num" w:pos="144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2">
    <w:nsid w:val="43C06547"/>
    <w:multiLevelType w:val="hybridMultilevel"/>
    <w:tmpl w:val="3158754E"/>
    <w:lvl w:ilvl="0" w:tplc="E5CC8A56">
      <w:start w:val="1"/>
      <w:numFmt w:val="bullet"/>
      <w:pStyle w:val="BulletLast"/>
      <w:lvlText w:val=""/>
      <w:lvlJc w:val="left"/>
      <w:pPr>
        <w:ind w:left="1083" w:hanging="360"/>
      </w:pPr>
      <w:rPr>
        <w:rFonts w:ascii="Symbol" w:hAnsi="Symbol" w:hint="default"/>
      </w:rPr>
    </w:lvl>
    <w:lvl w:ilvl="1" w:tplc="0C090003">
      <w:start w:val="1"/>
      <w:numFmt w:val="bullet"/>
      <w:lvlText w:val="o"/>
      <w:lvlJc w:val="left"/>
      <w:pPr>
        <w:ind w:left="1803" w:hanging="360"/>
      </w:pPr>
      <w:rPr>
        <w:rFonts w:ascii="Courier New" w:hAnsi="Courier New" w:cs="Courier New" w:hint="default"/>
      </w:rPr>
    </w:lvl>
    <w:lvl w:ilvl="2" w:tplc="0C090005">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3">
    <w:nsid w:val="44367C8E"/>
    <w:multiLevelType w:val="hybridMultilevel"/>
    <w:tmpl w:val="6F2A32E0"/>
    <w:lvl w:ilvl="0" w:tplc="B310F7D6">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4D678DA"/>
    <w:multiLevelType w:val="hybridMultilevel"/>
    <w:tmpl w:val="16D089EC"/>
    <w:lvl w:ilvl="0" w:tplc="EFA8B3AC">
      <w:start w:val="1"/>
      <w:numFmt w:val="lowerLetter"/>
      <w:lvlText w:val="%1)"/>
      <w:lvlJc w:val="left"/>
      <w:pPr>
        <w:ind w:left="720" w:hanging="360"/>
      </w:pPr>
      <w:rPr>
        <w:rFonts w:cs="Times New Roman"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5691102"/>
    <w:multiLevelType w:val="hybridMultilevel"/>
    <w:tmpl w:val="494A1FF6"/>
    <w:lvl w:ilvl="0" w:tplc="0C090011">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6">
    <w:nsid w:val="4ACF2B83"/>
    <w:multiLevelType w:val="multilevel"/>
    <w:tmpl w:val="7B32AD94"/>
    <w:lvl w:ilvl="0">
      <w:start w:val="1"/>
      <w:numFmt w:val="decimal"/>
      <w:pStyle w:val="Heading1"/>
      <w:lvlText w:val="%1"/>
      <w:lvlJc w:val="left"/>
      <w:pPr>
        <w:tabs>
          <w:tab w:val="num" w:pos="720"/>
        </w:tabs>
        <w:ind w:left="720" w:hanging="720"/>
      </w:pPr>
      <w:rPr>
        <w:rFonts w:cs="Times New Roman"/>
      </w:rPr>
    </w:lvl>
    <w:lvl w:ilvl="1">
      <w:start w:val="1"/>
      <w:numFmt w:val="decimal"/>
      <w:pStyle w:val="Heading2"/>
      <w:lvlText w:val="%1.%2"/>
      <w:lvlJc w:val="left"/>
      <w:pPr>
        <w:tabs>
          <w:tab w:val="num" w:pos="1222"/>
        </w:tabs>
        <w:ind w:left="862" w:hanging="720"/>
      </w:pPr>
      <w:rPr>
        <w:rFonts w:cs="Times New Roman"/>
      </w:rPr>
    </w:lvl>
    <w:lvl w:ilvl="2">
      <w:start w:val="1"/>
      <w:numFmt w:val="decimal"/>
      <w:pStyle w:val="Heading3"/>
      <w:lvlText w:val="%1.%2.%3"/>
      <w:lvlJc w:val="left"/>
      <w:pPr>
        <w:tabs>
          <w:tab w:val="num" w:pos="144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7">
    <w:nsid w:val="569C589C"/>
    <w:multiLevelType w:val="multilevel"/>
    <w:tmpl w:val="3BA80B6C"/>
    <w:lvl w:ilvl="0">
      <w:start w:val="1"/>
      <w:numFmt w:val="decimal"/>
      <w:pStyle w:val="HeadingAppendix1"/>
      <w:lvlText w:val="Appendix %1"/>
      <w:lvlJc w:val="left"/>
      <w:pPr>
        <w:ind w:left="2693" w:hanging="2693"/>
      </w:pPr>
      <w:rPr>
        <w:rFonts w:hint="default"/>
      </w:rPr>
    </w:lvl>
    <w:lvl w:ilvl="1">
      <w:start w:val="1"/>
      <w:numFmt w:val="decimal"/>
      <w:pStyle w:val="HeadingAppendix2"/>
      <w:lvlText w:val="A%1.%2"/>
      <w:lvlJc w:val="left"/>
      <w:pPr>
        <w:ind w:left="907" w:hanging="907"/>
      </w:pPr>
      <w:rPr>
        <w:rFonts w:cs="Times New Roman"/>
        <w:bCs w:val="0"/>
        <w:i w:val="0"/>
        <w:iCs w:val="0"/>
        <w:caps w:val="0"/>
        <w:smallCaps w:val="0"/>
        <w:strike w:val="0"/>
        <w:dstrike w:val="0"/>
        <w:noProof w:val="0"/>
        <w:vanish w:val="0"/>
        <w:color w:val="000000"/>
        <w:spacing w:val="0"/>
        <w:position w:val="0"/>
        <w:u w:val="none"/>
        <w:vertAlign w:val="baseline"/>
        <w:em w:val="none"/>
      </w:rPr>
    </w:lvl>
    <w:lvl w:ilvl="2">
      <w:start w:val="1"/>
      <w:numFmt w:val="decimal"/>
      <w:pStyle w:val="HeadingAppendix3"/>
      <w:lvlText w:val="A%1.%2.%3"/>
      <w:lvlJc w:val="left"/>
      <w:pPr>
        <w:ind w:left="907" w:hanging="907"/>
      </w:pPr>
      <w:rPr>
        <w:rFonts w:hint="default"/>
      </w:rPr>
    </w:lvl>
    <w:lvl w:ilvl="3">
      <w:start w:val="1"/>
      <w:numFmt w:val="decimal"/>
      <w:lvlText w:val="%4."/>
      <w:lvlJc w:val="left"/>
      <w:pPr>
        <w:ind w:left="2693" w:hanging="2693"/>
      </w:pPr>
      <w:rPr>
        <w:rFonts w:hint="default"/>
      </w:rPr>
    </w:lvl>
    <w:lvl w:ilvl="4">
      <w:start w:val="1"/>
      <w:numFmt w:val="lowerLetter"/>
      <w:lvlText w:val="%5."/>
      <w:lvlJc w:val="left"/>
      <w:pPr>
        <w:ind w:left="2693" w:hanging="2693"/>
      </w:pPr>
      <w:rPr>
        <w:rFonts w:hint="default"/>
      </w:rPr>
    </w:lvl>
    <w:lvl w:ilvl="5">
      <w:start w:val="1"/>
      <w:numFmt w:val="lowerRoman"/>
      <w:lvlText w:val="%6."/>
      <w:lvlJc w:val="right"/>
      <w:pPr>
        <w:ind w:left="2693" w:hanging="2693"/>
      </w:pPr>
      <w:rPr>
        <w:rFonts w:hint="default"/>
      </w:rPr>
    </w:lvl>
    <w:lvl w:ilvl="6">
      <w:start w:val="1"/>
      <w:numFmt w:val="decimal"/>
      <w:lvlText w:val="%7."/>
      <w:lvlJc w:val="left"/>
      <w:pPr>
        <w:ind w:left="2693" w:hanging="2693"/>
      </w:pPr>
      <w:rPr>
        <w:rFonts w:hint="default"/>
      </w:rPr>
    </w:lvl>
    <w:lvl w:ilvl="7">
      <w:start w:val="1"/>
      <w:numFmt w:val="lowerLetter"/>
      <w:lvlText w:val="%8."/>
      <w:lvlJc w:val="left"/>
      <w:pPr>
        <w:ind w:left="2693" w:hanging="2693"/>
      </w:pPr>
      <w:rPr>
        <w:rFonts w:hint="default"/>
      </w:rPr>
    </w:lvl>
    <w:lvl w:ilvl="8">
      <w:start w:val="1"/>
      <w:numFmt w:val="lowerRoman"/>
      <w:lvlText w:val="%9."/>
      <w:lvlJc w:val="right"/>
      <w:pPr>
        <w:ind w:left="2693" w:hanging="2693"/>
      </w:pPr>
      <w:rPr>
        <w:rFonts w:hint="default"/>
      </w:rPr>
    </w:lvl>
  </w:abstractNum>
  <w:abstractNum w:abstractNumId="18">
    <w:nsid w:val="5A565032"/>
    <w:multiLevelType w:val="multilevel"/>
    <w:tmpl w:val="9404D75E"/>
    <w:lvl w:ilvl="0">
      <w:start w:val="1"/>
      <w:numFmt w:val="lowerLetter"/>
      <w:pStyle w:val="LetteredList"/>
      <w:lvlText w:val="(%1)"/>
      <w:lvlJc w:val="left"/>
      <w:pPr>
        <w:ind w:left="680" w:hanging="396"/>
      </w:pPr>
      <w:rPr>
        <w:rFonts w:hint="default"/>
      </w:rPr>
    </w:lvl>
    <w:lvl w:ilvl="1">
      <w:start w:val="1"/>
      <w:numFmt w:val="lowerRoman"/>
      <w:lvlText w:val="(%2)"/>
      <w:lvlJc w:val="left"/>
      <w:pPr>
        <w:ind w:left="1701" w:hanging="624"/>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9">
    <w:nsid w:val="5BFC0F86"/>
    <w:multiLevelType w:val="hybridMultilevel"/>
    <w:tmpl w:val="967807A0"/>
    <w:lvl w:ilvl="0" w:tplc="080C19FA">
      <w:start w:val="1"/>
      <w:numFmt w:val="bullet"/>
      <w:pStyle w:val="TableBullet"/>
      <w:lvlText w:val=""/>
      <w:lvlJc w:val="left"/>
      <w:pPr>
        <w:tabs>
          <w:tab w:val="num" w:pos="360"/>
        </w:tabs>
        <w:ind w:left="216" w:hanging="216"/>
      </w:pPr>
      <w:rPr>
        <w:rFonts w:ascii="Symbol" w:hAnsi="Symbol" w:hint="default"/>
        <w:sz w:val="16"/>
      </w:rPr>
    </w:lvl>
    <w:lvl w:ilvl="1" w:tplc="F9E2E734" w:tentative="1">
      <w:start w:val="1"/>
      <w:numFmt w:val="bullet"/>
      <w:lvlText w:val="o"/>
      <w:lvlJc w:val="left"/>
      <w:pPr>
        <w:tabs>
          <w:tab w:val="num" w:pos="1440"/>
        </w:tabs>
        <w:ind w:left="1440" w:hanging="360"/>
      </w:pPr>
      <w:rPr>
        <w:rFonts w:ascii="Courier New" w:hAnsi="Courier New" w:hint="default"/>
      </w:rPr>
    </w:lvl>
    <w:lvl w:ilvl="2" w:tplc="6DEEAAA4" w:tentative="1">
      <w:start w:val="1"/>
      <w:numFmt w:val="bullet"/>
      <w:lvlText w:val=""/>
      <w:lvlJc w:val="left"/>
      <w:pPr>
        <w:tabs>
          <w:tab w:val="num" w:pos="2160"/>
        </w:tabs>
        <w:ind w:left="2160" w:hanging="360"/>
      </w:pPr>
      <w:rPr>
        <w:rFonts w:ascii="Wingdings" w:hAnsi="Wingdings" w:hint="default"/>
      </w:rPr>
    </w:lvl>
    <w:lvl w:ilvl="3" w:tplc="C598E346" w:tentative="1">
      <w:start w:val="1"/>
      <w:numFmt w:val="bullet"/>
      <w:lvlText w:val=""/>
      <w:lvlJc w:val="left"/>
      <w:pPr>
        <w:tabs>
          <w:tab w:val="num" w:pos="2880"/>
        </w:tabs>
        <w:ind w:left="2880" w:hanging="360"/>
      </w:pPr>
      <w:rPr>
        <w:rFonts w:ascii="Symbol" w:hAnsi="Symbol" w:hint="default"/>
      </w:rPr>
    </w:lvl>
    <w:lvl w:ilvl="4" w:tplc="790C274C" w:tentative="1">
      <w:start w:val="1"/>
      <w:numFmt w:val="bullet"/>
      <w:lvlText w:val="o"/>
      <w:lvlJc w:val="left"/>
      <w:pPr>
        <w:tabs>
          <w:tab w:val="num" w:pos="3600"/>
        </w:tabs>
        <w:ind w:left="3600" w:hanging="360"/>
      </w:pPr>
      <w:rPr>
        <w:rFonts w:ascii="Courier New" w:hAnsi="Courier New" w:hint="default"/>
      </w:rPr>
    </w:lvl>
    <w:lvl w:ilvl="5" w:tplc="D0E442FA" w:tentative="1">
      <w:start w:val="1"/>
      <w:numFmt w:val="bullet"/>
      <w:lvlText w:val=""/>
      <w:lvlJc w:val="left"/>
      <w:pPr>
        <w:tabs>
          <w:tab w:val="num" w:pos="4320"/>
        </w:tabs>
        <w:ind w:left="4320" w:hanging="360"/>
      </w:pPr>
      <w:rPr>
        <w:rFonts w:ascii="Wingdings" w:hAnsi="Wingdings" w:hint="default"/>
      </w:rPr>
    </w:lvl>
    <w:lvl w:ilvl="6" w:tplc="D24C2F38" w:tentative="1">
      <w:start w:val="1"/>
      <w:numFmt w:val="bullet"/>
      <w:lvlText w:val=""/>
      <w:lvlJc w:val="left"/>
      <w:pPr>
        <w:tabs>
          <w:tab w:val="num" w:pos="5040"/>
        </w:tabs>
        <w:ind w:left="5040" w:hanging="360"/>
      </w:pPr>
      <w:rPr>
        <w:rFonts w:ascii="Symbol" w:hAnsi="Symbol" w:hint="default"/>
      </w:rPr>
    </w:lvl>
    <w:lvl w:ilvl="7" w:tplc="D8A6F982" w:tentative="1">
      <w:start w:val="1"/>
      <w:numFmt w:val="bullet"/>
      <w:lvlText w:val="o"/>
      <w:lvlJc w:val="left"/>
      <w:pPr>
        <w:tabs>
          <w:tab w:val="num" w:pos="5760"/>
        </w:tabs>
        <w:ind w:left="5760" w:hanging="360"/>
      </w:pPr>
      <w:rPr>
        <w:rFonts w:ascii="Courier New" w:hAnsi="Courier New" w:hint="default"/>
      </w:rPr>
    </w:lvl>
    <w:lvl w:ilvl="8" w:tplc="9F1A4FD0" w:tentative="1">
      <w:start w:val="1"/>
      <w:numFmt w:val="bullet"/>
      <w:lvlText w:val=""/>
      <w:lvlJc w:val="left"/>
      <w:pPr>
        <w:tabs>
          <w:tab w:val="num" w:pos="6480"/>
        </w:tabs>
        <w:ind w:left="6480" w:hanging="360"/>
      </w:pPr>
      <w:rPr>
        <w:rFonts w:ascii="Wingdings" w:hAnsi="Wingdings" w:hint="default"/>
      </w:rPr>
    </w:lvl>
  </w:abstractNum>
  <w:abstractNum w:abstractNumId="20">
    <w:nsid w:val="62AB11EF"/>
    <w:multiLevelType w:val="hybridMultilevel"/>
    <w:tmpl w:val="D898C958"/>
    <w:lvl w:ilvl="0" w:tplc="BF20C17A">
      <w:start w:val="1"/>
      <w:numFmt w:val="bullet"/>
      <w:pStyle w:val="Bullet"/>
      <w:lvlText w:val=""/>
      <w:lvlJc w:val="left"/>
      <w:pPr>
        <w:ind w:left="644" w:hanging="360"/>
      </w:pPr>
      <w:rPr>
        <w:rFonts w:ascii="Symbol" w:hAnsi="Symbol" w:hint="default"/>
        <w:b w:val="0"/>
        <w:i w:val="0"/>
        <w:color w:val="auto"/>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30E407D"/>
    <w:multiLevelType w:val="hybridMultilevel"/>
    <w:tmpl w:val="9D288BB0"/>
    <w:lvl w:ilvl="0" w:tplc="0C090001">
      <w:start w:val="1"/>
      <w:numFmt w:val="bullet"/>
      <w:lvlText w:val=""/>
      <w:lvlJc w:val="left"/>
      <w:pPr>
        <w:ind w:left="1565" w:hanging="360"/>
      </w:pPr>
      <w:rPr>
        <w:rFonts w:ascii="Symbol" w:hAnsi="Symbol" w:hint="default"/>
      </w:rPr>
    </w:lvl>
    <w:lvl w:ilvl="1" w:tplc="0C090003" w:tentative="1">
      <w:start w:val="1"/>
      <w:numFmt w:val="bullet"/>
      <w:lvlText w:val="o"/>
      <w:lvlJc w:val="left"/>
      <w:pPr>
        <w:ind w:left="2285" w:hanging="360"/>
      </w:pPr>
      <w:rPr>
        <w:rFonts w:ascii="Courier New" w:hAnsi="Courier New" w:cs="Courier New" w:hint="default"/>
      </w:rPr>
    </w:lvl>
    <w:lvl w:ilvl="2" w:tplc="0C090005" w:tentative="1">
      <w:start w:val="1"/>
      <w:numFmt w:val="bullet"/>
      <w:lvlText w:val=""/>
      <w:lvlJc w:val="left"/>
      <w:pPr>
        <w:ind w:left="3005" w:hanging="360"/>
      </w:pPr>
      <w:rPr>
        <w:rFonts w:ascii="Wingdings" w:hAnsi="Wingdings" w:hint="default"/>
      </w:rPr>
    </w:lvl>
    <w:lvl w:ilvl="3" w:tplc="0C090001" w:tentative="1">
      <w:start w:val="1"/>
      <w:numFmt w:val="bullet"/>
      <w:lvlText w:val=""/>
      <w:lvlJc w:val="left"/>
      <w:pPr>
        <w:ind w:left="3725" w:hanging="360"/>
      </w:pPr>
      <w:rPr>
        <w:rFonts w:ascii="Symbol" w:hAnsi="Symbol" w:hint="default"/>
      </w:rPr>
    </w:lvl>
    <w:lvl w:ilvl="4" w:tplc="0C090003" w:tentative="1">
      <w:start w:val="1"/>
      <w:numFmt w:val="bullet"/>
      <w:lvlText w:val="o"/>
      <w:lvlJc w:val="left"/>
      <w:pPr>
        <w:ind w:left="4445" w:hanging="360"/>
      </w:pPr>
      <w:rPr>
        <w:rFonts w:ascii="Courier New" w:hAnsi="Courier New" w:cs="Courier New" w:hint="default"/>
      </w:rPr>
    </w:lvl>
    <w:lvl w:ilvl="5" w:tplc="0C090005" w:tentative="1">
      <w:start w:val="1"/>
      <w:numFmt w:val="bullet"/>
      <w:lvlText w:val=""/>
      <w:lvlJc w:val="left"/>
      <w:pPr>
        <w:ind w:left="5165" w:hanging="360"/>
      </w:pPr>
      <w:rPr>
        <w:rFonts w:ascii="Wingdings" w:hAnsi="Wingdings" w:hint="default"/>
      </w:rPr>
    </w:lvl>
    <w:lvl w:ilvl="6" w:tplc="0C090001" w:tentative="1">
      <w:start w:val="1"/>
      <w:numFmt w:val="bullet"/>
      <w:lvlText w:val=""/>
      <w:lvlJc w:val="left"/>
      <w:pPr>
        <w:ind w:left="5885" w:hanging="360"/>
      </w:pPr>
      <w:rPr>
        <w:rFonts w:ascii="Symbol" w:hAnsi="Symbol" w:hint="default"/>
      </w:rPr>
    </w:lvl>
    <w:lvl w:ilvl="7" w:tplc="0C090003" w:tentative="1">
      <w:start w:val="1"/>
      <w:numFmt w:val="bullet"/>
      <w:lvlText w:val="o"/>
      <w:lvlJc w:val="left"/>
      <w:pPr>
        <w:ind w:left="6605" w:hanging="360"/>
      </w:pPr>
      <w:rPr>
        <w:rFonts w:ascii="Courier New" w:hAnsi="Courier New" w:cs="Courier New" w:hint="default"/>
      </w:rPr>
    </w:lvl>
    <w:lvl w:ilvl="8" w:tplc="0C090005" w:tentative="1">
      <w:start w:val="1"/>
      <w:numFmt w:val="bullet"/>
      <w:lvlText w:val=""/>
      <w:lvlJc w:val="left"/>
      <w:pPr>
        <w:ind w:left="7325" w:hanging="360"/>
      </w:pPr>
      <w:rPr>
        <w:rFonts w:ascii="Wingdings" w:hAnsi="Wingdings" w:hint="default"/>
      </w:rPr>
    </w:lvl>
  </w:abstractNum>
  <w:num w:numId="1">
    <w:abstractNumId w:val="20"/>
  </w:num>
  <w:num w:numId="2">
    <w:abstractNumId w:val="19"/>
  </w:num>
  <w:num w:numId="3">
    <w:abstractNumId w:val="3"/>
    <w:lvlOverride w:ilvl="0">
      <w:lvl w:ilvl="0">
        <w:start w:val="1"/>
        <w:numFmt w:val="bullet"/>
        <w:pStyle w:val="QuoteBullet"/>
        <w:lvlText w:val=""/>
        <w:legacy w:legacy="1" w:legacySpace="0" w:legacyIndent="360"/>
        <w:lvlJc w:val="left"/>
        <w:pPr>
          <w:ind w:left="360" w:hanging="360"/>
        </w:pPr>
        <w:rPr>
          <w:rFonts w:ascii="Symbol" w:hAnsi="Symbol" w:hint="default"/>
        </w:rPr>
      </w:lvl>
    </w:lvlOverride>
  </w:num>
  <w:num w:numId="4">
    <w:abstractNumId w:val="5"/>
  </w:num>
  <w:num w:numId="5">
    <w:abstractNumId w:val="12"/>
  </w:num>
  <w:num w:numId="6">
    <w:abstractNumId w:val="17"/>
  </w:num>
  <w:num w:numId="7">
    <w:abstractNumId w:val="16"/>
  </w:num>
  <w:num w:numId="8">
    <w:abstractNumId w:val="9"/>
  </w:num>
  <w:num w:numId="9">
    <w:abstractNumId w:val="1"/>
  </w:num>
  <w:num w:numId="10">
    <w:abstractNumId w:val="18"/>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1"/>
  </w:num>
  <w:num w:numId="14">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21"/>
  </w:num>
  <w:num w:numId="18">
    <w:abstractNumId w:val="0"/>
  </w:num>
  <w:num w:numId="19">
    <w:abstractNumId w:val="4"/>
  </w:num>
  <w:num w:numId="20">
    <w:abstractNumId w:val="14"/>
  </w:num>
  <w:num w:numId="21">
    <w:abstractNumId w:val="13"/>
  </w:num>
  <w:num w:numId="22">
    <w:abstractNumId w:val="15"/>
  </w:num>
  <w:num w:numId="23">
    <w:abstractNumId w:val="2"/>
  </w:num>
  <w:num w:numId="24">
    <w:abstractNumId w:val="7"/>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20"/>
  </w:num>
  <w:numIdMacAtCleanup w:val="1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HH editor">
    <w15:presenceInfo w15:providerId="None" w15:userId="WHH edito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attachedTemplate r:id="rId1"/>
  <w:stylePaneFormatFilter w:val="9021"/>
  <w:stylePaneSortMethod w:val="0000"/>
  <w:documentProtection w:formatting="1" w:enforcement="0"/>
  <w:styleLockTheme/>
  <w:defaultTabStop w:val="720"/>
  <w:evenAndOddHeaders/>
  <w:drawingGridHorizontalSpacing w:val="110"/>
  <w:displayHorizontalDrawingGridEvery w:val="2"/>
  <w:characterSpacingControl w:val="doNotCompress"/>
  <w:hdrShapeDefaults>
    <o:shapedefaults v:ext="edit" spidmax="2138" fillcolor="none [3200]" strokecolor="none [3212]">
      <v:fill color="none [3200]"/>
      <v:stroke color="none [3212]" weight="0"/>
      <v:shadow type="perspective" color="none [1601]" opacity=".5" offset="1pt" offset2="-1pt"/>
    </o:shapedefaults>
    <o:shapelayout v:ext="edit">
      <o:idmap v:ext="edit" data="2"/>
    </o:shapelayout>
  </w:hdrShapeDefaults>
  <w:footnotePr>
    <w:footnote w:id="-1"/>
    <w:footnote w:id="0"/>
    <w:footnote w:id="1"/>
  </w:footnotePr>
  <w:endnotePr>
    <w:pos w:val="sectEnd"/>
    <w:numFmt w:val="decimal"/>
    <w:endnote w:id="-1"/>
    <w:endnote w:id="0"/>
  </w:endnotePr>
  <w:compat/>
  <w:docVars>
    <w:docVar w:name="EN.InstantFormat" w:val="&lt;ENInstantFormat&gt;&lt;Enabled&gt;1&lt;/Enabled&gt;&lt;ScanUnformatted&gt;0&lt;/ScanUnformatted&gt;&lt;ScanChanges&gt;1&lt;/ScanChanges&gt;&lt;Suspended&gt;0&lt;/Suspended&gt;&lt;/ENInstantFormat&gt;"/>
    <w:docVar w:name="EN.Layout" w:val="&lt;ENLayout&gt;&lt;Style&gt;ICRC&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xwt9zxa6r5fesevwr5xzp97r95ev9wx9zpw&quot;&gt;ICRC Endnote Library&lt;record-ids&gt;&lt;item&gt;84&lt;/item&gt;&lt;item&gt;495&lt;/item&gt;&lt;item&gt;496&lt;/item&gt;&lt;item&gt;497&lt;/item&gt;&lt;item&gt;501&lt;/item&gt;&lt;item&gt;507&lt;/item&gt;&lt;item&gt;509&lt;/item&gt;&lt;item&gt;520&lt;/item&gt;&lt;item&gt;594&lt;/item&gt;&lt;item&gt;595&lt;/item&gt;&lt;item&gt;614&lt;/item&gt;&lt;item&gt;615&lt;/item&gt;&lt;/record-ids&gt;&lt;/item&gt;&lt;/Libraries&gt;"/>
  </w:docVars>
  <w:rsids>
    <w:rsidRoot w:val="005123B8"/>
    <w:rsid w:val="0000003A"/>
    <w:rsid w:val="0000005F"/>
    <w:rsid w:val="00000086"/>
    <w:rsid w:val="0000019A"/>
    <w:rsid w:val="0000019F"/>
    <w:rsid w:val="00000594"/>
    <w:rsid w:val="00000646"/>
    <w:rsid w:val="00000798"/>
    <w:rsid w:val="000008FF"/>
    <w:rsid w:val="0000091B"/>
    <w:rsid w:val="0000092A"/>
    <w:rsid w:val="00000B8D"/>
    <w:rsid w:val="00000C99"/>
    <w:rsid w:val="00000CB8"/>
    <w:rsid w:val="00000CF1"/>
    <w:rsid w:val="00000E58"/>
    <w:rsid w:val="00000EEE"/>
    <w:rsid w:val="000010D0"/>
    <w:rsid w:val="00001196"/>
    <w:rsid w:val="00001248"/>
    <w:rsid w:val="000014DB"/>
    <w:rsid w:val="00001571"/>
    <w:rsid w:val="0000165D"/>
    <w:rsid w:val="00001706"/>
    <w:rsid w:val="00001982"/>
    <w:rsid w:val="00001A64"/>
    <w:rsid w:val="00001B4C"/>
    <w:rsid w:val="00001B56"/>
    <w:rsid w:val="00001DC3"/>
    <w:rsid w:val="00001E01"/>
    <w:rsid w:val="00001FB0"/>
    <w:rsid w:val="0000210F"/>
    <w:rsid w:val="0000220C"/>
    <w:rsid w:val="00002215"/>
    <w:rsid w:val="000023D0"/>
    <w:rsid w:val="000025E5"/>
    <w:rsid w:val="00002767"/>
    <w:rsid w:val="000028E1"/>
    <w:rsid w:val="00002A16"/>
    <w:rsid w:val="00002B11"/>
    <w:rsid w:val="00002C07"/>
    <w:rsid w:val="00002F3E"/>
    <w:rsid w:val="000032D2"/>
    <w:rsid w:val="00003375"/>
    <w:rsid w:val="00003449"/>
    <w:rsid w:val="0000385D"/>
    <w:rsid w:val="000039C7"/>
    <w:rsid w:val="00003AA7"/>
    <w:rsid w:val="00003AD0"/>
    <w:rsid w:val="00003C22"/>
    <w:rsid w:val="00003C3C"/>
    <w:rsid w:val="00003C6F"/>
    <w:rsid w:val="00003DDD"/>
    <w:rsid w:val="00003E12"/>
    <w:rsid w:val="000040CD"/>
    <w:rsid w:val="00004112"/>
    <w:rsid w:val="0000455F"/>
    <w:rsid w:val="000045D1"/>
    <w:rsid w:val="0000462F"/>
    <w:rsid w:val="0000471C"/>
    <w:rsid w:val="00004B0B"/>
    <w:rsid w:val="00004B79"/>
    <w:rsid w:val="00004E3A"/>
    <w:rsid w:val="00004F11"/>
    <w:rsid w:val="000050AA"/>
    <w:rsid w:val="00005116"/>
    <w:rsid w:val="00005127"/>
    <w:rsid w:val="000052D0"/>
    <w:rsid w:val="0000542D"/>
    <w:rsid w:val="00005554"/>
    <w:rsid w:val="0000567C"/>
    <w:rsid w:val="000057D1"/>
    <w:rsid w:val="00005AEE"/>
    <w:rsid w:val="00005B70"/>
    <w:rsid w:val="00005B7D"/>
    <w:rsid w:val="00005BA2"/>
    <w:rsid w:val="00005D62"/>
    <w:rsid w:val="00006000"/>
    <w:rsid w:val="000064A9"/>
    <w:rsid w:val="0000695B"/>
    <w:rsid w:val="00006A2C"/>
    <w:rsid w:val="00006A62"/>
    <w:rsid w:val="00006C61"/>
    <w:rsid w:val="00006D70"/>
    <w:rsid w:val="00006EA7"/>
    <w:rsid w:val="00007041"/>
    <w:rsid w:val="000070C2"/>
    <w:rsid w:val="0000726C"/>
    <w:rsid w:val="0000732B"/>
    <w:rsid w:val="000074E3"/>
    <w:rsid w:val="00007880"/>
    <w:rsid w:val="00007FB5"/>
    <w:rsid w:val="000106D8"/>
    <w:rsid w:val="00010857"/>
    <w:rsid w:val="00010A8E"/>
    <w:rsid w:val="00010B28"/>
    <w:rsid w:val="00011266"/>
    <w:rsid w:val="000112FF"/>
    <w:rsid w:val="000113AB"/>
    <w:rsid w:val="00011457"/>
    <w:rsid w:val="00011515"/>
    <w:rsid w:val="00011611"/>
    <w:rsid w:val="00011A94"/>
    <w:rsid w:val="00011B91"/>
    <w:rsid w:val="00011BB5"/>
    <w:rsid w:val="00011E35"/>
    <w:rsid w:val="00012182"/>
    <w:rsid w:val="000125D0"/>
    <w:rsid w:val="00012AAB"/>
    <w:rsid w:val="00012AEE"/>
    <w:rsid w:val="00012D17"/>
    <w:rsid w:val="00012DF0"/>
    <w:rsid w:val="00012E87"/>
    <w:rsid w:val="00012EDE"/>
    <w:rsid w:val="00012F28"/>
    <w:rsid w:val="00012F43"/>
    <w:rsid w:val="00012F88"/>
    <w:rsid w:val="0001321D"/>
    <w:rsid w:val="00013477"/>
    <w:rsid w:val="00013767"/>
    <w:rsid w:val="0001391F"/>
    <w:rsid w:val="00013B51"/>
    <w:rsid w:val="00013BA5"/>
    <w:rsid w:val="00013E0E"/>
    <w:rsid w:val="00013EBE"/>
    <w:rsid w:val="00013F00"/>
    <w:rsid w:val="0001406C"/>
    <w:rsid w:val="00014150"/>
    <w:rsid w:val="000141CA"/>
    <w:rsid w:val="0001440E"/>
    <w:rsid w:val="00014453"/>
    <w:rsid w:val="00014476"/>
    <w:rsid w:val="00014665"/>
    <w:rsid w:val="00014771"/>
    <w:rsid w:val="00014B1C"/>
    <w:rsid w:val="00014D13"/>
    <w:rsid w:val="0001532C"/>
    <w:rsid w:val="0001551E"/>
    <w:rsid w:val="000155B6"/>
    <w:rsid w:val="000155EA"/>
    <w:rsid w:val="0001566A"/>
    <w:rsid w:val="000158FC"/>
    <w:rsid w:val="00015A5F"/>
    <w:rsid w:val="00015CC9"/>
    <w:rsid w:val="00015D63"/>
    <w:rsid w:val="00015EBD"/>
    <w:rsid w:val="0001603E"/>
    <w:rsid w:val="0001604F"/>
    <w:rsid w:val="00016146"/>
    <w:rsid w:val="0001644E"/>
    <w:rsid w:val="0001660A"/>
    <w:rsid w:val="00016818"/>
    <w:rsid w:val="00016A76"/>
    <w:rsid w:val="00016AF3"/>
    <w:rsid w:val="00016F25"/>
    <w:rsid w:val="000174D7"/>
    <w:rsid w:val="00017944"/>
    <w:rsid w:val="00017EA3"/>
    <w:rsid w:val="00017F87"/>
    <w:rsid w:val="000201AB"/>
    <w:rsid w:val="0002044A"/>
    <w:rsid w:val="00020545"/>
    <w:rsid w:val="00020689"/>
    <w:rsid w:val="000206F9"/>
    <w:rsid w:val="00020D0B"/>
    <w:rsid w:val="00020E71"/>
    <w:rsid w:val="00020F0D"/>
    <w:rsid w:val="00020FF9"/>
    <w:rsid w:val="000210DB"/>
    <w:rsid w:val="00021228"/>
    <w:rsid w:val="0002137B"/>
    <w:rsid w:val="000214AA"/>
    <w:rsid w:val="00021984"/>
    <w:rsid w:val="00022038"/>
    <w:rsid w:val="00022261"/>
    <w:rsid w:val="0002235D"/>
    <w:rsid w:val="00022533"/>
    <w:rsid w:val="00022567"/>
    <w:rsid w:val="00022594"/>
    <w:rsid w:val="0002280B"/>
    <w:rsid w:val="0002290B"/>
    <w:rsid w:val="00022960"/>
    <w:rsid w:val="000229DE"/>
    <w:rsid w:val="00022D23"/>
    <w:rsid w:val="00022DBD"/>
    <w:rsid w:val="00023211"/>
    <w:rsid w:val="00023244"/>
    <w:rsid w:val="0002326B"/>
    <w:rsid w:val="000232DD"/>
    <w:rsid w:val="000232FB"/>
    <w:rsid w:val="0002347A"/>
    <w:rsid w:val="000234C6"/>
    <w:rsid w:val="000235DB"/>
    <w:rsid w:val="000236CD"/>
    <w:rsid w:val="00023D8C"/>
    <w:rsid w:val="00023EDB"/>
    <w:rsid w:val="000240B7"/>
    <w:rsid w:val="000240C2"/>
    <w:rsid w:val="0002438D"/>
    <w:rsid w:val="00024454"/>
    <w:rsid w:val="00024566"/>
    <w:rsid w:val="0002459B"/>
    <w:rsid w:val="00024A76"/>
    <w:rsid w:val="00024B97"/>
    <w:rsid w:val="00024C2B"/>
    <w:rsid w:val="00024CED"/>
    <w:rsid w:val="0002512A"/>
    <w:rsid w:val="000253E1"/>
    <w:rsid w:val="00025534"/>
    <w:rsid w:val="000258A3"/>
    <w:rsid w:val="00025B1F"/>
    <w:rsid w:val="00025D26"/>
    <w:rsid w:val="00025F2C"/>
    <w:rsid w:val="0002603C"/>
    <w:rsid w:val="00026318"/>
    <w:rsid w:val="00026426"/>
    <w:rsid w:val="0002648B"/>
    <w:rsid w:val="000264A8"/>
    <w:rsid w:val="000264FD"/>
    <w:rsid w:val="0002673A"/>
    <w:rsid w:val="000267A9"/>
    <w:rsid w:val="00026BC5"/>
    <w:rsid w:val="00026FE8"/>
    <w:rsid w:val="000271A9"/>
    <w:rsid w:val="000271FD"/>
    <w:rsid w:val="000273BF"/>
    <w:rsid w:val="000274CD"/>
    <w:rsid w:val="00027784"/>
    <w:rsid w:val="00027A14"/>
    <w:rsid w:val="00027C8D"/>
    <w:rsid w:val="00027DFB"/>
    <w:rsid w:val="00027F53"/>
    <w:rsid w:val="00030428"/>
    <w:rsid w:val="00030474"/>
    <w:rsid w:val="0003052F"/>
    <w:rsid w:val="00030590"/>
    <w:rsid w:val="0003062E"/>
    <w:rsid w:val="00030A9B"/>
    <w:rsid w:val="00030BAA"/>
    <w:rsid w:val="00030D9D"/>
    <w:rsid w:val="00030F4B"/>
    <w:rsid w:val="000313D6"/>
    <w:rsid w:val="00031730"/>
    <w:rsid w:val="000318F8"/>
    <w:rsid w:val="00031BCC"/>
    <w:rsid w:val="00031D64"/>
    <w:rsid w:val="00031E16"/>
    <w:rsid w:val="00031ECB"/>
    <w:rsid w:val="000320B2"/>
    <w:rsid w:val="000323B1"/>
    <w:rsid w:val="000323F1"/>
    <w:rsid w:val="00032439"/>
    <w:rsid w:val="0003262B"/>
    <w:rsid w:val="0003276A"/>
    <w:rsid w:val="000328D8"/>
    <w:rsid w:val="00032AA1"/>
    <w:rsid w:val="00032CED"/>
    <w:rsid w:val="00032DDF"/>
    <w:rsid w:val="00032E4A"/>
    <w:rsid w:val="00032E68"/>
    <w:rsid w:val="00032FB5"/>
    <w:rsid w:val="00033398"/>
    <w:rsid w:val="0003377C"/>
    <w:rsid w:val="0003386F"/>
    <w:rsid w:val="00033952"/>
    <w:rsid w:val="000339C1"/>
    <w:rsid w:val="000339CA"/>
    <w:rsid w:val="00033C37"/>
    <w:rsid w:val="000341B1"/>
    <w:rsid w:val="0003426C"/>
    <w:rsid w:val="000344C0"/>
    <w:rsid w:val="00034649"/>
    <w:rsid w:val="000346B8"/>
    <w:rsid w:val="00034876"/>
    <w:rsid w:val="000348BC"/>
    <w:rsid w:val="00034CF7"/>
    <w:rsid w:val="00034E32"/>
    <w:rsid w:val="00034E5E"/>
    <w:rsid w:val="00034FC4"/>
    <w:rsid w:val="000350BB"/>
    <w:rsid w:val="00035499"/>
    <w:rsid w:val="00035A44"/>
    <w:rsid w:val="00035A6D"/>
    <w:rsid w:val="00035A9E"/>
    <w:rsid w:val="00035C19"/>
    <w:rsid w:val="00035C38"/>
    <w:rsid w:val="00035CE5"/>
    <w:rsid w:val="00035DF6"/>
    <w:rsid w:val="00035FB2"/>
    <w:rsid w:val="0003608F"/>
    <w:rsid w:val="000360DB"/>
    <w:rsid w:val="000368C5"/>
    <w:rsid w:val="00036920"/>
    <w:rsid w:val="000369E5"/>
    <w:rsid w:val="00036CB6"/>
    <w:rsid w:val="0003706E"/>
    <w:rsid w:val="000372BB"/>
    <w:rsid w:val="000372FE"/>
    <w:rsid w:val="0003745D"/>
    <w:rsid w:val="0003760E"/>
    <w:rsid w:val="00037624"/>
    <w:rsid w:val="00037640"/>
    <w:rsid w:val="000376F6"/>
    <w:rsid w:val="00037820"/>
    <w:rsid w:val="000378E3"/>
    <w:rsid w:val="0003799E"/>
    <w:rsid w:val="00037D50"/>
    <w:rsid w:val="00037E18"/>
    <w:rsid w:val="00037E55"/>
    <w:rsid w:val="00037EB4"/>
    <w:rsid w:val="00037FB0"/>
    <w:rsid w:val="00040097"/>
    <w:rsid w:val="0004055B"/>
    <w:rsid w:val="00040609"/>
    <w:rsid w:val="00040852"/>
    <w:rsid w:val="00040C1F"/>
    <w:rsid w:val="00040E42"/>
    <w:rsid w:val="0004104A"/>
    <w:rsid w:val="00041065"/>
    <w:rsid w:val="000412E8"/>
    <w:rsid w:val="000418F1"/>
    <w:rsid w:val="00041988"/>
    <w:rsid w:val="00041B48"/>
    <w:rsid w:val="00041E43"/>
    <w:rsid w:val="000421E6"/>
    <w:rsid w:val="000422FB"/>
    <w:rsid w:val="000423E2"/>
    <w:rsid w:val="00042495"/>
    <w:rsid w:val="0004260E"/>
    <w:rsid w:val="00042896"/>
    <w:rsid w:val="00042ACE"/>
    <w:rsid w:val="00042D97"/>
    <w:rsid w:val="00042FA7"/>
    <w:rsid w:val="000430DF"/>
    <w:rsid w:val="00043249"/>
    <w:rsid w:val="00043276"/>
    <w:rsid w:val="00043481"/>
    <w:rsid w:val="00043897"/>
    <w:rsid w:val="00043929"/>
    <w:rsid w:val="00043AC6"/>
    <w:rsid w:val="00043BA3"/>
    <w:rsid w:val="00043BCD"/>
    <w:rsid w:val="00043D38"/>
    <w:rsid w:val="00044188"/>
    <w:rsid w:val="00044476"/>
    <w:rsid w:val="0004450B"/>
    <w:rsid w:val="00044812"/>
    <w:rsid w:val="000449A5"/>
    <w:rsid w:val="00044DD2"/>
    <w:rsid w:val="00044F7D"/>
    <w:rsid w:val="00045065"/>
    <w:rsid w:val="000450AE"/>
    <w:rsid w:val="0004554D"/>
    <w:rsid w:val="000457F4"/>
    <w:rsid w:val="00045809"/>
    <w:rsid w:val="0004592C"/>
    <w:rsid w:val="00045942"/>
    <w:rsid w:val="00045E9B"/>
    <w:rsid w:val="000464FC"/>
    <w:rsid w:val="000465BA"/>
    <w:rsid w:val="000465EC"/>
    <w:rsid w:val="000466E7"/>
    <w:rsid w:val="00046A2E"/>
    <w:rsid w:val="00046B64"/>
    <w:rsid w:val="00046C59"/>
    <w:rsid w:val="00046CFC"/>
    <w:rsid w:val="00046E5C"/>
    <w:rsid w:val="00046E6A"/>
    <w:rsid w:val="00046FFE"/>
    <w:rsid w:val="000473E6"/>
    <w:rsid w:val="00047570"/>
    <w:rsid w:val="0004783F"/>
    <w:rsid w:val="000478B4"/>
    <w:rsid w:val="000478D3"/>
    <w:rsid w:val="000479E8"/>
    <w:rsid w:val="00047A02"/>
    <w:rsid w:val="00050032"/>
    <w:rsid w:val="000501AB"/>
    <w:rsid w:val="000501B8"/>
    <w:rsid w:val="000504D2"/>
    <w:rsid w:val="000506C5"/>
    <w:rsid w:val="00050803"/>
    <w:rsid w:val="00050A26"/>
    <w:rsid w:val="00050CDE"/>
    <w:rsid w:val="00050F70"/>
    <w:rsid w:val="000510E1"/>
    <w:rsid w:val="00051325"/>
    <w:rsid w:val="000514CF"/>
    <w:rsid w:val="0005174A"/>
    <w:rsid w:val="00051B01"/>
    <w:rsid w:val="0005211F"/>
    <w:rsid w:val="0005234F"/>
    <w:rsid w:val="00052350"/>
    <w:rsid w:val="00052383"/>
    <w:rsid w:val="00052646"/>
    <w:rsid w:val="000526C9"/>
    <w:rsid w:val="000527F9"/>
    <w:rsid w:val="00052910"/>
    <w:rsid w:val="00052B34"/>
    <w:rsid w:val="00052D6E"/>
    <w:rsid w:val="00052E19"/>
    <w:rsid w:val="0005326C"/>
    <w:rsid w:val="000532AA"/>
    <w:rsid w:val="00053458"/>
    <w:rsid w:val="0005366E"/>
    <w:rsid w:val="00053694"/>
    <w:rsid w:val="00053733"/>
    <w:rsid w:val="000537D0"/>
    <w:rsid w:val="0005383A"/>
    <w:rsid w:val="000538EC"/>
    <w:rsid w:val="00053B4C"/>
    <w:rsid w:val="00053CC9"/>
    <w:rsid w:val="00053D5C"/>
    <w:rsid w:val="00053D9F"/>
    <w:rsid w:val="00053F82"/>
    <w:rsid w:val="00054007"/>
    <w:rsid w:val="0005437B"/>
    <w:rsid w:val="000549A4"/>
    <w:rsid w:val="00054BE2"/>
    <w:rsid w:val="00054C1D"/>
    <w:rsid w:val="00054E41"/>
    <w:rsid w:val="00054E6C"/>
    <w:rsid w:val="00054F1A"/>
    <w:rsid w:val="00054F5F"/>
    <w:rsid w:val="00054FB4"/>
    <w:rsid w:val="0005510A"/>
    <w:rsid w:val="00055110"/>
    <w:rsid w:val="0005553E"/>
    <w:rsid w:val="0005566A"/>
    <w:rsid w:val="00055DE3"/>
    <w:rsid w:val="00055E25"/>
    <w:rsid w:val="00056526"/>
    <w:rsid w:val="0005682F"/>
    <w:rsid w:val="00056C65"/>
    <w:rsid w:val="00056D90"/>
    <w:rsid w:val="0005708E"/>
    <w:rsid w:val="0005714B"/>
    <w:rsid w:val="0005714C"/>
    <w:rsid w:val="000571A7"/>
    <w:rsid w:val="000575D4"/>
    <w:rsid w:val="00057644"/>
    <w:rsid w:val="000576DE"/>
    <w:rsid w:val="00057FCF"/>
    <w:rsid w:val="0006029A"/>
    <w:rsid w:val="00060305"/>
    <w:rsid w:val="000608A0"/>
    <w:rsid w:val="000608F8"/>
    <w:rsid w:val="00060A00"/>
    <w:rsid w:val="00060A67"/>
    <w:rsid w:val="00060D25"/>
    <w:rsid w:val="00061066"/>
    <w:rsid w:val="0006109E"/>
    <w:rsid w:val="0006118A"/>
    <w:rsid w:val="000612E1"/>
    <w:rsid w:val="0006133B"/>
    <w:rsid w:val="000613A8"/>
    <w:rsid w:val="00061542"/>
    <w:rsid w:val="00061566"/>
    <w:rsid w:val="000615C7"/>
    <w:rsid w:val="00061817"/>
    <w:rsid w:val="000618E9"/>
    <w:rsid w:val="00061954"/>
    <w:rsid w:val="00061A43"/>
    <w:rsid w:val="00061B28"/>
    <w:rsid w:val="00061B34"/>
    <w:rsid w:val="00061B83"/>
    <w:rsid w:val="00061C62"/>
    <w:rsid w:val="00061D30"/>
    <w:rsid w:val="00061E47"/>
    <w:rsid w:val="000623ED"/>
    <w:rsid w:val="0006273E"/>
    <w:rsid w:val="000627FD"/>
    <w:rsid w:val="00062A15"/>
    <w:rsid w:val="00062AC5"/>
    <w:rsid w:val="00062B04"/>
    <w:rsid w:val="00062FAE"/>
    <w:rsid w:val="0006309C"/>
    <w:rsid w:val="00063108"/>
    <w:rsid w:val="00063283"/>
    <w:rsid w:val="00063330"/>
    <w:rsid w:val="00063627"/>
    <w:rsid w:val="0006376F"/>
    <w:rsid w:val="0006394A"/>
    <w:rsid w:val="00063A1F"/>
    <w:rsid w:val="00063A81"/>
    <w:rsid w:val="00063D9D"/>
    <w:rsid w:val="00063EA4"/>
    <w:rsid w:val="00064460"/>
    <w:rsid w:val="000644CB"/>
    <w:rsid w:val="0006452C"/>
    <w:rsid w:val="0006477D"/>
    <w:rsid w:val="000648FD"/>
    <w:rsid w:val="00064D43"/>
    <w:rsid w:val="0006548D"/>
    <w:rsid w:val="00065578"/>
    <w:rsid w:val="0006558A"/>
    <w:rsid w:val="00065609"/>
    <w:rsid w:val="00065628"/>
    <w:rsid w:val="00065CA6"/>
    <w:rsid w:val="00065D6E"/>
    <w:rsid w:val="00066052"/>
    <w:rsid w:val="000660DC"/>
    <w:rsid w:val="0006630E"/>
    <w:rsid w:val="0006662B"/>
    <w:rsid w:val="00066679"/>
    <w:rsid w:val="000667D7"/>
    <w:rsid w:val="000668F0"/>
    <w:rsid w:val="0006698E"/>
    <w:rsid w:val="00066E53"/>
    <w:rsid w:val="00066F06"/>
    <w:rsid w:val="00066F0E"/>
    <w:rsid w:val="00066FB3"/>
    <w:rsid w:val="0006723A"/>
    <w:rsid w:val="00067AF0"/>
    <w:rsid w:val="00067C5F"/>
    <w:rsid w:val="00067C82"/>
    <w:rsid w:val="00067DD4"/>
    <w:rsid w:val="00067F52"/>
    <w:rsid w:val="0007003E"/>
    <w:rsid w:val="0007046B"/>
    <w:rsid w:val="00070530"/>
    <w:rsid w:val="0007054E"/>
    <w:rsid w:val="0007055A"/>
    <w:rsid w:val="0007080F"/>
    <w:rsid w:val="0007087A"/>
    <w:rsid w:val="00070B08"/>
    <w:rsid w:val="00070E56"/>
    <w:rsid w:val="00071030"/>
    <w:rsid w:val="00071222"/>
    <w:rsid w:val="0007127B"/>
    <w:rsid w:val="0007138E"/>
    <w:rsid w:val="0007142E"/>
    <w:rsid w:val="00071545"/>
    <w:rsid w:val="00071656"/>
    <w:rsid w:val="000716E8"/>
    <w:rsid w:val="0007192C"/>
    <w:rsid w:val="0007194E"/>
    <w:rsid w:val="00071A1D"/>
    <w:rsid w:val="00071A9F"/>
    <w:rsid w:val="00071AC1"/>
    <w:rsid w:val="00071D3A"/>
    <w:rsid w:val="00071E33"/>
    <w:rsid w:val="00071EA3"/>
    <w:rsid w:val="00072029"/>
    <w:rsid w:val="0007209F"/>
    <w:rsid w:val="000721C4"/>
    <w:rsid w:val="000723C6"/>
    <w:rsid w:val="000726A0"/>
    <w:rsid w:val="000728BE"/>
    <w:rsid w:val="00072997"/>
    <w:rsid w:val="00072A8C"/>
    <w:rsid w:val="00072C3A"/>
    <w:rsid w:val="00073593"/>
    <w:rsid w:val="0007370F"/>
    <w:rsid w:val="00073991"/>
    <w:rsid w:val="000739AE"/>
    <w:rsid w:val="00073A5B"/>
    <w:rsid w:val="00073CC2"/>
    <w:rsid w:val="00073D58"/>
    <w:rsid w:val="00073E37"/>
    <w:rsid w:val="00073E45"/>
    <w:rsid w:val="00073F73"/>
    <w:rsid w:val="000740A5"/>
    <w:rsid w:val="00074156"/>
    <w:rsid w:val="0007426A"/>
    <w:rsid w:val="000743D8"/>
    <w:rsid w:val="00074647"/>
    <w:rsid w:val="00074738"/>
    <w:rsid w:val="00074AC4"/>
    <w:rsid w:val="00074B05"/>
    <w:rsid w:val="00074CA0"/>
    <w:rsid w:val="00074CD8"/>
    <w:rsid w:val="00074E24"/>
    <w:rsid w:val="00074F10"/>
    <w:rsid w:val="0007522A"/>
    <w:rsid w:val="000752C0"/>
    <w:rsid w:val="000754BA"/>
    <w:rsid w:val="000754D9"/>
    <w:rsid w:val="000755E9"/>
    <w:rsid w:val="00075617"/>
    <w:rsid w:val="00075765"/>
    <w:rsid w:val="00075868"/>
    <w:rsid w:val="00075FA9"/>
    <w:rsid w:val="00076638"/>
    <w:rsid w:val="0007686C"/>
    <w:rsid w:val="00076C6B"/>
    <w:rsid w:val="00076C7B"/>
    <w:rsid w:val="00076CBA"/>
    <w:rsid w:val="00076D22"/>
    <w:rsid w:val="00076DAA"/>
    <w:rsid w:val="00076F86"/>
    <w:rsid w:val="00076FAB"/>
    <w:rsid w:val="00076FDF"/>
    <w:rsid w:val="000775F7"/>
    <w:rsid w:val="00077792"/>
    <w:rsid w:val="00077BA3"/>
    <w:rsid w:val="00077DFC"/>
    <w:rsid w:val="00077E77"/>
    <w:rsid w:val="00077F0A"/>
    <w:rsid w:val="00080197"/>
    <w:rsid w:val="00080284"/>
    <w:rsid w:val="00080677"/>
    <w:rsid w:val="0008076B"/>
    <w:rsid w:val="00080822"/>
    <w:rsid w:val="0008098F"/>
    <w:rsid w:val="000809BA"/>
    <w:rsid w:val="00080C73"/>
    <w:rsid w:val="00080ECD"/>
    <w:rsid w:val="00080F18"/>
    <w:rsid w:val="00081014"/>
    <w:rsid w:val="00081155"/>
    <w:rsid w:val="00081712"/>
    <w:rsid w:val="00081716"/>
    <w:rsid w:val="0008183F"/>
    <w:rsid w:val="00081D0E"/>
    <w:rsid w:val="00081E66"/>
    <w:rsid w:val="00081EAB"/>
    <w:rsid w:val="00081F46"/>
    <w:rsid w:val="000820D5"/>
    <w:rsid w:val="0008210C"/>
    <w:rsid w:val="00082211"/>
    <w:rsid w:val="000824F6"/>
    <w:rsid w:val="000825E1"/>
    <w:rsid w:val="00082606"/>
    <w:rsid w:val="000826F9"/>
    <w:rsid w:val="00082895"/>
    <w:rsid w:val="000828CD"/>
    <w:rsid w:val="00082974"/>
    <w:rsid w:val="00082B1A"/>
    <w:rsid w:val="00082D1C"/>
    <w:rsid w:val="000830BB"/>
    <w:rsid w:val="0008315B"/>
    <w:rsid w:val="00083224"/>
    <w:rsid w:val="00083390"/>
    <w:rsid w:val="000835B9"/>
    <w:rsid w:val="000835F4"/>
    <w:rsid w:val="00083659"/>
    <w:rsid w:val="00083ACC"/>
    <w:rsid w:val="00083B10"/>
    <w:rsid w:val="00083E72"/>
    <w:rsid w:val="00083F05"/>
    <w:rsid w:val="000840EB"/>
    <w:rsid w:val="00084204"/>
    <w:rsid w:val="00084632"/>
    <w:rsid w:val="00084703"/>
    <w:rsid w:val="0008472C"/>
    <w:rsid w:val="00084C95"/>
    <w:rsid w:val="00084E09"/>
    <w:rsid w:val="0008501B"/>
    <w:rsid w:val="00085490"/>
    <w:rsid w:val="0008579A"/>
    <w:rsid w:val="000857AF"/>
    <w:rsid w:val="00085860"/>
    <w:rsid w:val="00085A41"/>
    <w:rsid w:val="00085ACC"/>
    <w:rsid w:val="00085E55"/>
    <w:rsid w:val="00086185"/>
    <w:rsid w:val="000863AD"/>
    <w:rsid w:val="0008673F"/>
    <w:rsid w:val="000868E4"/>
    <w:rsid w:val="00086934"/>
    <w:rsid w:val="000869DB"/>
    <w:rsid w:val="00087176"/>
    <w:rsid w:val="000875AD"/>
    <w:rsid w:val="0008773A"/>
    <w:rsid w:val="000878D9"/>
    <w:rsid w:val="00087AA5"/>
    <w:rsid w:val="00087ABE"/>
    <w:rsid w:val="00087AE5"/>
    <w:rsid w:val="00087B9F"/>
    <w:rsid w:val="00087C54"/>
    <w:rsid w:val="00087D65"/>
    <w:rsid w:val="00087FDB"/>
    <w:rsid w:val="0009007F"/>
    <w:rsid w:val="0009025C"/>
    <w:rsid w:val="0009032A"/>
    <w:rsid w:val="000908D4"/>
    <w:rsid w:val="00090BF3"/>
    <w:rsid w:val="00090D8C"/>
    <w:rsid w:val="00090F60"/>
    <w:rsid w:val="0009116B"/>
    <w:rsid w:val="00091331"/>
    <w:rsid w:val="000914F3"/>
    <w:rsid w:val="00091621"/>
    <w:rsid w:val="000916B1"/>
    <w:rsid w:val="0009197B"/>
    <w:rsid w:val="000919AD"/>
    <w:rsid w:val="00091A04"/>
    <w:rsid w:val="00091A1D"/>
    <w:rsid w:val="00091A4A"/>
    <w:rsid w:val="00091DF5"/>
    <w:rsid w:val="0009202C"/>
    <w:rsid w:val="00092349"/>
    <w:rsid w:val="00092694"/>
    <w:rsid w:val="00092756"/>
    <w:rsid w:val="000927E1"/>
    <w:rsid w:val="00092B5C"/>
    <w:rsid w:val="00092CC5"/>
    <w:rsid w:val="00092D0D"/>
    <w:rsid w:val="00092D12"/>
    <w:rsid w:val="00092D73"/>
    <w:rsid w:val="00092E37"/>
    <w:rsid w:val="00092E49"/>
    <w:rsid w:val="00093078"/>
    <w:rsid w:val="0009308C"/>
    <w:rsid w:val="000930DA"/>
    <w:rsid w:val="000931EB"/>
    <w:rsid w:val="00093382"/>
    <w:rsid w:val="000933C9"/>
    <w:rsid w:val="00093550"/>
    <w:rsid w:val="000939A7"/>
    <w:rsid w:val="00093C27"/>
    <w:rsid w:val="00093EDE"/>
    <w:rsid w:val="0009408D"/>
    <w:rsid w:val="000941B8"/>
    <w:rsid w:val="00094280"/>
    <w:rsid w:val="00094450"/>
    <w:rsid w:val="000945C6"/>
    <w:rsid w:val="00094733"/>
    <w:rsid w:val="0009491A"/>
    <w:rsid w:val="00094AC3"/>
    <w:rsid w:val="00094BDB"/>
    <w:rsid w:val="00094D5F"/>
    <w:rsid w:val="00094EE2"/>
    <w:rsid w:val="00094F74"/>
    <w:rsid w:val="000950C9"/>
    <w:rsid w:val="000958D1"/>
    <w:rsid w:val="0009593B"/>
    <w:rsid w:val="00095D81"/>
    <w:rsid w:val="00095EC1"/>
    <w:rsid w:val="00095FC6"/>
    <w:rsid w:val="00096110"/>
    <w:rsid w:val="00096430"/>
    <w:rsid w:val="0009677E"/>
    <w:rsid w:val="00096977"/>
    <w:rsid w:val="00096B95"/>
    <w:rsid w:val="00096C0A"/>
    <w:rsid w:val="00096C1B"/>
    <w:rsid w:val="00096CDC"/>
    <w:rsid w:val="00096EDF"/>
    <w:rsid w:val="00096EE9"/>
    <w:rsid w:val="00096F84"/>
    <w:rsid w:val="00096FC7"/>
    <w:rsid w:val="000976F3"/>
    <w:rsid w:val="0009770D"/>
    <w:rsid w:val="0009777B"/>
    <w:rsid w:val="0009782A"/>
    <w:rsid w:val="000978A4"/>
    <w:rsid w:val="00097B40"/>
    <w:rsid w:val="00097D6D"/>
    <w:rsid w:val="000A0093"/>
    <w:rsid w:val="000A013B"/>
    <w:rsid w:val="000A01BD"/>
    <w:rsid w:val="000A01E9"/>
    <w:rsid w:val="000A04E8"/>
    <w:rsid w:val="000A073E"/>
    <w:rsid w:val="000A07CE"/>
    <w:rsid w:val="000A080B"/>
    <w:rsid w:val="000A098B"/>
    <w:rsid w:val="000A0A38"/>
    <w:rsid w:val="000A0B9C"/>
    <w:rsid w:val="000A0CAD"/>
    <w:rsid w:val="000A0CBD"/>
    <w:rsid w:val="000A0D18"/>
    <w:rsid w:val="000A0EC5"/>
    <w:rsid w:val="000A0F17"/>
    <w:rsid w:val="000A137C"/>
    <w:rsid w:val="000A148C"/>
    <w:rsid w:val="000A14EF"/>
    <w:rsid w:val="000A1951"/>
    <w:rsid w:val="000A1E29"/>
    <w:rsid w:val="000A209F"/>
    <w:rsid w:val="000A20CA"/>
    <w:rsid w:val="000A22BD"/>
    <w:rsid w:val="000A231E"/>
    <w:rsid w:val="000A2525"/>
    <w:rsid w:val="000A25DD"/>
    <w:rsid w:val="000A260E"/>
    <w:rsid w:val="000A26BD"/>
    <w:rsid w:val="000A28BD"/>
    <w:rsid w:val="000A290D"/>
    <w:rsid w:val="000A29A8"/>
    <w:rsid w:val="000A2A37"/>
    <w:rsid w:val="000A2BC7"/>
    <w:rsid w:val="000A3738"/>
    <w:rsid w:val="000A39BE"/>
    <w:rsid w:val="000A39D5"/>
    <w:rsid w:val="000A3D3E"/>
    <w:rsid w:val="000A3F9C"/>
    <w:rsid w:val="000A402F"/>
    <w:rsid w:val="000A4145"/>
    <w:rsid w:val="000A4392"/>
    <w:rsid w:val="000A444E"/>
    <w:rsid w:val="000A480A"/>
    <w:rsid w:val="000A48D1"/>
    <w:rsid w:val="000A495D"/>
    <w:rsid w:val="000A4ABE"/>
    <w:rsid w:val="000A4AC8"/>
    <w:rsid w:val="000A4D58"/>
    <w:rsid w:val="000A4F54"/>
    <w:rsid w:val="000A509B"/>
    <w:rsid w:val="000A514F"/>
    <w:rsid w:val="000A5153"/>
    <w:rsid w:val="000A5313"/>
    <w:rsid w:val="000A555F"/>
    <w:rsid w:val="000A55C5"/>
    <w:rsid w:val="000A580C"/>
    <w:rsid w:val="000A596A"/>
    <w:rsid w:val="000A5CE0"/>
    <w:rsid w:val="000A6017"/>
    <w:rsid w:val="000A616F"/>
    <w:rsid w:val="000A64DD"/>
    <w:rsid w:val="000A661C"/>
    <w:rsid w:val="000A674B"/>
    <w:rsid w:val="000A679F"/>
    <w:rsid w:val="000A6990"/>
    <w:rsid w:val="000A6C73"/>
    <w:rsid w:val="000A6E61"/>
    <w:rsid w:val="000A7099"/>
    <w:rsid w:val="000A709B"/>
    <w:rsid w:val="000A71A5"/>
    <w:rsid w:val="000A71DF"/>
    <w:rsid w:val="000A750C"/>
    <w:rsid w:val="000A76D0"/>
    <w:rsid w:val="000A778F"/>
    <w:rsid w:val="000A7837"/>
    <w:rsid w:val="000A799F"/>
    <w:rsid w:val="000A7AB4"/>
    <w:rsid w:val="000A7ADF"/>
    <w:rsid w:val="000A7FEA"/>
    <w:rsid w:val="000B04F3"/>
    <w:rsid w:val="000B05DB"/>
    <w:rsid w:val="000B07D1"/>
    <w:rsid w:val="000B088A"/>
    <w:rsid w:val="000B09E4"/>
    <w:rsid w:val="000B0A57"/>
    <w:rsid w:val="000B0B93"/>
    <w:rsid w:val="000B0D49"/>
    <w:rsid w:val="000B11AA"/>
    <w:rsid w:val="000B144B"/>
    <w:rsid w:val="000B158F"/>
    <w:rsid w:val="000B1616"/>
    <w:rsid w:val="000B179B"/>
    <w:rsid w:val="000B1B5A"/>
    <w:rsid w:val="000B1BA9"/>
    <w:rsid w:val="000B1E1B"/>
    <w:rsid w:val="000B1E48"/>
    <w:rsid w:val="000B2101"/>
    <w:rsid w:val="000B237D"/>
    <w:rsid w:val="000B23BA"/>
    <w:rsid w:val="000B2402"/>
    <w:rsid w:val="000B261E"/>
    <w:rsid w:val="000B27AE"/>
    <w:rsid w:val="000B2ADF"/>
    <w:rsid w:val="000B2BF1"/>
    <w:rsid w:val="000B2EB9"/>
    <w:rsid w:val="000B2ED4"/>
    <w:rsid w:val="000B31A2"/>
    <w:rsid w:val="000B36B8"/>
    <w:rsid w:val="000B36C4"/>
    <w:rsid w:val="000B3A75"/>
    <w:rsid w:val="000B3DB8"/>
    <w:rsid w:val="000B4015"/>
    <w:rsid w:val="000B4206"/>
    <w:rsid w:val="000B42A2"/>
    <w:rsid w:val="000B4394"/>
    <w:rsid w:val="000B46DF"/>
    <w:rsid w:val="000B4AB0"/>
    <w:rsid w:val="000B4B69"/>
    <w:rsid w:val="000B4DF6"/>
    <w:rsid w:val="000B4FC4"/>
    <w:rsid w:val="000B50AE"/>
    <w:rsid w:val="000B515A"/>
    <w:rsid w:val="000B5302"/>
    <w:rsid w:val="000B5332"/>
    <w:rsid w:val="000B5995"/>
    <w:rsid w:val="000B5C90"/>
    <w:rsid w:val="000B5E06"/>
    <w:rsid w:val="000B5E6B"/>
    <w:rsid w:val="000B5ED4"/>
    <w:rsid w:val="000B6339"/>
    <w:rsid w:val="000B680A"/>
    <w:rsid w:val="000B68F4"/>
    <w:rsid w:val="000B69A3"/>
    <w:rsid w:val="000B6A70"/>
    <w:rsid w:val="000B6B37"/>
    <w:rsid w:val="000B7103"/>
    <w:rsid w:val="000B7187"/>
    <w:rsid w:val="000B719B"/>
    <w:rsid w:val="000B7429"/>
    <w:rsid w:val="000B74A3"/>
    <w:rsid w:val="000B77E2"/>
    <w:rsid w:val="000B791F"/>
    <w:rsid w:val="000B7CA4"/>
    <w:rsid w:val="000B7DA0"/>
    <w:rsid w:val="000B7DB9"/>
    <w:rsid w:val="000B7ED5"/>
    <w:rsid w:val="000B7EE9"/>
    <w:rsid w:val="000C019D"/>
    <w:rsid w:val="000C0356"/>
    <w:rsid w:val="000C042D"/>
    <w:rsid w:val="000C04B3"/>
    <w:rsid w:val="000C05B0"/>
    <w:rsid w:val="000C0609"/>
    <w:rsid w:val="000C060F"/>
    <w:rsid w:val="000C065C"/>
    <w:rsid w:val="000C068F"/>
    <w:rsid w:val="000C0C6A"/>
    <w:rsid w:val="000C0DD5"/>
    <w:rsid w:val="000C10FA"/>
    <w:rsid w:val="000C112D"/>
    <w:rsid w:val="000C1148"/>
    <w:rsid w:val="000C13A4"/>
    <w:rsid w:val="000C1A0D"/>
    <w:rsid w:val="000C1AEF"/>
    <w:rsid w:val="000C1AF8"/>
    <w:rsid w:val="000C1BA3"/>
    <w:rsid w:val="000C1D30"/>
    <w:rsid w:val="000C1ED6"/>
    <w:rsid w:val="000C201B"/>
    <w:rsid w:val="000C20ED"/>
    <w:rsid w:val="000C2162"/>
    <w:rsid w:val="000C21D1"/>
    <w:rsid w:val="000C2260"/>
    <w:rsid w:val="000C2504"/>
    <w:rsid w:val="000C2A16"/>
    <w:rsid w:val="000C2AA4"/>
    <w:rsid w:val="000C30A8"/>
    <w:rsid w:val="000C3119"/>
    <w:rsid w:val="000C33DA"/>
    <w:rsid w:val="000C34B8"/>
    <w:rsid w:val="000C3567"/>
    <w:rsid w:val="000C3783"/>
    <w:rsid w:val="000C3881"/>
    <w:rsid w:val="000C39C3"/>
    <w:rsid w:val="000C39E3"/>
    <w:rsid w:val="000C3A1E"/>
    <w:rsid w:val="000C3C51"/>
    <w:rsid w:val="000C4344"/>
    <w:rsid w:val="000C43F2"/>
    <w:rsid w:val="000C4410"/>
    <w:rsid w:val="000C4516"/>
    <w:rsid w:val="000C477C"/>
    <w:rsid w:val="000C4956"/>
    <w:rsid w:val="000C49DA"/>
    <w:rsid w:val="000C4A8B"/>
    <w:rsid w:val="000C4C86"/>
    <w:rsid w:val="000C4EC4"/>
    <w:rsid w:val="000C560D"/>
    <w:rsid w:val="000C5639"/>
    <w:rsid w:val="000C57DE"/>
    <w:rsid w:val="000C5A3D"/>
    <w:rsid w:val="000C5CB6"/>
    <w:rsid w:val="000C5D93"/>
    <w:rsid w:val="000C5DB0"/>
    <w:rsid w:val="000C5E97"/>
    <w:rsid w:val="000C606B"/>
    <w:rsid w:val="000C60EB"/>
    <w:rsid w:val="000C60FF"/>
    <w:rsid w:val="000C61AD"/>
    <w:rsid w:val="000C61D8"/>
    <w:rsid w:val="000C63EF"/>
    <w:rsid w:val="000C6436"/>
    <w:rsid w:val="000C65B4"/>
    <w:rsid w:val="000C66FB"/>
    <w:rsid w:val="000C677C"/>
    <w:rsid w:val="000C6AAB"/>
    <w:rsid w:val="000C6FAB"/>
    <w:rsid w:val="000C724F"/>
    <w:rsid w:val="000C72C0"/>
    <w:rsid w:val="000C73C0"/>
    <w:rsid w:val="000C76FD"/>
    <w:rsid w:val="000C7805"/>
    <w:rsid w:val="000C7AB0"/>
    <w:rsid w:val="000C7CE2"/>
    <w:rsid w:val="000C7E62"/>
    <w:rsid w:val="000C7EBB"/>
    <w:rsid w:val="000C7EC8"/>
    <w:rsid w:val="000D00F9"/>
    <w:rsid w:val="000D0290"/>
    <w:rsid w:val="000D044E"/>
    <w:rsid w:val="000D061D"/>
    <w:rsid w:val="000D0708"/>
    <w:rsid w:val="000D0BBA"/>
    <w:rsid w:val="000D0BC4"/>
    <w:rsid w:val="000D0DC6"/>
    <w:rsid w:val="000D0DC9"/>
    <w:rsid w:val="000D0EAC"/>
    <w:rsid w:val="000D0EF2"/>
    <w:rsid w:val="000D0EF7"/>
    <w:rsid w:val="000D1038"/>
    <w:rsid w:val="000D11C3"/>
    <w:rsid w:val="000D13F7"/>
    <w:rsid w:val="000D1843"/>
    <w:rsid w:val="000D1883"/>
    <w:rsid w:val="000D1982"/>
    <w:rsid w:val="000D1A63"/>
    <w:rsid w:val="000D1D0D"/>
    <w:rsid w:val="000D1D2C"/>
    <w:rsid w:val="000D2000"/>
    <w:rsid w:val="000D20C2"/>
    <w:rsid w:val="000D2183"/>
    <w:rsid w:val="000D2972"/>
    <w:rsid w:val="000D2B1E"/>
    <w:rsid w:val="000D2C19"/>
    <w:rsid w:val="000D2CFF"/>
    <w:rsid w:val="000D2DA7"/>
    <w:rsid w:val="000D303F"/>
    <w:rsid w:val="000D3084"/>
    <w:rsid w:val="000D3290"/>
    <w:rsid w:val="000D3430"/>
    <w:rsid w:val="000D3461"/>
    <w:rsid w:val="000D3501"/>
    <w:rsid w:val="000D3593"/>
    <w:rsid w:val="000D3761"/>
    <w:rsid w:val="000D3B00"/>
    <w:rsid w:val="000D3B0A"/>
    <w:rsid w:val="000D3EA1"/>
    <w:rsid w:val="000D4250"/>
    <w:rsid w:val="000D427F"/>
    <w:rsid w:val="000D42EA"/>
    <w:rsid w:val="000D451E"/>
    <w:rsid w:val="000D46DB"/>
    <w:rsid w:val="000D4892"/>
    <w:rsid w:val="000D48E9"/>
    <w:rsid w:val="000D4958"/>
    <w:rsid w:val="000D4D4C"/>
    <w:rsid w:val="000D4DB9"/>
    <w:rsid w:val="000D4EE5"/>
    <w:rsid w:val="000D4F8A"/>
    <w:rsid w:val="000D527F"/>
    <w:rsid w:val="000D532B"/>
    <w:rsid w:val="000D537B"/>
    <w:rsid w:val="000D54E9"/>
    <w:rsid w:val="000D55FE"/>
    <w:rsid w:val="000D583B"/>
    <w:rsid w:val="000D5BAE"/>
    <w:rsid w:val="000D6030"/>
    <w:rsid w:val="000D6082"/>
    <w:rsid w:val="000D60EB"/>
    <w:rsid w:val="000D6161"/>
    <w:rsid w:val="000D61A4"/>
    <w:rsid w:val="000D637A"/>
    <w:rsid w:val="000D63A4"/>
    <w:rsid w:val="000D64B6"/>
    <w:rsid w:val="000D6685"/>
    <w:rsid w:val="000D6782"/>
    <w:rsid w:val="000D68A5"/>
    <w:rsid w:val="000D69EE"/>
    <w:rsid w:val="000D6AF3"/>
    <w:rsid w:val="000D6C5E"/>
    <w:rsid w:val="000D6D2B"/>
    <w:rsid w:val="000D7251"/>
    <w:rsid w:val="000D7374"/>
    <w:rsid w:val="000D739E"/>
    <w:rsid w:val="000D7611"/>
    <w:rsid w:val="000D7FBE"/>
    <w:rsid w:val="000E0304"/>
    <w:rsid w:val="000E034E"/>
    <w:rsid w:val="000E06BB"/>
    <w:rsid w:val="000E0802"/>
    <w:rsid w:val="000E0899"/>
    <w:rsid w:val="000E09A2"/>
    <w:rsid w:val="000E0B8E"/>
    <w:rsid w:val="000E0D09"/>
    <w:rsid w:val="000E0F04"/>
    <w:rsid w:val="000E1078"/>
    <w:rsid w:val="000E11E9"/>
    <w:rsid w:val="000E130A"/>
    <w:rsid w:val="000E1471"/>
    <w:rsid w:val="000E14AF"/>
    <w:rsid w:val="000E18C8"/>
    <w:rsid w:val="000E1C02"/>
    <w:rsid w:val="000E1C59"/>
    <w:rsid w:val="000E200A"/>
    <w:rsid w:val="000E203A"/>
    <w:rsid w:val="000E2111"/>
    <w:rsid w:val="000E2151"/>
    <w:rsid w:val="000E21D4"/>
    <w:rsid w:val="000E22CA"/>
    <w:rsid w:val="000E23D7"/>
    <w:rsid w:val="000E267B"/>
    <w:rsid w:val="000E26B9"/>
    <w:rsid w:val="000E2893"/>
    <w:rsid w:val="000E2A5D"/>
    <w:rsid w:val="000E2E75"/>
    <w:rsid w:val="000E2FF3"/>
    <w:rsid w:val="000E30DF"/>
    <w:rsid w:val="000E32C9"/>
    <w:rsid w:val="000E337E"/>
    <w:rsid w:val="000E3612"/>
    <w:rsid w:val="000E387B"/>
    <w:rsid w:val="000E38FB"/>
    <w:rsid w:val="000E3A23"/>
    <w:rsid w:val="000E3CAF"/>
    <w:rsid w:val="000E3D27"/>
    <w:rsid w:val="000E3F75"/>
    <w:rsid w:val="000E4351"/>
    <w:rsid w:val="000E443C"/>
    <w:rsid w:val="000E453E"/>
    <w:rsid w:val="000E4550"/>
    <w:rsid w:val="000E4554"/>
    <w:rsid w:val="000E45F0"/>
    <w:rsid w:val="000E4697"/>
    <w:rsid w:val="000E4C2D"/>
    <w:rsid w:val="000E4FCB"/>
    <w:rsid w:val="000E501B"/>
    <w:rsid w:val="000E5311"/>
    <w:rsid w:val="000E5647"/>
    <w:rsid w:val="000E5819"/>
    <w:rsid w:val="000E5A54"/>
    <w:rsid w:val="000E5B9A"/>
    <w:rsid w:val="000E5C56"/>
    <w:rsid w:val="000E6017"/>
    <w:rsid w:val="000E6530"/>
    <w:rsid w:val="000E661B"/>
    <w:rsid w:val="000E67D8"/>
    <w:rsid w:val="000E6852"/>
    <w:rsid w:val="000E6B59"/>
    <w:rsid w:val="000E6E97"/>
    <w:rsid w:val="000E70D0"/>
    <w:rsid w:val="000E72C0"/>
    <w:rsid w:val="000E75A0"/>
    <w:rsid w:val="000E76CB"/>
    <w:rsid w:val="000E76D9"/>
    <w:rsid w:val="000E781D"/>
    <w:rsid w:val="000E7BC1"/>
    <w:rsid w:val="000E7C32"/>
    <w:rsid w:val="000E7F21"/>
    <w:rsid w:val="000E7F42"/>
    <w:rsid w:val="000E7F71"/>
    <w:rsid w:val="000F0590"/>
    <w:rsid w:val="000F0B02"/>
    <w:rsid w:val="000F0C68"/>
    <w:rsid w:val="000F0CB7"/>
    <w:rsid w:val="000F0D08"/>
    <w:rsid w:val="000F0FA9"/>
    <w:rsid w:val="000F1160"/>
    <w:rsid w:val="000F11EC"/>
    <w:rsid w:val="000F123C"/>
    <w:rsid w:val="000F13F8"/>
    <w:rsid w:val="000F19DF"/>
    <w:rsid w:val="000F1A69"/>
    <w:rsid w:val="000F1BAB"/>
    <w:rsid w:val="000F1CB7"/>
    <w:rsid w:val="000F1F57"/>
    <w:rsid w:val="000F2107"/>
    <w:rsid w:val="000F2329"/>
    <w:rsid w:val="000F27F2"/>
    <w:rsid w:val="000F297C"/>
    <w:rsid w:val="000F2ABB"/>
    <w:rsid w:val="000F2CCD"/>
    <w:rsid w:val="000F2D4F"/>
    <w:rsid w:val="000F2E31"/>
    <w:rsid w:val="000F2EE3"/>
    <w:rsid w:val="000F2FE7"/>
    <w:rsid w:val="000F316A"/>
    <w:rsid w:val="000F32B7"/>
    <w:rsid w:val="000F3424"/>
    <w:rsid w:val="000F35B1"/>
    <w:rsid w:val="000F3653"/>
    <w:rsid w:val="000F397E"/>
    <w:rsid w:val="000F3B93"/>
    <w:rsid w:val="000F3BE3"/>
    <w:rsid w:val="000F3D46"/>
    <w:rsid w:val="000F3DE3"/>
    <w:rsid w:val="000F3E2B"/>
    <w:rsid w:val="000F3ED5"/>
    <w:rsid w:val="000F4085"/>
    <w:rsid w:val="000F417D"/>
    <w:rsid w:val="000F4181"/>
    <w:rsid w:val="000F4193"/>
    <w:rsid w:val="000F4213"/>
    <w:rsid w:val="000F434E"/>
    <w:rsid w:val="000F4530"/>
    <w:rsid w:val="000F49B9"/>
    <w:rsid w:val="000F4A80"/>
    <w:rsid w:val="000F4ABB"/>
    <w:rsid w:val="000F4C0A"/>
    <w:rsid w:val="000F4C81"/>
    <w:rsid w:val="000F4DAA"/>
    <w:rsid w:val="000F507F"/>
    <w:rsid w:val="000F51C4"/>
    <w:rsid w:val="000F53E8"/>
    <w:rsid w:val="000F544D"/>
    <w:rsid w:val="000F5764"/>
    <w:rsid w:val="000F57CB"/>
    <w:rsid w:val="000F5858"/>
    <w:rsid w:val="000F5B3F"/>
    <w:rsid w:val="000F5B95"/>
    <w:rsid w:val="000F5D46"/>
    <w:rsid w:val="000F5DDA"/>
    <w:rsid w:val="000F60A0"/>
    <w:rsid w:val="000F6138"/>
    <w:rsid w:val="000F6161"/>
    <w:rsid w:val="000F61C1"/>
    <w:rsid w:val="000F625F"/>
    <w:rsid w:val="000F6349"/>
    <w:rsid w:val="000F6539"/>
    <w:rsid w:val="000F6B5F"/>
    <w:rsid w:val="000F6BB3"/>
    <w:rsid w:val="000F6BC3"/>
    <w:rsid w:val="000F6C11"/>
    <w:rsid w:val="000F6D2F"/>
    <w:rsid w:val="000F6F0B"/>
    <w:rsid w:val="000F7212"/>
    <w:rsid w:val="000F72F6"/>
    <w:rsid w:val="000F74A9"/>
    <w:rsid w:val="000F76CF"/>
    <w:rsid w:val="000F76DA"/>
    <w:rsid w:val="000F7F7E"/>
    <w:rsid w:val="0010007A"/>
    <w:rsid w:val="001001F2"/>
    <w:rsid w:val="0010024A"/>
    <w:rsid w:val="001002A3"/>
    <w:rsid w:val="001002DA"/>
    <w:rsid w:val="0010061F"/>
    <w:rsid w:val="0010062A"/>
    <w:rsid w:val="001006A7"/>
    <w:rsid w:val="001008D2"/>
    <w:rsid w:val="00100B9A"/>
    <w:rsid w:val="00100D42"/>
    <w:rsid w:val="00100FD5"/>
    <w:rsid w:val="0010109A"/>
    <w:rsid w:val="0010111A"/>
    <w:rsid w:val="001012E7"/>
    <w:rsid w:val="00101524"/>
    <w:rsid w:val="00101792"/>
    <w:rsid w:val="001017F3"/>
    <w:rsid w:val="0010192A"/>
    <w:rsid w:val="00101AB8"/>
    <w:rsid w:val="00101ADB"/>
    <w:rsid w:val="00101B44"/>
    <w:rsid w:val="00101BCC"/>
    <w:rsid w:val="00101C00"/>
    <w:rsid w:val="00102214"/>
    <w:rsid w:val="00102589"/>
    <w:rsid w:val="00102698"/>
    <w:rsid w:val="00102733"/>
    <w:rsid w:val="00102806"/>
    <w:rsid w:val="001028E2"/>
    <w:rsid w:val="00102B33"/>
    <w:rsid w:val="00102E55"/>
    <w:rsid w:val="00103090"/>
    <w:rsid w:val="00103188"/>
    <w:rsid w:val="0010327D"/>
    <w:rsid w:val="0010341D"/>
    <w:rsid w:val="0010357E"/>
    <w:rsid w:val="00103677"/>
    <w:rsid w:val="00103770"/>
    <w:rsid w:val="00103877"/>
    <w:rsid w:val="00103B7F"/>
    <w:rsid w:val="00103E5C"/>
    <w:rsid w:val="00103E99"/>
    <w:rsid w:val="00103F47"/>
    <w:rsid w:val="00103F5A"/>
    <w:rsid w:val="00103F8F"/>
    <w:rsid w:val="001040BF"/>
    <w:rsid w:val="00104147"/>
    <w:rsid w:val="001044F5"/>
    <w:rsid w:val="00104528"/>
    <w:rsid w:val="0010453B"/>
    <w:rsid w:val="001046DD"/>
    <w:rsid w:val="0010472E"/>
    <w:rsid w:val="00104738"/>
    <w:rsid w:val="00104ACC"/>
    <w:rsid w:val="00104CA5"/>
    <w:rsid w:val="00104E77"/>
    <w:rsid w:val="00104F77"/>
    <w:rsid w:val="0010510E"/>
    <w:rsid w:val="00105380"/>
    <w:rsid w:val="001053C6"/>
    <w:rsid w:val="00105855"/>
    <w:rsid w:val="0010591F"/>
    <w:rsid w:val="00105D45"/>
    <w:rsid w:val="00105D96"/>
    <w:rsid w:val="00106052"/>
    <w:rsid w:val="00106136"/>
    <w:rsid w:val="0010627D"/>
    <w:rsid w:val="001062AF"/>
    <w:rsid w:val="00106A08"/>
    <w:rsid w:val="00106BC9"/>
    <w:rsid w:val="00106E21"/>
    <w:rsid w:val="00107073"/>
    <w:rsid w:val="00107264"/>
    <w:rsid w:val="0010740E"/>
    <w:rsid w:val="00107B43"/>
    <w:rsid w:val="00107F26"/>
    <w:rsid w:val="00107F4E"/>
    <w:rsid w:val="001109CC"/>
    <w:rsid w:val="001109D6"/>
    <w:rsid w:val="00110BEC"/>
    <w:rsid w:val="00110BFE"/>
    <w:rsid w:val="00110D1C"/>
    <w:rsid w:val="00110D21"/>
    <w:rsid w:val="00110EF2"/>
    <w:rsid w:val="00111069"/>
    <w:rsid w:val="00111081"/>
    <w:rsid w:val="00111099"/>
    <w:rsid w:val="00111120"/>
    <w:rsid w:val="001112E9"/>
    <w:rsid w:val="001115B4"/>
    <w:rsid w:val="001117BA"/>
    <w:rsid w:val="00111803"/>
    <w:rsid w:val="00111A7E"/>
    <w:rsid w:val="00111AD9"/>
    <w:rsid w:val="00111CAD"/>
    <w:rsid w:val="00111DAC"/>
    <w:rsid w:val="00111E00"/>
    <w:rsid w:val="0011206E"/>
    <w:rsid w:val="00112195"/>
    <w:rsid w:val="0011237D"/>
    <w:rsid w:val="001123B1"/>
    <w:rsid w:val="00112666"/>
    <w:rsid w:val="00112BA6"/>
    <w:rsid w:val="00112E94"/>
    <w:rsid w:val="0011313E"/>
    <w:rsid w:val="0011333A"/>
    <w:rsid w:val="001133C6"/>
    <w:rsid w:val="00113408"/>
    <w:rsid w:val="00113791"/>
    <w:rsid w:val="001138A7"/>
    <w:rsid w:val="00113AE8"/>
    <w:rsid w:val="00113E28"/>
    <w:rsid w:val="00114000"/>
    <w:rsid w:val="001140DE"/>
    <w:rsid w:val="00114470"/>
    <w:rsid w:val="0011475E"/>
    <w:rsid w:val="0011481F"/>
    <w:rsid w:val="001149E5"/>
    <w:rsid w:val="00114A63"/>
    <w:rsid w:val="00114C30"/>
    <w:rsid w:val="0011530A"/>
    <w:rsid w:val="00115323"/>
    <w:rsid w:val="00115425"/>
    <w:rsid w:val="0011557A"/>
    <w:rsid w:val="00115B6D"/>
    <w:rsid w:val="00115C0B"/>
    <w:rsid w:val="00115DBC"/>
    <w:rsid w:val="00115DDF"/>
    <w:rsid w:val="00116155"/>
    <w:rsid w:val="00116408"/>
    <w:rsid w:val="00116E97"/>
    <w:rsid w:val="00117061"/>
    <w:rsid w:val="00117078"/>
    <w:rsid w:val="00117131"/>
    <w:rsid w:val="001173F1"/>
    <w:rsid w:val="0011745A"/>
    <w:rsid w:val="00117497"/>
    <w:rsid w:val="001174D1"/>
    <w:rsid w:val="001175D3"/>
    <w:rsid w:val="00117B03"/>
    <w:rsid w:val="00117C40"/>
    <w:rsid w:val="00117F08"/>
    <w:rsid w:val="00117F38"/>
    <w:rsid w:val="00120672"/>
    <w:rsid w:val="001207BB"/>
    <w:rsid w:val="001207EA"/>
    <w:rsid w:val="0012088E"/>
    <w:rsid w:val="00120BB3"/>
    <w:rsid w:val="00120D19"/>
    <w:rsid w:val="00120D7A"/>
    <w:rsid w:val="00120DEC"/>
    <w:rsid w:val="00120E55"/>
    <w:rsid w:val="00120F77"/>
    <w:rsid w:val="00121060"/>
    <w:rsid w:val="00121233"/>
    <w:rsid w:val="00121458"/>
    <w:rsid w:val="001217A2"/>
    <w:rsid w:val="00121A83"/>
    <w:rsid w:val="001220DB"/>
    <w:rsid w:val="001222FD"/>
    <w:rsid w:val="00122442"/>
    <w:rsid w:val="001225BD"/>
    <w:rsid w:val="00122816"/>
    <w:rsid w:val="001228B8"/>
    <w:rsid w:val="00122AA5"/>
    <w:rsid w:val="00122B17"/>
    <w:rsid w:val="00122B33"/>
    <w:rsid w:val="00122C8C"/>
    <w:rsid w:val="00122C8F"/>
    <w:rsid w:val="00122EB2"/>
    <w:rsid w:val="00122F2D"/>
    <w:rsid w:val="00122FA2"/>
    <w:rsid w:val="00123174"/>
    <w:rsid w:val="001233BA"/>
    <w:rsid w:val="0012350D"/>
    <w:rsid w:val="00123604"/>
    <w:rsid w:val="001236BF"/>
    <w:rsid w:val="0012381F"/>
    <w:rsid w:val="00123832"/>
    <w:rsid w:val="00123AB0"/>
    <w:rsid w:val="00123AC4"/>
    <w:rsid w:val="00123D4D"/>
    <w:rsid w:val="00123F58"/>
    <w:rsid w:val="00124349"/>
    <w:rsid w:val="001243B7"/>
    <w:rsid w:val="001244AA"/>
    <w:rsid w:val="0012460E"/>
    <w:rsid w:val="001247E3"/>
    <w:rsid w:val="0012485E"/>
    <w:rsid w:val="00124C54"/>
    <w:rsid w:val="00124DB6"/>
    <w:rsid w:val="00124E51"/>
    <w:rsid w:val="00124ED1"/>
    <w:rsid w:val="001251F1"/>
    <w:rsid w:val="001252B0"/>
    <w:rsid w:val="00125383"/>
    <w:rsid w:val="0012570D"/>
    <w:rsid w:val="0012587E"/>
    <w:rsid w:val="00125A79"/>
    <w:rsid w:val="00125C2F"/>
    <w:rsid w:val="00125C39"/>
    <w:rsid w:val="00125DDC"/>
    <w:rsid w:val="00126091"/>
    <w:rsid w:val="0012620E"/>
    <w:rsid w:val="001262AE"/>
    <w:rsid w:val="0012632C"/>
    <w:rsid w:val="0012652C"/>
    <w:rsid w:val="00126612"/>
    <w:rsid w:val="00126A1F"/>
    <w:rsid w:val="00126A97"/>
    <w:rsid w:val="001270C6"/>
    <w:rsid w:val="00127175"/>
    <w:rsid w:val="001277D2"/>
    <w:rsid w:val="0012787E"/>
    <w:rsid w:val="0012795E"/>
    <w:rsid w:val="00127B14"/>
    <w:rsid w:val="00127B54"/>
    <w:rsid w:val="00127D57"/>
    <w:rsid w:val="00127EA2"/>
    <w:rsid w:val="00127EA7"/>
    <w:rsid w:val="00127F9F"/>
    <w:rsid w:val="00130025"/>
    <w:rsid w:val="0013003C"/>
    <w:rsid w:val="001303DC"/>
    <w:rsid w:val="001304C1"/>
    <w:rsid w:val="0013058E"/>
    <w:rsid w:val="001307EC"/>
    <w:rsid w:val="001308BA"/>
    <w:rsid w:val="001308E2"/>
    <w:rsid w:val="001308FC"/>
    <w:rsid w:val="00130B1F"/>
    <w:rsid w:val="0013119C"/>
    <w:rsid w:val="00131768"/>
    <w:rsid w:val="001319F5"/>
    <w:rsid w:val="00131D22"/>
    <w:rsid w:val="001321A7"/>
    <w:rsid w:val="0013223F"/>
    <w:rsid w:val="0013234F"/>
    <w:rsid w:val="0013254D"/>
    <w:rsid w:val="00132913"/>
    <w:rsid w:val="00132A5A"/>
    <w:rsid w:val="00132B17"/>
    <w:rsid w:val="00132BA4"/>
    <w:rsid w:val="00132DFB"/>
    <w:rsid w:val="00132F0C"/>
    <w:rsid w:val="00133026"/>
    <w:rsid w:val="00133089"/>
    <w:rsid w:val="001332D9"/>
    <w:rsid w:val="0013344F"/>
    <w:rsid w:val="00133665"/>
    <w:rsid w:val="0013377C"/>
    <w:rsid w:val="00133C7B"/>
    <w:rsid w:val="00133D41"/>
    <w:rsid w:val="00133E1A"/>
    <w:rsid w:val="00133E43"/>
    <w:rsid w:val="00133F69"/>
    <w:rsid w:val="00133F8F"/>
    <w:rsid w:val="00134395"/>
    <w:rsid w:val="00134440"/>
    <w:rsid w:val="0013457C"/>
    <w:rsid w:val="0013476F"/>
    <w:rsid w:val="001347A1"/>
    <w:rsid w:val="00134875"/>
    <w:rsid w:val="001348A2"/>
    <w:rsid w:val="00134BDD"/>
    <w:rsid w:val="00134C2D"/>
    <w:rsid w:val="00134DDD"/>
    <w:rsid w:val="00134F95"/>
    <w:rsid w:val="0013505D"/>
    <w:rsid w:val="00135080"/>
    <w:rsid w:val="001351BF"/>
    <w:rsid w:val="00135343"/>
    <w:rsid w:val="001356C9"/>
    <w:rsid w:val="001357B2"/>
    <w:rsid w:val="00135A16"/>
    <w:rsid w:val="00135CE7"/>
    <w:rsid w:val="00135EDD"/>
    <w:rsid w:val="00136048"/>
    <w:rsid w:val="00136276"/>
    <w:rsid w:val="001362F7"/>
    <w:rsid w:val="0013651C"/>
    <w:rsid w:val="0013686A"/>
    <w:rsid w:val="001368A6"/>
    <w:rsid w:val="00136900"/>
    <w:rsid w:val="001369C9"/>
    <w:rsid w:val="00136A9C"/>
    <w:rsid w:val="00136B89"/>
    <w:rsid w:val="00137082"/>
    <w:rsid w:val="00137159"/>
    <w:rsid w:val="00137237"/>
    <w:rsid w:val="0013739F"/>
    <w:rsid w:val="0013756B"/>
    <w:rsid w:val="00137590"/>
    <w:rsid w:val="001378FE"/>
    <w:rsid w:val="00137969"/>
    <w:rsid w:val="00137C07"/>
    <w:rsid w:val="00140061"/>
    <w:rsid w:val="00140213"/>
    <w:rsid w:val="001402D1"/>
    <w:rsid w:val="001402DF"/>
    <w:rsid w:val="001403A2"/>
    <w:rsid w:val="0014047D"/>
    <w:rsid w:val="00140489"/>
    <w:rsid w:val="001407A0"/>
    <w:rsid w:val="001407ED"/>
    <w:rsid w:val="001409D6"/>
    <w:rsid w:val="00140ABF"/>
    <w:rsid w:val="00140D7B"/>
    <w:rsid w:val="00140EA0"/>
    <w:rsid w:val="00140FA2"/>
    <w:rsid w:val="0014101C"/>
    <w:rsid w:val="001410AD"/>
    <w:rsid w:val="0014110B"/>
    <w:rsid w:val="001411B4"/>
    <w:rsid w:val="001411DB"/>
    <w:rsid w:val="0014136D"/>
    <w:rsid w:val="001415DB"/>
    <w:rsid w:val="00141643"/>
    <w:rsid w:val="0014168A"/>
    <w:rsid w:val="001416A0"/>
    <w:rsid w:val="00141728"/>
    <w:rsid w:val="0014180E"/>
    <w:rsid w:val="00141855"/>
    <w:rsid w:val="00141A32"/>
    <w:rsid w:val="00141AF6"/>
    <w:rsid w:val="00141B1A"/>
    <w:rsid w:val="00141E51"/>
    <w:rsid w:val="00141E92"/>
    <w:rsid w:val="00142021"/>
    <w:rsid w:val="00142246"/>
    <w:rsid w:val="0014233C"/>
    <w:rsid w:val="001427E3"/>
    <w:rsid w:val="00142B67"/>
    <w:rsid w:val="00142C09"/>
    <w:rsid w:val="00142E0A"/>
    <w:rsid w:val="0014303E"/>
    <w:rsid w:val="00143138"/>
    <w:rsid w:val="001433A9"/>
    <w:rsid w:val="001433DD"/>
    <w:rsid w:val="00143DF2"/>
    <w:rsid w:val="00143E02"/>
    <w:rsid w:val="00143E18"/>
    <w:rsid w:val="00143F61"/>
    <w:rsid w:val="00143FEF"/>
    <w:rsid w:val="00144711"/>
    <w:rsid w:val="00144964"/>
    <w:rsid w:val="00144B7B"/>
    <w:rsid w:val="00144BC3"/>
    <w:rsid w:val="00144C8A"/>
    <w:rsid w:val="00144D07"/>
    <w:rsid w:val="0014500B"/>
    <w:rsid w:val="00145027"/>
    <w:rsid w:val="001450F3"/>
    <w:rsid w:val="001452C0"/>
    <w:rsid w:val="001452C5"/>
    <w:rsid w:val="0014542D"/>
    <w:rsid w:val="0014552A"/>
    <w:rsid w:val="001457B3"/>
    <w:rsid w:val="001457C0"/>
    <w:rsid w:val="0014599D"/>
    <w:rsid w:val="00145A41"/>
    <w:rsid w:val="00145D48"/>
    <w:rsid w:val="001463E2"/>
    <w:rsid w:val="00146478"/>
    <w:rsid w:val="0014674C"/>
    <w:rsid w:val="00146819"/>
    <w:rsid w:val="00146ABA"/>
    <w:rsid w:val="00146AC9"/>
    <w:rsid w:val="00146B8C"/>
    <w:rsid w:val="00146EB8"/>
    <w:rsid w:val="0014719E"/>
    <w:rsid w:val="0014727A"/>
    <w:rsid w:val="00147499"/>
    <w:rsid w:val="001476C8"/>
    <w:rsid w:val="00147829"/>
    <w:rsid w:val="00147B85"/>
    <w:rsid w:val="00147BB3"/>
    <w:rsid w:val="00147D83"/>
    <w:rsid w:val="00147F5C"/>
    <w:rsid w:val="00150004"/>
    <w:rsid w:val="0015008C"/>
    <w:rsid w:val="001500D0"/>
    <w:rsid w:val="0015012B"/>
    <w:rsid w:val="001505C5"/>
    <w:rsid w:val="001507E6"/>
    <w:rsid w:val="00150925"/>
    <w:rsid w:val="00150AE3"/>
    <w:rsid w:val="00150EAD"/>
    <w:rsid w:val="00150F46"/>
    <w:rsid w:val="00150F82"/>
    <w:rsid w:val="00151022"/>
    <w:rsid w:val="0015127C"/>
    <w:rsid w:val="0015135E"/>
    <w:rsid w:val="00151399"/>
    <w:rsid w:val="0015142E"/>
    <w:rsid w:val="0015153F"/>
    <w:rsid w:val="001515C0"/>
    <w:rsid w:val="0015174A"/>
    <w:rsid w:val="001517FC"/>
    <w:rsid w:val="00151AC6"/>
    <w:rsid w:val="00151D20"/>
    <w:rsid w:val="00151D21"/>
    <w:rsid w:val="00151DDF"/>
    <w:rsid w:val="00152032"/>
    <w:rsid w:val="001523D2"/>
    <w:rsid w:val="001523F3"/>
    <w:rsid w:val="00152AB0"/>
    <w:rsid w:val="00152C56"/>
    <w:rsid w:val="00152CCC"/>
    <w:rsid w:val="00152D05"/>
    <w:rsid w:val="00152ED1"/>
    <w:rsid w:val="00153061"/>
    <w:rsid w:val="001530A5"/>
    <w:rsid w:val="00153431"/>
    <w:rsid w:val="001534C3"/>
    <w:rsid w:val="001534E5"/>
    <w:rsid w:val="00153703"/>
    <w:rsid w:val="00153877"/>
    <w:rsid w:val="00153C4A"/>
    <w:rsid w:val="00153CB8"/>
    <w:rsid w:val="001543A0"/>
    <w:rsid w:val="00154560"/>
    <w:rsid w:val="0015484B"/>
    <w:rsid w:val="00154966"/>
    <w:rsid w:val="0015498F"/>
    <w:rsid w:val="001549A8"/>
    <w:rsid w:val="00154CA4"/>
    <w:rsid w:val="00154DB5"/>
    <w:rsid w:val="00154F4E"/>
    <w:rsid w:val="00155032"/>
    <w:rsid w:val="001550EE"/>
    <w:rsid w:val="001551F1"/>
    <w:rsid w:val="00155273"/>
    <w:rsid w:val="001553C6"/>
    <w:rsid w:val="0015544F"/>
    <w:rsid w:val="0015546F"/>
    <w:rsid w:val="0015573A"/>
    <w:rsid w:val="0015588C"/>
    <w:rsid w:val="00155AA3"/>
    <w:rsid w:val="00155C98"/>
    <w:rsid w:val="00155D3C"/>
    <w:rsid w:val="00155DAD"/>
    <w:rsid w:val="00155DCB"/>
    <w:rsid w:val="00155F67"/>
    <w:rsid w:val="00156142"/>
    <w:rsid w:val="00156354"/>
    <w:rsid w:val="00156510"/>
    <w:rsid w:val="00156556"/>
    <w:rsid w:val="00156678"/>
    <w:rsid w:val="0015668E"/>
    <w:rsid w:val="00156B50"/>
    <w:rsid w:val="00156F18"/>
    <w:rsid w:val="00156FF7"/>
    <w:rsid w:val="00157510"/>
    <w:rsid w:val="0015767D"/>
    <w:rsid w:val="00157B42"/>
    <w:rsid w:val="001600A9"/>
    <w:rsid w:val="001601C7"/>
    <w:rsid w:val="001601CB"/>
    <w:rsid w:val="00160514"/>
    <w:rsid w:val="0016085E"/>
    <w:rsid w:val="00160930"/>
    <w:rsid w:val="001609AB"/>
    <w:rsid w:val="001609BA"/>
    <w:rsid w:val="001609C8"/>
    <w:rsid w:val="00160ADA"/>
    <w:rsid w:val="00160BC0"/>
    <w:rsid w:val="00160C00"/>
    <w:rsid w:val="00160C87"/>
    <w:rsid w:val="00160CFE"/>
    <w:rsid w:val="001615ED"/>
    <w:rsid w:val="00161683"/>
    <w:rsid w:val="001618A8"/>
    <w:rsid w:val="001619A8"/>
    <w:rsid w:val="00161B77"/>
    <w:rsid w:val="00161BD1"/>
    <w:rsid w:val="00161CB1"/>
    <w:rsid w:val="00161CD1"/>
    <w:rsid w:val="001620C1"/>
    <w:rsid w:val="0016218F"/>
    <w:rsid w:val="00162202"/>
    <w:rsid w:val="001624E2"/>
    <w:rsid w:val="001626BE"/>
    <w:rsid w:val="0016282D"/>
    <w:rsid w:val="001629E4"/>
    <w:rsid w:val="00162A6C"/>
    <w:rsid w:val="00162BDC"/>
    <w:rsid w:val="001634E0"/>
    <w:rsid w:val="00163636"/>
    <w:rsid w:val="00163CD7"/>
    <w:rsid w:val="00163D59"/>
    <w:rsid w:val="00163DE6"/>
    <w:rsid w:val="001640B1"/>
    <w:rsid w:val="001644FD"/>
    <w:rsid w:val="001645F1"/>
    <w:rsid w:val="00164655"/>
    <w:rsid w:val="0016479D"/>
    <w:rsid w:val="00164F24"/>
    <w:rsid w:val="0016528A"/>
    <w:rsid w:val="001653AB"/>
    <w:rsid w:val="001653F7"/>
    <w:rsid w:val="00165659"/>
    <w:rsid w:val="00165699"/>
    <w:rsid w:val="001656C6"/>
    <w:rsid w:val="0016580F"/>
    <w:rsid w:val="001658D4"/>
    <w:rsid w:val="00165960"/>
    <w:rsid w:val="00165DCD"/>
    <w:rsid w:val="00166016"/>
    <w:rsid w:val="001660E5"/>
    <w:rsid w:val="001661B7"/>
    <w:rsid w:val="0016635B"/>
    <w:rsid w:val="001663B1"/>
    <w:rsid w:val="00166419"/>
    <w:rsid w:val="001668ED"/>
    <w:rsid w:val="0016690D"/>
    <w:rsid w:val="0016694D"/>
    <w:rsid w:val="00166B18"/>
    <w:rsid w:val="00166C87"/>
    <w:rsid w:val="00166EB8"/>
    <w:rsid w:val="00166EEE"/>
    <w:rsid w:val="00166FF9"/>
    <w:rsid w:val="0016742B"/>
    <w:rsid w:val="00167521"/>
    <w:rsid w:val="001675AB"/>
    <w:rsid w:val="0016768F"/>
    <w:rsid w:val="001676D9"/>
    <w:rsid w:val="001677D0"/>
    <w:rsid w:val="00167AD9"/>
    <w:rsid w:val="00167B8B"/>
    <w:rsid w:val="00167BE8"/>
    <w:rsid w:val="00167E43"/>
    <w:rsid w:val="00167E53"/>
    <w:rsid w:val="00167E7E"/>
    <w:rsid w:val="0017022E"/>
    <w:rsid w:val="001702FD"/>
    <w:rsid w:val="001703F7"/>
    <w:rsid w:val="001705C7"/>
    <w:rsid w:val="00170614"/>
    <w:rsid w:val="00170748"/>
    <w:rsid w:val="00170B10"/>
    <w:rsid w:val="00170B63"/>
    <w:rsid w:val="00170B78"/>
    <w:rsid w:val="00170DD0"/>
    <w:rsid w:val="00170DDB"/>
    <w:rsid w:val="00170FE2"/>
    <w:rsid w:val="001710D7"/>
    <w:rsid w:val="0017118F"/>
    <w:rsid w:val="001711C9"/>
    <w:rsid w:val="001711E8"/>
    <w:rsid w:val="0017147C"/>
    <w:rsid w:val="001714C4"/>
    <w:rsid w:val="00171A2F"/>
    <w:rsid w:val="00171A41"/>
    <w:rsid w:val="00172056"/>
    <w:rsid w:val="0017227B"/>
    <w:rsid w:val="0017236D"/>
    <w:rsid w:val="001725F1"/>
    <w:rsid w:val="00172686"/>
    <w:rsid w:val="0017279D"/>
    <w:rsid w:val="001729C8"/>
    <w:rsid w:val="00172A20"/>
    <w:rsid w:val="00172AE8"/>
    <w:rsid w:val="00172BCF"/>
    <w:rsid w:val="00172ED7"/>
    <w:rsid w:val="00173418"/>
    <w:rsid w:val="001735EB"/>
    <w:rsid w:val="00173676"/>
    <w:rsid w:val="001736E2"/>
    <w:rsid w:val="00173C4D"/>
    <w:rsid w:val="00173CDB"/>
    <w:rsid w:val="001741A2"/>
    <w:rsid w:val="001742AF"/>
    <w:rsid w:val="00174390"/>
    <w:rsid w:val="0017442F"/>
    <w:rsid w:val="00174506"/>
    <w:rsid w:val="0017451B"/>
    <w:rsid w:val="00174668"/>
    <w:rsid w:val="001746CC"/>
    <w:rsid w:val="00174C9B"/>
    <w:rsid w:val="00174DD6"/>
    <w:rsid w:val="00175205"/>
    <w:rsid w:val="0017539A"/>
    <w:rsid w:val="001753DE"/>
    <w:rsid w:val="00175605"/>
    <w:rsid w:val="001757BA"/>
    <w:rsid w:val="0017590F"/>
    <w:rsid w:val="00175B0D"/>
    <w:rsid w:val="00175DAE"/>
    <w:rsid w:val="00175F35"/>
    <w:rsid w:val="001760A3"/>
    <w:rsid w:val="00176905"/>
    <w:rsid w:val="00176907"/>
    <w:rsid w:val="001769BC"/>
    <w:rsid w:val="00176AB3"/>
    <w:rsid w:val="00176C47"/>
    <w:rsid w:val="00176DE7"/>
    <w:rsid w:val="00176E0E"/>
    <w:rsid w:val="00176E6A"/>
    <w:rsid w:val="001770BC"/>
    <w:rsid w:val="001771E0"/>
    <w:rsid w:val="0017729B"/>
    <w:rsid w:val="00177781"/>
    <w:rsid w:val="00177900"/>
    <w:rsid w:val="001779E1"/>
    <w:rsid w:val="001779F5"/>
    <w:rsid w:val="00177A3F"/>
    <w:rsid w:val="00177A51"/>
    <w:rsid w:val="00177B91"/>
    <w:rsid w:val="00177ED9"/>
    <w:rsid w:val="0018001A"/>
    <w:rsid w:val="001802E5"/>
    <w:rsid w:val="001804AD"/>
    <w:rsid w:val="00180535"/>
    <w:rsid w:val="00180624"/>
    <w:rsid w:val="00180709"/>
    <w:rsid w:val="00180766"/>
    <w:rsid w:val="00180A18"/>
    <w:rsid w:val="00180B1C"/>
    <w:rsid w:val="00180D3D"/>
    <w:rsid w:val="00180DDD"/>
    <w:rsid w:val="00180EB8"/>
    <w:rsid w:val="0018111C"/>
    <w:rsid w:val="00181322"/>
    <w:rsid w:val="001814DF"/>
    <w:rsid w:val="001816BF"/>
    <w:rsid w:val="00181717"/>
    <w:rsid w:val="0018176B"/>
    <w:rsid w:val="001817F4"/>
    <w:rsid w:val="00181816"/>
    <w:rsid w:val="001818AD"/>
    <w:rsid w:val="0018191E"/>
    <w:rsid w:val="001819BA"/>
    <w:rsid w:val="00181C2A"/>
    <w:rsid w:val="00181DE5"/>
    <w:rsid w:val="00182010"/>
    <w:rsid w:val="0018219D"/>
    <w:rsid w:val="001822B6"/>
    <w:rsid w:val="001822C4"/>
    <w:rsid w:val="00182863"/>
    <w:rsid w:val="00182C88"/>
    <w:rsid w:val="00182CB4"/>
    <w:rsid w:val="00182D19"/>
    <w:rsid w:val="00182E1D"/>
    <w:rsid w:val="0018300E"/>
    <w:rsid w:val="0018305F"/>
    <w:rsid w:val="00183318"/>
    <w:rsid w:val="00183384"/>
    <w:rsid w:val="0018371E"/>
    <w:rsid w:val="001839CD"/>
    <w:rsid w:val="00183C1B"/>
    <w:rsid w:val="00183E58"/>
    <w:rsid w:val="00183F27"/>
    <w:rsid w:val="001840E8"/>
    <w:rsid w:val="00184193"/>
    <w:rsid w:val="00184353"/>
    <w:rsid w:val="00184453"/>
    <w:rsid w:val="0018467B"/>
    <w:rsid w:val="001846D2"/>
    <w:rsid w:val="0018497E"/>
    <w:rsid w:val="001849AD"/>
    <w:rsid w:val="00184C47"/>
    <w:rsid w:val="00184D28"/>
    <w:rsid w:val="00184E93"/>
    <w:rsid w:val="00185034"/>
    <w:rsid w:val="001852F1"/>
    <w:rsid w:val="00185372"/>
    <w:rsid w:val="00185861"/>
    <w:rsid w:val="00185872"/>
    <w:rsid w:val="0018593A"/>
    <w:rsid w:val="00185A20"/>
    <w:rsid w:val="00185AC6"/>
    <w:rsid w:val="00185B19"/>
    <w:rsid w:val="00185F9D"/>
    <w:rsid w:val="00186228"/>
    <w:rsid w:val="00186255"/>
    <w:rsid w:val="00186573"/>
    <w:rsid w:val="001865F7"/>
    <w:rsid w:val="001867FD"/>
    <w:rsid w:val="00186B93"/>
    <w:rsid w:val="00186C4D"/>
    <w:rsid w:val="001870D4"/>
    <w:rsid w:val="001870D8"/>
    <w:rsid w:val="00187138"/>
    <w:rsid w:val="001871C6"/>
    <w:rsid w:val="00187235"/>
    <w:rsid w:val="00187599"/>
    <w:rsid w:val="00187731"/>
    <w:rsid w:val="00187784"/>
    <w:rsid w:val="001878D8"/>
    <w:rsid w:val="00187961"/>
    <w:rsid w:val="00187A8F"/>
    <w:rsid w:val="00187E13"/>
    <w:rsid w:val="00190268"/>
    <w:rsid w:val="0019040A"/>
    <w:rsid w:val="0019040B"/>
    <w:rsid w:val="0019046E"/>
    <w:rsid w:val="00190552"/>
    <w:rsid w:val="00190580"/>
    <w:rsid w:val="001905EC"/>
    <w:rsid w:val="001907B6"/>
    <w:rsid w:val="00190836"/>
    <w:rsid w:val="0019083F"/>
    <w:rsid w:val="001908D6"/>
    <w:rsid w:val="00190956"/>
    <w:rsid w:val="00190CC1"/>
    <w:rsid w:val="00190E84"/>
    <w:rsid w:val="001910C1"/>
    <w:rsid w:val="001912CE"/>
    <w:rsid w:val="001913EA"/>
    <w:rsid w:val="0019173D"/>
    <w:rsid w:val="001917BC"/>
    <w:rsid w:val="001917CE"/>
    <w:rsid w:val="001918A3"/>
    <w:rsid w:val="00191D8F"/>
    <w:rsid w:val="00191F95"/>
    <w:rsid w:val="00192061"/>
    <w:rsid w:val="00192096"/>
    <w:rsid w:val="00192119"/>
    <w:rsid w:val="00192453"/>
    <w:rsid w:val="0019256C"/>
    <w:rsid w:val="0019273A"/>
    <w:rsid w:val="001927A6"/>
    <w:rsid w:val="00192A20"/>
    <w:rsid w:val="00192C08"/>
    <w:rsid w:val="00192DAE"/>
    <w:rsid w:val="00192E7B"/>
    <w:rsid w:val="00192F6C"/>
    <w:rsid w:val="00192F9F"/>
    <w:rsid w:val="001930F5"/>
    <w:rsid w:val="001931E7"/>
    <w:rsid w:val="0019327B"/>
    <w:rsid w:val="001934BD"/>
    <w:rsid w:val="00193BE5"/>
    <w:rsid w:val="00193C3D"/>
    <w:rsid w:val="00193D16"/>
    <w:rsid w:val="00193D1B"/>
    <w:rsid w:val="0019410C"/>
    <w:rsid w:val="0019445C"/>
    <w:rsid w:val="001944FD"/>
    <w:rsid w:val="00194769"/>
    <w:rsid w:val="00194E45"/>
    <w:rsid w:val="00194FE6"/>
    <w:rsid w:val="001950AE"/>
    <w:rsid w:val="00195302"/>
    <w:rsid w:val="00195318"/>
    <w:rsid w:val="00195680"/>
    <w:rsid w:val="0019568A"/>
    <w:rsid w:val="00195981"/>
    <w:rsid w:val="00195BDA"/>
    <w:rsid w:val="00195CA0"/>
    <w:rsid w:val="00195D7C"/>
    <w:rsid w:val="00195F46"/>
    <w:rsid w:val="00196101"/>
    <w:rsid w:val="001961A5"/>
    <w:rsid w:val="0019667B"/>
    <w:rsid w:val="00196696"/>
    <w:rsid w:val="0019686E"/>
    <w:rsid w:val="00196967"/>
    <w:rsid w:val="001969B9"/>
    <w:rsid w:val="00196A28"/>
    <w:rsid w:val="00196B16"/>
    <w:rsid w:val="00196D0B"/>
    <w:rsid w:val="001972BE"/>
    <w:rsid w:val="0019768F"/>
    <w:rsid w:val="00197728"/>
    <w:rsid w:val="0019781A"/>
    <w:rsid w:val="00197D46"/>
    <w:rsid w:val="001A001B"/>
    <w:rsid w:val="001A00B0"/>
    <w:rsid w:val="001A0127"/>
    <w:rsid w:val="001A0165"/>
    <w:rsid w:val="001A0346"/>
    <w:rsid w:val="001A043D"/>
    <w:rsid w:val="001A0506"/>
    <w:rsid w:val="001A05C6"/>
    <w:rsid w:val="001A06A1"/>
    <w:rsid w:val="001A06CD"/>
    <w:rsid w:val="001A07B2"/>
    <w:rsid w:val="001A0900"/>
    <w:rsid w:val="001A0A7F"/>
    <w:rsid w:val="001A0AD6"/>
    <w:rsid w:val="001A0C3A"/>
    <w:rsid w:val="001A0DB5"/>
    <w:rsid w:val="001A0E4B"/>
    <w:rsid w:val="001A0EBC"/>
    <w:rsid w:val="001A0FB7"/>
    <w:rsid w:val="001A13F1"/>
    <w:rsid w:val="001A14CD"/>
    <w:rsid w:val="001A14FB"/>
    <w:rsid w:val="001A1504"/>
    <w:rsid w:val="001A15AE"/>
    <w:rsid w:val="001A1624"/>
    <w:rsid w:val="001A17B5"/>
    <w:rsid w:val="001A17DF"/>
    <w:rsid w:val="001A1B78"/>
    <w:rsid w:val="001A1E13"/>
    <w:rsid w:val="001A1FB7"/>
    <w:rsid w:val="001A22CA"/>
    <w:rsid w:val="001A255C"/>
    <w:rsid w:val="001A2731"/>
    <w:rsid w:val="001A278A"/>
    <w:rsid w:val="001A2A54"/>
    <w:rsid w:val="001A2A85"/>
    <w:rsid w:val="001A2DDF"/>
    <w:rsid w:val="001A301B"/>
    <w:rsid w:val="001A31E5"/>
    <w:rsid w:val="001A3303"/>
    <w:rsid w:val="001A3563"/>
    <w:rsid w:val="001A39EF"/>
    <w:rsid w:val="001A3B0E"/>
    <w:rsid w:val="001A3C05"/>
    <w:rsid w:val="001A3F7C"/>
    <w:rsid w:val="001A4068"/>
    <w:rsid w:val="001A4200"/>
    <w:rsid w:val="001A438A"/>
    <w:rsid w:val="001A43EA"/>
    <w:rsid w:val="001A46C1"/>
    <w:rsid w:val="001A4C30"/>
    <w:rsid w:val="001A4DE7"/>
    <w:rsid w:val="001A4EBD"/>
    <w:rsid w:val="001A504A"/>
    <w:rsid w:val="001A5127"/>
    <w:rsid w:val="001A535B"/>
    <w:rsid w:val="001A5377"/>
    <w:rsid w:val="001A5777"/>
    <w:rsid w:val="001A5A03"/>
    <w:rsid w:val="001A5B03"/>
    <w:rsid w:val="001A5B2A"/>
    <w:rsid w:val="001A5C5A"/>
    <w:rsid w:val="001A6192"/>
    <w:rsid w:val="001A61BC"/>
    <w:rsid w:val="001A63D1"/>
    <w:rsid w:val="001A6426"/>
    <w:rsid w:val="001A64B1"/>
    <w:rsid w:val="001A6B26"/>
    <w:rsid w:val="001A6B69"/>
    <w:rsid w:val="001A6E51"/>
    <w:rsid w:val="001A6E63"/>
    <w:rsid w:val="001A71BC"/>
    <w:rsid w:val="001A7705"/>
    <w:rsid w:val="001A773E"/>
    <w:rsid w:val="001A7C1E"/>
    <w:rsid w:val="001A7C60"/>
    <w:rsid w:val="001A7D05"/>
    <w:rsid w:val="001A7F72"/>
    <w:rsid w:val="001B0019"/>
    <w:rsid w:val="001B018F"/>
    <w:rsid w:val="001B01D5"/>
    <w:rsid w:val="001B03CC"/>
    <w:rsid w:val="001B0454"/>
    <w:rsid w:val="001B04E4"/>
    <w:rsid w:val="001B056D"/>
    <w:rsid w:val="001B08A1"/>
    <w:rsid w:val="001B08EC"/>
    <w:rsid w:val="001B116C"/>
    <w:rsid w:val="001B13A4"/>
    <w:rsid w:val="001B1646"/>
    <w:rsid w:val="001B1D4B"/>
    <w:rsid w:val="001B1E70"/>
    <w:rsid w:val="001B22F0"/>
    <w:rsid w:val="001B244F"/>
    <w:rsid w:val="001B2674"/>
    <w:rsid w:val="001B2891"/>
    <w:rsid w:val="001B2988"/>
    <w:rsid w:val="001B2CD5"/>
    <w:rsid w:val="001B2DC2"/>
    <w:rsid w:val="001B2F92"/>
    <w:rsid w:val="001B3355"/>
    <w:rsid w:val="001B3495"/>
    <w:rsid w:val="001B35A0"/>
    <w:rsid w:val="001B37A3"/>
    <w:rsid w:val="001B3884"/>
    <w:rsid w:val="001B3ACB"/>
    <w:rsid w:val="001B3BF7"/>
    <w:rsid w:val="001B3CCD"/>
    <w:rsid w:val="001B3DDF"/>
    <w:rsid w:val="001B3F4E"/>
    <w:rsid w:val="001B3FF5"/>
    <w:rsid w:val="001B4066"/>
    <w:rsid w:val="001B41D6"/>
    <w:rsid w:val="001B42E4"/>
    <w:rsid w:val="001B4ADD"/>
    <w:rsid w:val="001B4B36"/>
    <w:rsid w:val="001B4E70"/>
    <w:rsid w:val="001B4FEA"/>
    <w:rsid w:val="001B544F"/>
    <w:rsid w:val="001B5682"/>
    <w:rsid w:val="001B5798"/>
    <w:rsid w:val="001B58F8"/>
    <w:rsid w:val="001B5D3D"/>
    <w:rsid w:val="001B5F85"/>
    <w:rsid w:val="001B61E3"/>
    <w:rsid w:val="001B6248"/>
    <w:rsid w:val="001B6594"/>
    <w:rsid w:val="001B67CC"/>
    <w:rsid w:val="001B6AA1"/>
    <w:rsid w:val="001B6ACC"/>
    <w:rsid w:val="001B6B0C"/>
    <w:rsid w:val="001B6CD3"/>
    <w:rsid w:val="001B6E32"/>
    <w:rsid w:val="001B7170"/>
    <w:rsid w:val="001B726D"/>
    <w:rsid w:val="001B72B3"/>
    <w:rsid w:val="001B7589"/>
    <w:rsid w:val="001B77FE"/>
    <w:rsid w:val="001B78E7"/>
    <w:rsid w:val="001B7E3B"/>
    <w:rsid w:val="001B7F1F"/>
    <w:rsid w:val="001B7F45"/>
    <w:rsid w:val="001B7F4E"/>
    <w:rsid w:val="001C04CA"/>
    <w:rsid w:val="001C05F4"/>
    <w:rsid w:val="001C06E8"/>
    <w:rsid w:val="001C08E7"/>
    <w:rsid w:val="001C0A7C"/>
    <w:rsid w:val="001C0D39"/>
    <w:rsid w:val="001C116A"/>
    <w:rsid w:val="001C11EC"/>
    <w:rsid w:val="001C128E"/>
    <w:rsid w:val="001C132C"/>
    <w:rsid w:val="001C13BC"/>
    <w:rsid w:val="001C13BE"/>
    <w:rsid w:val="001C142D"/>
    <w:rsid w:val="001C1440"/>
    <w:rsid w:val="001C14D0"/>
    <w:rsid w:val="001C15BD"/>
    <w:rsid w:val="001C1636"/>
    <w:rsid w:val="001C1681"/>
    <w:rsid w:val="001C1773"/>
    <w:rsid w:val="001C1BF9"/>
    <w:rsid w:val="001C1E20"/>
    <w:rsid w:val="001C1EDD"/>
    <w:rsid w:val="001C1EF9"/>
    <w:rsid w:val="001C1F31"/>
    <w:rsid w:val="001C20C0"/>
    <w:rsid w:val="001C210D"/>
    <w:rsid w:val="001C26BB"/>
    <w:rsid w:val="001C2707"/>
    <w:rsid w:val="001C287A"/>
    <w:rsid w:val="001C2A7D"/>
    <w:rsid w:val="001C2BC5"/>
    <w:rsid w:val="001C3580"/>
    <w:rsid w:val="001C38FB"/>
    <w:rsid w:val="001C3A6A"/>
    <w:rsid w:val="001C3ABD"/>
    <w:rsid w:val="001C3E2A"/>
    <w:rsid w:val="001C4295"/>
    <w:rsid w:val="001C4320"/>
    <w:rsid w:val="001C485E"/>
    <w:rsid w:val="001C496E"/>
    <w:rsid w:val="001C4A8E"/>
    <w:rsid w:val="001C4D9A"/>
    <w:rsid w:val="001C4E29"/>
    <w:rsid w:val="001C4FA4"/>
    <w:rsid w:val="001C4FFB"/>
    <w:rsid w:val="001C5336"/>
    <w:rsid w:val="001C5517"/>
    <w:rsid w:val="001C5553"/>
    <w:rsid w:val="001C5629"/>
    <w:rsid w:val="001C5754"/>
    <w:rsid w:val="001C5AAF"/>
    <w:rsid w:val="001C5B08"/>
    <w:rsid w:val="001C5D02"/>
    <w:rsid w:val="001C5E66"/>
    <w:rsid w:val="001C60BB"/>
    <w:rsid w:val="001C61CF"/>
    <w:rsid w:val="001C6404"/>
    <w:rsid w:val="001C6B55"/>
    <w:rsid w:val="001C6C4D"/>
    <w:rsid w:val="001C6D2D"/>
    <w:rsid w:val="001C6EDC"/>
    <w:rsid w:val="001C6FBD"/>
    <w:rsid w:val="001C7064"/>
    <w:rsid w:val="001C720D"/>
    <w:rsid w:val="001C737A"/>
    <w:rsid w:val="001C762E"/>
    <w:rsid w:val="001C7946"/>
    <w:rsid w:val="001C7995"/>
    <w:rsid w:val="001C7F2A"/>
    <w:rsid w:val="001D00F7"/>
    <w:rsid w:val="001D0404"/>
    <w:rsid w:val="001D068D"/>
    <w:rsid w:val="001D0AF9"/>
    <w:rsid w:val="001D0C24"/>
    <w:rsid w:val="001D0E5D"/>
    <w:rsid w:val="001D0F02"/>
    <w:rsid w:val="001D115F"/>
    <w:rsid w:val="001D120E"/>
    <w:rsid w:val="001D12BB"/>
    <w:rsid w:val="001D140E"/>
    <w:rsid w:val="001D18C8"/>
    <w:rsid w:val="001D1DC1"/>
    <w:rsid w:val="001D2088"/>
    <w:rsid w:val="001D266E"/>
    <w:rsid w:val="001D291A"/>
    <w:rsid w:val="001D2973"/>
    <w:rsid w:val="001D2D9D"/>
    <w:rsid w:val="001D2FB6"/>
    <w:rsid w:val="001D300C"/>
    <w:rsid w:val="001D30CC"/>
    <w:rsid w:val="001D31A4"/>
    <w:rsid w:val="001D33FD"/>
    <w:rsid w:val="001D34A1"/>
    <w:rsid w:val="001D35E6"/>
    <w:rsid w:val="001D36B8"/>
    <w:rsid w:val="001D36C6"/>
    <w:rsid w:val="001D3741"/>
    <w:rsid w:val="001D3795"/>
    <w:rsid w:val="001D3995"/>
    <w:rsid w:val="001D3A61"/>
    <w:rsid w:val="001D3A79"/>
    <w:rsid w:val="001D3C37"/>
    <w:rsid w:val="001D3FFA"/>
    <w:rsid w:val="001D43C1"/>
    <w:rsid w:val="001D4459"/>
    <w:rsid w:val="001D4539"/>
    <w:rsid w:val="001D46FC"/>
    <w:rsid w:val="001D4719"/>
    <w:rsid w:val="001D47A8"/>
    <w:rsid w:val="001D4A81"/>
    <w:rsid w:val="001D4D43"/>
    <w:rsid w:val="001D4E1D"/>
    <w:rsid w:val="001D4F1D"/>
    <w:rsid w:val="001D4F87"/>
    <w:rsid w:val="001D5238"/>
    <w:rsid w:val="001D525C"/>
    <w:rsid w:val="001D52F3"/>
    <w:rsid w:val="001D5470"/>
    <w:rsid w:val="001D5690"/>
    <w:rsid w:val="001D5752"/>
    <w:rsid w:val="001D57A3"/>
    <w:rsid w:val="001D57CD"/>
    <w:rsid w:val="001D5879"/>
    <w:rsid w:val="001D5D3D"/>
    <w:rsid w:val="001D5E1C"/>
    <w:rsid w:val="001D5FB2"/>
    <w:rsid w:val="001D620D"/>
    <w:rsid w:val="001D64D5"/>
    <w:rsid w:val="001D6538"/>
    <w:rsid w:val="001D67CC"/>
    <w:rsid w:val="001D67CF"/>
    <w:rsid w:val="001D69BB"/>
    <w:rsid w:val="001D6D0A"/>
    <w:rsid w:val="001D6D6A"/>
    <w:rsid w:val="001D70C9"/>
    <w:rsid w:val="001D71B8"/>
    <w:rsid w:val="001D7B3C"/>
    <w:rsid w:val="001D7CD3"/>
    <w:rsid w:val="001D7DC5"/>
    <w:rsid w:val="001E0068"/>
    <w:rsid w:val="001E02E8"/>
    <w:rsid w:val="001E03C9"/>
    <w:rsid w:val="001E081B"/>
    <w:rsid w:val="001E0959"/>
    <w:rsid w:val="001E0C0A"/>
    <w:rsid w:val="001E0E42"/>
    <w:rsid w:val="001E124B"/>
    <w:rsid w:val="001E15A5"/>
    <w:rsid w:val="001E19CA"/>
    <w:rsid w:val="001E1A17"/>
    <w:rsid w:val="001E1CFE"/>
    <w:rsid w:val="001E1D74"/>
    <w:rsid w:val="001E1FBB"/>
    <w:rsid w:val="001E22F2"/>
    <w:rsid w:val="001E231B"/>
    <w:rsid w:val="001E2386"/>
    <w:rsid w:val="001E258F"/>
    <w:rsid w:val="001E2B8B"/>
    <w:rsid w:val="001E2BF6"/>
    <w:rsid w:val="001E2C70"/>
    <w:rsid w:val="001E2C7D"/>
    <w:rsid w:val="001E2CBE"/>
    <w:rsid w:val="001E2DA4"/>
    <w:rsid w:val="001E2DC9"/>
    <w:rsid w:val="001E2EEE"/>
    <w:rsid w:val="001E2EF1"/>
    <w:rsid w:val="001E2F5D"/>
    <w:rsid w:val="001E3246"/>
    <w:rsid w:val="001E32CE"/>
    <w:rsid w:val="001E33EE"/>
    <w:rsid w:val="001E3700"/>
    <w:rsid w:val="001E3780"/>
    <w:rsid w:val="001E39AC"/>
    <w:rsid w:val="001E39B8"/>
    <w:rsid w:val="001E3B01"/>
    <w:rsid w:val="001E3C89"/>
    <w:rsid w:val="001E3E55"/>
    <w:rsid w:val="001E3EA5"/>
    <w:rsid w:val="001E3FE6"/>
    <w:rsid w:val="001E436C"/>
    <w:rsid w:val="001E456E"/>
    <w:rsid w:val="001E45D0"/>
    <w:rsid w:val="001E4A72"/>
    <w:rsid w:val="001E4AAA"/>
    <w:rsid w:val="001E4AF3"/>
    <w:rsid w:val="001E4BF3"/>
    <w:rsid w:val="001E4C29"/>
    <w:rsid w:val="001E4ED4"/>
    <w:rsid w:val="001E4F21"/>
    <w:rsid w:val="001E4FE9"/>
    <w:rsid w:val="001E53E2"/>
    <w:rsid w:val="001E54A8"/>
    <w:rsid w:val="001E5B49"/>
    <w:rsid w:val="001E613D"/>
    <w:rsid w:val="001E6AE1"/>
    <w:rsid w:val="001E6E3F"/>
    <w:rsid w:val="001E6FA1"/>
    <w:rsid w:val="001E702F"/>
    <w:rsid w:val="001E7174"/>
    <w:rsid w:val="001E7355"/>
    <w:rsid w:val="001E75EF"/>
    <w:rsid w:val="001E7A2D"/>
    <w:rsid w:val="001E7E4C"/>
    <w:rsid w:val="001E7E94"/>
    <w:rsid w:val="001E7FAE"/>
    <w:rsid w:val="001E7FC6"/>
    <w:rsid w:val="001F014B"/>
    <w:rsid w:val="001F039F"/>
    <w:rsid w:val="001F03B4"/>
    <w:rsid w:val="001F049C"/>
    <w:rsid w:val="001F049F"/>
    <w:rsid w:val="001F051B"/>
    <w:rsid w:val="001F0888"/>
    <w:rsid w:val="001F0980"/>
    <w:rsid w:val="001F0DFC"/>
    <w:rsid w:val="001F12C3"/>
    <w:rsid w:val="001F1657"/>
    <w:rsid w:val="001F16E0"/>
    <w:rsid w:val="001F17B6"/>
    <w:rsid w:val="001F17BB"/>
    <w:rsid w:val="001F186A"/>
    <w:rsid w:val="001F18BB"/>
    <w:rsid w:val="001F19EB"/>
    <w:rsid w:val="001F1A95"/>
    <w:rsid w:val="001F1EEC"/>
    <w:rsid w:val="001F1EF3"/>
    <w:rsid w:val="001F1FDD"/>
    <w:rsid w:val="001F230C"/>
    <w:rsid w:val="001F2414"/>
    <w:rsid w:val="001F2539"/>
    <w:rsid w:val="001F2579"/>
    <w:rsid w:val="001F262F"/>
    <w:rsid w:val="001F26CD"/>
    <w:rsid w:val="001F291B"/>
    <w:rsid w:val="001F2A33"/>
    <w:rsid w:val="001F2A34"/>
    <w:rsid w:val="001F2ACE"/>
    <w:rsid w:val="001F2B10"/>
    <w:rsid w:val="001F2D79"/>
    <w:rsid w:val="001F2E7C"/>
    <w:rsid w:val="001F3321"/>
    <w:rsid w:val="001F34AA"/>
    <w:rsid w:val="001F3578"/>
    <w:rsid w:val="001F360E"/>
    <w:rsid w:val="001F3A54"/>
    <w:rsid w:val="001F3CC9"/>
    <w:rsid w:val="001F3D6A"/>
    <w:rsid w:val="001F3DFE"/>
    <w:rsid w:val="001F3F4F"/>
    <w:rsid w:val="001F4654"/>
    <w:rsid w:val="001F4690"/>
    <w:rsid w:val="001F4885"/>
    <w:rsid w:val="001F48E7"/>
    <w:rsid w:val="001F4B0B"/>
    <w:rsid w:val="001F5115"/>
    <w:rsid w:val="001F5143"/>
    <w:rsid w:val="001F5212"/>
    <w:rsid w:val="001F52EB"/>
    <w:rsid w:val="001F54B3"/>
    <w:rsid w:val="001F5AAF"/>
    <w:rsid w:val="001F5AC1"/>
    <w:rsid w:val="001F5AEC"/>
    <w:rsid w:val="001F5DDF"/>
    <w:rsid w:val="001F5F78"/>
    <w:rsid w:val="001F606A"/>
    <w:rsid w:val="001F61FC"/>
    <w:rsid w:val="001F62EF"/>
    <w:rsid w:val="001F63CA"/>
    <w:rsid w:val="001F6673"/>
    <w:rsid w:val="001F6774"/>
    <w:rsid w:val="001F68EC"/>
    <w:rsid w:val="001F6988"/>
    <w:rsid w:val="001F6AA4"/>
    <w:rsid w:val="001F6B2B"/>
    <w:rsid w:val="001F6CBF"/>
    <w:rsid w:val="001F6D9D"/>
    <w:rsid w:val="001F6E3B"/>
    <w:rsid w:val="001F6E9D"/>
    <w:rsid w:val="001F7528"/>
    <w:rsid w:val="001F782C"/>
    <w:rsid w:val="001F78CD"/>
    <w:rsid w:val="001F79D4"/>
    <w:rsid w:val="001F79D9"/>
    <w:rsid w:val="001F7A67"/>
    <w:rsid w:val="001F7B10"/>
    <w:rsid w:val="001F7D6B"/>
    <w:rsid w:val="00200358"/>
    <w:rsid w:val="002003BF"/>
    <w:rsid w:val="002008AD"/>
    <w:rsid w:val="0020094E"/>
    <w:rsid w:val="00200CD1"/>
    <w:rsid w:val="00200DDF"/>
    <w:rsid w:val="00201038"/>
    <w:rsid w:val="002010A5"/>
    <w:rsid w:val="002010FB"/>
    <w:rsid w:val="00201C0B"/>
    <w:rsid w:val="00201C57"/>
    <w:rsid w:val="00201E53"/>
    <w:rsid w:val="00201EC8"/>
    <w:rsid w:val="00202446"/>
    <w:rsid w:val="00202A97"/>
    <w:rsid w:val="00202AE3"/>
    <w:rsid w:val="00202B4A"/>
    <w:rsid w:val="00202BEA"/>
    <w:rsid w:val="00202D89"/>
    <w:rsid w:val="00202EC1"/>
    <w:rsid w:val="00202F0C"/>
    <w:rsid w:val="00202F8B"/>
    <w:rsid w:val="0020307A"/>
    <w:rsid w:val="0020322C"/>
    <w:rsid w:val="00203236"/>
    <w:rsid w:val="00203866"/>
    <w:rsid w:val="002038D6"/>
    <w:rsid w:val="002038FC"/>
    <w:rsid w:val="00203995"/>
    <w:rsid w:val="00203B9C"/>
    <w:rsid w:val="00203D8B"/>
    <w:rsid w:val="00203DD7"/>
    <w:rsid w:val="00203E7F"/>
    <w:rsid w:val="00204037"/>
    <w:rsid w:val="002040AB"/>
    <w:rsid w:val="00204102"/>
    <w:rsid w:val="002046B6"/>
    <w:rsid w:val="00204A3B"/>
    <w:rsid w:val="00205220"/>
    <w:rsid w:val="00205248"/>
    <w:rsid w:val="00205457"/>
    <w:rsid w:val="00205485"/>
    <w:rsid w:val="002055D3"/>
    <w:rsid w:val="0020573F"/>
    <w:rsid w:val="00205BE5"/>
    <w:rsid w:val="00205C9F"/>
    <w:rsid w:val="00205CA0"/>
    <w:rsid w:val="00205DBA"/>
    <w:rsid w:val="00205F4D"/>
    <w:rsid w:val="00206127"/>
    <w:rsid w:val="00206219"/>
    <w:rsid w:val="0020622B"/>
    <w:rsid w:val="00206261"/>
    <w:rsid w:val="002062DF"/>
    <w:rsid w:val="002063F6"/>
    <w:rsid w:val="00206427"/>
    <w:rsid w:val="002066EA"/>
    <w:rsid w:val="00206766"/>
    <w:rsid w:val="00206871"/>
    <w:rsid w:val="00206886"/>
    <w:rsid w:val="00206C3F"/>
    <w:rsid w:val="00206F60"/>
    <w:rsid w:val="00206FB4"/>
    <w:rsid w:val="002072DB"/>
    <w:rsid w:val="0020730B"/>
    <w:rsid w:val="0020758D"/>
    <w:rsid w:val="0020763A"/>
    <w:rsid w:val="002076E2"/>
    <w:rsid w:val="00207BE0"/>
    <w:rsid w:val="00207C1A"/>
    <w:rsid w:val="00207F22"/>
    <w:rsid w:val="002101E2"/>
    <w:rsid w:val="00210202"/>
    <w:rsid w:val="0021058E"/>
    <w:rsid w:val="002107FB"/>
    <w:rsid w:val="00210849"/>
    <w:rsid w:val="00210942"/>
    <w:rsid w:val="00210B1B"/>
    <w:rsid w:val="00210B71"/>
    <w:rsid w:val="00210E42"/>
    <w:rsid w:val="00210E5C"/>
    <w:rsid w:val="00210EA2"/>
    <w:rsid w:val="0021105B"/>
    <w:rsid w:val="002113D9"/>
    <w:rsid w:val="002113F5"/>
    <w:rsid w:val="002114D5"/>
    <w:rsid w:val="002115CF"/>
    <w:rsid w:val="00211672"/>
    <w:rsid w:val="0021168E"/>
    <w:rsid w:val="002116A1"/>
    <w:rsid w:val="00211964"/>
    <w:rsid w:val="00211A23"/>
    <w:rsid w:val="00211CD8"/>
    <w:rsid w:val="002127B0"/>
    <w:rsid w:val="00212879"/>
    <w:rsid w:val="002128BA"/>
    <w:rsid w:val="00212943"/>
    <w:rsid w:val="00212A90"/>
    <w:rsid w:val="00212BC7"/>
    <w:rsid w:val="00212D5A"/>
    <w:rsid w:val="00212DBA"/>
    <w:rsid w:val="00212DF7"/>
    <w:rsid w:val="00212E06"/>
    <w:rsid w:val="002131AC"/>
    <w:rsid w:val="0021353B"/>
    <w:rsid w:val="002135F4"/>
    <w:rsid w:val="002139CC"/>
    <w:rsid w:val="00213BEC"/>
    <w:rsid w:val="00214096"/>
    <w:rsid w:val="002141CE"/>
    <w:rsid w:val="002142FF"/>
    <w:rsid w:val="0021438F"/>
    <w:rsid w:val="0021453E"/>
    <w:rsid w:val="002145A8"/>
    <w:rsid w:val="00214D39"/>
    <w:rsid w:val="00214DD3"/>
    <w:rsid w:val="002150AD"/>
    <w:rsid w:val="00215160"/>
    <w:rsid w:val="00215298"/>
    <w:rsid w:val="00215522"/>
    <w:rsid w:val="00215A9B"/>
    <w:rsid w:val="00215B0A"/>
    <w:rsid w:val="00215BB9"/>
    <w:rsid w:val="00215D37"/>
    <w:rsid w:val="00215DB2"/>
    <w:rsid w:val="00215DF7"/>
    <w:rsid w:val="00215E17"/>
    <w:rsid w:val="00215E7E"/>
    <w:rsid w:val="00215FF7"/>
    <w:rsid w:val="00216063"/>
    <w:rsid w:val="00216100"/>
    <w:rsid w:val="002161AF"/>
    <w:rsid w:val="002161CD"/>
    <w:rsid w:val="0021653A"/>
    <w:rsid w:val="002166F8"/>
    <w:rsid w:val="0021678B"/>
    <w:rsid w:val="0021679F"/>
    <w:rsid w:val="00216807"/>
    <w:rsid w:val="00216A2E"/>
    <w:rsid w:val="00216AC8"/>
    <w:rsid w:val="0021723F"/>
    <w:rsid w:val="0021738E"/>
    <w:rsid w:val="002175B1"/>
    <w:rsid w:val="0021761F"/>
    <w:rsid w:val="002177E6"/>
    <w:rsid w:val="0021791B"/>
    <w:rsid w:val="00217968"/>
    <w:rsid w:val="00217BC8"/>
    <w:rsid w:val="00220302"/>
    <w:rsid w:val="0022078D"/>
    <w:rsid w:val="002209AE"/>
    <w:rsid w:val="00220A92"/>
    <w:rsid w:val="00220BAD"/>
    <w:rsid w:val="00220C85"/>
    <w:rsid w:val="00220CBC"/>
    <w:rsid w:val="00220EE7"/>
    <w:rsid w:val="00221039"/>
    <w:rsid w:val="0022116A"/>
    <w:rsid w:val="002212C3"/>
    <w:rsid w:val="0022147A"/>
    <w:rsid w:val="00221493"/>
    <w:rsid w:val="0022149B"/>
    <w:rsid w:val="002215AF"/>
    <w:rsid w:val="00221640"/>
    <w:rsid w:val="00221B7D"/>
    <w:rsid w:val="00221BAD"/>
    <w:rsid w:val="00221E9F"/>
    <w:rsid w:val="002221EB"/>
    <w:rsid w:val="0022241D"/>
    <w:rsid w:val="002228E8"/>
    <w:rsid w:val="002228F6"/>
    <w:rsid w:val="00222B97"/>
    <w:rsid w:val="00222BB2"/>
    <w:rsid w:val="00222C82"/>
    <w:rsid w:val="00222D32"/>
    <w:rsid w:val="00222ED3"/>
    <w:rsid w:val="00223172"/>
    <w:rsid w:val="00223188"/>
    <w:rsid w:val="0022351F"/>
    <w:rsid w:val="0022356E"/>
    <w:rsid w:val="002235B6"/>
    <w:rsid w:val="002235D9"/>
    <w:rsid w:val="00223601"/>
    <w:rsid w:val="00223621"/>
    <w:rsid w:val="00223890"/>
    <w:rsid w:val="00223A92"/>
    <w:rsid w:val="00223AC3"/>
    <w:rsid w:val="00223D2F"/>
    <w:rsid w:val="0022401D"/>
    <w:rsid w:val="002245B1"/>
    <w:rsid w:val="002245F4"/>
    <w:rsid w:val="002245F5"/>
    <w:rsid w:val="00224754"/>
    <w:rsid w:val="00224C97"/>
    <w:rsid w:val="00224CFC"/>
    <w:rsid w:val="00225507"/>
    <w:rsid w:val="0022560D"/>
    <w:rsid w:val="00225793"/>
    <w:rsid w:val="00225B20"/>
    <w:rsid w:val="00225B97"/>
    <w:rsid w:val="00225C2D"/>
    <w:rsid w:val="0022607D"/>
    <w:rsid w:val="0022623A"/>
    <w:rsid w:val="0022644F"/>
    <w:rsid w:val="00226E32"/>
    <w:rsid w:val="00226FFE"/>
    <w:rsid w:val="002270C3"/>
    <w:rsid w:val="0022710F"/>
    <w:rsid w:val="00227195"/>
    <w:rsid w:val="00227210"/>
    <w:rsid w:val="00227221"/>
    <w:rsid w:val="00227244"/>
    <w:rsid w:val="0022733A"/>
    <w:rsid w:val="002278EF"/>
    <w:rsid w:val="00227C37"/>
    <w:rsid w:val="00227D58"/>
    <w:rsid w:val="00227E2D"/>
    <w:rsid w:val="00227F41"/>
    <w:rsid w:val="00227F51"/>
    <w:rsid w:val="00230038"/>
    <w:rsid w:val="002302FE"/>
    <w:rsid w:val="00230356"/>
    <w:rsid w:val="00230458"/>
    <w:rsid w:val="002305F5"/>
    <w:rsid w:val="0023092E"/>
    <w:rsid w:val="00230B78"/>
    <w:rsid w:val="00230B8C"/>
    <w:rsid w:val="00230D04"/>
    <w:rsid w:val="00230D51"/>
    <w:rsid w:val="00230EB7"/>
    <w:rsid w:val="00231100"/>
    <w:rsid w:val="002311DE"/>
    <w:rsid w:val="0023146E"/>
    <w:rsid w:val="002315DA"/>
    <w:rsid w:val="002316F6"/>
    <w:rsid w:val="00231851"/>
    <w:rsid w:val="0023189E"/>
    <w:rsid w:val="00231A27"/>
    <w:rsid w:val="00231A8B"/>
    <w:rsid w:val="00231BB8"/>
    <w:rsid w:val="00232002"/>
    <w:rsid w:val="0023200A"/>
    <w:rsid w:val="0023223E"/>
    <w:rsid w:val="00232466"/>
    <w:rsid w:val="002325EE"/>
    <w:rsid w:val="00232626"/>
    <w:rsid w:val="0023271D"/>
    <w:rsid w:val="002328E3"/>
    <w:rsid w:val="002329CB"/>
    <w:rsid w:val="00232AE4"/>
    <w:rsid w:val="00232CFD"/>
    <w:rsid w:val="00232F05"/>
    <w:rsid w:val="00233062"/>
    <w:rsid w:val="002330AA"/>
    <w:rsid w:val="0023321E"/>
    <w:rsid w:val="0023343A"/>
    <w:rsid w:val="0023361C"/>
    <w:rsid w:val="00233761"/>
    <w:rsid w:val="002337F2"/>
    <w:rsid w:val="00233AB1"/>
    <w:rsid w:val="00233DCA"/>
    <w:rsid w:val="00233DED"/>
    <w:rsid w:val="00233E79"/>
    <w:rsid w:val="00234015"/>
    <w:rsid w:val="00234223"/>
    <w:rsid w:val="002343B6"/>
    <w:rsid w:val="00234618"/>
    <w:rsid w:val="00234645"/>
    <w:rsid w:val="00234701"/>
    <w:rsid w:val="00234821"/>
    <w:rsid w:val="00234860"/>
    <w:rsid w:val="00234CE8"/>
    <w:rsid w:val="00234E09"/>
    <w:rsid w:val="002353F3"/>
    <w:rsid w:val="0023559C"/>
    <w:rsid w:val="00235862"/>
    <w:rsid w:val="00235954"/>
    <w:rsid w:val="00235968"/>
    <w:rsid w:val="00235A45"/>
    <w:rsid w:val="00235AF2"/>
    <w:rsid w:val="00235F0B"/>
    <w:rsid w:val="00235F5C"/>
    <w:rsid w:val="00235FCF"/>
    <w:rsid w:val="00235FEF"/>
    <w:rsid w:val="00235FFD"/>
    <w:rsid w:val="00236203"/>
    <w:rsid w:val="00236777"/>
    <w:rsid w:val="00236981"/>
    <w:rsid w:val="002369DC"/>
    <w:rsid w:val="00236B54"/>
    <w:rsid w:val="00236C95"/>
    <w:rsid w:val="002370E6"/>
    <w:rsid w:val="00237560"/>
    <w:rsid w:val="00237604"/>
    <w:rsid w:val="002378DC"/>
    <w:rsid w:val="0023792D"/>
    <w:rsid w:val="00237945"/>
    <w:rsid w:val="00237C2B"/>
    <w:rsid w:val="00240095"/>
    <w:rsid w:val="002403AB"/>
    <w:rsid w:val="0024051F"/>
    <w:rsid w:val="00240660"/>
    <w:rsid w:val="00240729"/>
    <w:rsid w:val="00240AE4"/>
    <w:rsid w:val="00240B3D"/>
    <w:rsid w:val="00240B4D"/>
    <w:rsid w:val="00240BA9"/>
    <w:rsid w:val="00240BD3"/>
    <w:rsid w:val="0024113F"/>
    <w:rsid w:val="0024128C"/>
    <w:rsid w:val="002412BC"/>
    <w:rsid w:val="002412BD"/>
    <w:rsid w:val="0024179C"/>
    <w:rsid w:val="00241D1C"/>
    <w:rsid w:val="00241F37"/>
    <w:rsid w:val="0024240C"/>
    <w:rsid w:val="0024254F"/>
    <w:rsid w:val="002425F1"/>
    <w:rsid w:val="00242741"/>
    <w:rsid w:val="00242EEA"/>
    <w:rsid w:val="00242F20"/>
    <w:rsid w:val="00242F99"/>
    <w:rsid w:val="00242FF8"/>
    <w:rsid w:val="0024303D"/>
    <w:rsid w:val="0024315E"/>
    <w:rsid w:val="002431BD"/>
    <w:rsid w:val="002431C1"/>
    <w:rsid w:val="002431EB"/>
    <w:rsid w:val="002432E6"/>
    <w:rsid w:val="00243352"/>
    <w:rsid w:val="00243649"/>
    <w:rsid w:val="00243746"/>
    <w:rsid w:val="0024388B"/>
    <w:rsid w:val="002439C7"/>
    <w:rsid w:val="00243A55"/>
    <w:rsid w:val="00243D4C"/>
    <w:rsid w:val="00243EFD"/>
    <w:rsid w:val="00244339"/>
    <w:rsid w:val="00244356"/>
    <w:rsid w:val="00244396"/>
    <w:rsid w:val="002443C6"/>
    <w:rsid w:val="0024457E"/>
    <w:rsid w:val="00244811"/>
    <w:rsid w:val="002448F7"/>
    <w:rsid w:val="00244F43"/>
    <w:rsid w:val="00244FC1"/>
    <w:rsid w:val="0024535A"/>
    <w:rsid w:val="00245425"/>
    <w:rsid w:val="002457BC"/>
    <w:rsid w:val="00245833"/>
    <w:rsid w:val="00245859"/>
    <w:rsid w:val="0024585B"/>
    <w:rsid w:val="00245C4C"/>
    <w:rsid w:val="00245C76"/>
    <w:rsid w:val="00245E25"/>
    <w:rsid w:val="00246035"/>
    <w:rsid w:val="002460CD"/>
    <w:rsid w:val="0024620A"/>
    <w:rsid w:val="002462E9"/>
    <w:rsid w:val="00246473"/>
    <w:rsid w:val="0024650C"/>
    <w:rsid w:val="002465C1"/>
    <w:rsid w:val="002466F6"/>
    <w:rsid w:val="00246775"/>
    <w:rsid w:val="00246AB2"/>
    <w:rsid w:val="00246DB3"/>
    <w:rsid w:val="00246DD2"/>
    <w:rsid w:val="002473AB"/>
    <w:rsid w:val="002476A7"/>
    <w:rsid w:val="0024777E"/>
    <w:rsid w:val="00247B04"/>
    <w:rsid w:val="00247B10"/>
    <w:rsid w:val="00247B55"/>
    <w:rsid w:val="00247BA8"/>
    <w:rsid w:val="00247CAF"/>
    <w:rsid w:val="00247D78"/>
    <w:rsid w:val="00247E55"/>
    <w:rsid w:val="002501CD"/>
    <w:rsid w:val="002503E4"/>
    <w:rsid w:val="002504CA"/>
    <w:rsid w:val="00250667"/>
    <w:rsid w:val="002506D6"/>
    <w:rsid w:val="00250A7D"/>
    <w:rsid w:val="00250BB6"/>
    <w:rsid w:val="00250C2E"/>
    <w:rsid w:val="00250D7E"/>
    <w:rsid w:val="00250F78"/>
    <w:rsid w:val="00250F95"/>
    <w:rsid w:val="0025119B"/>
    <w:rsid w:val="00251353"/>
    <w:rsid w:val="002515CE"/>
    <w:rsid w:val="002516E1"/>
    <w:rsid w:val="002517AC"/>
    <w:rsid w:val="002519AA"/>
    <w:rsid w:val="00251AE3"/>
    <w:rsid w:val="00251B29"/>
    <w:rsid w:val="00251BF1"/>
    <w:rsid w:val="00251D3D"/>
    <w:rsid w:val="00251EED"/>
    <w:rsid w:val="00252079"/>
    <w:rsid w:val="002520C0"/>
    <w:rsid w:val="0025211B"/>
    <w:rsid w:val="00252368"/>
    <w:rsid w:val="002524FF"/>
    <w:rsid w:val="00252538"/>
    <w:rsid w:val="00252890"/>
    <w:rsid w:val="00252CF3"/>
    <w:rsid w:val="00252E00"/>
    <w:rsid w:val="00253028"/>
    <w:rsid w:val="002534A5"/>
    <w:rsid w:val="00253748"/>
    <w:rsid w:val="00253A2F"/>
    <w:rsid w:val="00253B56"/>
    <w:rsid w:val="00253E67"/>
    <w:rsid w:val="00253FD2"/>
    <w:rsid w:val="00254020"/>
    <w:rsid w:val="00254167"/>
    <w:rsid w:val="00254565"/>
    <w:rsid w:val="00254661"/>
    <w:rsid w:val="002548BA"/>
    <w:rsid w:val="002549D9"/>
    <w:rsid w:val="002549FF"/>
    <w:rsid w:val="00254AB1"/>
    <w:rsid w:val="00255391"/>
    <w:rsid w:val="002553DF"/>
    <w:rsid w:val="002555E0"/>
    <w:rsid w:val="002557AE"/>
    <w:rsid w:val="00255844"/>
    <w:rsid w:val="0025594F"/>
    <w:rsid w:val="00255A6C"/>
    <w:rsid w:val="00255ABE"/>
    <w:rsid w:val="00255C85"/>
    <w:rsid w:val="00255CDC"/>
    <w:rsid w:val="00255D0B"/>
    <w:rsid w:val="00255DD8"/>
    <w:rsid w:val="00255F06"/>
    <w:rsid w:val="00256127"/>
    <w:rsid w:val="00256163"/>
    <w:rsid w:val="00256397"/>
    <w:rsid w:val="002564DB"/>
    <w:rsid w:val="00256588"/>
    <w:rsid w:val="002565A3"/>
    <w:rsid w:val="00256899"/>
    <w:rsid w:val="00256D00"/>
    <w:rsid w:val="002571BD"/>
    <w:rsid w:val="0025721D"/>
    <w:rsid w:val="00257246"/>
    <w:rsid w:val="00257489"/>
    <w:rsid w:val="0025760B"/>
    <w:rsid w:val="00257749"/>
    <w:rsid w:val="002577ED"/>
    <w:rsid w:val="002579CA"/>
    <w:rsid w:val="00257A07"/>
    <w:rsid w:val="00257B34"/>
    <w:rsid w:val="00257D79"/>
    <w:rsid w:val="00257EE1"/>
    <w:rsid w:val="00260050"/>
    <w:rsid w:val="002602DA"/>
    <w:rsid w:val="00260456"/>
    <w:rsid w:val="002604AA"/>
    <w:rsid w:val="00260744"/>
    <w:rsid w:val="00260878"/>
    <w:rsid w:val="00260A3A"/>
    <w:rsid w:val="00260A8B"/>
    <w:rsid w:val="00260B2D"/>
    <w:rsid w:val="00260FAB"/>
    <w:rsid w:val="0026108B"/>
    <w:rsid w:val="00261392"/>
    <w:rsid w:val="00261404"/>
    <w:rsid w:val="002615FB"/>
    <w:rsid w:val="00261620"/>
    <w:rsid w:val="0026164C"/>
    <w:rsid w:val="002616CB"/>
    <w:rsid w:val="002616ED"/>
    <w:rsid w:val="00261DA7"/>
    <w:rsid w:val="00261E72"/>
    <w:rsid w:val="00261EFB"/>
    <w:rsid w:val="00262069"/>
    <w:rsid w:val="002622CE"/>
    <w:rsid w:val="002623AB"/>
    <w:rsid w:val="00262527"/>
    <w:rsid w:val="002626E2"/>
    <w:rsid w:val="0026270B"/>
    <w:rsid w:val="00262899"/>
    <w:rsid w:val="00262A6D"/>
    <w:rsid w:val="00262A6F"/>
    <w:rsid w:val="00262AA7"/>
    <w:rsid w:val="00262DB6"/>
    <w:rsid w:val="00262EC9"/>
    <w:rsid w:val="00262FB2"/>
    <w:rsid w:val="002630A5"/>
    <w:rsid w:val="00263424"/>
    <w:rsid w:val="002635C9"/>
    <w:rsid w:val="00263651"/>
    <w:rsid w:val="002636D7"/>
    <w:rsid w:val="0026370B"/>
    <w:rsid w:val="00263720"/>
    <w:rsid w:val="002637F9"/>
    <w:rsid w:val="002638E9"/>
    <w:rsid w:val="00263C15"/>
    <w:rsid w:val="002645CC"/>
    <w:rsid w:val="002648D4"/>
    <w:rsid w:val="00264A5C"/>
    <w:rsid w:val="00264B33"/>
    <w:rsid w:val="00264B66"/>
    <w:rsid w:val="00264C2F"/>
    <w:rsid w:val="00264C3E"/>
    <w:rsid w:val="00264E1E"/>
    <w:rsid w:val="00265070"/>
    <w:rsid w:val="00265121"/>
    <w:rsid w:val="00265184"/>
    <w:rsid w:val="00265220"/>
    <w:rsid w:val="00265369"/>
    <w:rsid w:val="00265596"/>
    <w:rsid w:val="00265945"/>
    <w:rsid w:val="0026597A"/>
    <w:rsid w:val="002659A3"/>
    <w:rsid w:val="00265B2D"/>
    <w:rsid w:val="00265BC7"/>
    <w:rsid w:val="00265C78"/>
    <w:rsid w:val="00265CD6"/>
    <w:rsid w:val="00265CE4"/>
    <w:rsid w:val="00265D45"/>
    <w:rsid w:val="00265E76"/>
    <w:rsid w:val="00265E7D"/>
    <w:rsid w:val="00265F49"/>
    <w:rsid w:val="002661C6"/>
    <w:rsid w:val="0026624B"/>
    <w:rsid w:val="00266698"/>
    <w:rsid w:val="002667EB"/>
    <w:rsid w:val="00266888"/>
    <w:rsid w:val="00266978"/>
    <w:rsid w:val="00266C2B"/>
    <w:rsid w:val="00266D2C"/>
    <w:rsid w:val="00266E54"/>
    <w:rsid w:val="00267168"/>
    <w:rsid w:val="00267209"/>
    <w:rsid w:val="002675AA"/>
    <w:rsid w:val="002675D7"/>
    <w:rsid w:val="00267888"/>
    <w:rsid w:val="002678B3"/>
    <w:rsid w:val="00267982"/>
    <w:rsid w:val="002679E9"/>
    <w:rsid w:val="00267E22"/>
    <w:rsid w:val="0027005C"/>
    <w:rsid w:val="002705CC"/>
    <w:rsid w:val="002706F8"/>
    <w:rsid w:val="002707B2"/>
    <w:rsid w:val="0027083D"/>
    <w:rsid w:val="00270D46"/>
    <w:rsid w:val="00270DD5"/>
    <w:rsid w:val="00270E97"/>
    <w:rsid w:val="00271169"/>
    <w:rsid w:val="002711B7"/>
    <w:rsid w:val="002711D2"/>
    <w:rsid w:val="00271271"/>
    <w:rsid w:val="002714B3"/>
    <w:rsid w:val="00271690"/>
    <w:rsid w:val="002716DF"/>
    <w:rsid w:val="00271830"/>
    <w:rsid w:val="002718DF"/>
    <w:rsid w:val="00271946"/>
    <w:rsid w:val="00271A77"/>
    <w:rsid w:val="00271AC7"/>
    <w:rsid w:val="00271CE7"/>
    <w:rsid w:val="00271D4B"/>
    <w:rsid w:val="00271DAF"/>
    <w:rsid w:val="00271DFF"/>
    <w:rsid w:val="00271FDA"/>
    <w:rsid w:val="0027203C"/>
    <w:rsid w:val="00272155"/>
    <w:rsid w:val="0027227F"/>
    <w:rsid w:val="00272326"/>
    <w:rsid w:val="0027237B"/>
    <w:rsid w:val="002723AB"/>
    <w:rsid w:val="002723F9"/>
    <w:rsid w:val="00272519"/>
    <w:rsid w:val="00272660"/>
    <w:rsid w:val="002726B9"/>
    <w:rsid w:val="00272744"/>
    <w:rsid w:val="0027276A"/>
    <w:rsid w:val="00272891"/>
    <w:rsid w:val="00272B45"/>
    <w:rsid w:val="00272B9E"/>
    <w:rsid w:val="00272C5D"/>
    <w:rsid w:val="00272D13"/>
    <w:rsid w:val="00272DFD"/>
    <w:rsid w:val="00272EBE"/>
    <w:rsid w:val="00273397"/>
    <w:rsid w:val="002733FB"/>
    <w:rsid w:val="00273449"/>
    <w:rsid w:val="00273475"/>
    <w:rsid w:val="002739A4"/>
    <w:rsid w:val="00273C6C"/>
    <w:rsid w:val="00273E3A"/>
    <w:rsid w:val="00273E52"/>
    <w:rsid w:val="00273E60"/>
    <w:rsid w:val="002741AE"/>
    <w:rsid w:val="0027420E"/>
    <w:rsid w:val="002743D0"/>
    <w:rsid w:val="00274690"/>
    <w:rsid w:val="00274887"/>
    <w:rsid w:val="00274C39"/>
    <w:rsid w:val="00274C53"/>
    <w:rsid w:val="00274DE5"/>
    <w:rsid w:val="00274E38"/>
    <w:rsid w:val="00274E54"/>
    <w:rsid w:val="0027529A"/>
    <w:rsid w:val="00275338"/>
    <w:rsid w:val="0027542B"/>
    <w:rsid w:val="00275571"/>
    <w:rsid w:val="00275A62"/>
    <w:rsid w:val="00275C05"/>
    <w:rsid w:val="00275CC1"/>
    <w:rsid w:val="00275D93"/>
    <w:rsid w:val="0027615C"/>
    <w:rsid w:val="00276191"/>
    <w:rsid w:val="002762AA"/>
    <w:rsid w:val="002762D1"/>
    <w:rsid w:val="002763D9"/>
    <w:rsid w:val="00276458"/>
    <w:rsid w:val="00276525"/>
    <w:rsid w:val="0027688F"/>
    <w:rsid w:val="00276A76"/>
    <w:rsid w:val="00276AFF"/>
    <w:rsid w:val="00276D3E"/>
    <w:rsid w:val="00276ED8"/>
    <w:rsid w:val="002771A7"/>
    <w:rsid w:val="002773C1"/>
    <w:rsid w:val="0027766D"/>
    <w:rsid w:val="002777BF"/>
    <w:rsid w:val="002778A8"/>
    <w:rsid w:val="00277A0E"/>
    <w:rsid w:val="00277B0F"/>
    <w:rsid w:val="00277B4E"/>
    <w:rsid w:val="00277C50"/>
    <w:rsid w:val="00277E61"/>
    <w:rsid w:val="00277E91"/>
    <w:rsid w:val="00277ED3"/>
    <w:rsid w:val="0028033F"/>
    <w:rsid w:val="00280368"/>
    <w:rsid w:val="002804B7"/>
    <w:rsid w:val="00280518"/>
    <w:rsid w:val="002805D5"/>
    <w:rsid w:val="002808A9"/>
    <w:rsid w:val="00280AFD"/>
    <w:rsid w:val="00280C4A"/>
    <w:rsid w:val="00280DA6"/>
    <w:rsid w:val="00280EB4"/>
    <w:rsid w:val="002810D2"/>
    <w:rsid w:val="00281135"/>
    <w:rsid w:val="00281155"/>
    <w:rsid w:val="002817D6"/>
    <w:rsid w:val="002819A5"/>
    <w:rsid w:val="00281BBD"/>
    <w:rsid w:val="00281CCC"/>
    <w:rsid w:val="00281DE7"/>
    <w:rsid w:val="00281E60"/>
    <w:rsid w:val="00281F1E"/>
    <w:rsid w:val="0028238A"/>
    <w:rsid w:val="00282509"/>
    <w:rsid w:val="00282982"/>
    <w:rsid w:val="00282F79"/>
    <w:rsid w:val="00282FDC"/>
    <w:rsid w:val="00283056"/>
    <w:rsid w:val="0028329F"/>
    <w:rsid w:val="00283652"/>
    <w:rsid w:val="0028381B"/>
    <w:rsid w:val="0028396C"/>
    <w:rsid w:val="00283C79"/>
    <w:rsid w:val="002847BF"/>
    <w:rsid w:val="002848C0"/>
    <w:rsid w:val="002849BD"/>
    <w:rsid w:val="00284AEB"/>
    <w:rsid w:val="00284BF8"/>
    <w:rsid w:val="00285085"/>
    <w:rsid w:val="002852E9"/>
    <w:rsid w:val="002853D3"/>
    <w:rsid w:val="002854FD"/>
    <w:rsid w:val="002857F7"/>
    <w:rsid w:val="00285C57"/>
    <w:rsid w:val="00285CD6"/>
    <w:rsid w:val="002860A4"/>
    <w:rsid w:val="002866E3"/>
    <w:rsid w:val="002867A6"/>
    <w:rsid w:val="002867BE"/>
    <w:rsid w:val="00286817"/>
    <w:rsid w:val="002869BE"/>
    <w:rsid w:val="002869E5"/>
    <w:rsid w:val="00286D81"/>
    <w:rsid w:val="00286E9E"/>
    <w:rsid w:val="00286F17"/>
    <w:rsid w:val="00286FA6"/>
    <w:rsid w:val="00286FC2"/>
    <w:rsid w:val="002871A7"/>
    <w:rsid w:val="002874B4"/>
    <w:rsid w:val="0028751F"/>
    <w:rsid w:val="00287569"/>
    <w:rsid w:val="00287744"/>
    <w:rsid w:val="00287869"/>
    <w:rsid w:val="002878E6"/>
    <w:rsid w:val="00287980"/>
    <w:rsid w:val="00287A40"/>
    <w:rsid w:val="00287BB3"/>
    <w:rsid w:val="002900A3"/>
    <w:rsid w:val="0029042F"/>
    <w:rsid w:val="002906DF"/>
    <w:rsid w:val="002906EB"/>
    <w:rsid w:val="00290845"/>
    <w:rsid w:val="00290A2D"/>
    <w:rsid w:val="00290AB2"/>
    <w:rsid w:val="00290B90"/>
    <w:rsid w:val="00290C8E"/>
    <w:rsid w:val="00290F79"/>
    <w:rsid w:val="00290FE5"/>
    <w:rsid w:val="00290FE9"/>
    <w:rsid w:val="00291174"/>
    <w:rsid w:val="00291193"/>
    <w:rsid w:val="00291417"/>
    <w:rsid w:val="0029141B"/>
    <w:rsid w:val="0029145B"/>
    <w:rsid w:val="00291975"/>
    <w:rsid w:val="00291991"/>
    <w:rsid w:val="00291B6A"/>
    <w:rsid w:val="00291BE7"/>
    <w:rsid w:val="00291E35"/>
    <w:rsid w:val="00291F3E"/>
    <w:rsid w:val="00292106"/>
    <w:rsid w:val="0029251A"/>
    <w:rsid w:val="0029261D"/>
    <w:rsid w:val="002926D8"/>
    <w:rsid w:val="00292930"/>
    <w:rsid w:val="00292A67"/>
    <w:rsid w:val="00292B97"/>
    <w:rsid w:val="00292C7C"/>
    <w:rsid w:val="00292F03"/>
    <w:rsid w:val="00292F36"/>
    <w:rsid w:val="00292F98"/>
    <w:rsid w:val="0029309D"/>
    <w:rsid w:val="002930AC"/>
    <w:rsid w:val="00293268"/>
    <w:rsid w:val="00293677"/>
    <w:rsid w:val="0029384C"/>
    <w:rsid w:val="00293A5D"/>
    <w:rsid w:val="00293AEA"/>
    <w:rsid w:val="00294079"/>
    <w:rsid w:val="00294365"/>
    <w:rsid w:val="00294472"/>
    <w:rsid w:val="0029460B"/>
    <w:rsid w:val="002947C1"/>
    <w:rsid w:val="00294803"/>
    <w:rsid w:val="00294993"/>
    <w:rsid w:val="00294998"/>
    <w:rsid w:val="00294A95"/>
    <w:rsid w:val="00294B56"/>
    <w:rsid w:val="00294E7F"/>
    <w:rsid w:val="00294F3F"/>
    <w:rsid w:val="002950CD"/>
    <w:rsid w:val="0029535A"/>
    <w:rsid w:val="0029537F"/>
    <w:rsid w:val="002953AA"/>
    <w:rsid w:val="002953BF"/>
    <w:rsid w:val="0029560C"/>
    <w:rsid w:val="0029561B"/>
    <w:rsid w:val="00295922"/>
    <w:rsid w:val="00295A6E"/>
    <w:rsid w:val="00295E7F"/>
    <w:rsid w:val="00295F4A"/>
    <w:rsid w:val="00296232"/>
    <w:rsid w:val="002962B5"/>
    <w:rsid w:val="002963FF"/>
    <w:rsid w:val="0029674A"/>
    <w:rsid w:val="0029676D"/>
    <w:rsid w:val="00296A43"/>
    <w:rsid w:val="00296ACC"/>
    <w:rsid w:val="00296C63"/>
    <w:rsid w:val="00296C6F"/>
    <w:rsid w:val="00296D52"/>
    <w:rsid w:val="00297366"/>
    <w:rsid w:val="0029737C"/>
    <w:rsid w:val="0029751F"/>
    <w:rsid w:val="00297725"/>
    <w:rsid w:val="00297B37"/>
    <w:rsid w:val="00297FB0"/>
    <w:rsid w:val="002A007F"/>
    <w:rsid w:val="002A0080"/>
    <w:rsid w:val="002A00F9"/>
    <w:rsid w:val="002A0232"/>
    <w:rsid w:val="002A025F"/>
    <w:rsid w:val="002A0331"/>
    <w:rsid w:val="002A05E0"/>
    <w:rsid w:val="002A05FB"/>
    <w:rsid w:val="002A073C"/>
    <w:rsid w:val="002A09F5"/>
    <w:rsid w:val="002A0A55"/>
    <w:rsid w:val="002A0A58"/>
    <w:rsid w:val="002A0C04"/>
    <w:rsid w:val="002A0D4A"/>
    <w:rsid w:val="002A0E98"/>
    <w:rsid w:val="002A0EB7"/>
    <w:rsid w:val="002A11EE"/>
    <w:rsid w:val="002A1371"/>
    <w:rsid w:val="002A1573"/>
    <w:rsid w:val="002A16CC"/>
    <w:rsid w:val="002A16E7"/>
    <w:rsid w:val="002A176F"/>
    <w:rsid w:val="002A17E3"/>
    <w:rsid w:val="002A17F4"/>
    <w:rsid w:val="002A1912"/>
    <w:rsid w:val="002A1C7C"/>
    <w:rsid w:val="002A1D03"/>
    <w:rsid w:val="002A1D20"/>
    <w:rsid w:val="002A1EF7"/>
    <w:rsid w:val="002A1F50"/>
    <w:rsid w:val="002A221F"/>
    <w:rsid w:val="002A2548"/>
    <w:rsid w:val="002A277C"/>
    <w:rsid w:val="002A29AA"/>
    <w:rsid w:val="002A2D96"/>
    <w:rsid w:val="002A2F1E"/>
    <w:rsid w:val="002A2F90"/>
    <w:rsid w:val="002A30F4"/>
    <w:rsid w:val="002A323E"/>
    <w:rsid w:val="002A3270"/>
    <w:rsid w:val="002A39C7"/>
    <w:rsid w:val="002A3ABE"/>
    <w:rsid w:val="002A3C7F"/>
    <w:rsid w:val="002A3E58"/>
    <w:rsid w:val="002A3E5F"/>
    <w:rsid w:val="002A4072"/>
    <w:rsid w:val="002A4467"/>
    <w:rsid w:val="002A44B9"/>
    <w:rsid w:val="002A45C7"/>
    <w:rsid w:val="002A4743"/>
    <w:rsid w:val="002A49DF"/>
    <w:rsid w:val="002A4A1C"/>
    <w:rsid w:val="002A4C21"/>
    <w:rsid w:val="002A4F74"/>
    <w:rsid w:val="002A50C3"/>
    <w:rsid w:val="002A50D0"/>
    <w:rsid w:val="002A52A4"/>
    <w:rsid w:val="002A52AD"/>
    <w:rsid w:val="002A5500"/>
    <w:rsid w:val="002A572E"/>
    <w:rsid w:val="002A59B3"/>
    <w:rsid w:val="002A59E2"/>
    <w:rsid w:val="002A5B38"/>
    <w:rsid w:val="002A5D35"/>
    <w:rsid w:val="002A5F47"/>
    <w:rsid w:val="002A6854"/>
    <w:rsid w:val="002A686B"/>
    <w:rsid w:val="002A68D3"/>
    <w:rsid w:val="002A6955"/>
    <w:rsid w:val="002A6B23"/>
    <w:rsid w:val="002A6DE0"/>
    <w:rsid w:val="002A6E51"/>
    <w:rsid w:val="002A725B"/>
    <w:rsid w:val="002A73A6"/>
    <w:rsid w:val="002A7763"/>
    <w:rsid w:val="002A79B9"/>
    <w:rsid w:val="002A7A00"/>
    <w:rsid w:val="002A7A13"/>
    <w:rsid w:val="002A7AB3"/>
    <w:rsid w:val="002A7CD8"/>
    <w:rsid w:val="002A7DAB"/>
    <w:rsid w:val="002A7DB0"/>
    <w:rsid w:val="002A7F43"/>
    <w:rsid w:val="002A7F90"/>
    <w:rsid w:val="002B041B"/>
    <w:rsid w:val="002B05C7"/>
    <w:rsid w:val="002B0651"/>
    <w:rsid w:val="002B0752"/>
    <w:rsid w:val="002B08FD"/>
    <w:rsid w:val="002B0A16"/>
    <w:rsid w:val="002B0AC1"/>
    <w:rsid w:val="002B0AD8"/>
    <w:rsid w:val="002B0D4A"/>
    <w:rsid w:val="002B0D5D"/>
    <w:rsid w:val="002B0FD9"/>
    <w:rsid w:val="002B106D"/>
    <w:rsid w:val="002B1521"/>
    <w:rsid w:val="002B15AE"/>
    <w:rsid w:val="002B1732"/>
    <w:rsid w:val="002B176D"/>
    <w:rsid w:val="002B189D"/>
    <w:rsid w:val="002B1D72"/>
    <w:rsid w:val="002B1E6B"/>
    <w:rsid w:val="002B2171"/>
    <w:rsid w:val="002B2433"/>
    <w:rsid w:val="002B24F4"/>
    <w:rsid w:val="002B2699"/>
    <w:rsid w:val="002B298F"/>
    <w:rsid w:val="002B29CE"/>
    <w:rsid w:val="002B2A74"/>
    <w:rsid w:val="002B2C9E"/>
    <w:rsid w:val="002B2D49"/>
    <w:rsid w:val="002B2D69"/>
    <w:rsid w:val="002B2DA8"/>
    <w:rsid w:val="002B2E4D"/>
    <w:rsid w:val="002B2F2F"/>
    <w:rsid w:val="002B3037"/>
    <w:rsid w:val="002B3134"/>
    <w:rsid w:val="002B35CF"/>
    <w:rsid w:val="002B35F6"/>
    <w:rsid w:val="002B370A"/>
    <w:rsid w:val="002B386F"/>
    <w:rsid w:val="002B38A7"/>
    <w:rsid w:val="002B3CB6"/>
    <w:rsid w:val="002B3CE5"/>
    <w:rsid w:val="002B3D16"/>
    <w:rsid w:val="002B40DB"/>
    <w:rsid w:val="002B4348"/>
    <w:rsid w:val="002B43F0"/>
    <w:rsid w:val="002B47AA"/>
    <w:rsid w:val="002B4E09"/>
    <w:rsid w:val="002B4F85"/>
    <w:rsid w:val="002B501D"/>
    <w:rsid w:val="002B51BC"/>
    <w:rsid w:val="002B527A"/>
    <w:rsid w:val="002B535F"/>
    <w:rsid w:val="002B53CE"/>
    <w:rsid w:val="002B54AB"/>
    <w:rsid w:val="002B553A"/>
    <w:rsid w:val="002B56C1"/>
    <w:rsid w:val="002B5842"/>
    <w:rsid w:val="002B5A6A"/>
    <w:rsid w:val="002B5D10"/>
    <w:rsid w:val="002B5D87"/>
    <w:rsid w:val="002B5E29"/>
    <w:rsid w:val="002B5E76"/>
    <w:rsid w:val="002B5EA3"/>
    <w:rsid w:val="002B5FB6"/>
    <w:rsid w:val="002B6072"/>
    <w:rsid w:val="002B6136"/>
    <w:rsid w:val="002B6327"/>
    <w:rsid w:val="002B6478"/>
    <w:rsid w:val="002B6510"/>
    <w:rsid w:val="002B6543"/>
    <w:rsid w:val="002B6640"/>
    <w:rsid w:val="002B6655"/>
    <w:rsid w:val="002B66A6"/>
    <w:rsid w:val="002B6982"/>
    <w:rsid w:val="002B6B76"/>
    <w:rsid w:val="002B6E54"/>
    <w:rsid w:val="002B725D"/>
    <w:rsid w:val="002B7454"/>
    <w:rsid w:val="002B74FF"/>
    <w:rsid w:val="002B7770"/>
    <w:rsid w:val="002B783D"/>
    <w:rsid w:val="002B79D1"/>
    <w:rsid w:val="002B7CBD"/>
    <w:rsid w:val="002B7CFB"/>
    <w:rsid w:val="002B7DDE"/>
    <w:rsid w:val="002B7E7E"/>
    <w:rsid w:val="002C0757"/>
    <w:rsid w:val="002C0907"/>
    <w:rsid w:val="002C0939"/>
    <w:rsid w:val="002C0985"/>
    <w:rsid w:val="002C0B27"/>
    <w:rsid w:val="002C0C52"/>
    <w:rsid w:val="002C0C7C"/>
    <w:rsid w:val="002C0E61"/>
    <w:rsid w:val="002C0EDC"/>
    <w:rsid w:val="002C0EEC"/>
    <w:rsid w:val="002C10C7"/>
    <w:rsid w:val="002C110E"/>
    <w:rsid w:val="002C139E"/>
    <w:rsid w:val="002C17B6"/>
    <w:rsid w:val="002C1E0D"/>
    <w:rsid w:val="002C221F"/>
    <w:rsid w:val="002C228B"/>
    <w:rsid w:val="002C2367"/>
    <w:rsid w:val="002C23B4"/>
    <w:rsid w:val="002C245C"/>
    <w:rsid w:val="002C26D2"/>
    <w:rsid w:val="002C2761"/>
    <w:rsid w:val="002C2879"/>
    <w:rsid w:val="002C2BD5"/>
    <w:rsid w:val="002C2BE2"/>
    <w:rsid w:val="002C355B"/>
    <w:rsid w:val="002C385C"/>
    <w:rsid w:val="002C38DD"/>
    <w:rsid w:val="002C38E5"/>
    <w:rsid w:val="002C3ADA"/>
    <w:rsid w:val="002C3D6B"/>
    <w:rsid w:val="002C3DF6"/>
    <w:rsid w:val="002C3F4B"/>
    <w:rsid w:val="002C3FE9"/>
    <w:rsid w:val="002C43A2"/>
    <w:rsid w:val="002C471C"/>
    <w:rsid w:val="002C486A"/>
    <w:rsid w:val="002C4984"/>
    <w:rsid w:val="002C4CAB"/>
    <w:rsid w:val="002C523C"/>
    <w:rsid w:val="002C54BB"/>
    <w:rsid w:val="002C54C4"/>
    <w:rsid w:val="002C54CA"/>
    <w:rsid w:val="002C56F2"/>
    <w:rsid w:val="002C5707"/>
    <w:rsid w:val="002C576B"/>
    <w:rsid w:val="002C5A28"/>
    <w:rsid w:val="002C5DC4"/>
    <w:rsid w:val="002C605A"/>
    <w:rsid w:val="002C635F"/>
    <w:rsid w:val="002C63D5"/>
    <w:rsid w:val="002C64A9"/>
    <w:rsid w:val="002C64D1"/>
    <w:rsid w:val="002C6834"/>
    <w:rsid w:val="002C6C0E"/>
    <w:rsid w:val="002C6D00"/>
    <w:rsid w:val="002C6F3D"/>
    <w:rsid w:val="002C7542"/>
    <w:rsid w:val="002C769B"/>
    <w:rsid w:val="002C7781"/>
    <w:rsid w:val="002C7854"/>
    <w:rsid w:val="002C7B4B"/>
    <w:rsid w:val="002C7DFA"/>
    <w:rsid w:val="002C7E34"/>
    <w:rsid w:val="002C7EE2"/>
    <w:rsid w:val="002D007B"/>
    <w:rsid w:val="002D0327"/>
    <w:rsid w:val="002D08FB"/>
    <w:rsid w:val="002D0934"/>
    <w:rsid w:val="002D0938"/>
    <w:rsid w:val="002D095C"/>
    <w:rsid w:val="002D09E3"/>
    <w:rsid w:val="002D0A31"/>
    <w:rsid w:val="002D0AE5"/>
    <w:rsid w:val="002D0B84"/>
    <w:rsid w:val="002D0BD8"/>
    <w:rsid w:val="002D0C64"/>
    <w:rsid w:val="002D0CCE"/>
    <w:rsid w:val="002D0DC6"/>
    <w:rsid w:val="002D12AC"/>
    <w:rsid w:val="002D1308"/>
    <w:rsid w:val="002D14B9"/>
    <w:rsid w:val="002D15E1"/>
    <w:rsid w:val="002D1941"/>
    <w:rsid w:val="002D1956"/>
    <w:rsid w:val="002D1AF5"/>
    <w:rsid w:val="002D1BEB"/>
    <w:rsid w:val="002D1FDB"/>
    <w:rsid w:val="002D2021"/>
    <w:rsid w:val="002D234A"/>
    <w:rsid w:val="002D23D9"/>
    <w:rsid w:val="002D257A"/>
    <w:rsid w:val="002D264C"/>
    <w:rsid w:val="002D26F5"/>
    <w:rsid w:val="002D29A8"/>
    <w:rsid w:val="002D2A6F"/>
    <w:rsid w:val="002D2D52"/>
    <w:rsid w:val="002D2D7B"/>
    <w:rsid w:val="002D2D7E"/>
    <w:rsid w:val="002D2E04"/>
    <w:rsid w:val="002D301C"/>
    <w:rsid w:val="002D35D9"/>
    <w:rsid w:val="002D3672"/>
    <w:rsid w:val="002D36CD"/>
    <w:rsid w:val="002D3916"/>
    <w:rsid w:val="002D3BF2"/>
    <w:rsid w:val="002D3D22"/>
    <w:rsid w:val="002D3D91"/>
    <w:rsid w:val="002D3DC4"/>
    <w:rsid w:val="002D3F0C"/>
    <w:rsid w:val="002D3F3F"/>
    <w:rsid w:val="002D3FA4"/>
    <w:rsid w:val="002D4002"/>
    <w:rsid w:val="002D422F"/>
    <w:rsid w:val="002D438A"/>
    <w:rsid w:val="002D4447"/>
    <w:rsid w:val="002D4697"/>
    <w:rsid w:val="002D4824"/>
    <w:rsid w:val="002D4A89"/>
    <w:rsid w:val="002D4B8D"/>
    <w:rsid w:val="002D4B8F"/>
    <w:rsid w:val="002D4E07"/>
    <w:rsid w:val="002D4E15"/>
    <w:rsid w:val="002D4EB5"/>
    <w:rsid w:val="002D5017"/>
    <w:rsid w:val="002D501F"/>
    <w:rsid w:val="002D51E4"/>
    <w:rsid w:val="002D5209"/>
    <w:rsid w:val="002D5269"/>
    <w:rsid w:val="002D5297"/>
    <w:rsid w:val="002D5464"/>
    <w:rsid w:val="002D55CE"/>
    <w:rsid w:val="002D5646"/>
    <w:rsid w:val="002D568A"/>
    <w:rsid w:val="002D5AB7"/>
    <w:rsid w:val="002D5B5E"/>
    <w:rsid w:val="002D5DAA"/>
    <w:rsid w:val="002D5DE5"/>
    <w:rsid w:val="002D6037"/>
    <w:rsid w:val="002D6297"/>
    <w:rsid w:val="002D633F"/>
    <w:rsid w:val="002D6392"/>
    <w:rsid w:val="002D64D2"/>
    <w:rsid w:val="002D66B8"/>
    <w:rsid w:val="002D66C7"/>
    <w:rsid w:val="002D6E01"/>
    <w:rsid w:val="002D7239"/>
    <w:rsid w:val="002D73DE"/>
    <w:rsid w:val="002D76EA"/>
    <w:rsid w:val="002D7766"/>
    <w:rsid w:val="002D7C90"/>
    <w:rsid w:val="002D7DED"/>
    <w:rsid w:val="002E0024"/>
    <w:rsid w:val="002E02AB"/>
    <w:rsid w:val="002E04EA"/>
    <w:rsid w:val="002E052A"/>
    <w:rsid w:val="002E0584"/>
    <w:rsid w:val="002E06A9"/>
    <w:rsid w:val="002E071D"/>
    <w:rsid w:val="002E07E5"/>
    <w:rsid w:val="002E08C3"/>
    <w:rsid w:val="002E0B15"/>
    <w:rsid w:val="002E0EDA"/>
    <w:rsid w:val="002E0F2F"/>
    <w:rsid w:val="002E10A9"/>
    <w:rsid w:val="002E1269"/>
    <w:rsid w:val="002E138A"/>
    <w:rsid w:val="002E13F1"/>
    <w:rsid w:val="002E140B"/>
    <w:rsid w:val="002E14DA"/>
    <w:rsid w:val="002E1783"/>
    <w:rsid w:val="002E1966"/>
    <w:rsid w:val="002E1AC6"/>
    <w:rsid w:val="002E1C91"/>
    <w:rsid w:val="002E276D"/>
    <w:rsid w:val="002E2BA5"/>
    <w:rsid w:val="002E2BF0"/>
    <w:rsid w:val="002E2D10"/>
    <w:rsid w:val="002E2FD3"/>
    <w:rsid w:val="002E3578"/>
    <w:rsid w:val="002E35B8"/>
    <w:rsid w:val="002E3997"/>
    <w:rsid w:val="002E3B58"/>
    <w:rsid w:val="002E3D01"/>
    <w:rsid w:val="002E401D"/>
    <w:rsid w:val="002E4083"/>
    <w:rsid w:val="002E417F"/>
    <w:rsid w:val="002E44EC"/>
    <w:rsid w:val="002E4678"/>
    <w:rsid w:val="002E4A3E"/>
    <w:rsid w:val="002E4B2E"/>
    <w:rsid w:val="002E4B6A"/>
    <w:rsid w:val="002E4B82"/>
    <w:rsid w:val="002E4C7C"/>
    <w:rsid w:val="002E5189"/>
    <w:rsid w:val="002E52D2"/>
    <w:rsid w:val="002E5349"/>
    <w:rsid w:val="002E56B1"/>
    <w:rsid w:val="002E57A6"/>
    <w:rsid w:val="002E5C0C"/>
    <w:rsid w:val="002E5C89"/>
    <w:rsid w:val="002E5EE4"/>
    <w:rsid w:val="002E5F11"/>
    <w:rsid w:val="002E6083"/>
    <w:rsid w:val="002E6337"/>
    <w:rsid w:val="002E6343"/>
    <w:rsid w:val="002E6441"/>
    <w:rsid w:val="002E64DA"/>
    <w:rsid w:val="002E695B"/>
    <w:rsid w:val="002E6D83"/>
    <w:rsid w:val="002E6E01"/>
    <w:rsid w:val="002E6FEA"/>
    <w:rsid w:val="002E70AD"/>
    <w:rsid w:val="002E72CE"/>
    <w:rsid w:val="002E73F4"/>
    <w:rsid w:val="002E7588"/>
    <w:rsid w:val="002E7606"/>
    <w:rsid w:val="002E7696"/>
    <w:rsid w:val="002E7840"/>
    <w:rsid w:val="002E7857"/>
    <w:rsid w:val="002E793D"/>
    <w:rsid w:val="002E7C85"/>
    <w:rsid w:val="002E7CB8"/>
    <w:rsid w:val="002E7DBB"/>
    <w:rsid w:val="002E7DBF"/>
    <w:rsid w:val="002E7EE2"/>
    <w:rsid w:val="002E7F46"/>
    <w:rsid w:val="002F06BC"/>
    <w:rsid w:val="002F07E6"/>
    <w:rsid w:val="002F0840"/>
    <w:rsid w:val="002F08B7"/>
    <w:rsid w:val="002F0949"/>
    <w:rsid w:val="002F0AD3"/>
    <w:rsid w:val="002F0D1B"/>
    <w:rsid w:val="002F0D81"/>
    <w:rsid w:val="002F0E61"/>
    <w:rsid w:val="002F1040"/>
    <w:rsid w:val="002F142E"/>
    <w:rsid w:val="002F152E"/>
    <w:rsid w:val="002F1749"/>
    <w:rsid w:val="002F18DF"/>
    <w:rsid w:val="002F1C9A"/>
    <w:rsid w:val="002F1EB3"/>
    <w:rsid w:val="002F1EBF"/>
    <w:rsid w:val="002F1F65"/>
    <w:rsid w:val="002F2181"/>
    <w:rsid w:val="002F221E"/>
    <w:rsid w:val="002F22B0"/>
    <w:rsid w:val="002F270C"/>
    <w:rsid w:val="002F27B2"/>
    <w:rsid w:val="002F2C89"/>
    <w:rsid w:val="002F31A6"/>
    <w:rsid w:val="002F3203"/>
    <w:rsid w:val="002F33FE"/>
    <w:rsid w:val="002F3461"/>
    <w:rsid w:val="002F3469"/>
    <w:rsid w:val="002F3577"/>
    <w:rsid w:val="002F358F"/>
    <w:rsid w:val="002F3748"/>
    <w:rsid w:val="002F3968"/>
    <w:rsid w:val="002F3AF4"/>
    <w:rsid w:val="002F3C0D"/>
    <w:rsid w:val="002F3C8A"/>
    <w:rsid w:val="002F3D03"/>
    <w:rsid w:val="002F3F41"/>
    <w:rsid w:val="002F4553"/>
    <w:rsid w:val="002F48C4"/>
    <w:rsid w:val="002F4B26"/>
    <w:rsid w:val="002F4EF6"/>
    <w:rsid w:val="002F4F2B"/>
    <w:rsid w:val="002F4FE2"/>
    <w:rsid w:val="002F5198"/>
    <w:rsid w:val="002F5228"/>
    <w:rsid w:val="002F528A"/>
    <w:rsid w:val="002F5322"/>
    <w:rsid w:val="002F5A3F"/>
    <w:rsid w:val="002F5C5B"/>
    <w:rsid w:val="002F5CFD"/>
    <w:rsid w:val="002F5D64"/>
    <w:rsid w:val="002F5E2B"/>
    <w:rsid w:val="002F6168"/>
    <w:rsid w:val="002F61DB"/>
    <w:rsid w:val="002F620E"/>
    <w:rsid w:val="002F6697"/>
    <w:rsid w:val="002F670F"/>
    <w:rsid w:val="002F67D4"/>
    <w:rsid w:val="002F6889"/>
    <w:rsid w:val="002F6A9B"/>
    <w:rsid w:val="002F6E22"/>
    <w:rsid w:val="002F6E7D"/>
    <w:rsid w:val="002F6F49"/>
    <w:rsid w:val="002F721E"/>
    <w:rsid w:val="002F726C"/>
    <w:rsid w:val="002F7299"/>
    <w:rsid w:val="002F73D1"/>
    <w:rsid w:val="002F7671"/>
    <w:rsid w:val="002F76A9"/>
    <w:rsid w:val="002F7810"/>
    <w:rsid w:val="002F7B93"/>
    <w:rsid w:val="002F7D2B"/>
    <w:rsid w:val="002F7F32"/>
    <w:rsid w:val="00300156"/>
    <w:rsid w:val="00300318"/>
    <w:rsid w:val="003006F3"/>
    <w:rsid w:val="00300733"/>
    <w:rsid w:val="00300ACE"/>
    <w:rsid w:val="00300C26"/>
    <w:rsid w:val="00300CC0"/>
    <w:rsid w:val="00301149"/>
    <w:rsid w:val="003016D7"/>
    <w:rsid w:val="0030171B"/>
    <w:rsid w:val="00301875"/>
    <w:rsid w:val="00301A7C"/>
    <w:rsid w:val="00301B9A"/>
    <w:rsid w:val="00301E4F"/>
    <w:rsid w:val="00302002"/>
    <w:rsid w:val="00302065"/>
    <w:rsid w:val="00302131"/>
    <w:rsid w:val="0030236E"/>
    <w:rsid w:val="00302383"/>
    <w:rsid w:val="00302647"/>
    <w:rsid w:val="00302A33"/>
    <w:rsid w:val="00302A8D"/>
    <w:rsid w:val="00302AE8"/>
    <w:rsid w:val="00302D13"/>
    <w:rsid w:val="00302FA4"/>
    <w:rsid w:val="00303073"/>
    <w:rsid w:val="003036D5"/>
    <w:rsid w:val="00303AA2"/>
    <w:rsid w:val="00303AC8"/>
    <w:rsid w:val="00303DC4"/>
    <w:rsid w:val="003042C2"/>
    <w:rsid w:val="003043AB"/>
    <w:rsid w:val="003046B9"/>
    <w:rsid w:val="003046E5"/>
    <w:rsid w:val="003047E6"/>
    <w:rsid w:val="00304DC2"/>
    <w:rsid w:val="00304DDD"/>
    <w:rsid w:val="003050B0"/>
    <w:rsid w:val="00305294"/>
    <w:rsid w:val="00305348"/>
    <w:rsid w:val="00305375"/>
    <w:rsid w:val="00305478"/>
    <w:rsid w:val="00305649"/>
    <w:rsid w:val="00305672"/>
    <w:rsid w:val="003056DA"/>
    <w:rsid w:val="00305853"/>
    <w:rsid w:val="003058F4"/>
    <w:rsid w:val="00305906"/>
    <w:rsid w:val="00305938"/>
    <w:rsid w:val="00305B2A"/>
    <w:rsid w:val="00305C6F"/>
    <w:rsid w:val="00305D67"/>
    <w:rsid w:val="00305F0B"/>
    <w:rsid w:val="00305F6D"/>
    <w:rsid w:val="00306610"/>
    <w:rsid w:val="0030670D"/>
    <w:rsid w:val="00306A12"/>
    <w:rsid w:val="00307131"/>
    <w:rsid w:val="003071C6"/>
    <w:rsid w:val="0030754E"/>
    <w:rsid w:val="00307821"/>
    <w:rsid w:val="00307B3D"/>
    <w:rsid w:val="00307C75"/>
    <w:rsid w:val="00307ECB"/>
    <w:rsid w:val="0031048E"/>
    <w:rsid w:val="00310652"/>
    <w:rsid w:val="0031068D"/>
    <w:rsid w:val="003107ED"/>
    <w:rsid w:val="00310821"/>
    <w:rsid w:val="00310834"/>
    <w:rsid w:val="00310ADC"/>
    <w:rsid w:val="00310B0D"/>
    <w:rsid w:val="00310C19"/>
    <w:rsid w:val="00310D5A"/>
    <w:rsid w:val="00310F43"/>
    <w:rsid w:val="00310FA3"/>
    <w:rsid w:val="003110ED"/>
    <w:rsid w:val="0031124D"/>
    <w:rsid w:val="00311455"/>
    <w:rsid w:val="003114F0"/>
    <w:rsid w:val="00311654"/>
    <w:rsid w:val="00311705"/>
    <w:rsid w:val="003117C9"/>
    <w:rsid w:val="00311C1E"/>
    <w:rsid w:val="00311CC0"/>
    <w:rsid w:val="003125AE"/>
    <w:rsid w:val="003125BD"/>
    <w:rsid w:val="003127C1"/>
    <w:rsid w:val="003128C5"/>
    <w:rsid w:val="00312ADC"/>
    <w:rsid w:val="00312BC6"/>
    <w:rsid w:val="00312C68"/>
    <w:rsid w:val="00312CFB"/>
    <w:rsid w:val="00313482"/>
    <w:rsid w:val="003135A9"/>
    <w:rsid w:val="00313C59"/>
    <w:rsid w:val="00313C73"/>
    <w:rsid w:val="0031409F"/>
    <w:rsid w:val="0031426B"/>
    <w:rsid w:val="0031462D"/>
    <w:rsid w:val="0031476F"/>
    <w:rsid w:val="0031499E"/>
    <w:rsid w:val="00314A3B"/>
    <w:rsid w:val="00314CA7"/>
    <w:rsid w:val="00314DB0"/>
    <w:rsid w:val="00314DFB"/>
    <w:rsid w:val="0031506B"/>
    <w:rsid w:val="003150D0"/>
    <w:rsid w:val="00315307"/>
    <w:rsid w:val="00315443"/>
    <w:rsid w:val="00315452"/>
    <w:rsid w:val="00315B44"/>
    <w:rsid w:val="00315DF4"/>
    <w:rsid w:val="00316084"/>
    <w:rsid w:val="00316811"/>
    <w:rsid w:val="00316AA5"/>
    <w:rsid w:val="00316C7C"/>
    <w:rsid w:val="0031720E"/>
    <w:rsid w:val="003172D1"/>
    <w:rsid w:val="0031750B"/>
    <w:rsid w:val="003176B5"/>
    <w:rsid w:val="003178D0"/>
    <w:rsid w:val="00317B8F"/>
    <w:rsid w:val="00317D53"/>
    <w:rsid w:val="00317D85"/>
    <w:rsid w:val="003202D0"/>
    <w:rsid w:val="00320401"/>
    <w:rsid w:val="00320550"/>
    <w:rsid w:val="00320731"/>
    <w:rsid w:val="00320C98"/>
    <w:rsid w:val="00320D56"/>
    <w:rsid w:val="00321031"/>
    <w:rsid w:val="0032127C"/>
    <w:rsid w:val="003214DA"/>
    <w:rsid w:val="003215EB"/>
    <w:rsid w:val="003216B4"/>
    <w:rsid w:val="003216C5"/>
    <w:rsid w:val="00321823"/>
    <w:rsid w:val="003218A9"/>
    <w:rsid w:val="00321E3F"/>
    <w:rsid w:val="00321E6D"/>
    <w:rsid w:val="00321FF0"/>
    <w:rsid w:val="0032217D"/>
    <w:rsid w:val="0032259D"/>
    <w:rsid w:val="003225C4"/>
    <w:rsid w:val="00322709"/>
    <w:rsid w:val="00322C8E"/>
    <w:rsid w:val="00322CB1"/>
    <w:rsid w:val="00322D3E"/>
    <w:rsid w:val="003230D3"/>
    <w:rsid w:val="003230E6"/>
    <w:rsid w:val="003233D5"/>
    <w:rsid w:val="003234DE"/>
    <w:rsid w:val="00323946"/>
    <w:rsid w:val="003239A6"/>
    <w:rsid w:val="003239DD"/>
    <w:rsid w:val="00323A40"/>
    <w:rsid w:val="00323AF0"/>
    <w:rsid w:val="00323BBD"/>
    <w:rsid w:val="00323BD7"/>
    <w:rsid w:val="00323CE0"/>
    <w:rsid w:val="00323DC5"/>
    <w:rsid w:val="00323EAC"/>
    <w:rsid w:val="00323F1A"/>
    <w:rsid w:val="00323F8E"/>
    <w:rsid w:val="00323FEF"/>
    <w:rsid w:val="00324761"/>
    <w:rsid w:val="00324923"/>
    <w:rsid w:val="00324C75"/>
    <w:rsid w:val="00324CE2"/>
    <w:rsid w:val="00324D1E"/>
    <w:rsid w:val="00324E78"/>
    <w:rsid w:val="00324ECA"/>
    <w:rsid w:val="00324FA4"/>
    <w:rsid w:val="00325291"/>
    <w:rsid w:val="003255B6"/>
    <w:rsid w:val="0032587B"/>
    <w:rsid w:val="00326137"/>
    <w:rsid w:val="00326303"/>
    <w:rsid w:val="00326382"/>
    <w:rsid w:val="003263BD"/>
    <w:rsid w:val="003263F5"/>
    <w:rsid w:val="003264B4"/>
    <w:rsid w:val="0032664F"/>
    <w:rsid w:val="00326A54"/>
    <w:rsid w:val="00326A91"/>
    <w:rsid w:val="00326B41"/>
    <w:rsid w:val="00326CEA"/>
    <w:rsid w:val="00326F85"/>
    <w:rsid w:val="00326FE2"/>
    <w:rsid w:val="00327A78"/>
    <w:rsid w:val="003300D3"/>
    <w:rsid w:val="003302A2"/>
    <w:rsid w:val="003303B4"/>
    <w:rsid w:val="003303F7"/>
    <w:rsid w:val="00330748"/>
    <w:rsid w:val="0033081E"/>
    <w:rsid w:val="00330A05"/>
    <w:rsid w:val="00330AA0"/>
    <w:rsid w:val="00330B78"/>
    <w:rsid w:val="00330BED"/>
    <w:rsid w:val="00330CCD"/>
    <w:rsid w:val="00330F68"/>
    <w:rsid w:val="00331075"/>
    <w:rsid w:val="0033108E"/>
    <w:rsid w:val="00331264"/>
    <w:rsid w:val="003312BE"/>
    <w:rsid w:val="003314C5"/>
    <w:rsid w:val="003315E4"/>
    <w:rsid w:val="003315EE"/>
    <w:rsid w:val="00331625"/>
    <w:rsid w:val="0033179F"/>
    <w:rsid w:val="003319F8"/>
    <w:rsid w:val="00331AB9"/>
    <w:rsid w:val="00331F0D"/>
    <w:rsid w:val="00332008"/>
    <w:rsid w:val="0033211F"/>
    <w:rsid w:val="003323F1"/>
    <w:rsid w:val="00332445"/>
    <w:rsid w:val="0033254C"/>
    <w:rsid w:val="003325AB"/>
    <w:rsid w:val="003327AB"/>
    <w:rsid w:val="00332A5F"/>
    <w:rsid w:val="00332B16"/>
    <w:rsid w:val="00332D22"/>
    <w:rsid w:val="003331F2"/>
    <w:rsid w:val="0033356D"/>
    <w:rsid w:val="0033374C"/>
    <w:rsid w:val="0033388A"/>
    <w:rsid w:val="003338F6"/>
    <w:rsid w:val="00333C7F"/>
    <w:rsid w:val="00333DA2"/>
    <w:rsid w:val="00334032"/>
    <w:rsid w:val="003340F0"/>
    <w:rsid w:val="0033423C"/>
    <w:rsid w:val="00334276"/>
    <w:rsid w:val="003344C6"/>
    <w:rsid w:val="003345F1"/>
    <w:rsid w:val="003347B6"/>
    <w:rsid w:val="00334863"/>
    <w:rsid w:val="00334BC5"/>
    <w:rsid w:val="00334DF5"/>
    <w:rsid w:val="00334DF8"/>
    <w:rsid w:val="0033509A"/>
    <w:rsid w:val="00335104"/>
    <w:rsid w:val="00335258"/>
    <w:rsid w:val="003352E4"/>
    <w:rsid w:val="0033530F"/>
    <w:rsid w:val="003353C5"/>
    <w:rsid w:val="003354EA"/>
    <w:rsid w:val="003354EE"/>
    <w:rsid w:val="00335887"/>
    <w:rsid w:val="00335B24"/>
    <w:rsid w:val="00335BBD"/>
    <w:rsid w:val="00336207"/>
    <w:rsid w:val="00336481"/>
    <w:rsid w:val="003364EE"/>
    <w:rsid w:val="003364F9"/>
    <w:rsid w:val="003367F0"/>
    <w:rsid w:val="003367FF"/>
    <w:rsid w:val="00336BF0"/>
    <w:rsid w:val="00336D23"/>
    <w:rsid w:val="00336D32"/>
    <w:rsid w:val="00336D5C"/>
    <w:rsid w:val="00336D87"/>
    <w:rsid w:val="003370EE"/>
    <w:rsid w:val="00337169"/>
    <w:rsid w:val="003373E1"/>
    <w:rsid w:val="00337791"/>
    <w:rsid w:val="003379DF"/>
    <w:rsid w:val="00337A16"/>
    <w:rsid w:val="00337DAE"/>
    <w:rsid w:val="00337DB0"/>
    <w:rsid w:val="00337E1A"/>
    <w:rsid w:val="00337E3A"/>
    <w:rsid w:val="00337FFB"/>
    <w:rsid w:val="00340083"/>
    <w:rsid w:val="00340111"/>
    <w:rsid w:val="00340183"/>
    <w:rsid w:val="003402BD"/>
    <w:rsid w:val="0034039D"/>
    <w:rsid w:val="00340413"/>
    <w:rsid w:val="00340922"/>
    <w:rsid w:val="00340D22"/>
    <w:rsid w:val="00341008"/>
    <w:rsid w:val="0034109D"/>
    <w:rsid w:val="003411AC"/>
    <w:rsid w:val="00341230"/>
    <w:rsid w:val="00341242"/>
    <w:rsid w:val="00341367"/>
    <w:rsid w:val="0034138A"/>
    <w:rsid w:val="003415AF"/>
    <w:rsid w:val="00341BA6"/>
    <w:rsid w:val="00341D59"/>
    <w:rsid w:val="00342344"/>
    <w:rsid w:val="003423F2"/>
    <w:rsid w:val="00342450"/>
    <w:rsid w:val="003426B7"/>
    <w:rsid w:val="003429FB"/>
    <w:rsid w:val="00342E06"/>
    <w:rsid w:val="00342E5B"/>
    <w:rsid w:val="0034306A"/>
    <w:rsid w:val="0034311C"/>
    <w:rsid w:val="00343232"/>
    <w:rsid w:val="003434F2"/>
    <w:rsid w:val="00343719"/>
    <w:rsid w:val="0034391A"/>
    <w:rsid w:val="00343BB2"/>
    <w:rsid w:val="00343E41"/>
    <w:rsid w:val="00343E55"/>
    <w:rsid w:val="00343EA9"/>
    <w:rsid w:val="00344069"/>
    <w:rsid w:val="003443A2"/>
    <w:rsid w:val="003443A8"/>
    <w:rsid w:val="00344494"/>
    <w:rsid w:val="003444F7"/>
    <w:rsid w:val="0034453A"/>
    <w:rsid w:val="003446DD"/>
    <w:rsid w:val="0034484A"/>
    <w:rsid w:val="003448AA"/>
    <w:rsid w:val="003448E9"/>
    <w:rsid w:val="00344BE2"/>
    <w:rsid w:val="00344ED5"/>
    <w:rsid w:val="00344ED6"/>
    <w:rsid w:val="00344FAC"/>
    <w:rsid w:val="003450C1"/>
    <w:rsid w:val="003454F4"/>
    <w:rsid w:val="00345771"/>
    <w:rsid w:val="003459C1"/>
    <w:rsid w:val="00345B21"/>
    <w:rsid w:val="00345CC9"/>
    <w:rsid w:val="00345E27"/>
    <w:rsid w:val="00345E47"/>
    <w:rsid w:val="003460A3"/>
    <w:rsid w:val="0034618C"/>
    <w:rsid w:val="00346411"/>
    <w:rsid w:val="0034654F"/>
    <w:rsid w:val="00346789"/>
    <w:rsid w:val="003467FF"/>
    <w:rsid w:val="003468DE"/>
    <w:rsid w:val="00346A11"/>
    <w:rsid w:val="00346B41"/>
    <w:rsid w:val="00346B42"/>
    <w:rsid w:val="00346D27"/>
    <w:rsid w:val="00346D91"/>
    <w:rsid w:val="0034700A"/>
    <w:rsid w:val="00347314"/>
    <w:rsid w:val="003474D0"/>
    <w:rsid w:val="003475EC"/>
    <w:rsid w:val="0034760A"/>
    <w:rsid w:val="00347831"/>
    <w:rsid w:val="003478C5"/>
    <w:rsid w:val="00347B08"/>
    <w:rsid w:val="00347B43"/>
    <w:rsid w:val="00347CE3"/>
    <w:rsid w:val="00347EC1"/>
    <w:rsid w:val="003500EE"/>
    <w:rsid w:val="0035019D"/>
    <w:rsid w:val="00350244"/>
    <w:rsid w:val="00350401"/>
    <w:rsid w:val="003504A4"/>
    <w:rsid w:val="00350523"/>
    <w:rsid w:val="00350768"/>
    <w:rsid w:val="0035078A"/>
    <w:rsid w:val="00350A5D"/>
    <w:rsid w:val="00350B53"/>
    <w:rsid w:val="00350C16"/>
    <w:rsid w:val="00350C73"/>
    <w:rsid w:val="00350DC3"/>
    <w:rsid w:val="00350F79"/>
    <w:rsid w:val="00350FCE"/>
    <w:rsid w:val="00351190"/>
    <w:rsid w:val="003513BA"/>
    <w:rsid w:val="0035141D"/>
    <w:rsid w:val="00351580"/>
    <w:rsid w:val="00351751"/>
    <w:rsid w:val="00351B59"/>
    <w:rsid w:val="00351CAB"/>
    <w:rsid w:val="00351CD6"/>
    <w:rsid w:val="00351DA3"/>
    <w:rsid w:val="00351E32"/>
    <w:rsid w:val="00351FD3"/>
    <w:rsid w:val="0035206A"/>
    <w:rsid w:val="00352121"/>
    <w:rsid w:val="0035258D"/>
    <w:rsid w:val="00352648"/>
    <w:rsid w:val="0035279C"/>
    <w:rsid w:val="003528CD"/>
    <w:rsid w:val="00352C16"/>
    <w:rsid w:val="00352DB4"/>
    <w:rsid w:val="00353001"/>
    <w:rsid w:val="00353175"/>
    <w:rsid w:val="00353227"/>
    <w:rsid w:val="0035328B"/>
    <w:rsid w:val="003533FC"/>
    <w:rsid w:val="0035350D"/>
    <w:rsid w:val="003535D9"/>
    <w:rsid w:val="00353CF2"/>
    <w:rsid w:val="00353DA1"/>
    <w:rsid w:val="00353DCD"/>
    <w:rsid w:val="00354131"/>
    <w:rsid w:val="00354136"/>
    <w:rsid w:val="00354191"/>
    <w:rsid w:val="00354192"/>
    <w:rsid w:val="00354231"/>
    <w:rsid w:val="00354369"/>
    <w:rsid w:val="00354428"/>
    <w:rsid w:val="00354575"/>
    <w:rsid w:val="00354BB5"/>
    <w:rsid w:val="003551A7"/>
    <w:rsid w:val="0035523A"/>
    <w:rsid w:val="00355538"/>
    <w:rsid w:val="0035553A"/>
    <w:rsid w:val="00355554"/>
    <w:rsid w:val="0035555B"/>
    <w:rsid w:val="00355935"/>
    <w:rsid w:val="00355AB2"/>
    <w:rsid w:val="00355CE5"/>
    <w:rsid w:val="00355F61"/>
    <w:rsid w:val="00355F62"/>
    <w:rsid w:val="00356032"/>
    <w:rsid w:val="0035623B"/>
    <w:rsid w:val="003562AE"/>
    <w:rsid w:val="00356571"/>
    <w:rsid w:val="00356699"/>
    <w:rsid w:val="0035676F"/>
    <w:rsid w:val="00356C53"/>
    <w:rsid w:val="00356CA9"/>
    <w:rsid w:val="00356CEE"/>
    <w:rsid w:val="00356D88"/>
    <w:rsid w:val="00356EC1"/>
    <w:rsid w:val="00356ECB"/>
    <w:rsid w:val="00356F29"/>
    <w:rsid w:val="00356FD2"/>
    <w:rsid w:val="00357211"/>
    <w:rsid w:val="0035728F"/>
    <w:rsid w:val="003573F0"/>
    <w:rsid w:val="00357527"/>
    <w:rsid w:val="003575C5"/>
    <w:rsid w:val="003575C7"/>
    <w:rsid w:val="00357674"/>
    <w:rsid w:val="003579F5"/>
    <w:rsid w:val="00357B04"/>
    <w:rsid w:val="00357C56"/>
    <w:rsid w:val="00357DEA"/>
    <w:rsid w:val="00360098"/>
    <w:rsid w:val="00360186"/>
    <w:rsid w:val="003603C5"/>
    <w:rsid w:val="00360AB8"/>
    <w:rsid w:val="00361493"/>
    <w:rsid w:val="00361A95"/>
    <w:rsid w:val="00361ADA"/>
    <w:rsid w:val="00361B2D"/>
    <w:rsid w:val="00361D44"/>
    <w:rsid w:val="00361D7B"/>
    <w:rsid w:val="00361E31"/>
    <w:rsid w:val="003621A5"/>
    <w:rsid w:val="0036248C"/>
    <w:rsid w:val="0036298B"/>
    <w:rsid w:val="00362A11"/>
    <w:rsid w:val="00362A2E"/>
    <w:rsid w:val="00362CDB"/>
    <w:rsid w:val="00362EDF"/>
    <w:rsid w:val="003637B7"/>
    <w:rsid w:val="003637C0"/>
    <w:rsid w:val="003637E0"/>
    <w:rsid w:val="00363880"/>
    <w:rsid w:val="003638F9"/>
    <w:rsid w:val="00363A77"/>
    <w:rsid w:val="00363ACA"/>
    <w:rsid w:val="00363BD0"/>
    <w:rsid w:val="00363BEA"/>
    <w:rsid w:val="003640DA"/>
    <w:rsid w:val="0036424F"/>
    <w:rsid w:val="00364304"/>
    <w:rsid w:val="003644BE"/>
    <w:rsid w:val="00364608"/>
    <w:rsid w:val="0036468B"/>
    <w:rsid w:val="00364849"/>
    <w:rsid w:val="00364886"/>
    <w:rsid w:val="003648AE"/>
    <w:rsid w:val="00364926"/>
    <w:rsid w:val="00364969"/>
    <w:rsid w:val="00365087"/>
    <w:rsid w:val="0036518A"/>
    <w:rsid w:val="00365298"/>
    <w:rsid w:val="00365817"/>
    <w:rsid w:val="00365975"/>
    <w:rsid w:val="00365A81"/>
    <w:rsid w:val="00365B09"/>
    <w:rsid w:val="00365C35"/>
    <w:rsid w:val="00365D70"/>
    <w:rsid w:val="00365F34"/>
    <w:rsid w:val="00365F38"/>
    <w:rsid w:val="0036606B"/>
    <w:rsid w:val="0036622B"/>
    <w:rsid w:val="003664C9"/>
    <w:rsid w:val="003665D7"/>
    <w:rsid w:val="003665FB"/>
    <w:rsid w:val="00366A15"/>
    <w:rsid w:val="00366CD3"/>
    <w:rsid w:val="00366D65"/>
    <w:rsid w:val="00366E08"/>
    <w:rsid w:val="00366ED9"/>
    <w:rsid w:val="003670FD"/>
    <w:rsid w:val="003671CF"/>
    <w:rsid w:val="00367440"/>
    <w:rsid w:val="0036756A"/>
    <w:rsid w:val="003675D6"/>
    <w:rsid w:val="0036790F"/>
    <w:rsid w:val="00367BDB"/>
    <w:rsid w:val="00367BDC"/>
    <w:rsid w:val="00370132"/>
    <w:rsid w:val="003702F8"/>
    <w:rsid w:val="0037036D"/>
    <w:rsid w:val="0037054D"/>
    <w:rsid w:val="003706C9"/>
    <w:rsid w:val="00370734"/>
    <w:rsid w:val="003707E6"/>
    <w:rsid w:val="003707F9"/>
    <w:rsid w:val="00370C62"/>
    <w:rsid w:val="003715D6"/>
    <w:rsid w:val="0037166D"/>
    <w:rsid w:val="00371A70"/>
    <w:rsid w:val="00371DBB"/>
    <w:rsid w:val="003721B4"/>
    <w:rsid w:val="0037220F"/>
    <w:rsid w:val="003723D4"/>
    <w:rsid w:val="003724C5"/>
    <w:rsid w:val="0037258B"/>
    <w:rsid w:val="0037269A"/>
    <w:rsid w:val="00372808"/>
    <w:rsid w:val="0037296B"/>
    <w:rsid w:val="00372A06"/>
    <w:rsid w:val="0037301B"/>
    <w:rsid w:val="00373125"/>
    <w:rsid w:val="00373268"/>
    <w:rsid w:val="003733CC"/>
    <w:rsid w:val="00373966"/>
    <w:rsid w:val="00373BFA"/>
    <w:rsid w:val="00373C84"/>
    <w:rsid w:val="00373E59"/>
    <w:rsid w:val="00373F6F"/>
    <w:rsid w:val="00374200"/>
    <w:rsid w:val="00374532"/>
    <w:rsid w:val="0037467B"/>
    <w:rsid w:val="00374869"/>
    <w:rsid w:val="003748E2"/>
    <w:rsid w:val="00374941"/>
    <w:rsid w:val="003749B1"/>
    <w:rsid w:val="00374AC0"/>
    <w:rsid w:val="00374B27"/>
    <w:rsid w:val="00374CAF"/>
    <w:rsid w:val="00374DFE"/>
    <w:rsid w:val="00374FCA"/>
    <w:rsid w:val="00374FD3"/>
    <w:rsid w:val="003752A5"/>
    <w:rsid w:val="00375354"/>
    <w:rsid w:val="00375361"/>
    <w:rsid w:val="003753C0"/>
    <w:rsid w:val="00375413"/>
    <w:rsid w:val="0037548D"/>
    <w:rsid w:val="00375570"/>
    <w:rsid w:val="0037568B"/>
    <w:rsid w:val="00375824"/>
    <w:rsid w:val="00375871"/>
    <w:rsid w:val="003758A6"/>
    <w:rsid w:val="00375B41"/>
    <w:rsid w:val="00375C23"/>
    <w:rsid w:val="00375D67"/>
    <w:rsid w:val="00375E68"/>
    <w:rsid w:val="00375F2D"/>
    <w:rsid w:val="00375FCC"/>
    <w:rsid w:val="00376154"/>
    <w:rsid w:val="00376258"/>
    <w:rsid w:val="003762EC"/>
    <w:rsid w:val="00376391"/>
    <w:rsid w:val="00376596"/>
    <w:rsid w:val="003766AB"/>
    <w:rsid w:val="00376709"/>
    <w:rsid w:val="00376D47"/>
    <w:rsid w:val="00376E8E"/>
    <w:rsid w:val="00376F2F"/>
    <w:rsid w:val="00377291"/>
    <w:rsid w:val="00377EE8"/>
    <w:rsid w:val="00377F8E"/>
    <w:rsid w:val="00377FB2"/>
    <w:rsid w:val="003800AB"/>
    <w:rsid w:val="003803B4"/>
    <w:rsid w:val="003805CE"/>
    <w:rsid w:val="003805FC"/>
    <w:rsid w:val="003807CD"/>
    <w:rsid w:val="00380ABE"/>
    <w:rsid w:val="00380C7A"/>
    <w:rsid w:val="00380D5D"/>
    <w:rsid w:val="003810F1"/>
    <w:rsid w:val="00381185"/>
    <w:rsid w:val="00381331"/>
    <w:rsid w:val="0038136E"/>
    <w:rsid w:val="003816FC"/>
    <w:rsid w:val="00381760"/>
    <w:rsid w:val="003819B5"/>
    <w:rsid w:val="00381B8C"/>
    <w:rsid w:val="00381EEC"/>
    <w:rsid w:val="00381F79"/>
    <w:rsid w:val="0038219F"/>
    <w:rsid w:val="00382613"/>
    <w:rsid w:val="00382871"/>
    <w:rsid w:val="003828AE"/>
    <w:rsid w:val="003829ED"/>
    <w:rsid w:val="00382A17"/>
    <w:rsid w:val="00382A5A"/>
    <w:rsid w:val="00382F8F"/>
    <w:rsid w:val="00382FD1"/>
    <w:rsid w:val="00382FE3"/>
    <w:rsid w:val="00382FE4"/>
    <w:rsid w:val="00383059"/>
    <w:rsid w:val="0038311C"/>
    <w:rsid w:val="0038321C"/>
    <w:rsid w:val="003832AF"/>
    <w:rsid w:val="003833A1"/>
    <w:rsid w:val="003836D1"/>
    <w:rsid w:val="003837D5"/>
    <w:rsid w:val="00383AFF"/>
    <w:rsid w:val="00383CD9"/>
    <w:rsid w:val="00383D43"/>
    <w:rsid w:val="00383DD1"/>
    <w:rsid w:val="00383E33"/>
    <w:rsid w:val="0038402F"/>
    <w:rsid w:val="0038441B"/>
    <w:rsid w:val="00384537"/>
    <w:rsid w:val="00384568"/>
    <w:rsid w:val="003846F6"/>
    <w:rsid w:val="00384DCF"/>
    <w:rsid w:val="00385199"/>
    <w:rsid w:val="003855EC"/>
    <w:rsid w:val="003856E3"/>
    <w:rsid w:val="0038574E"/>
    <w:rsid w:val="00385861"/>
    <w:rsid w:val="00385D0E"/>
    <w:rsid w:val="00385D6D"/>
    <w:rsid w:val="00385F4C"/>
    <w:rsid w:val="00386056"/>
    <w:rsid w:val="003860BE"/>
    <w:rsid w:val="003861D8"/>
    <w:rsid w:val="00386247"/>
    <w:rsid w:val="00386426"/>
    <w:rsid w:val="003864EB"/>
    <w:rsid w:val="003864F5"/>
    <w:rsid w:val="003865A5"/>
    <w:rsid w:val="003865AA"/>
    <w:rsid w:val="00386600"/>
    <w:rsid w:val="0038670A"/>
    <w:rsid w:val="0038692A"/>
    <w:rsid w:val="00386DF9"/>
    <w:rsid w:val="00386EAF"/>
    <w:rsid w:val="00386FDF"/>
    <w:rsid w:val="00386FE5"/>
    <w:rsid w:val="00386FED"/>
    <w:rsid w:val="00387132"/>
    <w:rsid w:val="00387230"/>
    <w:rsid w:val="00387282"/>
    <w:rsid w:val="003875C5"/>
    <w:rsid w:val="00387671"/>
    <w:rsid w:val="00387765"/>
    <w:rsid w:val="0038790C"/>
    <w:rsid w:val="00387980"/>
    <w:rsid w:val="00387AAF"/>
    <w:rsid w:val="00387C53"/>
    <w:rsid w:val="00387D04"/>
    <w:rsid w:val="00387D93"/>
    <w:rsid w:val="0039003D"/>
    <w:rsid w:val="00390110"/>
    <w:rsid w:val="0039042E"/>
    <w:rsid w:val="0039048E"/>
    <w:rsid w:val="003905F8"/>
    <w:rsid w:val="00390781"/>
    <w:rsid w:val="00390899"/>
    <w:rsid w:val="00390965"/>
    <w:rsid w:val="003909E9"/>
    <w:rsid w:val="00390ADD"/>
    <w:rsid w:val="00390C1A"/>
    <w:rsid w:val="00390CC8"/>
    <w:rsid w:val="00390DD7"/>
    <w:rsid w:val="00391232"/>
    <w:rsid w:val="00391311"/>
    <w:rsid w:val="0039136C"/>
    <w:rsid w:val="003913E5"/>
    <w:rsid w:val="0039188B"/>
    <w:rsid w:val="003918F3"/>
    <w:rsid w:val="00391909"/>
    <w:rsid w:val="0039191C"/>
    <w:rsid w:val="0039193F"/>
    <w:rsid w:val="00391AE0"/>
    <w:rsid w:val="00392031"/>
    <w:rsid w:val="00392034"/>
    <w:rsid w:val="0039221E"/>
    <w:rsid w:val="003922DA"/>
    <w:rsid w:val="0039238E"/>
    <w:rsid w:val="00392478"/>
    <w:rsid w:val="003927EE"/>
    <w:rsid w:val="00392A04"/>
    <w:rsid w:val="00392A47"/>
    <w:rsid w:val="00392A9B"/>
    <w:rsid w:val="00392C83"/>
    <w:rsid w:val="00392C92"/>
    <w:rsid w:val="00392DF2"/>
    <w:rsid w:val="00392EAC"/>
    <w:rsid w:val="003930F9"/>
    <w:rsid w:val="00393109"/>
    <w:rsid w:val="00393131"/>
    <w:rsid w:val="00393275"/>
    <w:rsid w:val="00393493"/>
    <w:rsid w:val="00393680"/>
    <w:rsid w:val="00393824"/>
    <w:rsid w:val="00393D58"/>
    <w:rsid w:val="00393E26"/>
    <w:rsid w:val="00393FD5"/>
    <w:rsid w:val="00393FEF"/>
    <w:rsid w:val="00394109"/>
    <w:rsid w:val="0039464D"/>
    <w:rsid w:val="00394732"/>
    <w:rsid w:val="0039473C"/>
    <w:rsid w:val="0039478A"/>
    <w:rsid w:val="003949E2"/>
    <w:rsid w:val="00394B46"/>
    <w:rsid w:val="00394C45"/>
    <w:rsid w:val="00394EBC"/>
    <w:rsid w:val="00394F69"/>
    <w:rsid w:val="00395078"/>
    <w:rsid w:val="00395119"/>
    <w:rsid w:val="00395164"/>
    <w:rsid w:val="003951EF"/>
    <w:rsid w:val="00395282"/>
    <w:rsid w:val="00395328"/>
    <w:rsid w:val="003953C1"/>
    <w:rsid w:val="0039557E"/>
    <w:rsid w:val="003955F6"/>
    <w:rsid w:val="0039574F"/>
    <w:rsid w:val="003959DD"/>
    <w:rsid w:val="00395C56"/>
    <w:rsid w:val="00395F5C"/>
    <w:rsid w:val="00395F91"/>
    <w:rsid w:val="00395FE8"/>
    <w:rsid w:val="00396905"/>
    <w:rsid w:val="003969BE"/>
    <w:rsid w:val="00396CF4"/>
    <w:rsid w:val="00397072"/>
    <w:rsid w:val="00397168"/>
    <w:rsid w:val="00397336"/>
    <w:rsid w:val="00397434"/>
    <w:rsid w:val="00397497"/>
    <w:rsid w:val="00397748"/>
    <w:rsid w:val="0039788E"/>
    <w:rsid w:val="00397A85"/>
    <w:rsid w:val="00397CC1"/>
    <w:rsid w:val="00397D20"/>
    <w:rsid w:val="00397E73"/>
    <w:rsid w:val="00397EAE"/>
    <w:rsid w:val="00397F1C"/>
    <w:rsid w:val="003A013F"/>
    <w:rsid w:val="003A049B"/>
    <w:rsid w:val="003A0C6A"/>
    <w:rsid w:val="003A0D97"/>
    <w:rsid w:val="003A0DCA"/>
    <w:rsid w:val="003A0F87"/>
    <w:rsid w:val="003A1288"/>
    <w:rsid w:val="003A12C3"/>
    <w:rsid w:val="003A1612"/>
    <w:rsid w:val="003A16A1"/>
    <w:rsid w:val="003A16CD"/>
    <w:rsid w:val="003A1C18"/>
    <w:rsid w:val="003A2290"/>
    <w:rsid w:val="003A24D5"/>
    <w:rsid w:val="003A2647"/>
    <w:rsid w:val="003A27B9"/>
    <w:rsid w:val="003A28A1"/>
    <w:rsid w:val="003A2926"/>
    <w:rsid w:val="003A2BDB"/>
    <w:rsid w:val="003A31E3"/>
    <w:rsid w:val="003A37DA"/>
    <w:rsid w:val="003A3ACD"/>
    <w:rsid w:val="003A3AEE"/>
    <w:rsid w:val="003A3D91"/>
    <w:rsid w:val="003A3E8A"/>
    <w:rsid w:val="003A4199"/>
    <w:rsid w:val="003A43ED"/>
    <w:rsid w:val="003A458F"/>
    <w:rsid w:val="003A459E"/>
    <w:rsid w:val="003A4836"/>
    <w:rsid w:val="003A4924"/>
    <w:rsid w:val="003A4A1A"/>
    <w:rsid w:val="003A4A41"/>
    <w:rsid w:val="003A4E49"/>
    <w:rsid w:val="003A5099"/>
    <w:rsid w:val="003A5187"/>
    <w:rsid w:val="003A52BD"/>
    <w:rsid w:val="003A56A7"/>
    <w:rsid w:val="003A587F"/>
    <w:rsid w:val="003A592A"/>
    <w:rsid w:val="003A5B09"/>
    <w:rsid w:val="003A5BEE"/>
    <w:rsid w:val="003A6070"/>
    <w:rsid w:val="003A61A2"/>
    <w:rsid w:val="003A63AD"/>
    <w:rsid w:val="003A63F7"/>
    <w:rsid w:val="003A6486"/>
    <w:rsid w:val="003A66B1"/>
    <w:rsid w:val="003A6AFC"/>
    <w:rsid w:val="003A6EA7"/>
    <w:rsid w:val="003A6F8E"/>
    <w:rsid w:val="003A72E3"/>
    <w:rsid w:val="003A740F"/>
    <w:rsid w:val="003A758E"/>
    <w:rsid w:val="003A7977"/>
    <w:rsid w:val="003A7BC5"/>
    <w:rsid w:val="003A7BE2"/>
    <w:rsid w:val="003A7D92"/>
    <w:rsid w:val="003A7E52"/>
    <w:rsid w:val="003B00A7"/>
    <w:rsid w:val="003B0559"/>
    <w:rsid w:val="003B06E0"/>
    <w:rsid w:val="003B098A"/>
    <w:rsid w:val="003B09BD"/>
    <w:rsid w:val="003B0D96"/>
    <w:rsid w:val="003B0DD8"/>
    <w:rsid w:val="003B0EC0"/>
    <w:rsid w:val="003B0EC5"/>
    <w:rsid w:val="003B1397"/>
    <w:rsid w:val="003B141C"/>
    <w:rsid w:val="003B16D1"/>
    <w:rsid w:val="003B190C"/>
    <w:rsid w:val="003B2630"/>
    <w:rsid w:val="003B2701"/>
    <w:rsid w:val="003B2A06"/>
    <w:rsid w:val="003B2A91"/>
    <w:rsid w:val="003B2C22"/>
    <w:rsid w:val="003B2CA1"/>
    <w:rsid w:val="003B2E4E"/>
    <w:rsid w:val="003B2E8C"/>
    <w:rsid w:val="003B2ED4"/>
    <w:rsid w:val="003B314C"/>
    <w:rsid w:val="003B329F"/>
    <w:rsid w:val="003B33D2"/>
    <w:rsid w:val="003B3496"/>
    <w:rsid w:val="003B35AC"/>
    <w:rsid w:val="003B3606"/>
    <w:rsid w:val="003B3787"/>
    <w:rsid w:val="003B38FA"/>
    <w:rsid w:val="003B3B14"/>
    <w:rsid w:val="003B3BC7"/>
    <w:rsid w:val="003B3C7E"/>
    <w:rsid w:val="003B45EC"/>
    <w:rsid w:val="003B49C7"/>
    <w:rsid w:val="003B4A05"/>
    <w:rsid w:val="003B4A6C"/>
    <w:rsid w:val="003B5024"/>
    <w:rsid w:val="003B5185"/>
    <w:rsid w:val="003B5207"/>
    <w:rsid w:val="003B5256"/>
    <w:rsid w:val="003B53F7"/>
    <w:rsid w:val="003B5606"/>
    <w:rsid w:val="003B5688"/>
    <w:rsid w:val="003B5B6F"/>
    <w:rsid w:val="003B5BDD"/>
    <w:rsid w:val="003B5C14"/>
    <w:rsid w:val="003B5DA4"/>
    <w:rsid w:val="003B607A"/>
    <w:rsid w:val="003B612A"/>
    <w:rsid w:val="003B61FA"/>
    <w:rsid w:val="003B6286"/>
    <w:rsid w:val="003B6385"/>
    <w:rsid w:val="003B66FF"/>
    <w:rsid w:val="003B6A61"/>
    <w:rsid w:val="003B6A7F"/>
    <w:rsid w:val="003B6C33"/>
    <w:rsid w:val="003B6E26"/>
    <w:rsid w:val="003B6ED7"/>
    <w:rsid w:val="003B716A"/>
    <w:rsid w:val="003B734E"/>
    <w:rsid w:val="003B73A8"/>
    <w:rsid w:val="003B76A9"/>
    <w:rsid w:val="003B76C4"/>
    <w:rsid w:val="003B78AC"/>
    <w:rsid w:val="003B7947"/>
    <w:rsid w:val="003B7A73"/>
    <w:rsid w:val="003B7AC5"/>
    <w:rsid w:val="003B7B7C"/>
    <w:rsid w:val="003B7CE0"/>
    <w:rsid w:val="003B7F0E"/>
    <w:rsid w:val="003C0271"/>
    <w:rsid w:val="003C03B8"/>
    <w:rsid w:val="003C05AF"/>
    <w:rsid w:val="003C0657"/>
    <w:rsid w:val="003C081B"/>
    <w:rsid w:val="003C08A2"/>
    <w:rsid w:val="003C08BA"/>
    <w:rsid w:val="003C0AF4"/>
    <w:rsid w:val="003C0B23"/>
    <w:rsid w:val="003C0C3D"/>
    <w:rsid w:val="003C0C74"/>
    <w:rsid w:val="003C0C82"/>
    <w:rsid w:val="003C0D76"/>
    <w:rsid w:val="003C1047"/>
    <w:rsid w:val="003C11E4"/>
    <w:rsid w:val="003C174C"/>
    <w:rsid w:val="003C17AB"/>
    <w:rsid w:val="003C187D"/>
    <w:rsid w:val="003C1906"/>
    <w:rsid w:val="003C1911"/>
    <w:rsid w:val="003C1B3D"/>
    <w:rsid w:val="003C1D23"/>
    <w:rsid w:val="003C1E2A"/>
    <w:rsid w:val="003C1F54"/>
    <w:rsid w:val="003C2220"/>
    <w:rsid w:val="003C23BE"/>
    <w:rsid w:val="003C2421"/>
    <w:rsid w:val="003C2432"/>
    <w:rsid w:val="003C2451"/>
    <w:rsid w:val="003C2537"/>
    <w:rsid w:val="003C26F0"/>
    <w:rsid w:val="003C297A"/>
    <w:rsid w:val="003C299A"/>
    <w:rsid w:val="003C2A86"/>
    <w:rsid w:val="003C2AE7"/>
    <w:rsid w:val="003C2D18"/>
    <w:rsid w:val="003C2DB8"/>
    <w:rsid w:val="003C2E44"/>
    <w:rsid w:val="003C306C"/>
    <w:rsid w:val="003C31BD"/>
    <w:rsid w:val="003C34E8"/>
    <w:rsid w:val="003C3622"/>
    <w:rsid w:val="003C368B"/>
    <w:rsid w:val="003C3B57"/>
    <w:rsid w:val="003C3BCB"/>
    <w:rsid w:val="003C3C58"/>
    <w:rsid w:val="003C3D33"/>
    <w:rsid w:val="003C3DB3"/>
    <w:rsid w:val="003C3E1C"/>
    <w:rsid w:val="003C3F9A"/>
    <w:rsid w:val="003C443D"/>
    <w:rsid w:val="003C4672"/>
    <w:rsid w:val="003C47DE"/>
    <w:rsid w:val="003C47FB"/>
    <w:rsid w:val="003C4870"/>
    <w:rsid w:val="003C49C5"/>
    <w:rsid w:val="003C4A22"/>
    <w:rsid w:val="003C4C63"/>
    <w:rsid w:val="003C4D05"/>
    <w:rsid w:val="003C4D68"/>
    <w:rsid w:val="003C4F32"/>
    <w:rsid w:val="003C5150"/>
    <w:rsid w:val="003C51C9"/>
    <w:rsid w:val="003C52DA"/>
    <w:rsid w:val="003C5403"/>
    <w:rsid w:val="003C544E"/>
    <w:rsid w:val="003C5621"/>
    <w:rsid w:val="003C5801"/>
    <w:rsid w:val="003C5849"/>
    <w:rsid w:val="003C58AE"/>
    <w:rsid w:val="003C58E0"/>
    <w:rsid w:val="003C595B"/>
    <w:rsid w:val="003C5A4F"/>
    <w:rsid w:val="003C5C62"/>
    <w:rsid w:val="003C5CB7"/>
    <w:rsid w:val="003C5D06"/>
    <w:rsid w:val="003C5DC9"/>
    <w:rsid w:val="003C6084"/>
    <w:rsid w:val="003C612A"/>
    <w:rsid w:val="003C6249"/>
    <w:rsid w:val="003C636E"/>
    <w:rsid w:val="003C63F6"/>
    <w:rsid w:val="003C662B"/>
    <w:rsid w:val="003C68CE"/>
    <w:rsid w:val="003C68F8"/>
    <w:rsid w:val="003C6A15"/>
    <w:rsid w:val="003C6D82"/>
    <w:rsid w:val="003C6F98"/>
    <w:rsid w:val="003C740B"/>
    <w:rsid w:val="003C7632"/>
    <w:rsid w:val="003C77EA"/>
    <w:rsid w:val="003C7A3A"/>
    <w:rsid w:val="003C7B93"/>
    <w:rsid w:val="003C7C79"/>
    <w:rsid w:val="003C7D1C"/>
    <w:rsid w:val="003C7D32"/>
    <w:rsid w:val="003D0125"/>
    <w:rsid w:val="003D024D"/>
    <w:rsid w:val="003D0374"/>
    <w:rsid w:val="003D07DA"/>
    <w:rsid w:val="003D07F1"/>
    <w:rsid w:val="003D08E2"/>
    <w:rsid w:val="003D097E"/>
    <w:rsid w:val="003D0AD4"/>
    <w:rsid w:val="003D0C9B"/>
    <w:rsid w:val="003D0D99"/>
    <w:rsid w:val="003D0E3E"/>
    <w:rsid w:val="003D1024"/>
    <w:rsid w:val="003D1059"/>
    <w:rsid w:val="003D10BD"/>
    <w:rsid w:val="003D10CA"/>
    <w:rsid w:val="003D142E"/>
    <w:rsid w:val="003D1754"/>
    <w:rsid w:val="003D1B8B"/>
    <w:rsid w:val="003D1D7D"/>
    <w:rsid w:val="003D1DB5"/>
    <w:rsid w:val="003D1F63"/>
    <w:rsid w:val="003D22B6"/>
    <w:rsid w:val="003D24AD"/>
    <w:rsid w:val="003D271D"/>
    <w:rsid w:val="003D29FC"/>
    <w:rsid w:val="003D2A3C"/>
    <w:rsid w:val="003D2BD9"/>
    <w:rsid w:val="003D2D93"/>
    <w:rsid w:val="003D2F9E"/>
    <w:rsid w:val="003D3136"/>
    <w:rsid w:val="003D3193"/>
    <w:rsid w:val="003D321F"/>
    <w:rsid w:val="003D33D8"/>
    <w:rsid w:val="003D347A"/>
    <w:rsid w:val="003D3718"/>
    <w:rsid w:val="003D3823"/>
    <w:rsid w:val="003D3877"/>
    <w:rsid w:val="003D3B35"/>
    <w:rsid w:val="003D3BD2"/>
    <w:rsid w:val="003D3CD8"/>
    <w:rsid w:val="003D3E9F"/>
    <w:rsid w:val="003D3FE1"/>
    <w:rsid w:val="003D4075"/>
    <w:rsid w:val="003D4194"/>
    <w:rsid w:val="003D430F"/>
    <w:rsid w:val="003D43A6"/>
    <w:rsid w:val="003D43DE"/>
    <w:rsid w:val="003D4886"/>
    <w:rsid w:val="003D4A2F"/>
    <w:rsid w:val="003D4A6B"/>
    <w:rsid w:val="003D4B9D"/>
    <w:rsid w:val="003D4CD1"/>
    <w:rsid w:val="003D4CE2"/>
    <w:rsid w:val="003D4D59"/>
    <w:rsid w:val="003D5110"/>
    <w:rsid w:val="003D55A0"/>
    <w:rsid w:val="003D57AF"/>
    <w:rsid w:val="003D5A82"/>
    <w:rsid w:val="003D6291"/>
    <w:rsid w:val="003D6341"/>
    <w:rsid w:val="003D6406"/>
    <w:rsid w:val="003D65FF"/>
    <w:rsid w:val="003D662C"/>
    <w:rsid w:val="003D697A"/>
    <w:rsid w:val="003D6A30"/>
    <w:rsid w:val="003D704E"/>
    <w:rsid w:val="003D70C4"/>
    <w:rsid w:val="003D714C"/>
    <w:rsid w:val="003D7533"/>
    <w:rsid w:val="003D75D2"/>
    <w:rsid w:val="003D7A08"/>
    <w:rsid w:val="003D7A42"/>
    <w:rsid w:val="003D7A68"/>
    <w:rsid w:val="003D7B29"/>
    <w:rsid w:val="003D7D5D"/>
    <w:rsid w:val="003E00AE"/>
    <w:rsid w:val="003E0204"/>
    <w:rsid w:val="003E04FB"/>
    <w:rsid w:val="003E08EE"/>
    <w:rsid w:val="003E0918"/>
    <w:rsid w:val="003E0A1A"/>
    <w:rsid w:val="003E0A53"/>
    <w:rsid w:val="003E0BA4"/>
    <w:rsid w:val="003E0D11"/>
    <w:rsid w:val="003E0E1A"/>
    <w:rsid w:val="003E1165"/>
    <w:rsid w:val="003E14F2"/>
    <w:rsid w:val="003E152E"/>
    <w:rsid w:val="003E16D3"/>
    <w:rsid w:val="003E1786"/>
    <w:rsid w:val="003E1800"/>
    <w:rsid w:val="003E18C9"/>
    <w:rsid w:val="003E197C"/>
    <w:rsid w:val="003E1B01"/>
    <w:rsid w:val="003E1C8B"/>
    <w:rsid w:val="003E2026"/>
    <w:rsid w:val="003E20EB"/>
    <w:rsid w:val="003E2145"/>
    <w:rsid w:val="003E263D"/>
    <w:rsid w:val="003E27C0"/>
    <w:rsid w:val="003E2ACC"/>
    <w:rsid w:val="003E305B"/>
    <w:rsid w:val="003E3170"/>
    <w:rsid w:val="003E321B"/>
    <w:rsid w:val="003E35E5"/>
    <w:rsid w:val="003E37F3"/>
    <w:rsid w:val="003E3936"/>
    <w:rsid w:val="003E3AAC"/>
    <w:rsid w:val="003E3B21"/>
    <w:rsid w:val="003E3B5E"/>
    <w:rsid w:val="003E3E25"/>
    <w:rsid w:val="003E3FA3"/>
    <w:rsid w:val="003E4511"/>
    <w:rsid w:val="003E46CC"/>
    <w:rsid w:val="003E46ED"/>
    <w:rsid w:val="003E49DA"/>
    <w:rsid w:val="003E4B07"/>
    <w:rsid w:val="003E4E77"/>
    <w:rsid w:val="003E52F0"/>
    <w:rsid w:val="003E5312"/>
    <w:rsid w:val="003E5831"/>
    <w:rsid w:val="003E5B5C"/>
    <w:rsid w:val="003E5BD0"/>
    <w:rsid w:val="003E5E12"/>
    <w:rsid w:val="003E5EE3"/>
    <w:rsid w:val="003E60CB"/>
    <w:rsid w:val="003E60F7"/>
    <w:rsid w:val="003E6110"/>
    <w:rsid w:val="003E61AC"/>
    <w:rsid w:val="003E63B9"/>
    <w:rsid w:val="003E63E5"/>
    <w:rsid w:val="003E6460"/>
    <w:rsid w:val="003E652A"/>
    <w:rsid w:val="003E6667"/>
    <w:rsid w:val="003E673A"/>
    <w:rsid w:val="003E6B19"/>
    <w:rsid w:val="003E713C"/>
    <w:rsid w:val="003E727B"/>
    <w:rsid w:val="003E74AE"/>
    <w:rsid w:val="003E761A"/>
    <w:rsid w:val="003E76FB"/>
    <w:rsid w:val="003E7A05"/>
    <w:rsid w:val="003E7B7E"/>
    <w:rsid w:val="003E7C74"/>
    <w:rsid w:val="003E7E82"/>
    <w:rsid w:val="003F009A"/>
    <w:rsid w:val="003F00B3"/>
    <w:rsid w:val="003F0277"/>
    <w:rsid w:val="003F03C2"/>
    <w:rsid w:val="003F05C1"/>
    <w:rsid w:val="003F0718"/>
    <w:rsid w:val="003F0889"/>
    <w:rsid w:val="003F0BAF"/>
    <w:rsid w:val="003F0D21"/>
    <w:rsid w:val="003F0D99"/>
    <w:rsid w:val="003F0F32"/>
    <w:rsid w:val="003F11A2"/>
    <w:rsid w:val="003F11BD"/>
    <w:rsid w:val="003F1254"/>
    <w:rsid w:val="003F12DB"/>
    <w:rsid w:val="003F14ED"/>
    <w:rsid w:val="003F1770"/>
    <w:rsid w:val="003F1780"/>
    <w:rsid w:val="003F17A6"/>
    <w:rsid w:val="003F19FA"/>
    <w:rsid w:val="003F1E25"/>
    <w:rsid w:val="003F1F10"/>
    <w:rsid w:val="003F1F42"/>
    <w:rsid w:val="003F210A"/>
    <w:rsid w:val="003F2162"/>
    <w:rsid w:val="003F21B1"/>
    <w:rsid w:val="003F21B8"/>
    <w:rsid w:val="003F25ED"/>
    <w:rsid w:val="003F2605"/>
    <w:rsid w:val="003F27C4"/>
    <w:rsid w:val="003F27E9"/>
    <w:rsid w:val="003F2899"/>
    <w:rsid w:val="003F2CFE"/>
    <w:rsid w:val="003F2E54"/>
    <w:rsid w:val="003F30CE"/>
    <w:rsid w:val="003F30E9"/>
    <w:rsid w:val="003F33E6"/>
    <w:rsid w:val="003F3405"/>
    <w:rsid w:val="003F3435"/>
    <w:rsid w:val="003F3687"/>
    <w:rsid w:val="003F36E7"/>
    <w:rsid w:val="003F3888"/>
    <w:rsid w:val="003F3E74"/>
    <w:rsid w:val="003F3E7A"/>
    <w:rsid w:val="003F3EE5"/>
    <w:rsid w:val="003F3F37"/>
    <w:rsid w:val="003F3F40"/>
    <w:rsid w:val="003F4057"/>
    <w:rsid w:val="003F4140"/>
    <w:rsid w:val="003F4192"/>
    <w:rsid w:val="003F4490"/>
    <w:rsid w:val="003F44FF"/>
    <w:rsid w:val="003F4698"/>
    <w:rsid w:val="003F48E4"/>
    <w:rsid w:val="003F4E03"/>
    <w:rsid w:val="003F4FD7"/>
    <w:rsid w:val="003F56D4"/>
    <w:rsid w:val="003F574F"/>
    <w:rsid w:val="003F5A2A"/>
    <w:rsid w:val="003F5C05"/>
    <w:rsid w:val="003F5E0F"/>
    <w:rsid w:val="003F5E3A"/>
    <w:rsid w:val="003F61B7"/>
    <w:rsid w:val="003F651C"/>
    <w:rsid w:val="003F6598"/>
    <w:rsid w:val="003F674F"/>
    <w:rsid w:val="003F6886"/>
    <w:rsid w:val="003F68AB"/>
    <w:rsid w:val="003F68E7"/>
    <w:rsid w:val="003F6927"/>
    <w:rsid w:val="003F6C38"/>
    <w:rsid w:val="003F6C9A"/>
    <w:rsid w:val="003F6D63"/>
    <w:rsid w:val="003F7058"/>
    <w:rsid w:val="003F7733"/>
    <w:rsid w:val="003F7A15"/>
    <w:rsid w:val="003F7AFE"/>
    <w:rsid w:val="003F7B2B"/>
    <w:rsid w:val="003F7F82"/>
    <w:rsid w:val="00400066"/>
    <w:rsid w:val="00400171"/>
    <w:rsid w:val="004001A9"/>
    <w:rsid w:val="00400695"/>
    <w:rsid w:val="00400764"/>
    <w:rsid w:val="00400C95"/>
    <w:rsid w:val="00400CED"/>
    <w:rsid w:val="00400DE2"/>
    <w:rsid w:val="004010B4"/>
    <w:rsid w:val="00401147"/>
    <w:rsid w:val="0040150F"/>
    <w:rsid w:val="0040185A"/>
    <w:rsid w:val="004018F6"/>
    <w:rsid w:val="00401AFD"/>
    <w:rsid w:val="00401B0E"/>
    <w:rsid w:val="00401E2A"/>
    <w:rsid w:val="0040209E"/>
    <w:rsid w:val="0040252A"/>
    <w:rsid w:val="004026AB"/>
    <w:rsid w:val="00402717"/>
    <w:rsid w:val="00402939"/>
    <w:rsid w:val="00402B12"/>
    <w:rsid w:val="00402C71"/>
    <w:rsid w:val="00402DB6"/>
    <w:rsid w:val="00403347"/>
    <w:rsid w:val="0040356A"/>
    <w:rsid w:val="0040361B"/>
    <w:rsid w:val="00403760"/>
    <w:rsid w:val="004037EA"/>
    <w:rsid w:val="004037FA"/>
    <w:rsid w:val="00403895"/>
    <w:rsid w:val="00403BE4"/>
    <w:rsid w:val="00403EE6"/>
    <w:rsid w:val="004041B8"/>
    <w:rsid w:val="0040454F"/>
    <w:rsid w:val="004045D3"/>
    <w:rsid w:val="004046D1"/>
    <w:rsid w:val="004047DA"/>
    <w:rsid w:val="0040480B"/>
    <w:rsid w:val="00404913"/>
    <w:rsid w:val="00404B81"/>
    <w:rsid w:val="00404FEF"/>
    <w:rsid w:val="00404FF0"/>
    <w:rsid w:val="00404FF4"/>
    <w:rsid w:val="004051B1"/>
    <w:rsid w:val="00405CFB"/>
    <w:rsid w:val="0040618F"/>
    <w:rsid w:val="00406278"/>
    <w:rsid w:val="00406486"/>
    <w:rsid w:val="0040669E"/>
    <w:rsid w:val="00406724"/>
    <w:rsid w:val="00406A8E"/>
    <w:rsid w:val="00407271"/>
    <w:rsid w:val="004075F7"/>
    <w:rsid w:val="00407710"/>
    <w:rsid w:val="0040778A"/>
    <w:rsid w:val="004077A2"/>
    <w:rsid w:val="00407E7D"/>
    <w:rsid w:val="00407E85"/>
    <w:rsid w:val="00407FE3"/>
    <w:rsid w:val="00410143"/>
    <w:rsid w:val="00410246"/>
    <w:rsid w:val="004102F0"/>
    <w:rsid w:val="0041032E"/>
    <w:rsid w:val="00410627"/>
    <w:rsid w:val="0041071B"/>
    <w:rsid w:val="004107BD"/>
    <w:rsid w:val="004107E2"/>
    <w:rsid w:val="00410815"/>
    <w:rsid w:val="00410845"/>
    <w:rsid w:val="004108A8"/>
    <w:rsid w:val="00410D6F"/>
    <w:rsid w:val="004111A0"/>
    <w:rsid w:val="0041133A"/>
    <w:rsid w:val="00411571"/>
    <w:rsid w:val="004118C8"/>
    <w:rsid w:val="0041191B"/>
    <w:rsid w:val="00411D5D"/>
    <w:rsid w:val="00411F49"/>
    <w:rsid w:val="00412011"/>
    <w:rsid w:val="004120FE"/>
    <w:rsid w:val="004121A2"/>
    <w:rsid w:val="004121EE"/>
    <w:rsid w:val="0041260A"/>
    <w:rsid w:val="004127B8"/>
    <w:rsid w:val="00412A78"/>
    <w:rsid w:val="00412A86"/>
    <w:rsid w:val="00413159"/>
    <w:rsid w:val="00413790"/>
    <w:rsid w:val="004137CF"/>
    <w:rsid w:val="00413909"/>
    <w:rsid w:val="0041394E"/>
    <w:rsid w:val="0041398E"/>
    <w:rsid w:val="00413CCE"/>
    <w:rsid w:val="00413D1A"/>
    <w:rsid w:val="00413D9C"/>
    <w:rsid w:val="00413ECA"/>
    <w:rsid w:val="00413ED8"/>
    <w:rsid w:val="004142EB"/>
    <w:rsid w:val="00414597"/>
    <w:rsid w:val="00414903"/>
    <w:rsid w:val="00414ACC"/>
    <w:rsid w:val="00414C15"/>
    <w:rsid w:val="00414C1E"/>
    <w:rsid w:val="00414D39"/>
    <w:rsid w:val="00415071"/>
    <w:rsid w:val="00415278"/>
    <w:rsid w:val="004154A1"/>
    <w:rsid w:val="0041551B"/>
    <w:rsid w:val="00415701"/>
    <w:rsid w:val="00415A81"/>
    <w:rsid w:val="00415D0F"/>
    <w:rsid w:val="004161FE"/>
    <w:rsid w:val="0041638C"/>
    <w:rsid w:val="004165E9"/>
    <w:rsid w:val="00416717"/>
    <w:rsid w:val="004167DA"/>
    <w:rsid w:val="00416850"/>
    <w:rsid w:val="00416A6A"/>
    <w:rsid w:val="00416AF6"/>
    <w:rsid w:val="00416D3A"/>
    <w:rsid w:val="004176CF"/>
    <w:rsid w:val="004176E5"/>
    <w:rsid w:val="0041773D"/>
    <w:rsid w:val="004178EB"/>
    <w:rsid w:val="00417997"/>
    <w:rsid w:val="00417B81"/>
    <w:rsid w:val="00417C4F"/>
    <w:rsid w:val="00417F22"/>
    <w:rsid w:val="00420133"/>
    <w:rsid w:val="00420649"/>
    <w:rsid w:val="00420739"/>
    <w:rsid w:val="004207EE"/>
    <w:rsid w:val="00420958"/>
    <w:rsid w:val="004209B8"/>
    <w:rsid w:val="00420E42"/>
    <w:rsid w:val="00420EC6"/>
    <w:rsid w:val="00420FBE"/>
    <w:rsid w:val="00421093"/>
    <w:rsid w:val="00421299"/>
    <w:rsid w:val="0042131E"/>
    <w:rsid w:val="0042138E"/>
    <w:rsid w:val="004214ED"/>
    <w:rsid w:val="00421565"/>
    <w:rsid w:val="0042180B"/>
    <w:rsid w:val="00421811"/>
    <w:rsid w:val="0042189C"/>
    <w:rsid w:val="00421AC7"/>
    <w:rsid w:val="00421DA5"/>
    <w:rsid w:val="00421E3A"/>
    <w:rsid w:val="00421E9D"/>
    <w:rsid w:val="00421FF6"/>
    <w:rsid w:val="00422036"/>
    <w:rsid w:val="004220EB"/>
    <w:rsid w:val="004220F2"/>
    <w:rsid w:val="0042211B"/>
    <w:rsid w:val="00422292"/>
    <w:rsid w:val="004226E9"/>
    <w:rsid w:val="00422738"/>
    <w:rsid w:val="004229DF"/>
    <w:rsid w:val="00422C76"/>
    <w:rsid w:val="00422E5A"/>
    <w:rsid w:val="00422E68"/>
    <w:rsid w:val="00422ED4"/>
    <w:rsid w:val="0042322D"/>
    <w:rsid w:val="004232B3"/>
    <w:rsid w:val="004237AA"/>
    <w:rsid w:val="00423A86"/>
    <w:rsid w:val="00423D9B"/>
    <w:rsid w:val="00423DD2"/>
    <w:rsid w:val="00423DFF"/>
    <w:rsid w:val="00424050"/>
    <w:rsid w:val="00424133"/>
    <w:rsid w:val="00424176"/>
    <w:rsid w:val="004243A5"/>
    <w:rsid w:val="00424487"/>
    <w:rsid w:val="00424528"/>
    <w:rsid w:val="00424542"/>
    <w:rsid w:val="004245A3"/>
    <w:rsid w:val="00424925"/>
    <w:rsid w:val="00424A85"/>
    <w:rsid w:val="00424AC4"/>
    <w:rsid w:val="00424B36"/>
    <w:rsid w:val="00424C12"/>
    <w:rsid w:val="00424C5A"/>
    <w:rsid w:val="00424ED3"/>
    <w:rsid w:val="00425010"/>
    <w:rsid w:val="004250A7"/>
    <w:rsid w:val="0042523A"/>
    <w:rsid w:val="004254B2"/>
    <w:rsid w:val="00425782"/>
    <w:rsid w:val="004257C1"/>
    <w:rsid w:val="004257ED"/>
    <w:rsid w:val="00425A33"/>
    <w:rsid w:val="00425A41"/>
    <w:rsid w:val="00425AE7"/>
    <w:rsid w:val="00425B6D"/>
    <w:rsid w:val="00425D02"/>
    <w:rsid w:val="00425E5B"/>
    <w:rsid w:val="00425EBF"/>
    <w:rsid w:val="00425F97"/>
    <w:rsid w:val="00425FF6"/>
    <w:rsid w:val="00426135"/>
    <w:rsid w:val="0042613A"/>
    <w:rsid w:val="0042628A"/>
    <w:rsid w:val="0042631E"/>
    <w:rsid w:val="00426335"/>
    <w:rsid w:val="00426B58"/>
    <w:rsid w:val="00426C35"/>
    <w:rsid w:val="00426D0F"/>
    <w:rsid w:val="00427141"/>
    <w:rsid w:val="00427393"/>
    <w:rsid w:val="004273EA"/>
    <w:rsid w:val="00427402"/>
    <w:rsid w:val="0042760D"/>
    <w:rsid w:val="004277DC"/>
    <w:rsid w:val="00427997"/>
    <w:rsid w:val="00427B9B"/>
    <w:rsid w:val="00427CA4"/>
    <w:rsid w:val="00427DA6"/>
    <w:rsid w:val="00427E02"/>
    <w:rsid w:val="00427E3F"/>
    <w:rsid w:val="004300D7"/>
    <w:rsid w:val="00430171"/>
    <w:rsid w:val="004302AF"/>
    <w:rsid w:val="004302CD"/>
    <w:rsid w:val="004304D2"/>
    <w:rsid w:val="004305F7"/>
    <w:rsid w:val="00430870"/>
    <w:rsid w:val="00430A28"/>
    <w:rsid w:val="00430C0F"/>
    <w:rsid w:val="00430F32"/>
    <w:rsid w:val="004310D8"/>
    <w:rsid w:val="00431147"/>
    <w:rsid w:val="00431189"/>
    <w:rsid w:val="004311FC"/>
    <w:rsid w:val="00431254"/>
    <w:rsid w:val="004312D7"/>
    <w:rsid w:val="004313D4"/>
    <w:rsid w:val="0043159F"/>
    <w:rsid w:val="004315EB"/>
    <w:rsid w:val="004316AA"/>
    <w:rsid w:val="004316CD"/>
    <w:rsid w:val="00431783"/>
    <w:rsid w:val="00431792"/>
    <w:rsid w:val="00431BCB"/>
    <w:rsid w:val="00431C1F"/>
    <w:rsid w:val="00431D33"/>
    <w:rsid w:val="00431DA7"/>
    <w:rsid w:val="0043212D"/>
    <w:rsid w:val="004324FF"/>
    <w:rsid w:val="004326BA"/>
    <w:rsid w:val="00432A57"/>
    <w:rsid w:val="00432C22"/>
    <w:rsid w:val="00432D91"/>
    <w:rsid w:val="00432DB8"/>
    <w:rsid w:val="00432F74"/>
    <w:rsid w:val="00433078"/>
    <w:rsid w:val="004330A0"/>
    <w:rsid w:val="00433129"/>
    <w:rsid w:val="00433215"/>
    <w:rsid w:val="004333ED"/>
    <w:rsid w:val="00433699"/>
    <w:rsid w:val="0043385D"/>
    <w:rsid w:val="0043386D"/>
    <w:rsid w:val="00433963"/>
    <w:rsid w:val="00433A06"/>
    <w:rsid w:val="00434189"/>
    <w:rsid w:val="00434700"/>
    <w:rsid w:val="0043472B"/>
    <w:rsid w:val="004348CB"/>
    <w:rsid w:val="00434993"/>
    <w:rsid w:val="004349D8"/>
    <w:rsid w:val="00434E27"/>
    <w:rsid w:val="00434EC5"/>
    <w:rsid w:val="00435053"/>
    <w:rsid w:val="0043506D"/>
    <w:rsid w:val="0043510A"/>
    <w:rsid w:val="00435193"/>
    <w:rsid w:val="00435234"/>
    <w:rsid w:val="004352A6"/>
    <w:rsid w:val="00435371"/>
    <w:rsid w:val="0043551B"/>
    <w:rsid w:val="00435547"/>
    <w:rsid w:val="00435689"/>
    <w:rsid w:val="004357D8"/>
    <w:rsid w:val="004358EB"/>
    <w:rsid w:val="00435DA4"/>
    <w:rsid w:val="0043604B"/>
    <w:rsid w:val="00436144"/>
    <w:rsid w:val="004361AA"/>
    <w:rsid w:val="004362F3"/>
    <w:rsid w:val="0043630C"/>
    <w:rsid w:val="0043651B"/>
    <w:rsid w:val="0043673D"/>
    <w:rsid w:val="00436A41"/>
    <w:rsid w:val="00436B5B"/>
    <w:rsid w:val="00436EE4"/>
    <w:rsid w:val="0043704B"/>
    <w:rsid w:val="004370F8"/>
    <w:rsid w:val="0043725F"/>
    <w:rsid w:val="00437276"/>
    <w:rsid w:val="00437630"/>
    <w:rsid w:val="004376FA"/>
    <w:rsid w:val="004377E8"/>
    <w:rsid w:val="00437823"/>
    <w:rsid w:val="004378ED"/>
    <w:rsid w:val="00437EE0"/>
    <w:rsid w:val="00437EF5"/>
    <w:rsid w:val="00440037"/>
    <w:rsid w:val="00440366"/>
    <w:rsid w:val="004403AE"/>
    <w:rsid w:val="004405FE"/>
    <w:rsid w:val="004408C2"/>
    <w:rsid w:val="004408C7"/>
    <w:rsid w:val="0044091A"/>
    <w:rsid w:val="004409E2"/>
    <w:rsid w:val="004409E4"/>
    <w:rsid w:val="00440A8D"/>
    <w:rsid w:val="00440CE7"/>
    <w:rsid w:val="00440DEF"/>
    <w:rsid w:val="00440F09"/>
    <w:rsid w:val="004410E5"/>
    <w:rsid w:val="004410FD"/>
    <w:rsid w:val="00441432"/>
    <w:rsid w:val="0044143E"/>
    <w:rsid w:val="004415AA"/>
    <w:rsid w:val="004415F8"/>
    <w:rsid w:val="004417BC"/>
    <w:rsid w:val="00441999"/>
    <w:rsid w:val="00441AAC"/>
    <w:rsid w:val="00441AEE"/>
    <w:rsid w:val="00441DCE"/>
    <w:rsid w:val="0044200C"/>
    <w:rsid w:val="00442125"/>
    <w:rsid w:val="00442127"/>
    <w:rsid w:val="004422AE"/>
    <w:rsid w:val="0044236D"/>
    <w:rsid w:val="004423FC"/>
    <w:rsid w:val="004424B1"/>
    <w:rsid w:val="00442526"/>
    <w:rsid w:val="00442643"/>
    <w:rsid w:val="004428A2"/>
    <w:rsid w:val="00442CE5"/>
    <w:rsid w:val="00442EB7"/>
    <w:rsid w:val="00442F9B"/>
    <w:rsid w:val="004431A4"/>
    <w:rsid w:val="004434F0"/>
    <w:rsid w:val="004436C5"/>
    <w:rsid w:val="00443937"/>
    <w:rsid w:val="00443B16"/>
    <w:rsid w:val="00443E4E"/>
    <w:rsid w:val="00444071"/>
    <w:rsid w:val="00444299"/>
    <w:rsid w:val="00444461"/>
    <w:rsid w:val="004444B1"/>
    <w:rsid w:val="004445AD"/>
    <w:rsid w:val="00444627"/>
    <w:rsid w:val="00444872"/>
    <w:rsid w:val="00444966"/>
    <w:rsid w:val="00444BBF"/>
    <w:rsid w:val="00444BD4"/>
    <w:rsid w:val="0044507E"/>
    <w:rsid w:val="004450EA"/>
    <w:rsid w:val="0044536D"/>
    <w:rsid w:val="00445808"/>
    <w:rsid w:val="00445B52"/>
    <w:rsid w:val="00445D76"/>
    <w:rsid w:val="00445F3A"/>
    <w:rsid w:val="00446016"/>
    <w:rsid w:val="00446039"/>
    <w:rsid w:val="00446189"/>
    <w:rsid w:val="004462BE"/>
    <w:rsid w:val="004463B5"/>
    <w:rsid w:val="00446D28"/>
    <w:rsid w:val="00446DB0"/>
    <w:rsid w:val="004472AF"/>
    <w:rsid w:val="00447655"/>
    <w:rsid w:val="00447A66"/>
    <w:rsid w:val="00447D3A"/>
    <w:rsid w:val="00447D4B"/>
    <w:rsid w:val="00447ED0"/>
    <w:rsid w:val="00450064"/>
    <w:rsid w:val="00450463"/>
    <w:rsid w:val="00450765"/>
    <w:rsid w:val="00450845"/>
    <w:rsid w:val="00450C44"/>
    <w:rsid w:val="00450E0A"/>
    <w:rsid w:val="004511D2"/>
    <w:rsid w:val="004512A4"/>
    <w:rsid w:val="00451600"/>
    <w:rsid w:val="004517BA"/>
    <w:rsid w:val="004518DB"/>
    <w:rsid w:val="00451B41"/>
    <w:rsid w:val="00451C07"/>
    <w:rsid w:val="00451CE6"/>
    <w:rsid w:val="00451EB7"/>
    <w:rsid w:val="00451F0A"/>
    <w:rsid w:val="00451F76"/>
    <w:rsid w:val="004521C4"/>
    <w:rsid w:val="0045223D"/>
    <w:rsid w:val="00452397"/>
    <w:rsid w:val="00452585"/>
    <w:rsid w:val="004525AD"/>
    <w:rsid w:val="004529C5"/>
    <w:rsid w:val="00452AAC"/>
    <w:rsid w:val="00452E62"/>
    <w:rsid w:val="00452EE4"/>
    <w:rsid w:val="0045307B"/>
    <w:rsid w:val="0045325D"/>
    <w:rsid w:val="004537DB"/>
    <w:rsid w:val="004537F7"/>
    <w:rsid w:val="00453AD7"/>
    <w:rsid w:val="00453CB9"/>
    <w:rsid w:val="00453D50"/>
    <w:rsid w:val="00453E0A"/>
    <w:rsid w:val="004541EB"/>
    <w:rsid w:val="00454575"/>
    <w:rsid w:val="004545C5"/>
    <w:rsid w:val="00454843"/>
    <w:rsid w:val="00454919"/>
    <w:rsid w:val="004549CA"/>
    <w:rsid w:val="004549FD"/>
    <w:rsid w:val="00455318"/>
    <w:rsid w:val="00455437"/>
    <w:rsid w:val="00455930"/>
    <w:rsid w:val="00455AC3"/>
    <w:rsid w:val="00455B27"/>
    <w:rsid w:val="00455B4C"/>
    <w:rsid w:val="00455E0B"/>
    <w:rsid w:val="00456079"/>
    <w:rsid w:val="00456103"/>
    <w:rsid w:val="00456449"/>
    <w:rsid w:val="00456698"/>
    <w:rsid w:val="004566A3"/>
    <w:rsid w:val="004567AB"/>
    <w:rsid w:val="00456A13"/>
    <w:rsid w:val="00456C7B"/>
    <w:rsid w:val="00456D5B"/>
    <w:rsid w:val="00456F65"/>
    <w:rsid w:val="00456FEB"/>
    <w:rsid w:val="0045700E"/>
    <w:rsid w:val="00457109"/>
    <w:rsid w:val="0045725D"/>
    <w:rsid w:val="00457318"/>
    <w:rsid w:val="00457445"/>
    <w:rsid w:val="00457584"/>
    <w:rsid w:val="004575F9"/>
    <w:rsid w:val="00457779"/>
    <w:rsid w:val="0045779B"/>
    <w:rsid w:val="00457910"/>
    <w:rsid w:val="0045798D"/>
    <w:rsid w:val="004579C1"/>
    <w:rsid w:val="00457A28"/>
    <w:rsid w:val="00457CB9"/>
    <w:rsid w:val="00457EC6"/>
    <w:rsid w:val="004601AA"/>
    <w:rsid w:val="004602EE"/>
    <w:rsid w:val="004602FD"/>
    <w:rsid w:val="0046043B"/>
    <w:rsid w:val="004604F7"/>
    <w:rsid w:val="00460901"/>
    <w:rsid w:val="0046095F"/>
    <w:rsid w:val="00460CFD"/>
    <w:rsid w:val="00460E69"/>
    <w:rsid w:val="00460E78"/>
    <w:rsid w:val="00461165"/>
    <w:rsid w:val="0046118E"/>
    <w:rsid w:val="00461610"/>
    <w:rsid w:val="00461796"/>
    <w:rsid w:val="00461817"/>
    <w:rsid w:val="00461862"/>
    <w:rsid w:val="004618A0"/>
    <w:rsid w:val="00461A73"/>
    <w:rsid w:val="00461B88"/>
    <w:rsid w:val="00461F09"/>
    <w:rsid w:val="00461FB6"/>
    <w:rsid w:val="0046201B"/>
    <w:rsid w:val="004621AE"/>
    <w:rsid w:val="00462290"/>
    <w:rsid w:val="0046238E"/>
    <w:rsid w:val="004624D8"/>
    <w:rsid w:val="00462A9E"/>
    <w:rsid w:val="00462D11"/>
    <w:rsid w:val="004631E1"/>
    <w:rsid w:val="004633BA"/>
    <w:rsid w:val="004636B1"/>
    <w:rsid w:val="00463809"/>
    <w:rsid w:val="0046397B"/>
    <w:rsid w:val="00463BA6"/>
    <w:rsid w:val="00463C1F"/>
    <w:rsid w:val="00463D99"/>
    <w:rsid w:val="00463DAE"/>
    <w:rsid w:val="00463FA3"/>
    <w:rsid w:val="00463FFE"/>
    <w:rsid w:val="00464209"/>
    <w:rsid w:val="004642DE"/>
    <w:rsid w:val="00464961"/>
    <w:rsid w:val="00464ADB"/>
    <w:rsid w:val="00464BA6"/>
    <w:rsid w:val="00464BC3"/>
    <w:rsid w:val="00464DD9"/>
    <w:rsid w:val="00464EF4"/>
    <w:rsid w:val="00465047"/>
    <w:rsid w:val="004654DC"/>
    <w:rsid w:val="004657E9"/>
    <w:rsid w:val="00465979"/>
    <w:rsid w:val="00465AA1"/>
    <w:rsid w:val="00465B9F"/>
    <w:rsid w:val="00465BE6"/>
    <w:rsid w:val="00465C1B"/>
    <w:rsid w:val="00465FEB"/>
    <w:rsid w:val="00465FF4"/>
    <w:rsid w:val="0046623A"/>
    <w:rsid w:val="00466620"/>
    <w:rsid w:val="004667B1"/>
    <w:rsid w:val="004667E5"/>
    <w:rsid w:val="00466A0C"/>
    <w:rsid w:val="00466E18"/>
    <w:rsid w:val="00466FA5"/>
    <w:rsid w:val="00467117"/>
    <w:rsid w:val="004672AF"/>
    <w:rsid w:val="0046732C"/>
    <w:rsid w:val="004674DE"/>
    <w:rsid w:val="00467604"/>
    <w:rsid w:val="004676DB"/>
    <w:rsid w:val="004676F6"/>
    <w:rsid w:val="00467786"/>
    <w:rsid w:val="004677F0"/>
    <w:rsid w:val="00467B7B"/>
    <w:rsid w:val="00467BCD"/>
    <w:rsid w:val="00467E13"/>
    <w:rsid w:val="00467E4D"/>
    <w:rsid w:val="0047007F"/>
    <w:rsid w:val="0047038F"/>
    <w:rsid w:val="0047060B"/>
    <w:rsid w:val="004706B8"/>
    <w:rsid w:val="00470819"/>
    <w:rsid w:val="0047081D"/>
    <w:rsid w:val="004708C7"/>
    <w:rsid w:val="00470AF1"/>
    <w:rsid w:val="00470B8E"/>
    <w:rsid w:val="00470C02"/>
    <w:rsid w:val="00470E17"/>
    <w:rsid w:val="00470E96"/>
    <w:rsid w:val="00470F15"/>
    <w:rsid w:val="00471075"/>
    <w:rsid w:val="00471243"/>
    <w:rsid w:val="004712CC"/>
    <w:rsid w:val="00471578"/>
    <w:rsid w:val="00471737"/>
    <w:rsid w:val="0047198D"/>
    <w:rsid w:val="00471995"/>
    <w:rsid w:val="00471B28"/>
    <w:rsid w:val="00471D48"/>
    <w:rsid w:val="00471D64"/>
    <w:rsid w:val="004722CD"/>
    <w:rsid w:val="004723D2"/>
    <w:rsid w:val="00472695"/>
    <w:rsid w:val="00472B23"/>
    <w:rsid w:val="00472B9F"/>
    <w:rsid w:val="00472BA0"/>
    <w:rsid w:val="00472BB6"/>
    <w:rsid w:val="00472BF9"/>
    <w:rsid w:val="00473369"/>
    <w:rsid w:val="004736C9"/>
    <w:rsid w:val="00473721"/>
    <w:rsid w:val="0047375C"/>
    <w:rsid w:val="0047377A"/>
    <w:rsid w:val="0047395C"/>
    <w:rsid w:val="004739DA"/>
    <w:rsid w:val="00473AF3"/>
    <w:rsid w:val="00473C35"/>
    <w:rsid w:val="00474137"/>
    <w:rsid w:val="0047426B"/>
    <w:rsid w:val="004744AB"/>
    <w:rsid w:val="004745C5"/>
    <w:rsid w:val="00474935"/>
    <w:rsid w:val="00474B7B"/>
    <w:rsid w:val="00474BDD"/>
    <w:rsid w:val="00474D21"/>
    <w:rsid w:val="00474ECC"/>
    <w:rsid w:val="004751EA"/>
    <w:rsid w:val="00475318"/>
    <w:rsid w:val="004754A2"/>
    <w:rsid w:val="004755C2"/>
    <w:rsid w:val="004756A8"/>
    <w:rsid w:val="00475DE5"/>
    <w:rsid w:val="0047657A"/>
    <w:rsid w:val="00476641"/>
    <w:rsid w:val="00476A57"/>
    <w:rsid w:val="00477110"/>
    <w:rsid w:val="004771A3"/>
    <w:rsid w:val="004773FE"/>
    <w:rsid w:val="00477542"/>
    <w:rsid w:val="00477598"/>
    <w:rsid w:val="004775D0"/>
    <w:rsid w:val="0047771C"/>
    <w:rsid w:val="0047799D"/>
    <w:rsid w:val="00477F8B"/>
    <w:rsid w:val="0048018D"/>
    <w:rsid w:val="004802DC"/>
    <w:rsid w:val="004804E3"/>
    <w:rsid w:val="00480692"/>
    <w:rsid w:val="00480932"/>
    <w:rsid w:val="00480A63"/>
    <w:rsid w:val="00480AF8"/>
    <w:rsid w:val="00480B94"/>
    <w:rsid w:val="00480D18"/>
    <w:rsid w:val="0048110B"/>
    <w:rsid w:val="00481201"/>
    <w:rsid w:val="0048120B"/>
    <w:rsid w:val="0048131C"/>
    <w:rsid w:val="00481422"/>
    <w:rsid w:val="00481525"/>
    <w:rsid w:val="0048160D"/>
    <w:rsid w:val="004816F8"/>
    <w:rsid w:val="004819FB"/>
    <w:rsid w:val="00481AE4"/>
    <w:rsid w:val="00481CD7"/>
    <w:rsid w:val="00481D16"/>
    <w:rsid w:val="00481D2F"/>
    <w:rsid w:val="00481DBA"/>
    <w:rsid w:val="00481EEF"/>
    <w:rsid w:val="00482009"/>
    <w:rsid w:val="004823BD"/>
    <w:rsid w:val="0048258D"/>
    <w:rsid w:val="004825C9"/>
    <w:rsid w:val="004825D5"/>
    <w:rsid w:val="00482646"/>
    <w:rsid w:val="00482701"/>
    <w:rsid w:val="00482DCC"/>
    <w:rsid w:val="00482E3F"/>
    <w:rsid w:val="00482E7B"/>
    <w:rsid w:val="00483038"/>
    <w:rsid w:val="004834C5"/>
    <w:rsid w:val="00483542"/>
    <w:rsid w:val="00483581"/>
    <w:rsid w:val="004836BF"/>
    <w:rsid w:val="004836ED"/>
    <w:rsid w:val="00483DE1"/>
    <w:rsid w:val="004840BC"/>
    <w:rsid w:val="00484211"/>
    <w:rsid w:val="00484298"/>
    <w:rsid w:val="004842AC"/>
    <w:rsid w:val="0048439A"/>
    <w:rsid w:val="004848AD"/>
    <w:rsid w:val="00484B17"/>
    <w:rsid w:val="00484D22"/>
    <w:rsid w:val="00484D91"/>
    <w:rsid w:val="00484EBE"/>
    <w:rsid w:val="00484F3B"/>
    <w:rsid w:val="00485142"/>
    <w:rsid w:val="004851E9"/>
    <w:rsid w:val="004857CE"/>
    <w:rsid w:val="0048584F"/>
    <w:rsid w:val="004858AA"/>
    <w:rsid w:val="00485907"/>
    <w:rsid w:val="00485BDE"/>
    <w:rsid w:val="00485C09"/>
    <w:rsid w:val="00485D8D"/>
    <w:rsid w:val="00485D9F"/>
    <w:rsid w:val="00485FDA"/>
    <w:rsid w:val="00486050"/>
    <w:rsid w:val="0048615F"/>
    <w:rsid w:val="00486432"/>
    <w:rsid w:val="00486547"/>
    <w:rsid w:val="004866D7"/>
    <w:rsid w:val="00486700"/>
    <w:rsid w:val="004867CB"/>
    <w:rsid w:val="00486AD7"/>
    <w:rsid w:val="00486CF6"/>
    <w:rsid w:val="00486E3E"/>
    <w:rsid w:val="0048727A"/>
    <w:rsid w:val="004872DE"/>
    <w:rsid w:val="004872DF"/>
    <w:rsid w:val="004873CC"/>
    <w:rsid w:val="00487443"/>
    <w:rsid w:val="004875CD"/>
    <w:rsid w:val="00487C90"/>
    <w:rsid w:val="00487EB5"/>
    <w:rsid w:val="00487FE9"/>
    <w:rsid w:val="00490014"/>
    <w:rsid w:val="004901AA"/>
    <w:rsid w:val="0049024F"/>
    <w:rsid w:val="00490461"/>
    <w:rsid w:val="00490701"/>
    <w:rsid w:val="004907F3"/>
    <w:rsid w:val="00490948"/>
    <w:rsid w:val="00490B87"/>
    <w:rsid w:val="00490C8B"/>
    <w:rsid w:val="00490CAC"/>
    <w:rsid w:val="00490EBC"/>
    <w:rsid w:val="00491066"/>
    <w:rsid w:val="00491284"/>
    <w:rsid w:val="004913EB"/>
    <w:rsid w:val="0049146B"/>
    <w:rsid w:val="0049168A"/>
    <w:rsid w:val="00491726"/>
    <w:rsid w:val="00491738"/>
    <w:rsid w:val="004917DE"/>
    <w:rsid w:val="004918D4"/>
    <w:rsid w:val="00491B32"/>
    <w:rsid w:val="00492403"/>
    <w:rsid w:val="004925D7"/>
    <w:rsid w:val="00492989"/>
    <w:rsid w:val="00492AAC"/>
    <w:rsid w:val="00492B88"/>
    <w:rsid w:val="0049313F"/>
    <w:rsid w:val="00493639"/>
    <w:rsid w:val="0049384F"/>
    <w:rsid w:val="00493941"/>
    <w:rsid w:val="00493B2E"/>
    <w:rsid w:val="00494173"/>
    <w:rsid w:val="00494843"/>
    <w:rsid w:val="004949D3"/>
    <w:rsid w:val="00494B1D"/>
    <w:rsid w:val="00494DBD"/>
    <w:rsid w:val="00494DC3"/>
    <w:rsid w:val="00494DC5"/>
    <w:rsid w:val="004950F3"/>
    <w:rsid w:val="00495177"/>
    <w:rsid w:val="0049523A"/>
    <w:rsid w:val="0049535A"/>
    <w:rsid w:val="004953FA"/>
    <w:rsid w:val="004954F7"/>
    <w:rsid w:val="004956F7"/>
    <w:rsid w:val="0049598E"/>
    <w:rsid w:val="004959F5"/>
    <w:rsid w:val="00495B37"/>
    <w:rsid w:val="00495C33"/>
    <w:rsid w:val="00495DF1"/>
    <w:rsid w:val="00495E01"/>
    <w:rsid w:val="00495E85"/>
    <w:rsid w:val="00495F05"/>
    <w:rsid w:val="00495FB1"/>
    <w:rsid w:val="004966DB"/>
    <w:rsid w:val="004966FD"/>
    <w:rsid w:val="00496743"/>
    <w:rsid w:val="00496875"/>
    <w:rsid w:val="00496A49"/>
    <w:rsid w:val="00496CB2"/>
    <w:rsid w:val="00496CD3"/>
    <w:rsid w:val="00496D0F"/>
    <w:rsid w:val="00496E92"/>
    <w:rsid w:val="004970EF"/>
    <w:rsid w:val="0049712F"/>
    <w:rsid w:val="004971B8"/>
    <w:rsid w:val="0049729B"/>
    <w:rsid w:val="00497B98"/>
    <w:rsid w:val="00497BC9"/>
    <w:rsid w:val="004A005A"/>
    <w:rsid w:val="004A01BB"/>
    <w:rsid w:val="004A03B7"/>
    <w:rsid w:val="004A0460"/>
    <w:rsid w:val="004A07C8"/>
    <w:rsid w:val="004A08A9"/>
    <w:rsid w:val="004A0AA3"/>
    <w:rsid w:val="004A0C9A"/>
    <w:rsid w:val="004A0DB9"/>
    <w:rsid w:val="004A0EBE"/>
    <w:rsid w:val="004A0F09"/>
    <w:rsid w:val="004A1030"/>
    <w:rsid w:val="004A11F0"/>
    <w:rsid w:val="004A123F"/>
    <w:rsid w:val="004A13B6"/>
    <w:rsid w:val="004A1626"/>
    <w:rsid w:val="004A164D"/>
    <w:rsid w:val="004A1881"/>
    <w:rsid w:val="004A1898"/>
    <w:rsid w:val="004A195C"/>
    <w:rsid w:val="004A1A39"/>
    <w:rsid w:val="004A1A62"/>
    <w:rsid w:val="004A1AD9"/>
    <w:rsid w:val="004A1ADB"/>
    <w:rsid w:val="004A1C61"/>
    <w:rsid w:val="004A1E96"/>
    <w:rsid w:val="004A1EF9"/>
    <w:rsid w:val="004A1F8E"/>
    <w:rsid w:val="004A209F"/>
    <w:rsid w:val="004A223A"/>
    <w:rsid w:val="004A22C5"/>
    <w:rsid w:val="004A2443"/>
    <w:rsid w:val="004A25B2"/>
    <w:rsid w:val="004A283B"/>
    <w:rsid w:val="004A2CD5"/>
    <w:rsid w:val="004A2DA3"/>
    <w:rsid w:val="004A2F40"/>
    <w:rsid w:val="004A3170"/>
    <w:rsid w:val="004A31B6"/>
    <w:rsid w:val="004A3409"/>
    <w:rsid w:val="004A3459"/>
    <w:rsid w:val="004A34EA"/>
    <w:rsid w:val="004A3527"/>
    <w:rsid w:val="004A39CE"/>
    <w:rsid w:val="004A3ABB"/>
    <w:rsid w:val="004A4198"/>
    <w:rsid w:val="004A431D"/>
    <w:rsid w:val="004A4359"/>
    <w:rsid w:val="004A43EE"/>
    <w:rsid w:val="004A448E"/>
    <w:rsid w:val="004A44C4"/>
    <w:rsid w:val="004A4705"/>
    <w:rsid w:val="004A474D"/>
    <w:rsid w:val="004A47FD"/>
    <w:rsid w:val="004A4B10"/>
    <w:rsid w:val="004A4BB4"/>
    <w:rsid w:val="004A4C33"/>
    <w:rsid w:val="004A4E3A"/>
    <w:rsid w:val="004A51F0"/>
    <w:rsid w:val="004A54CD"/>
    <w:rsid w:val="004A556F"/>
    <w:rsid w:val="004A55A5"/>
    <w:rsid w:val="004A5719"/>
    <w:rsid w:val="004A58F1"/>
    <w:rsid w:val="004A5970"/>
    <w:rsid w:val="004A5999"/>
    <w:rsid w:val="004A5C56"/>
    <w:rsid w:val="004A5CDE"/>
    <w:rsid w:val="004A61D4"/>
    <w:rsid w:val="004A655D"/>
    <w:rsid w:val="004A66E2"/>
    <w:rsid w:val="004A67BE"/>
    <w:rsid w:val="004A6877"/>
    <w:rsid w:val="004A6903"/>
    <w:rsid w:val="004A699F"/>
    <w:rsid w:val="004A6E4F"/>
    <w:rsid w:val="004A7044"/>
    <w:rsid w:val="004A709F"/>
    <w:rsid w:val="004A726C"/>
    <w:rsid w:val="004A76A9"/>
    <w:rsid w:val="004A76FD"/>
    <w:rsid w:val="004A7C57"/>
    <w:rsid w:val="004A7D6C"/>
    <w:rsid w:val="004A7E3A"/>
    <w:rsid w:val="004B014D"/>
    <w:rsid w:val="004B0235"/>
    <w:rsid w:val="004B0242"/>
    <w:rsid w:val="004B041C"/>
    <w:rsid w:val="004B08FD"/>
    <w:rsid w:val="004B0E7D"/>
    <w:rsid w:val="004B0E9D"/>
    <w:rsid w:val="004B0F2F"/>
    <w:rsid w:val="004B0F43"/>
    <w:rsid w:val="004B1015"/>
    <w:rsid w:val="004B104B"/>
    <w:rsid w:val="004B10CD"/>
    <w:rsid w:val="004B11D5"/>
    <w:rsid w:val="004B1315"/>
    <w:rsid w:val="004B1408"/>
    <w:rsid w:val="004B1468"/>
    <w:rsid w:val="004B14F2"/>
    <w:rsid w:val="004B15A5"/>
    <w:rsid w:val="004B15B3"/>
    <w:rsid w:val="004B17D4"/>
    <w:rsid w:val="004B1AF2"/>
    <w:rsid w:val="004B1BB1"/>
    <w:rsid w:val="004B1CA0"/>
    <w:rsid w:val="004B1E2F"/>
    <w:rsid w:val="004B2110"/>
    <w:rsid w:val="004B243A"/>
    <w:rsid w:val="004B2451"/>
    <w:rsid w:val="004B2530"/>
    <w:rsid w:val="004B261F"/>
    <w:rsid w:val="004B29F9"/>
    <w:rsid w:val="004B2B54"/>
    <w:rsid w:val="004B2D57"/>
    <w:rsid w:val="004B2DCD"/>
    <w:rsid w:val="004B384F"/>
    <w:rsid w:val="004B3A09"/>
    <w:rsid w:val="004B3A7C"/>
    <w:rsid w:val="004B3A86"/>
    <w:rsid w:val="004B3CDE"/>
    <w:rsid w:val="004B3E31"/>
    <w:rsid w:val="004B3F1E"/>
    <w:rsid w:val="004B4113"/>
    <w:rsid w:val="004B4641"/>
    <w:rsid w:val="004B4734"/>
    <w:rsid w:val="004B4808"/>
    <w:rsid w:val="004B4B06"/>
    <w:rsid w:val="004B4DDD"/>
    <w:rsid w:val="004B4F9A"/>
    <w:rsid w:val="004B5366"/>
    <w:rsid w:val="004B53A5"/>
    <w:rsid w:val="004B5489"/>
    <w:rsid w:val="004B5500"/>
    <w:rsid w:val="004B57EA"/>
    <w:rsid w:val="004B5AC1"/>
    <w:rsid w:val="004B5ACA"/>
    <w:rsid w:val="004B5AED"/>
    <w:rsid w:val="004B5B2E"/>
    <w:rsid w:val="004B5B78"/>
    <w:rsid w:val="004B5C53"/>
    <w:rsid w:val="004B65C3"/>
    <w:rsid w:val="004B6752"/>
    <w:rsid w:val="004B6784"/>
    <w:rsid w:val="004B67FB"/>
    <w:rsid w:val="004B683A"/>
    <w:rsid w:val="004B6979"/>
    <w:rsid w:val="004B6980"/>
    <w:rsid w:val="004B6CC7"/>
    <w:rsid w:val="004B6E74"/>
    <w:rsid w:val="004B6FF3"/>
    <w:rsid w:val="004B7008"/>
    <w:rsid w:val="004B719F"/>
    <w:rsid w:val="004B7518"/>
    <w:rsid w:val="004B75AA"/>
    <w:rsid w:val="004B75F5"/>
    <w:rsid w:val="004B7616"/>
    <w:rsid w:val="004B761A"/>
    <w:rsid w:val="004B7655"/>
    <w:rsid w:val="004B76A2"/>
    <w:rsid w:val="004B7763"/>
    <w:rsid w:val="004B7846"/>
    <w:rsid w:val="004B792F"/>
    <w:rsid w:val="004B7AC7"/>
    <w:rsid w:val="004B7B13"/>
    <w:rsid w:val="004B7F6C"/>
    <w:rsid w:val="004C002D"/>
    <w:rsid w:val="004C014C"/>
    <w:rsid w:val="004C029B"/>
    <w:rsid w:val="004C038B"/>
    <w:rsid w:val="004C0498"/>
    <w:rsid w:val="004C054C"/>
    <w:rsid w:val="004C0566"/>
    <w:rsid w:val="004C05F2"/>
    <w:rsid w:val="004C06FF"/>
    <w:rsid w:val="004C0711"/>
    <w:rsid w:val="004C091E"/>
    <w:rsid w:val="004C0966"/>
    <w:rsid w:val="004C0C4D"/>
    <w:rsid w:val="004C10AE"/>
    <w:rsid w:val="004C1363"/>
    <w:rsid w:val="004C154F"/>
    <w:rsid w:val="004C1990"/>
    <w:rsid w:val="004C2013"/>
    <w:rsid w:val="004C21C5"/>
    <w:rsid w:val="004C22FB"/>
    <w:rsid w:val="004C272A"/>
    <w:rsid w:val="004C2C43"/>
    <w:rsid w:val="004C2C90"/>
    <w:rsid w:val="004C2D4E"/>
    <w:rsid w:val="004C2E45"/>
    <w:rsid w:val="004C2F3F"/>
    <w:rsid w:val="004C31EB"/>
    <w:rsid w:val="004C3798"/>
    <w:rsid w:val="004C37BD"/>
    <w:rsid w:val="004C3BA9"/>
    <w:rsid w:val="004C3C43"/>
    <w:rsid w:val="004C3CCE"/>
    <w:rsid w:val="004C3CDB"/>
    <w:rsid w:val="004C3D54"/>
    <w:rsid w:val="004C3E9E"/>
    <w:rsid w:val="004C42A2"/>
    <w:rsid w:val="004C4445"/>
    <w:rsid w:val="004C4502"/>
    <w:rsid w:val="004C4565"/>
    <w:rsid w:val="004C463B"/>
    <w:rsid w:val="004C46AD"/>
    <w:rsid w:val="004C476D"/>
    <w:rsid w:val="004C486D"/>
    <w:rsid w:val="004C4885"/>
    <w:rsid w:val="004C515C"/>
    <w:rsid w:val="004C54DD"/>
    <w:rsid w:val="004C564C"/>
    <w:rsid w:val="004C590D"/>
    <w:rsid w:val="004C591F"/>
    <w:rsid w:val="004C5AF5"/>
    <w:rsid w:val="004C5B61"/>
    <w:rsid w:val="004C5C14"/>
    <w:rsid w:val="004C5CE2"/>
    <w:rsid w:val="004C5D2F"/>
    <w:rsid w:val="004C5FF8"/>
    <w:rsid w:val="004C6031"/>
    <w:rsid w:val="004C6461"/>
    <w:rsid w:val="004C66B5"/>
    <w:rsid w:val="004C6B77"/>
    <w:rsid w:val="004C71FC"/>
    <w:rsid w:val="004C7309"/>
    <w:rsid w:val="004C73BE"/>
    <w:rsid w:val="004C7629"/>
    <w:rsid w:val="004C77D0"/>
    <w:rsid w:val="004C7962"/>
    <w:rsid w:val="004C797C"/>
    <w:rsid w:val="004C7A07"/>
    <w:rsid w:val="004C7BC5"/>
    <w:rsid w:val="004C7D8C"/>
    <w:rsid w:val="004C7F30"/>
    <w:rsid w:val="004D0152"/>
    <w:rsid w:val="004D01AA"/>
    <w:rsid w:val="004D0384"/>
    <w:rsid w:val="004D078D"/>
    <w:rsid w:val="004D0C52"/>
    <w:rsid w:val="004D0F02"/>
    <w:rsid w:val="004D106A"/>
    <w:rsid w:val="004D108A"/>
    <w:rsid w:val="004D117B"/>
    <w:rsid w:val="004D1235"/>
    <w:rsid w:val="004D12B2"/>
    <w:rsid w:val="004D1385"/>
    <w:rsid w:val="004D1486"/>
    <w:rsid w:val="004D14D4"/>
    <w:rsid w:val="004D14F3"/>
    <w:rsid w:val="004D166E"/>
    <w:rsid w:val="004D17AB"/>
    <w:rsid w:val="004D17FC"/>
    <w:rsid w:val="004D1862"/>
    <w:rsid w:val="004D1B7B"/>
    <w:rsid w:val="004D1CFD"/>
    <w:rsid w:val="004D1F0A"/>
    <w:rsid w:val="004D2184"/>
    <w:rsid w:val="004D21FA"/>
    <w:rsid w:val="004D265C"/>
    <w:rsid w:val="004D3176"/>
    <w:rsid w:val="004D32A1"/>
    <w:rsid w:val="004D3419"/>
    <w:rsid w:val="004D3620"/>
    <w:rsid w:val="004D37BD"/>
    <w:rsid w:val="004D38BB"/>
    <w:rsid w:val="004D3952"/>
    <w:rsid w:val="004D3A6F"/>
    <w:rsid w:val="004D3A91"/>
    <w:rsid w:val="004D3AE4"/>
    <w:rsid w:val="004D3B20"/>
    <w:rsid w:val="004D3BB5"/>
    <w:rsid w:val="004D3DCA"/>
    <w:rsid w:val="004D4013"/>
    <w:rsid w:val="004D45C7"/>
    <w:rsid w:val="004D464F"/>
    <w:rsid w:val="004D4703"/>
    <w:rsid w:val="004D4941"/>
    <w:rsid w:val="004D49DB"/>
    <w:rsid w:val="004D4ABC"/>
    <w:rsid w:val="004D4DF2"/>
    <w:rsid w:val="004D4E46"/>
    <w:rsid w:val="004D51EF"/>
    <w:rsid w:val="004D522C"/>
    <w:rsid w:val="004D54A1"/>
    <w:rsid w:val="004D54EE"/>
    <w:rsid w:val="004D554D"/>
    <w:rsid w:val="004D5721"/>
    <w:rsid w:val="004D5C17"/>
    <w:rsid w:val="004D5CA2"/>
    <w:rsid w:val="004D5CDA"/>
    <w:rsid w:val="004D5DA3"/>
    <w:rsid w:val="004D5E21"/>
    <w:rsid w:val="004D6068"/>
    <w:rsid w:val="004D6408"/>
    <w:rsid w:val="004D6817"/>
    <w:rsid w:val="004D694D"/>
    <w:rsid w:val="004D69DD"/>
    <w:rsid w:val="004D6A0E"/>
    <w:rsid w:val="004D6A40"/>
    <w:rsid w:val="004D6AC9"/>
    <w:rsid w:val="004D6E47"/>
    <w:rsid w:val="004D7073"/>
    <w:rsid w:val="004D7357"/>
    <w:rsid w:val="004D73ED"/>
    <w:rsid w:val="004D769C"/>
    <w:rsid w:val="004D7887"/>
    <w:rsid w:val="004D790A"/>
    <w:rsid w:val="004D7932"/>
    <w:rsid w:val="004D7BBC"/>
    <w:rsid w:val="004D7CB0"/>
    <w:rsid w:val="004D7E45"/>
    <w:rsid w:val="004E014F"/>
    <w:rsid w:val="004E024F"/>
    <w:rsid w:val="004E05F1"/>
    <w:rsid w:val="004E0A24"/>
    <w:rsid w:val="004E0E7C"/>
    <w:rsid w:val="004E11FB"/>
    <w:rsid w:val="004E12D6"/>
    <w:rsid w:val="004E1571"/>
    <w:rsid w:val="004E15AB"/>
    <w:rsid w:val="004E169B"/>
    <w:rsid w:val="004E16B6"/>
    <w:rsid w:val="004E1907"/>
    <w:rsid w:val="004E19A1"/>
    <w:rsid w:val="004E19A8"/>
    <w:rsid w:val="004E1A3B"/>
    <w:rsid w:val="004E1B97"/>
    <w:rsid w:val="004E1E78"/>
    <w:rsid w:val="004E1FC9"/>
    <w:rsid w:val="004E20A8"/>
    <w:rsid w:val="004E252E"/>
    <w:rsid w:val="004E2854"/>
    <w:rsid w:val="004E285E"/>
    <w:rsid w:val="004E2A8F"/>
    <w:rsid w:val="004E2AD9"/>
    <w:rsid w:val="004E2BBD"/>
    <w:rsid w:val="004E2C42"/>
    <w:rsid w:val="004E2D2B"/>
    <w:rsid w:val="004E2E6B"/>
    <w:rsid w:val="004E2F42"/>
    <w:rsid w:val="004E3223"/>
    <w:rsid w:val="004E34F4"/>
    <w:rsid w:val="004E3649"/>
    <w:rsid w:val="004E3AA6"/>
    <w:rsid w:val="004E3BF6"/>
    <w:rsid w:val="004E3CB0"/>
    <w:rsid w:val="004E4194"/>
    <w:rsid w:val="004E42A9"/>
    <w:rsid w:val="004E47D4"/>
    <w:rsid w:val="004E48F5"/>
    <w:rsid w:val="004E4A2A"/>
    <w:rsid w:val="004E4DFE"/>
    <w:rsid w:val="004E4F22"/>
    <w:rsid w:val="004E52AF"/>
    <w:rsid w:val="004E53A1"/>
    <w:rsid w:val="004E568C"/>
    <w:rsid w:val="004E5735"/>
    <w:rsid w:val="004E59CF"/>
    <w:rsid w:val="004E5A20"/>
    <w:rsid w:val="004E5AB7"/>
    <w:rsid w:val="004E5C07"/>
    <w:rsid w:val="004E5DC3"/>
    <w:rsid w:val="004E62A9"/>
    <w:rsid w:val="004E62BA"/>
    <w:rsid w:val="004E6349"/>
    <w:rsid w:val="004E63D7"/>
    <w:rsid w:val="004E6616"/>
    <w:rsid w:val="004E6643"/>
    <w:rsid w:val="004E6899"/>
    <w:rsid w:val="004E6A8C"/>
    <w:rsid w:val="004E6ACB"/>
    <w:rsid w:val="004E6BF4"/>
    <w:rsid w:val="004E6C55"/>
    <w:rsid w:val="004E6F22"/>
    <w:rsid w:val="004E7062"/>
    <w:rsid w:val="004E7183"/>
    <w:rsid w:val="004E73EF"/>
    <w:rsid w:val="004E755B"/>
    <w:rsid w:val="004E771B"/>
    <w:rsid w:val="004E7CD9"/>
    <w:rsid w:val="004F00B6"/>
    <w:rsid w:val="004F016C"/>
    <w:rsid w:val="004F03AA"/>
    <w:rsid w:val="004F0D87"/>
    <w:rsid w:val="004F0E3F"/>
    <w:rsid w:val="004F0F18"/>
    <w:rsid w:val="004F13D4"/>
    <w:rsid w:val="004F1473"/>
    <w:rsid w:val="004F14A6"/>
    <w:rsid w:val="004F151D"/>
    <w:rsid w:val="004F15B5"/>
    <w:rsid w:val="004F178A"/>
    <w:rsid w:val="004F17C7"/>
    <w:rsid w:val="004F18FE"/>
    <w:rsid w:val="004F1B25"/>
    <w:rsid w:val="004F1DF7"/>
    <w:rsid w:val="004F1E56"/>
    <w:rsid w:val="004F2160"/>
    <w:rsid w:val="004F2305"/>
    <w:rsid w:val="004F2625"/>
    <w:rsid w:val="004F2861"/>
    <w:rsid w:val="004F299B"/>
    <w:rsid w:val="004F2B64"/>
    <w:rsid w:val="004F2DB1"/>
    <w:rsid w:val="004F2DC1"/>
    <w:rsid w:val="004F2E0C"/>
    <w:rsid w:val="004F2F39"/>
    <w:rsid w:val="004F30FF"/>
    <w:rsid w:val="004F312F"/>
    <w:rsid w:val="004F313D"/>
    <w:rsid w:val="004F32C7"/>
    <w:rsid w:val="004F3319"/>
    <w:rsid w:val="004F35C6"/>
    <w:rsid w:val="004F35EB"/>
    <w:rsid w:val="004F37B4"/>
    <w:rsid w:val="004F3884"/>
    <w:rsid w:val="004F38D8"/>
    <w:rsid w:val="004F3BCA"/>
    <w:rsid w:val="004F3BE4"/>
    <w:rsid w:val="004F3CC2"/>
    <w:rsid w:val="004F3E09"/>
    <w:rsid w:val="004F3E6F"/>
    <w:rsid w:val="004F3EE4"/>
    <w:rsid w:val="004F41F0"/>
    <w:rsid w:val="004F447D"/>
    <w:rsid w:val="004F44EE"/>
    <w:rsid w:val="004F45A7"/>
    <w:rsid w:val="004F47EE"/>
    <w:rsid w:val="004F48B9"/>
    <w:rsid w:val="004F48D0"/>
    <w:rsid w:val="004F4AAB"/>
    <w:rsid w:val="004F4AB1"/>
    <w:rsid w:val="004F4DE8"/>
    <w:rsid w:val="004F4E80"/>
    <w:rsid w:val="004F51D3"/>
    <w:rsid w:val="004F54F4"/>
    <w:rsid w:val="004F589D"/>
    <w:rsid w:val="004F5B65"/>
    <w:rsid w:val="004F5D9C"/>
    <w:rsid w:val="004F6005"/>
    <w:rsid w:val="004F6379"/>
    <w:rsid w:val="004F64C7"/>
    <w:rsid w:val="004F6542"/>
    <w:rsid w:val="004F658A"/>
    <w:rsid w:val="004F6639"/>
    <w:rsid w:val="004F6CCB"/>
    <w:rsid w:val="004F6E6E"/>
    <w:rsid w:val="004F6EA0"/>
    <w:rsid w:val="004F7058"/>
    <w:rsid w:val="004F766E"/>
    <w:rsid w:val="004F77F2"/>
    <w:rsid w:val="004F7837"/>
    <w:rsid w:val="004F7A47"/>
    <w:rsid w:val="004F7AB0"/>
    <w:rsid w:val="004F7AC3"/>
    <w:rsid w:val="004F7CAE"/>
    <w:rsid w:val="004F7FF8"/>
    <w:rsid w:val="005001D3"/>
    <w:rsid w:val="0050045C"/>
    <w:rsid w:val="00500760"/>
    <w:rsid w:val="00500E9A"/>
    <w:rsid w:val="00500F03"/>
    <w:rsid w:val="00501100"/>
    <w:rsid w:val="00501140"/>
    <w:rsid w:val="0050142D"/>
    <w:rsid w:val="00501489"/>
    <w:rsid w:val="005014FA"/>
    <w:rsid w:val="0050156B"/>
    <w:rsid w:val="0050160D"/>
    <w:rsid w:val="00501628"/>
    <w:rsid w:val="005016FC"/>
    <w:rsid w:val="0050177F"/>
    <w:rsid w:val="005017C8"/>
    <w:rsid w:val="0050191B"/>
    <w:rsid w:val="005019E1"/>
    <w:rsid w:val="00501A5E"/>
    <w:rsid w:val="00501A78"/>
    <w:rsid w:val="00501FF2"/>
    <w:rsid w:val="00502456"/>
    <w:rsid w:val="005025A2"/>
    <w:rsid w:val="005029FC"/>
    <w:rsid w:val="00502B00"/>
    <w:rsid w:val="00502D80"/>
    <w:rsid w:val="00502F3C"/>
    <w:rsid w:val="00502FFF"/>
    <w:rsid w:val="005030D3"/>
    <w:rsid w:val="00503210"/>
    <w:rsid w:val="00503239"/>
    <w:rsid w:val="005034A7"/>
    <w:rsid w:val="0050371C"/>
    <w:rsid w:val="00503863"/>
    <w:rsid w:val="0050399C"/>
    <w:rsid w:val="00503A05"/>
    <w:rsid w:val="00503B55"/>
    <w:rsid w:val="00503DEA"/>
    <w:rsid w:val="00503DEF"/>
    <w:rsid w:val="00503EA2"/>
    <w:rsid w:val="00503F88"/>
    <w:rsid w:val="005044B1"/>
    <w:rsid w:val="005044E3"/>
    <w:rsid w:val="0050450E"/>
    <w:rsid w:val="0050462E"/>
    <w:rsid w:val="0050472E"/>
    <w:rsid w:val="005047C7"/>
    <w:rsid w:val="005048EB"/>
    <w:rsid w:val="00504B29"/>
    <w:rsid w:val="00504C8C"/>
    <w:rsid w:val="00504C9C"/>
    <w:rsid w:val="00504E5E"/>
    <w:rsid w:val="0050549B"/>
    <w:rsid w:val="00505518"/>
    <w:rsid w:val="00505553"/>
    <w:rsid w:val="0050564E"/>
    <w:rsid w:val="0050580C"/>
    <w:rsid w:val="00505BB4"/>
    <w:rsid w:val="00505F5F"/>
    <w:rsid w:val="00506289"/>
    <w:rsid w:val="005064B8"/>
    <w:rsid w:val="005064C7"/>
    <w:rsid w:val="005066E8"/>
    <w:rsid w:val="005068FF"/>
    <w:rsid w:val="00506905"/>
    <w:rsid w:val="005069F3"/>
    <w:rsid w:val="00506A21"/>
    <w:rsid w:val="00506BA4"/>
    <w:rsid w:val="00506F72"/>
    <w:rsid w:val="00507346"/>
    <w:rsid w:val="00507583"/>
    <w:rsid w:val="005078E7"/>
    <w:rsid w:val="005079AD"/>
    <w:rsid w:val="00507B88"/>
    <w:rsid w:val="00507CD5"/>
    <w:rsid w:val="00507D29"/>
    <w:rsid w:val="00507DBE"/>
    <w:rsid w:val="00507DE9"/>
    <w:rsid w:val="00507E5B"/>
    <w:rsid w:val="00507F35"/>
    <w:rsid w:val="00507FC6"/>
    <w:rsid w:val="0051020A"/>
    <w:rsid w:val="0051037D"/>
    <w:rsid w:val="0051039F"/>
    <w:rsid w:val="005103CD"/>
    <w:rsid w:val="005104A4"/>
    <w:rsid w:val="005105D7"/>
    <w:rsid w:val="0051061A"/>
    <w:rsid w:val="005109A1"/>
    <w:rsid w:val="00510B8E"/>
    <w:rsid w:val="00510BED"/>
    <w:rsid w:val="00510C4D"/>
    <w:rsid w:val="00510D15"/>
    <w:rsid w:val="00510E63"/>
    <w:rsid w:val="00510EB1"/>
    <w:rsid w:val="00511184"/>
    <w:rsid w:val="00511226"/>
    <w:rsid w:val="00511359"/>
    <w:rsid w:val="005113AC"/>
    <w:rsid w:val="0051163D"/>
    <w:rsid w:val="00511A1C"/>
    <w:rsid w:val="00511C6C"/>
    <w:rsid w:val="00511D1E"/>
    <w:rsid w:val="005120CE"/>
    <w:rsid w:val="00512375"/>
    <w:rsid w:val="005123B8"/>
    <w:rsid w:val="005124AE"/>
    <w:rsid w:val="005125D4"/>
    <w:rsid w:val="0051283C"/>
    <w:rsid w:val="00512DF2"/>
    <w:rsid w:val="00512ECA"/>
    <w:rsid w:val="00513246"/>
    <w:rsid w:val="00513318"/>
    <w:rsid w:val="00513762"/>
    <w:rsid w:val="00513D78"/>
    <w:rsid w:val="00514316"/>
    <w:rsid w:val="00514388"/>
    <w:rsid w:val="00514520"/>
    <w:rsid w:val="0051452C"/>
    <w:rsid w:val="005147CE"/>
    <w:rsid w:val="005147EA"/>
    <w:rsid w:val="0051491D"/>
    <w:rsid w:val="00514B37"/>
    <w:rsid w:val="00514C5E"/>
    <w:rsid w:val="00514E8B"/>
    <w:rsid w:val="00515491"/>
    <w:rsid w:val="00515A6E"/>
    <w:rsid w:val="00515B42"/>
    <w:rsid w:val="00515BA1"/>
    <w:rsid w:val="00515BFA"/>
    <w:rsid w:val="00515D83"/>
    <w:rsid w:val="0051675F"/>
    <w:rsid w:val="00516951"/>
    <w:rsid w:val="00516B24"/>
    <w:rsid w:val="00516B66"/>
    <w:rsid w:val="00516B8F"/>
    <w:rsid w:val="00516C39"/>
    <w:rsid w:val="00516DEA"/>
    <w:rsid w:val="00516F26"/>
    <w:rsid w:val="00516FD9"/>
    <w:rsid w:val="0051729D"/>
    <w:rsid w:val="005172A0"/>
    <w:rsid w:val="00517383"/>
    <w:rsid w:val="00517681"/>
    <w:rsid w:val="0051774A"/>
    <w:rsid w:val="0051792A"/>
    <w:rsid w:val="00517B37"/>
    <w:rsid w:val="00517C8C"/>
    <w:rsid w:val="00517CB3"/>
    <w:rsid w:val="00517D41"/>
    <w:rsid w:val="00517EDE"/>
    <w:rsid w:val="00517F24"/>
    <w:rsid w:val="00517F7F"/>
    <w:rsid w:val="005200C0"/>
    <w:rsid w:val="0052032B"/>
    <w:rsid w:val="005204F3"/>
    <w:rsid w:val="00520519"/>
    <w:rsid w:val="0052052C"/>
    <w:rsid w:val="005205D7"/>
    <w:rsid w:val="00520718"/>
    <w:rsid w:val="005207F6"/>
    <w:rsid w:val="00520861"/>
    <w:rsid w:val="005208A6"/>
    <w:rsid w:val="0052101C"/>
    <w:rsid w:val="00521136"/>
    <w:rsid w:val="00521181"/>
    <w:rsid w:val="005211BB"/>
    <w:rsid w:val="0052128A"/>
    <w:rsid w:val="00521375"/>
    <w:rsid w:val="005218F5"/>
    <w:rsid w:val="00521C9C"/>
    <w:rsid w:val="00521D60"/>
    <w:rsid w:val="00521ED1"/>
    <w:rsid w:val="0052234B"/>
    <w:rsid w:val="005224B3"/>
    <w:rsid w:val="005226F2"/>
    <w:rsid w:val="005226F9"/>
    <w:rsid w:val="00522A31"/>
    <w:rsid w:val="00522B3B"/>
    <w:rsid w:val="00522BA9"/>
    <w:rsid w:val="00522BB3"/>
    <w:rsid w:val="00522FB8"/>
    <w:rsid w:val="00522FDB"/>
    <w:rsid w:val="00523134"/>
    <w:rsid w:val="00523157"/>
    <w:rsid w:val="00523314"/>
    <w:rsid w:val="0052332B"/>
    <w:rsid w:val="005236C4"/>
    <w:rsid w:val="00523816"/>
    <w:rsid w:val="00523C95"/>
    <w:rsid w:val="00523CE0"/>
    <w:rsid w:val="00523E23"/>
    <w:rsid w:val="00523EF5"/>
    <w:rsid w:val="005240A3"/>
    <w:rsid w:val="00524374"/>
    <w:rsid w:val="00524456"/>
    <w:rsid w:val="00524602"/>
    <w:rsid w:val="00524A89"/>
    <w:rsid w:val="00524AAB"/>
    <w:rsid w:val="00524C2F"/>
    <w:rsid w:val="00524D28"/>
    <w:rsid w:val="00524D6D"/>
    <w:rsid w:val="00524EC5"/>
    <w:rsid w:val="00524F2E"/>
    <w:rsid w:val="00524FAD"/>
    <w:rsid w:val="0052516B"/>
    <w:rsid w:val="00525265"/>
    <w:rsid w:val="00525422"/>
    <w:rsid w:val="005258E3"/>
    <w:rsid w:val="00525A70"/>
    <w:rsid w:val="00525E1D"/>
    <w:rsid w:val="00525EE9"/>
    <w:rsid w:val="00525F4D"/>
    <w:rsid w:val="0052600F"/>
    <w:rsid w:val="0052608A"/>
    <w:rsid w:val="005260DF"/>
    <w:rsid w:val="005261C3"/>
    <w:rsid w:val="00526528"/>
    <w:rsid w:val="005265CE"/>
    <w:rsid w:val="0052670D"/>
    <w:rsid w:val="0052694C"/>
    <w:rsid w:val="00526C86"/>
    <w:rsid w:val="00526E74"/>
    <w:rsid w:val="00526FE6"/>
    <w:rsid w:val="00527003"/>
    <w:rsid w:val="0052707D"/>
    <w:rsid w:val="005271BB"/>
    <w:rsid w:val="00527207"/>
    <w:rsid w:val="005277EB"/>
    <w:rsid w:val="005279D7"/>
    <w:rsid w:val="00527AE1"/>
    <w:rsid w:val="00527C9B"/>
    <w:rsid w:val="00527C9E"/>
    <w:rsid w:val="00527CED"/>
    <w:rsid w:val="00527D79"/>
    <w:rsid w:val="00527F6B"/>
    <w:rsid w:val="00530479"/>
    <w:rsid w:val="00530584"/>
    <w:rsid w:val="00530878"/>
    <w:rsid w:val="00530C8F"/>
    <w:rsid w:val="00530CFB"/>
    <w:rsid w:val="00530D50"/>
    <w:rsid w:val="005310B5"/>
    <w:rsid w:val="0053118C"/>
    <w:rsid w:val="0053185C"/>
    <w:rsid w:val="005318CD"/>
    <w:rsid w:val="00531934"/>
    <w:rsid w:val="00531D55"/>
    <w:rsid w:val="00531EB6"/>
    <w:rsid w:val="0053220D"/>
    <w:rsid w:val="005327EB"/>
    <w:rsid w:val="005328E2"/>
    <w:rsid w:val="00532928"/>
    <w:rsid w:val="00532946"/>
    <w:rsid w:val="00532A01"/>
    <w:rsid w:val="00532BD6"/>
    <w:rsid w:val="00532DA9"/>
    <w:rsid w:val="00532E76"/>
    <w:rsid w:val="00532F7A"/>
    <w:rsid w:val="00533304"/>
    <w:rsid w:val="005334E2"/>
    <w:rsid w:val="005335CD"/>
    <w:rsid w:val="00533647"/>
    <w:rsid w:val="0053380B"/>
    <w:rsid w:val="0053390F"/>
    <w:rsid w:val="00533C31"/>
    <w:rsid w:val="00533ECD"/>
    <w:rsid w:val="00534190"/>
    <w:rsid w:val="0053440D"/>
    <w:rsid w:val="0053443B"/>
    <w:rsid w:val="00534627"/>
    <w:rsid w:val="005347E9"/>
    <w:rsid w:val="00534B19"/>
    <w:rsid w:val="00534B40"/>
    <w:rsid w:val="00534BAC"/>
    <w:rsid w:val="00534E61"/>
    <w:rsid w:val="00534E87"/>
    <w:rsid w:val="00535086"/>
    <w:rsid w:val="005350E2"/>
    <w:rsid w:val="00535131"/>
    <w:rsid w:val="005352A4"/>
    <w:rsid w:val="00535923"/>
    <w:rsid w:val="00535A0F"/>
    <w:rsid w:val="00535A36"/>
    <w:rsid w:val="00535A63"/>
    <w:rsid w:val="00535ADF"/>
    <w:rsid w:val="00535C53"/>
    <w:rsid w:val="00535C78"/>
    <w:rsid w:val="0053600B"/>
    <w:rsid w:val="00536529"/>
    <w:rsid w:val="005366B0"/>
    <w:rsid w:val="00536908"/>
    <w:rsid w:val="00536947"/>
    <w:rsid w:val="00536991"/>
    <w:rsid w:val="00536A66"/>
    <w:rsid w:val="00536BDC"/>
    <w:rsid w:val="00536C3C"/>
    <w:rsid w:val="00536C82"/>
    <w:rsid w:val="00536F73"/>
    <w:rsid w:val="00537150"/>
    <w:rsid w:val="00537260"/>
    <w:rsid w:val="005372F6"/>
    <w:rsid w:val="0053741E"/>
    <w:rsid w:val="00537497"/>
    <w:rsid w:val="00537587"/>
    <w:rsid w:val="00537665"/>
    <w:rsid w:val="00537787"/>
    <w:rsid w:val="005377A7"/>
    <w:rsid w:val="005379A7"/>
    <w:rsid w:val="00537D0C"/>
    <w:rsid w:val="00540592"/>
    <w:rsid w:val="00540844"/>
    <w:rsid w:val="0054098C"/>
    <w:rsid w:val="00540BAA"/>
    <w:rsid w:val="00540E9E"/>
    <w:rsid w:val="00540FC4"/>
    <w:rsid w:val="0054108C"/>
    <w:rsid w:val="00541313"/>
    <w:rsid w:val="005414F5"/>
    <w:rsid w:val="005416DB"/>
    <w:rsid w:val="00541820"/>
    <w:rsid w:val="00541A5F"/>
    <w:rsid w:val="00541ACA"/>
    <w:rsid w:val="00541B38"/>
    <w:rsid w:val="005421A0"/>
    <w:rsid w:val="0054220D"/>
    <w:rsid w:val="005422B5"/>
    <w:rsid w:val="0054242F"/>
    <w:rsid w:val="005425A3"/>
    <w:rsid w:val="0054269A"/>
    <w:rsid w:val="005427AD"/>
    <w:rsid w:val="005427F5"/>
    <w:rsid w:val="00542849"/>
    <w:rsid w:val="00542C27"/>
    <w:rsid w:val="00542EF8"/>
    <w:rsid w:val="00542F72"/>
    <w:rsid w:val="00542F8E"/>
    <w:rsid w:val="00543249"/>
    <w:rsid w:val="00543568"/>
    <w:rsid w:val="0054360A"/>
    <w:rsid w:val="00543AAA"/>
    <w:rsid w:val="00543C91"/>
    <w:rsid w:val="00543CFF"/>
    <w:rsid w:val="00543D09"/>
    <w:rsid w:val="00543DC5"/>
    <w:rsid w:val="00543DDD"/>
    <w:rsid w:val="00544470"/>
    <w:rsid w:val="00544481"/>
    <w:rsid w:val="00544924"/>
    <w:rsid w:val="00544FF6"/>
    <w:rsid w:val="005450A8"/>
    <w:rsid w:val="00545473"/>
    <w:rsid w:val="00545574"/>
    <w:rsid w:val="00545666"/>
    <w:rsid w:val="00545698"/>
    <w:rsid w:val="00545940"/>
    <w:rsid w:val="00545D14"/>
    <w:rsid w:val="00545D84"/>
    <w:rsid w:val="00545F02"/>
    <w:rsid w:val="00546087"/>
    <w:rsid w:val="005461BE"/>
    <w:rsid w:val="005462A9"/>
    <w:rsid w:val="005467D8"/>
    <w:rsid w:val="00546B4F"/>
    <w:rsid w:val="00546FC2"/>
    <w:rsid w:val="00547259"/>
    <w:rsid w:val="005473BB"/>
    <w:rsid w:val="005475CF"/>
    <w:rsid w:val="005477B7"/>
    <w:rsid w:val="0054782E"/>
    <w:rsid w:val="0054792C"/>
    <w:rsid w:val="00547B1F"/>
    <w:rsid w:val="00547C8E"/>
    <w:rsid w:val="00547D09"/>
    <w:rsid w:val="00547F95"/>
    <w:rsid w:val="0055000C"/>
    <w:rsid w:val="0055022F"/>
    <w:rsid w:val="005503FE"/>
    <w:rsid w:val="0055056F"/>
    <w:rsid w:val="00550766"/>
    <w:rsid w:val="0055098B"/>
    <w:rsid w:val="00550B59"/>
    <w:rsid w:val="00550E2D"/>
    <w:rsid w:val="00550F59"/>
    <w:rsid w:val="00551006"/>
    <w:rsid w:val="00551203"/>
    <w:rsid w:val="00551505"/>
    <w:rsid w:val="005517B9"/>
    <w:rsid w:val="00551B4D"/>
    <w:rsid w:val="00551D14"/>
    <w:rsid w:val="00551DF9"/>
    <w:rsid w:val="00551F75"/>
    <w:rsid w:val="00551FDE"/>
    <w:rsid w:val="00552014"/>
    <w:rsid w:val="005520D9"/>
    <w:rsid w:val="0055214B"/>
    <w:rsid w:val="00552A31"/>
    <w:rsid w:val="00552A78"/>
    <w:rsid w:val="00552F84"/>
    <w:rsid w:val="0055313E"/>
    <w:rsid w:val="005533AE"/>
    <w:rsid w:val="00553534"/>
    <w:rsid w:val="00553573"/>
    <w:rsid w:val="00553661"/>
    <w:rsid w:val="005536D2"/>
    <w:rsid w:val="005536FB"/>
    <w:rsid w:val="00553822"/>
    <w:rsid w:val="00553921"/>
    <w:rsid w:val="005539A5"/>
    <w:rsid w:val="00553A8F"/>
    <w:rsid w:val="00553CDC"/>
    <w:rsid w:val="005543D0"/>
    <w:rsid w:val="005544A5"/>
    <w:rsid w:val="00554688"/>
    <w:rsid w:val="005546D8"/>
    <w:rsid w:val="00554AF8"/>
    <w:rsid w:val="00554D6C"/>
    <w:rsid w:val="00554D99"/>
    <w:rsid w:val="00554E6E"/>
    <w:rsid w:val="00554F6C"/>
    <w:rsid w:val="00555111"/>
    <w:rsid w:val="005554F6"/>
    <w:rsid w:val="00555731"/>
    <w:rsid w:val="00555B3D"/>
    <w:rsid w:val="00555B52"/>
    <w:rsid w:val="00555BE2"/>
    <w:rsid w:val="00555D4F"/>
    <w:rsid w:val="00555F1A"/>
    <w:rsid w:val="00555F20"/>
    <w:rsid w:val="005561AF"/>
    <w:rsid w:val="005562E2"/>
    <w:rsid w:val="00556379"/>
    <w:rsid w:val="0055638B"/>
    <w:rsid w:val="0055645B"/>
    <w:rsid w:val="00556483"/>
    <w:rsid w:val="005566BA"/>
    <w:rsid w:val="005566E1"/>
    <w:rsid w:val="00556BFB"/>
    <w:rsid w:val="00556D87"/>
    <w:rsid w:val="00556DCA"/>
    <w:rsid w:val="00557222"/>
    <w:rsid w:val="00557328"/>
    <w:rsid w:val="00557431"/>
    <w:rsid w:val="0055744E"/>
    <w:rsid w:val="00557465"/>
    <w:rsid w:val="005574C2"/>
    <w:rsid w:val="00557537"/>
    <w:rsid w:val="005576BE"/>
    <w:rsid w:val="005576C5"/>
    <w:rsid w:val="0055775F"/>
    <w:rsid w:val="00557A9E"/>
    <w:rsid w:val="00557C9C"/>
    <w:rsid w:val="0056031F"/>
    <w:rsid w:val="005604E9"/>
    <w:rsid w:val="0056063E"/>
    <w:rsid w:val="00560728"/>
    <w:rsid w:val="00560C06"/>
    <w:rsid w:val="00560D3C"/>
    <w:rsid w:val="00560D87"/>
    <w:rsid w:val="00561381"/>
    <w:rsid w:val="005614C5"/>
    <w:rsid w:val="00561592"/>
    <w:rsid w:val="00561651"/>
    <w:rsid w:val="00561770"/>
    <w:rsid w:val="00562318"/>
    <w:rsid w:val="00562403"/>
    <w:rsid w:val="00562461"/>
    <w:rsid w:val="0056248B"/>
    <w:rsid w:val="00562547"/>
    <w:rsid w:val="005625C4"/>
    <w:rsid w:val="00562681"/>
    <w:rsid w:val="00562A03"/>
    <w:rsid w:val="00562A09"/>
    <w:rsid w:val="00562A99"/>
    <w:rsid w:val="00562AD6"/>
    <w:rsid w:val="00562BF7"/>
    <w:rsid w:val="00563225"/>
    <w:rsid w:val="005632CE"/>
    <w:rsid w:val="005632F5"/>
    <w:rsid w:val="00563311"/>
    <w:rsid w:val="005635DA"/>
    <w:rsid w:val="0056389D"/>
    <w:rsid w:val="00563974"/>
    <w:rsid w:val="005639DB"/>
    <w:rsid w:val="00563AD3"/>
    <w:rsid w:val="00563DCF"/>
    <w:rsid w:val="00563F61"/>
    <w:rsid w:val="00563FEE"/>
    <w:rsid w:val="0056405F"/>
    <w:rsid w:val="0056407D"/>
    <w:rsid w:val="005640FE"/>
    <w:rsid w:val="00564389"/>
    <w:rsid w:val="005644A6"/>
    <w:rsid w:val="005644DB"/>
    <w:rsid w:val="005645CE"/>
    <w:rsid w:val="005645FB"/>
    <w:rsid w:val="00564654"/>
    <w:rsid w:val="005646C1"/>
    <w:rsid w:val="00564712"/>
    <w:rsid w:val="00564995"/>
    <w:rsid w:val="005649A2"/>
    <w:rsid w:val="00564CEA"/>
    <w:rsid w:val="00564D16"/>
    <w:rsid w:val="00564E92"/>
    <w:rsid w:val="00564F34"/>
    <w:rsid w:val="00564F6D"/>
    <w:rsid w:val="00565037"/>
    <w:rsid w:val="005652BC"/>
    <w:rsid w:val="005654EA"/>
    <w:rsid w:val="00565963"/>
    <w:rsid w:val="00565AF1"/>
    <w:rsid w:val="005661A5"/>
    <w:rsid w:val="005661CF"/>
    <w:rsid w:val="00566424"/>
    <w:rsid w:val="005667FE"/>
    <w:rsid w:val="005668DE"/>
    <w:rsid w:val="00566A61"/>
    <w:rsid w:val="00566DB7"/>
    <w:rsid w:val="00566F54"/>
    <w:rsid w:val="00566F85"/>
    <w:rsid w:val="00567094"/>
    <w:rsid w:val="00567499"/>
    <w:rsid w:val="005679C9"/>
    <w:rsid w:val="00567DD0"/>
    <w:rsid w:val="00567FB0"/>
    <w:rsid w:val="00570277"/>
    <w:rsid w:val="005702BB"/>
    <w:rsid w:val="00570342"/>
    <w:rsid w:val="0057036E"/>
    <w:rsid w:val="005706FC"/>
    <w:rsid w:val="0057070F"/>
    <w:rsid w:val="005708A5"/>
    <w:rsid w:val="005708AC"/>
    <w:rsid w:val="00570BBF"/>
    <w:rsid w:val="00570BFB"/>
    <w:rsid w:val="00570E59"/>
    <w:rsid w:val="00570F55"/>
    <w:rsid w:val="00570F7C"/>
    <w:rsid w:val="005711E3"/>
    <w:rsid w:val="005711E9"/>
    <w:rsid w:val="005715F0"/>
    <w:rsid w:val="00571767"/>
    <w:rsid w:val="005718D9"/>
    <w:rsid w:val="00571942"/>
    <w:rsid w:val="00571A9D"/>
    <w:rsid w:val="005720FE"/>
    <w:rsid w:val="005721F0"/>
    <w:rsid w:val="005721F5"/>
    <w:rsid w:val="00572207"/>
    <w:rsid w:val="00572610"/>
    <w:rsid w:val="00572733"/>
    <w:rsid w:val="00572BC2"/>
    <w:rsid w:val="00572BFD"/>
    <w:rsid w:val="00572DEE"/>
    <w:rsid w:val="00572DF0"/>
    <w:rsid w:val="005730CC"/>
    <w:rsid w:val="00573150"/>
    <w:rsid w:val="00573478"/>
    <w:rsid w:val="00573532"/>
    <w:rsid w:val="005735E5"/>
    <w:rsid w:val="00573F9E"/>
    <w:rsid w:val="005742B5"/>
    <w:rsid w:val="005743B6"/>
    <w:rsid w:val="00574623"/>
    <w:rsid w:val="0057483E"/>
    <w:rsid w:val="00574907"/>
    <w:rsid w:val="00574A5E"/>
    <w:rsid w:val="00574A72"/>
    <w:rsid w:val="00574BAB"/>
    <w:rsid w:val="00575941"/>
    <w:rsid w:val="00575B11"/>
    <w:rsid w:val="00575D8F"/>
    <w:rsid w:val="00575FC7"/>
    <w:rsid w:val="0057608F"/>
    <w:rsid w:val="005760A9"/>
    <w:rsid w:val="005762C3"/>
    <w:rsid w:val="00576300"/>
    <w:rsid w:val="005763F2"/>
    <w:rsid w:val="00576585"/>
    <w:rsid w:val="005765CC"/>
    <w:rsid w:val="00576A27"/>
    <w:rsid w:val="00576BD3"/>
    <w:rsid w:val="00576C9F"/>
    <w:rsid w:val="00576CE7"/>
    <w:rsid w:val="00576CED"/>
    <w:rsid w:val="00576E32"/>
    <w:rsid w:val="00577212"/>
    <w:rsid w:val="0057756D"/>
    <w:rsid w:val="005779CC"/>
    <w:rsid w:val="00577CEE"/>
    <w:rsid w:val="00577E61"/>
    <w:rsid w:val="005800BB"/>
    <w:rsid w:val="005800D5"/>
    <w:rsid w:val="005801C2"/>
    <w:rsid w:val="00580D13"/>
    <w:rsid w:val="00580D9E"/>
    <w:rsid w:val="00580E65"/>
    <w:rsid w:val="00580F83"/>
    <w:rsid w:val="00581249"/>
    <w:rsid w:val="00581252"/>
    <w:rsid w:val="0058144D"/>
    <w:rsid w:val="005814ED"/>
    <w:rsid w:val="00581628"/>
    <w:rsid w:val="00581776"/>
    <w:rsid w:val="0058178D"/>
    <w:rsid w:val="005817EC"/>
    <w:rsid w:val="00581877"/>
    <w:rsid w:val="005818C9"/>
    <w:rsid w:val="005819C8"/>
    <w:rsid w:val="005819DE"/>
    <w:rsid w:val="00581A5B"/>
    <w:rsid w:val="00581CA4"/>
    <w:rsid w:val="00581CC4"/>
    <w:rsid w:val="005820E3"/>
    <w:rsid w:val="00582357"/>
    <w:rsid w:val="005824BB"/>
    <w:rsid w:val="0058282D"/>
    <w:rsid w:val="00582895"/>
    <w:rsid w:val="00582DC0"/>
    <w:rsid w:val="00582F3C"/>
    <w:rsid w:val="00582F87"/>
    <w:rsid w:val="005831BC"/>
    <w:rsid w:val="0058320A"/>
    <w:rsid w:val="005833DB"/>
    <w:rsid w:val="005833EC"/>
    <w:rsid w:val="0058350C"/>
    <w:rsid w:val="00583A25"/>
    <w:rsid w:val="00583A4E"/>
    <w:rsid w:val="00583ACE"/>
    <w:rsid w:val="00583C81"/>
    <w:rsid w:val="00583ECE"/>
    <w:rsid w:val="00583F81"/>
    <w:rsid w:val="00584154"/>
    <w:rsid w:val="0058415B"/>
    <w:rsid w:val="00584518"/>
    <w:rsid w:val="0058461C"/>
    <w:rsid w:val="005846C9"/>
    <w:rsid w:val="005849CE"/>
    <w:rsid w:val="005849D9"/>
    <w:rsid w:val="00584FA7"/>
    <w:rsid w:val="0058525A"/>
    <w:rsid w:val="0058547A"/>
    <w:rsid w:val="00585738"/>
    <w:rsid w:val="005859F1"/>
    <w:rsid w:val="00585D3F"/>
    <w:rsid w:val="00585E66"/>
    <w:rsid w:val="00586089"/>
    <w:rsid w:val="00586167"/>
    <w:rsid w:val="005861E8"/>
    <w:rsid w:val="0058638C"/>
    <w:rsid w:val="005863B7"/>
    <w:rsid w:val="00586523"/>
    <w:rsid w:val="005866EF"/>
    <w:rsid w:val="0058679D"/>
    <w:rsid w:val="005868AD"/>
    <w:rsid w:val="00586C04"/>
    <w:rsid w:val="00586C1A"/>
    <w:rsid w:val="00586D28"/>
    <w:rsid w:val="005873B6"/>
    <w:rsid w:val="005878E1"/>
    <w:rsid w:val="00587AD0"/>
    <w:rsid w:val="00587AEB"/>
    <w:rsid w:val="00587AED"/>
    <w:rsid w:val="00587BB0"/>
    <w:rsid w:val="00587BF3"/>
    <w:rsid w:val="00587C99"/>
    <w:rsid w:val="00587E73"/>
    <w:rsid w:val="00587EA8"/>
    <w:rsid w:val="00590177"/>
    <w:rsid w:val="00590320"/>
    <w:rsid w:val="00590542"/>
    <w:rsid w:val="005905CD"/>
    <w:rsid w:val="0059092E"/>
    <w:rsid w:val="00590DA2"/>
    <w:rsid w:val="0059111E"/>
    <w:rsid w:val="005911FF"/>
    <w:rsid w:val="005913D6"/>
    <w:rsid w:val="005915DF"/>
    <w:rsid w:val="00591728"/>
    <w:rsid w:val="00591752"/>
    <w:rsid w:val="00591832"/>
    <w:rsid w:val="00591AF3"/>
    <w:rsid w:val="00591C46"/>
    <w:rsid w:val="00591F20"/>
    <w:rsid w:val="00591FAE"/>
    <w:rsid w:val="005921AD"/>
    <w:rsid w:val="00592298"/>
    <w:rsid w:val="0059249A"/>
    <w:rsid w:val="00592840"/>
    <w:rsid w:val="00592908"/>
    <w:rsid w:val="00592995"/>
    <w:rsid w:val="005929A7"/>
    <w:rsid w:val="00592A49"/>
    <w:rsid w:val="00592D1A"/>
    <w:rsid w:val="00592D31"/>
    <w:rsid w:val="00592E0F"/>
    <w:rsid w:val="00592E76"/>
    <w:rsid w:val="00592E8E"/>
    <w:rsid w:val="00592EFA"/>
    <w:rsid w:val="00593090"/>
    <w:rsid w:val="00593114"/>
    <w:rsid w:val="00593243"/>
    <w:rsid w:val="00593392"/>
    <w:rsid w:val="005933FE"/>
    <w:rsid w:val="005935BD"/>
    <w:rsid w:val="005935E5"/>
    <w:rsid w:val="0059363A"/>
    <w:rsid w:val="00593645"/>
    <w:rsid w:val="005939EB"/>
    <w:rsid w:val="00593A1B"/>
    <w:rsid w:val="00593BBD"/>
    <w:rsid w:val="00593BCE"/>
    <w:rsid w:val="005942AA"/>
    <w:rsid w:val="00594414"/>
    <w:rsid w:val="00594423"/>
    <w:rsid w:val="00594635"/>
    <w:rsid w:val="0059483E"/>
    <w:rsid w:val="00594845"/>
    <w:rsid w:val="005948FC"/>
    <w:rsid w:val="00594A9C"/>
    <w:rsid w:val="00594B80"/>
    <w:rsid w:val="00594C51"/>
    <w:rsid w:val="00594C5C"/>
    <w:rsid w:val="00594DE2"/>
    <w:rsid w:val="00594E6A"/>
    <w:rsid w:val="00595031"/>
    <w:rsid w:val="00595391"/>
    <w:rsid w:val="00595593"/>
    <w:rsid w:val="0059561D"/>
    <w:rsid w:val="005959B4"/>
    <w:rsid w:val="00595B1F"/>
    <w:rsid w:val="00595D9C"/>
    <w:rsid w:val="0059603C"/>
    <w:rsid w:val="0059619D"/>
    <w:rsid w:val="0059621B"/>
    <w:rsid w:val="005963C2"/>
    <w:rsid w:val="005966D4"/>
    <w:rsid w:val="00596C71"/>
    <w:rsid w:val="005970F5"/>
    <w:rsid w:val="0059728A"/>
    <w:rsid w:val="005972EA"/>
    <w:rsid w:val="00597535"/>
    <w:rsid w:val="00597728"/>
    <w:rsid w:val="00597D43"/>
    <w:rsid w:val="00597DB0"/>
    <w:rsid w:val="00597DB2"/>
    <w:rsid w:val="00597F6D"/>
    <w:rsid w:val="005A012D"/>
    <w:rsid w:val="005A0614"/>
    <w:rsid w:val="005A08F5"/>
    <w:rsid w:val="005A0934"/>
    <w:rsid w:val="005A0C4C"/>
    <w:rsid w:val="005A0DDF"/>
    <w:rsid w:val="005A0E7D"/>
    <w:rsid w:val="005A138E"/>
    <w:rsid w:val="005A13DF"/>
    <w:rsid w:val="005A1435"/>
    <w:rsid w:val="005A1815"/>
    <w:rsid w:val="005A1C68"/>
    <w:rsid w:val="005A1E44"/>
    <w:rsid w:val="005A213E"/>
    <w:rsid w:val="005A2448"/>
    <w:rsid w:val="005A2485"/>
    <w:rsid w:val="005A27E0"/>
    <w:rsid w:val="005A280D"/>
    <w:rsid w:val="005A2909"/>
    <w:rsid w:val="005A2A3D"/>
    <w:rsid w:val="005A2A8E"/>
    <w:rsid w:val="005A2B9E"/>
    <w:rsid w:val="005A2EAB"/>
    <w:rsid w:val="005A2EEA"/>
    <w:rsid w:val="005A334A"/>
    <w:rsid w:val="005A352F"/>
    <w:rsid w:val="005A36EA"/>
    <w:rsid w:val="005A37AC"/>
    <w:rsid w:val="005A3868"/>
    <w:rsid w:val="005A39FD"/>
    <w:rsid w:val="005A3C64"/>
    <w:rsid w:val="005A3DBC"/>
    <w:rsid w:val="005A3E4A"/>
    <w:rsid w:val="005A4023"/>
    <w:rsid w:val="005A406B"/>
    <w:rsid w:val="005A4155"/>
    <w:rsid w:val="005A4622"/>
    <w:rsid w:val="005A4763"/>
    <w:rsid w:val="005A48EF"/>
    <w:rsid w:val="005A4A83"/>
    <w:rsid w:val="005A4CA6"/>
    <w:rsid w:val="005A4F7B"/>
    <w:rsid w:val="005A51DB"/>
    <w:rsid w:val="005A54A0"/>
    <w:rsid w:val="005A56A1"/>
    <w:rsid w:val="005A5948"/>
    <w:rsid w:val="005A5C44"/>
    <w:rsid w:val="005A5E1D"/>
    <w:rsid w:val="005A6007"/>
    <w:rsid w:val="005A62DA"/>
    <w:rsid w:val="005A6499"/>
    <w:rsid w:val="005A6572"/>
    <w:rsid w:val="005A66C1"/>
    <w:rsid w:val="005A6757"/>
    <w:rsid w:val="005A67F2"/>
    <w:rsid w:val="005A6AE2"/>
    <w:rsid w:val="005A6F2E"/>
    <w:rsid w:val="005A713A"/>
    <w:rsid w:val="005A71FB"/>
    <w:rsid w:val="005A720E"/>
    <w:rsid w:val="005A73D7"/>
    <w:rsid w:val="005A7455"/>
    <w:rsid w:val="005A77C0"/>
    <w:rsid w:val="005A7832"/>
    <w:rsid w:val="005A790E"/>
    <w:rsid w:val="005A7A0D"/>
    <w:rsid w:val="005A7A77"/>
    <w:rsid w:val="005A7BDC"/>
    <w:rsid w:val="005A7C82"/>
    <w:rsid w:val="005A7F28"/>
    <w:rsid w:val="005B010B"/>
    <w:rsid w:val="005B01AC"/>
    <w:rsid w:val="005B01D1"/>
    <w:rsid w:val="005B0326"/>
    <w:rsid w:val="005B065B"/>
    <w:rsid w:val="005B085D"/>
    <w:rsid w:val="005B09B6"/>
    <w:rsid w:val="005B0A91"/>
    <w:rsid w:val="005B1077"/>
    <w:rsid w:val="005B1264"/>
    <w:rsid w:val="005B1C65"/>
    <w:rsid w:val="005B1CBD"/>
    <w:rsid w:val="005B1EFA"/>
    <w:rsid w:val="005B1F3D"/>
    <w:rsid w:val="005B223E"/>
    <w:rsid w:val="005B26E9"/>
    <w:rsid w:val="005B284A"/>
    <w:rsid w:val="005B28D2"/>
    <w:rsid w:val="005B29C4"/>
    <w:rsid w:val="005B2B21"/>
    <w:rsid w:val="005B2BAA"/>
    <w:rsid w:val="005B2BBE"/>
    <w:rsid w:val="005B2CA0"/>
    <w:rsid w:val="005B2FED"/>
    <w:rsid w:val="005B3095"/>
    <w:rsid w:val="005B3194"/>
    <w:rsid w:val="005B3350"/>
    <w:rsid w:val="005B338F"/>
    <w:rsid w:val="005B3544"/>
    <w:rsid w:val="005B3662"/>
    <w:rsid w:val="005B3A37"/>
    <w:rsid w:val="005B3E9D"/>
    <w:rsid w:val="005B4130"/>
    <w:rsid w:val="005B448D"/>
    <w:rsid w:val="005B44FF"/>
    <w:rsid w:val="005B4A10"/>
    <w:rsid w:val="005B4AD2"/>
    <w:rsid w:val="005B4BA7"/>
    <w:rsid w:val="005B4D51"/>
    <w:rsid w:val="005B4EB5"/>
    <w:rsid w:val="005B4EE5"/>
    <w:rsid w:val="005B5159"/>
    <w:rsid w:val="005B5355"/>
    <w:rsid w:val="005B53BF"/>
    <w:rsid w:val="005B53F1"/>
    <w:rsid w:val="005B54EF"/>
    <w:rsid w:val="005B5510"/>
    <w:rsid w:val="005B5624"/>
    <w:rsid w:val="005B56A4"/>
    <w:rsid w:val="005B56EF"/>
    <w:rsid w:val="005B587E"/>
    <w:rsid w:val="005B5928"/>
    <w:rsid w:val="005B59DE"/>
    <w:rsid w:val="005B5AAC"/>
    <w:rsid w:val="005B5B5E"/>
    <w:rsid w:val="005B5CBE"/>
    <w:rsid w:val="005B5D51"/>
    <w:rsid w:val="005B5D7C"/>
    <w:rsid w:val="005B6152"/>
    <w:rsid w:val="005B6158"/>
    <w:rsid w:val="005B61E1"/>
    <w:rsid w:val="005B62C0"/>
    <w:rsid w:val="005B64FB"/>
    <w:rsid w:val="005B6618"/>
    <w:rsid w:val="005B6901"/>
    <w:rsid w:val="005B6947"/>
    <w:rsid w:val="005B6A78"/>
    <w:rsid w:val="005B6BF2"/>
    <w:rsid w:val="005B6C74"/>
    <w:rsid w:val="005B6FCE"/>
    <w:rsid w:val="005B70ED"/>
    <w:rsid w:val="005B73D3"/>
    <w:rsid w:val="005B7411"/>
    <w:rsid w:val="005B7465"/>
    <w:rsid w:val="005B76FF"/>
    <w:rsid w:val="005B7C3E"/>
    <w:rsid w:val="005B7C5B"/>
    <w:rsid w:val="005B7EA0"/>
    <w:rsid w:val="005C0045"/>
    <w:rsid w:val="005C0070"/>
    <w:rsid w:val="005C01AA"/>
    <w:rsid w:val="005C0260"/>
    <w:rsid w:val="005C037D"/>
    <w:rsid w:val="005C0452"/>
    <w:rsid w:val="005C053F"/>
    <w:rsid w:val="005C05C1"/>
    <w:rsid w:val="005C087D"/>
    <w:rsid w:val="005C0ACA"/>
    <w:rsid w:val="005C0EE7"/>
    <w:rsid w:val="005C1049"/>
    <w:rsid w:val="005C108C"/>
    <w:rsid w:val="005C1094"/>
    <w:rsid w:val="005C10D9"/>
    <w:rsid w:val="005C1244"/>
    <w:rsid w:val="005C1272"/>
    <w:rsid w:val="005C158A"/>
    <w:rsid w:val="005C1674"/>
    <w:rsid w:val="005C16F9"/>
    <w:rsid w:val="005C17EF"/>
    <w:rsid w:val="005C1980"/>
    <w:rsid w:val="005C1ACE"/>
    <w:rsid w:val="005C1BD3"/>
    <w:rsid w:val="005C1D10"/>
    <w:rsid w:val="005C1D61"/>
    <w:rsid w:val="005C1E87"/>
    <w:rsid w:val="005C2303"/>
    <w:rsid w:val="005C250F"/>
    <w:rsid w:val="005C2573"/>
    <w:rsid w:val="005C259E"/>
    <w:rsid w:val="005C26FE"/>
    <w:rsid w:val="005C282E"/>
    <w:rsid w:val="005C2AE1"/>
    <w:rsid w:val="005C2B83"/>
    <w:rsid w:val="005C2B97"/>
    <w:rsid w:val="005C2C3A"/>
    <w:rsid w:val="005C2D14"/>
    <w:rsid w:val="005C2DBD"/>
    <w:rsid w:val="005C2F15"/>
    <w:rsid w:val="005C30E7"/>
    <w:rsid w:val="005C3194"/>
    <w:rsid w:val="005C3296"/>
    <w:rsid w:val="005C3323"/>
    <w:rsid w:val="005C3437"/>
    <w:rsid w:val="005C3670"/>
    <w:rsid w:val="005C373E"/>
    <w:rsid w:val="005C39EF"/>
    <w:rsid w:val="005C3D1A"/>
    <w:rsid w:val="005C3F1B"/>
    <w:rsid w:val="005C417A"/>
    <w:rsid w:val="005C43B1"/>
    <w:rsid w:val="005C45A6"/>
    <w:rsid w:val="005C4646"/>
    <w:rsid w:val="005C4735"/>
    <w:rsid w:val="005C48A8"/>
    <w:rsid w:val="005C4932"/>
    <w:rsid w:val="005C49A9"/>
    <w:rsid w:val="005C4C65"/>
    <w:rsid w:val="005C4D9F"/>
    <w:rsid w:val="005C4E10"/>
    <w:rsid w:val="005C543B"/>
    <w:rsid w:val="005C557F"/>
    <w:rsid w:val="005C5670"/>
    <w:rsid w:val="005C5898"/>
    <w:rsid w:val="005C58DC"/>
    <w:rsid w:val="005C5A2D"/>
    <w:rsid w:val="005C5CDB"/>
    <w:rsid w:val="005C5D20"/>
    <w:rsid w:val="005C5EB8"/>
    <w:rsid w:val="005C5F60"/>
    <w:rsid w:val="005C5FF6"/>
    <w:rsid w:val="005C6166"/>
    <w:rsid w:val="005C6291"/>
    <w:rsid w:val="005C6571"/>
    <w:rsid w:val="005C67B0"/>
    <w:rsid w:val="005C6976"/>
    <w:rsid w:val="005C6A09"/>
    <w:rsid w:val="005C6B12"/>
    <w:rsid w:val="005C6D78"/>
    <w:rsid w:val="005C6DFB"/>
    <w:rsid w:val="005C6EBD"/>
    <w:rsid w:val="005C70D4"/>
    <w:rsid w:val="005C75C4"/>
    <w:rsid w:val="005C7627"/>
    <w:rsid w:val="005C7688"/>
    <w:rsid w:val="005C76A7"/>
    <w:rsid w:val="005C77F6"/>
    <w:rsid w:val="005C7D1A"/>
    <w:rsid w:val="005C7F0B"/>
    <w:rsid w:val="005C7F13"/>
    <w:rsid w:val="005D00A4"/>
    <w:rsid w:val="005D01EC"/>
    <w:rsid w:val="005D0250"/>
    <w:rsid w:val="005D02C1"/>
    <w:rsid w:val="005D039F"/>
    <w:rsid w:val="005D03D3"/>
    <w:rsid w:val="005D0578"/>
    <w:rsid w:val="005D07A5"/>
    <w:rsid w:val="005D0818"/>
    <w:rsid w:val="005D0AA1"/>
    <w:rsid w:val="005D0B88"/>
    <w:rsid w:val="005D0D4E"/>
    <w:rsid w:val="005D0D77"/>
    <w:rsid w:val="005D0DEF"/>
    <w:rsid w:val="005D0DF7"/>
    <w:rsid w:val="005D10B3"/>
    <w:rsid w:val="005D1378"/>
    <w:rsid w:val="005D13AA"/>
    <w:rsid w:val="005D1C76"/>
    <w:rsid w:val="005D1D7E"/>
    <w:rsid w:val="005D1E8B"/>
    <w:rsid w:val="005D1EAF"/>
    <w:rsid w:val="005D20AC"/>
    <w:rsid w:val="005D20D0"/>
    <w:rsid w:val="005D215C"/>
    <w:rsid w:val="005D2324"/>
    <w:rsid w:val="005D25F7"/>
    <w:rsid w:val="005D26EF"/>
    <w:rsid w:val="005D2A8E"/>
    <w:rsid w:val="005D2B9A"/>
    <w:rsid w:val="005D314D"/>
    <w:rsid w:val="005D3230"/>
    <w:rsid w:val="005D352E"/>
    <w:rsid w:val="005D358F"/>
    <w:rsid w:val="005D3836"/>
    <w:rsid w:val="005D3918"/>
    <w:rsid w:val="005D3C26"/>
    <w:rsid w:val="005D3DC6"/>
    <w:rsid w:val="005D3E88"/>
    <w:rsid w:val="005D3F0C"/>
    <w:rsid w:val="005D4170"/>
    <w:rsid w:val="005D4241"/>
    <w:rsid w:val="005D42B5"/>
    <w:rsid w:val="005D4876"/>
    <w:rsid w:val="005D4927"/>
    <w:rsid w:val="005D499D"/>
    <w:rsid w:val="005D4B0A"/>
    <w:rsid w:val="005D4C2D"/>
    <w:rsid w:val="005D4D62"/>
    <w:rsid w:val="005D4DC6"/>
    <w:rsid w:val="005D4FCA"/>
    <w:rsid w:val="005D5092"/>
    <w:rsid w:val="005D50E4"/>
    <w:rsid w:val="005D5156"/>
    <w:rsid w:val="005D5435"/>
    <w:rsid w:val="005D54AB"/>
    <w:rsid w:val="005D54FA"/>
    <w:rsid w:val="005D554F"/>
    <w:rsid w:val="005D55F3"/>
    <w:rsid w:val="005D5615"/>
    <w:rsid w:val="005D57AF"/>
    <w:rsid w:val="005D5A7C"/>
    <w:rsid w:val="005D5A81"/>
    <w:rsid w:val="005D5F3E"/>
    <w:rsid w:val="005D61DA"/>
    <w:rsid w:val="005D63B6"/>
    <w:rsid w:val="005D6667"/>
    <w:rsid w:val="005D6A32"/>
    <w:rsid w:val="005D6E33"/>
    <w:rsid w:val="005D703B"/>
    <w:rsid w:val="005D737A"/>
    <w:rsid w:val="005D79FE"/>
    <w:rsid w:val="005D7A0A"/>
    <w:rsid w:val="005D7B8F"/>
    <w:rsid w:val="005D7C4C"/>
    <w:rsid w:val="005D7D81"/>
    <w:rsid w:val="005D7D9B"/>
    <w:rsid w:val="005E0034"/>
    <w:rsid w:val="005E01D8"/>
    <w:rsid w:val="005E0264"/>
    <w:rsid w:val="005E05C8"/>
    <w:rsid w:val="005E0B73"/>
    <w:rsid w:val="005E0D81"/>
    <w:rsid w:val="005E0DE7"/>
    <w:rsid w:val="005E0F2C"/>
    <w:rsid w:val="005E10F9"/>
    <w:rsid w:val="005E1106"/>
    <w:rsid w:val="005E1446"/>
    <w:rsid w:val="005E1535"/>
    <w:rsid w:val="005E1672"/>
    <w:rsid w:val="005E19C1"/>
    <w:rsid w:val="005E1A35"/>
    <w:rsid w:val="005E1AE8"/>
    <w:rsid w:val="005E1B7F"/>
    <w:rsid w:val="005E1C10"/>
    <w:rsid w:val="005E1CF9"/>
    <w:rsid w:val="005E1D33"/>
    <w:rsid w:val="005E1F11"/>
    <w:rsid w:val="005E205E"/>
    <w:rsid w:val="005E20E6"/>
    <w:rsid w:val="005E2100"/>
    <w:rsid w:val="005E2171"/>
    <w:rsid w:val="005E2413"/>
    <w:rsid w:val="005E2A25"/>
    <w:rsid w:val="005E2A7F"/>
    <w:rsid w:val="005E2B06"/>
    <w:rsid w:val="005E2BA7"/>
    <w:rsid w:val="005E2D99"/>
    <w:rsid w:val="005E2E10"/>
    <w:rsid w:val="005E305D"/>
    <w:rsid w:val="005E3281"/>
    <w:rsid w:val="005E33B5"/>
    <w:rsid w:val="005E353C"/>
    <w:rsid w:val="005E3646"/>
    <w:rsid w:val="005E37CF"/>
    <w:rsid w:val="005E395B"/>
    <w:rsid w:val="005E3A3C"/>
    <w:rsid w:val="005E3AA7"/>
    <w:rsid w:val="005E3C8D"/>
    <w:rsid w:val="005E3CA8"/>
    <w:rsid w:val="005E4011"/>
    <w:rsid w:val="005E43A1"/>
    <w:rsid w:val="005E46B4"/>
    <w:rsid w:val="005E4744"/>
    <w:rsid w:val="005E482F"/>
    <w:rsid w:val="005E4D3F"/>
    <w:rsid w:val="005E4F19"/>
    <w:rsid w:val="005E4FB2"/>
    <w:rsid w:val="005E51BB"/>
    <w:rsid w:val="005E5822"/>
    <w:rsid w:val="005E59D7"/>
    <w:rsid w:val="005E5D8F"/>
    <w:rsid w:val="005E6050"/>
    <w:rsid w:val="005E60E1"/>
    <w:rsid w:val="005E60FC"/>
    <w:rsid w:val="005E6231"/>
    <w:rsid w:val="005E6249"/>
    <w:rsid w:val="005E645C"/>
    <w:rsid w:val="005E6471"/>
    <w:rsid w:val="005E6520"/>
    <w:rsid w:val="005E6658"/>
    <w:rsid w:val="005E6894"/>
    <w:rsid w:val="005E6AE6"/>
    <w:rsid w:val="005E6CC6"/>
    <w:rsid w:val="005E6D49"/>
    <w:rsid w:val="005E6E20"/>
    <w:rsid w:val="005E6EAB"/>
    <w:rsid w:val="005E71C0"/>
    <w:rsid w:val="005E7338"/>
    <w:rsid w:val="005E75C9"/>
    <w:rsid w:val="005E76C6"/>
    <w:rsid w:val="005E7860"/>
    <w:rsid w:val="005E79D0"/>
    <w:rsid w:val="005E7C7F"/>
    <w:rsid w:val="005E7D11"/>
    <w:rsid w:val="005E7DF6"/>
    <w:rsid w:val="005F0031"/>
    <w:rsid w:val="005F0062"/>
    <w:rsid w:val="005F00A2"/>
    <w:rsid w:val="005F02D8"/>
    <w:rsid w:val="005F03EC"/>
    <w:rsid w:val="005F051A"/>
    <w:rsid w:val="005F07B6"/>
    <w:rsid w:val="005F07C7"/>
    <w:rsid w:val="005F09AA"/>
    <w:rsid w:val="005F0A3A"/>
    <w:rsid w:val="005F0A79"/>
    <w:rsid w:val="005F0BE4"/>
    <w:rsid w:val="005F0C72"/>
    <w:rsid w:val="005F0CFF"/>
    <w:rsid w:val="005F0E58"/>
    <w:rsid w:val="005F0EEF"/>
    <w:rsid w:val="005F110F"/>
    <w:rsid w:val="005F114B"/>
    <w:rsid w:val="005F1184"/>
    <w:rsid w:val="005F11CB"/>
    <w:rsid w:val="005F1222"/>
    <w:rsid w:val="005F12FC"/>
    <w:rsid w:val="005F130A"/>
    <w:rsid w:val="005F1312"/>
    <w:rsid w:val="005F159E"/>
    <w:rsid w:val="005F173D"/>
    <w:rsid w:val="005F1849"/>
    <w:rsid w:val="005F18DC"/>
    <w:rsid w:val="005F19EA"/>
    <w:rsid w:val="005F1A4F"/>
    <w:rsid w:val="005F1A78"/>
    <w:rsid w:val="005F1C9A"/>
    <w:rsid w:val="005F1D6A"/>
    <w:rsid w:val="005F1EF8"/>
    <w:rsid w:val="005F207E"/>
    <w:rsid w:val="005F231A"/>
    <w:rsid w:val="005F23B2"/>
    <w:rsid w:val="005F24FA"/>
    <w:rsid w:val="005F2671"/>
    <w:rsid w:val="005F2764"/>
    <w:rsid w:val="005F2AA4"/>
    <w:rsid w:val="005F2C5E"/>
    <w:rsid w:val="005F2EB2"/>
    <w:rsid w:val="005F2F92"/>
    <w:rsid w:val="005F30A1"/>
    <w:rsid w:val="005F3164"/>
    <w:rsid w:val="005F33A4"/>
    <w:rsid w:val="005F347B"/>
    <w:rsid w:val="005F35A1"/>
    <w:rsid w:val="005F3A0D"/>
    <w:rsid w:val="005F3AF1"/>
    <w:rsid w:val="005F3B86"/>
    <w:rsid w:val="005F3BA1"/>
    <w:rsid w:val="005F3D64"/>
    <w:rsid w:val="005F3F3F"/>
    <w:rsid w:val="005F3FAD"/>
    <w:rsid w:val="005F414D"/>
    <w:rsid w:val="005F4367"/>
    <w:rsid w:val="005F4767"/>
    <w:rsid w:val="005F49AD"/>
    <w:rsid w:val="005F4DE0"/>
    <w:rsid w:val="005F4E21"/>
    <w:rsid w:val="005F4EA3"/>
    <w:rsid w:val="005F4FB3"/>
    <w:rsid w:val="005F5232"/>
    <w:rsid w:val="005F5330"/>
    <w:rsid w:val="005F53B0"/>
    <w:rsid w:val="005F5417"/>
    <w:rsid w:val="005F54C3"/>
    <w:rsid w:val="005F55B5"/>
    <w:rsid w:val="005F567E"/>
    <w:rsid w:val="005F5711"/>
    <w:rsid w:val="005F57BE"/>
    <w:rsid w:val="005F590A"/>
    <w:rsid w:val="005F594E"/>
    <w:rsid w:val="005F598B"/>
    <w:rsid w:val="005F5D50"/>
    <w:rsid w:val="005F5D96"/>
    <w:rsid w:val="005F5DD2"/>
    <w:rsid w:val="005F6326"/>
    <w:rsid w:val="005F6467"/>
    <w:rsid w:val="005F6598"/>
    <w:rsid w:val="005F65A8"/>
    <w:rsid w:val="005F6A63"/>
    <w:rsid w:val="005F6B0B"/>
    <w:rsid w:val="005F6B75"/>
    <w:rsid w:val="005F7097"/>
    <w:rsid w:val="005F748A"/>
    <w:rsid w:val="005F748F"/>
    <w:rsid w:val="005F7787"/>
    <w:rsid w:val="005F7871"/>
    <w:rsid w:val="005F7A4E"/>
    <w:rsid w:val="005F7A6D"/>
    <w:rsid w:val="005F7B1D"/>
    <w:rsid w:val="005F7E3C"/>
    <w:rsid w:val="00600191"/>
    <w:rsid w:val="00600199"/>
    <w:rsid w:val="006007E3"/>
    <w:rsid w:val="006009D2"/>
    <w:rsid w:val="00600F43"/>
    <w:rsid w:val="00600FDB"/>
    <w:rsid w:val="00601079"/>
    <w:rsid w:val="00601380"/>
    <w:rsid w:val="00601426"/>
    <w:rsid w:val="006014C0"/>
    <w:rsid w:val="00601620"/>
    <w:rsid w:val="0060162C"/>
    <w:rsid w:val="006018BA"/>
    <w:rsid w:val="006018C8"/>
    <w:rsid w:val="00601B22"/>
    <w:rsid w:val="00601DAF"/>
    <w:rsid w:val="0060241F"/>
    <w:rsid w:val="006026BC"/>
    <w:rsid w:val="00602BB5"/>
    <w:rsid w:val="00602BD4"/>
    <w:rsid w:val="00602D28"/>
    <w:rsid w:val="00602D5A"/>
    <w:rsid w:val="00602DF7"/>
    <w:rsid w:val="00602FA8"/>
    <w:rsid w:val="00602FCB"/>
    <w:rsid w:val="00603072"/>
    <w:rsid w:val="00603237"/>
    <w:rsid w:val="00603495"/>
    <w:rsid w:val="006035B1"/>
    <w:rsid w:val="0060362F"/>
    <w:rsid w:val="0060374A"/>
    <w:rsid w:val="006037F3"/>
    <w:rsid w:val="00603828"/>
    <w:rsid w:val="006038F7"/>
    <w:rsid w:val="00603A42"/>
    <w:rsid w:val="00603B5B"/>
    <w:rsid w:val="00603D76"/>
    <w:rsid w:val="00603E32"/>
    <w:rsid w:val="00604113"/>
    <w:rsid w:val="0060416F"/>
    <w:rsid w:val="00604247"/>
    <w:rsid w:val="006042A4"/>
    <w:rsid w:val="006042FB"/>
    <w:rsid w:val="00604533"/>
    <w:rsid w:val="006047A6"/>
    <w:rsid w:val="006048C7"/>
    <w:rsid w:val="00604912"/>
    <w:rsid w:val="00604A53"/>
    <w:rsid w:val="00604BD6"/>
    <w:rsid w:val="00604C06"/>
    <w:rsid w:val="00604C1C"/>
    <w:rsid w:val="00604DEF"/>
    <w:rsid w:val="00604EA9"/>
    <w:rsid w:val="006050C3"/>
    <w:rsid w:val="006050CC"/>
    <w:rsid w:val="0060523A"/>
    <w:rsid w:val="0060526C"/>
    <w:rsid w:val="00605270"/>
    <w:rsid w:val="006054E1"/>
    <w:rsid w:val="006054F3"/>
    <w:rsid w:val="0060561B"/>
    <w:rsid w:val="0060590D"/>
    <w:rsid w:val="0060595D"/>
    <w:rsid w:val="006059A7"/>
    <w:rsid w:val="00605B49"/>
    <w:rsid w:val="00605BFD"/>
    <w:rsid w:val="00605D60"/>
    <w:rsid w:val="00605F50"/>
    <w:rsid w:val="00606052"/>
    <w:rsid w:val="00606132"/>
    <w:rsid w:val="006062B1"/>
    <w:rsid w:val="00606350"/>
    <w:rsid w:val="006067A2"/>
    <w:rsid w:val="0060683C"/>
    <w:rsid w:val="00606939"/>
    <w:rsid w:val="00606A97"/>
    <w:rsid w:val="00606B3F"/>
    <w:rsid w:val="00606C83"/>
    <w:rsid w:val="00606E51"/>
    <w:rsid w:val="00606E61"/>
    <w:rsid w:val="00606EDB"/>
    <w:rsid w:val="00606EED"/>
    <w:rsid w:val="00606FF0"/>
    <w:rsid w:val="006074AD"/>
    <w:rsid w:val="006077C2"/>
    <w:rsid w:val="006077F7"/>
    <w:rsid w:val="0060784F"/>
    <w:rsid w:val="00607937"/>
    <w:rsid w:val="00607B5B"/>
    <w:rsid w:val="00607BF1"/>
    <w:rsid w:val="00607DB9"/>
    <w:rsid w:val="00610057"/>
    <w:rsid w:val="00610239"/>
    <w:rsid w:val="006104A1"/>
    <w:rsid w:val="0061069D"/>
    <w:rsid w:val="00610754"/>
    <w:rsid w:val="00610836"/>
    <w:rsid w:val="0061089B"/>
    <w:rsid w:val="00610BFA"/>
    <w:rsid w:val="00610CDA"/>
    <w:rsid w:val="00610E00"/>
    <w:rsid w:val="00610E4F"/>
    <w:rsid w:val="00610F5E"/>
    <w:rsid w:val="00611034"/>
    <w:rsid w:val="006110DC"/>
    <w:rsid w:val="006111DB"/>
    <w:rsid w:val="00611340"/>
    <w:rsid w:val="00611352"/>
    <w:rsid w:val="006113BD"/>
    <w:rsid w:val="00611705"/>
    <w:rsid w:val="00611978"/>
    <w:rsid w:val="00611A36"/>
    <w:rsid w:val="00611A7E"/>
    <w:rsid w:val="00611E69"/>
    <w:rsid w:val="006120EB"/>
    <w:rsid w:val="00612104"/>
    <w:rsid w:val="00612DD4"/>
    <w:rsid w:val="00613003"/>
    <w:rsid w:val="006130ED"/>
    <w:rsid w:val="00613279"/>
    <w:rsid w:val="006135D9"/>
    <w:rsid w:val="00613863"/>
    <w:rsid w:val="00613AF1"/>
    <w:rsid w:val="00613F85"/>
    <w:rsid w:val="0061438B"/>
    <w:rsid w:val="006143D1"/>
    <w:rsid w:val="00614641"/>
    <w:rsid w:val="00614922"/>
    <w:rsid w:val="00614943"/>
    <w:rsid w:val="006149BD"/>
    <w:rsid w:val="00614A74"/>
    <w:rsid w:val="00614AE7"/>
    <w:rsid w:val="00614C5F"/>
    <w:rsid w:val="00614D15"/>
    <w:rsid w:val="00614D38"/>
    <w:rsid w:val="00614ED8"/>
    <w:rsid w:val="006155F4"/>
    <w:rsid w:val="006157CB"/>
    <w:rsid w:val="006157E2"/>
    <w:rsid w:val="0061583D"/>
    <w:rsid w:val="00615883"/>
    <w:rsid w:val="00615BB1"/>
    <w:rsid w:val="00615E76"/>
    <w:rsid w:val="00615E97"/>
    <w:rsid w:val="00615F0B"/>
    <w:rsid w:val="00615FE4"/>
    <w:rsid w:val="006160D9"/>
    <w:rsid w:val="006161A9"/>
    <w:rsid w:val="006165E9"/>
    <w:rsid w:val="006165F6"/>
    <w:rsid w:val="00616981"/>
    <w:rsid w:val="006169CD"/>
    <w:rsid w:val="00616A3E"/>
    <w:rsid w:val="00616ADC"/>
    <w:rsid w:val="00616E81"/>
    <w:rsid w:val="00617204"/>
    <w:rsid w:val="006174BD"/>
    <w:rsid w:val="00617566"/>
    <w:rsid w:val="006176FD"/>
    <w:rsid w:val="0061772E"/>
    <w:rsid w:val="00617906"/>
    <w:rsid w:val="0061790D"/>
    <w:rsid w:val="00617B29"/>
    <w:rsid w:val="00617C85"/>
    <w:rsid w:val="00617DBD"/>
    <w:rsid w:val="00620071"/>
    <w:rsid w:val="00620264"/>
    <w:rsid w:val="00620268"/>
    <w:rsid w:val="0062028C"/>
    <w:rsid w:val="00620393"/>
    <w:rsid w:val="0062092F"/>
    <w:rsid w:val="00620A0B"/>
    <w:rsid w:val="00620A8A"/>
    <w:rsid w:val="00620B38"/>
    <w:rsid w:val="00620DFE"/>
    <w:rsid w:val="00621011"/>
    <w:rsid w:val="006211A9"/>
    <w:rsid w:val="00621336"/>
    <w:rsid w:val="0062139E"/>
    <w:rsid w:val="006218B9"/>
    <w:rsid w:val="00621A40"/>
    <w:rsid w:val="00621BC2"/>
    <w:rsid w:val="00621E1F"/>
    <w:rsid w:val="006220ED"/>
    <w:rsid w:val="00622117"/>
    <w:rsid w:val="006222C4"/>
    <w:rsid w:val="00622514"/>
    <w:rsid w:val="0062252F"/>
    <w:rsid w:val="00622744"/>
    <w:rsid w:val="00622A7C"/>
    <w:rsid w:val="00622AFC"/>
    <w:rsid w:val="00622BF0"/>
    <w:rsid w:val="00622E84"/>
    <w:rsid w:val="006235F7"/>
    <w:rsid w:val="00623969"/>
    <w:rsid w:val="00623A67"/>
    <w:rsid w:val="00623AD3"/>
    <w:rsid w:val="00623C99"/>
    <w:rsid w:val="00623D3F"/>
    <w:rsid w:val="00623E7F"/>
    <w:rsid w:val="006241E4"/>
    <w:rsid w:val="006242EB"/>
    <w:rsid w:val="00624344"/>
    <w:rsid w:val="00624396"/>
    <w:rsid w:val="006243E3"/>
    <w:rsid w:val="00624480"/>
    <w:rsid w:val="00624817"/>
    <w:rsid w:val="00624CD9"/>
    <w:rsid w:val="00624EAE"/>
    <w:rsid w:val="00625398"/>
    <w:rsid w:val="00625774"/>
    <w:rsid w:val="00625784"/>
    <w:rsid w:val="0062593A"/>
    <w:rsid w:val="00625A2D"/>
    <w:rsid w:val="00625A7B"/>
    <w:rsid w:val="00625AE0"/>
    <w:rsid w:val="00625B5A"/>
    <w:rsid w:val="00625BFE"/>
    <w:rsid w:val="00625D23"/>
    <w:rsid w:val="00625E51"/>
    <w:rsid w:val="00625FA6"/>
    <w:rsid w:val="00626158"/>
    <w:rsid w:val="00626177"/>
    <w:rsid w:val="00626264"/>
    <w:rsid w:val="006263FF"/>
    <w:rsid w:val="006264B1"/>
    <w:rsid w:val="00626652"/>
    <w:rsid w:val="0062674D"/>
    <w:rsid w:val="00626A2D"/>
    <w:rsid w:val="00626B67"/>
    <w:rsid w:val="00626B70"/>
    <w:rsid w:val="00626BB4"/>
    <w:rsid w:val="00626C9A"/>
    <w:rsid w:val="00626CF4"/>
    <w:rsid w:val="00626EF3"/>
    <w:rsid w:val="006270A4"/>
    <w:rsid w:val="006271CF"/>
    <w:rsid w:val="00627211"/>
    <w:rsid w:val="0062721E"/>
    <w:rsid w:val="00627404"/>
    <w:rsid w:val="006274AC"/>
    <w:rsid w:val="00627551"/>
    <w:rsid w:val="006277A2"/>
    <w:rsid w:val="0062795A"/>
    <w:rsid w:val="00627AC2"/>
    <w:rsid w:val="00627F13"/>
    <w:rsid w:val="00627F9A"/>
    <w:rsid w:val="00627FFE"/>
    <w:rsid w:val="0063012B"/>
    <w:rsid w:val="006303D6"/>
    <w:rsid w:val="00630421"/>
    <w:rsid w:val="006305E9"/>
    <w:rsid w:val="00630664"/>
    <w:rsid w:val="00630672"/>
    <w:rsid w:val="00630898"/>
    <w:rsid w:val="006309E7"/>
    <w:rsid w:val="00630AC5"/>
    <w:rsid w:val="00630CA8"/>
    <w:rsid w:val="00630F2A"/>
    <w:rsid w:val="00630F54"/>
    <w:rsid w:val="006310AA"/>
    <w:rsid w:val="006310F2"/>
    <w:rsid w:val="0063134F"/>
    <w:rsid w:val="00631724"/>
    <w:rsid w:val="0063181F"/>
    <w:rsid w:val="0063194D"/>
    <w:rsid w:val="00631AF9"/>
    <w:rsid w:val="00631B82"/>
    <w:rsid w:val="00632016"/>
    <w:rsid w:val="00632095"/>
    <w:rsid w:val="0063251F"/>
    <w:rsid w:val="006325D4"/>
    <w:rsid w:val="0063270D"/>
    <w:rsid w:val="00632784"/>
    <w:rsid w:val="006328BC"/>
    <w:rsid w:val="00632949"/>
    <w:rsid w:val="00632E1B"/>
    <w:rsid w:val="00632F61"/>
    <w:rsid w:val="006330E0"/>
    <w:rsid w:val="006332A9"/>
    <w:rsid w:val="006334B5"/>
    <w:rsid w:val="006335A1"/>
    <w:rsid w:val="006335FE"/>
    <w:rsid w:val="006336E9"/>
    <w:rsid w:val="006337BA"/>
    <w:rsid w:val="0063483A"/>
    <w:rsid w:val="00634AB4"/>
    <w:rsid w:val="00634C58"/>
    <w:rsid w:val="00634E0B"/>
    <w:rsid w:val="00634E2D"/>
    <w:rsid w:val="00634E85"/>
    <w:rsid w:val="00634F67"/>
    <w:rsid w:val="0063523E"/>
    <w:rsid w:val="0063545F"/>
    <w:rsid w:val="00635754"/>
    <w:rsid w:val="00635769"/>
    <w:rsid w:val="006358D4"/>
    <w:rsid w:val="00635920"/>
    <w:rsid w:val="0063592E"/>
    <w:rsid w:val="00635C1A"/>
    <w:rsid w:val="0063618C"/>
    <w:rsid w:val="00636247"/>
    <w:rsid w:val="0063631C"/>
    <w:rsid w:val="0063634E"/>
    <w:rsid w:val="006363B1"/>
    <w:rsid w:val="006365C0"/>
    <w:rsid w:val="00636977"/>
    <w:rsid w:val="00636998"/>
    <w:rsid w:val="00636BB6"/>
    <w:rsid w:val="00636C62"/>
    <w:rsid w:val="00636E24"/>
    <w:rsid w:val="00636E82"/>
    <w:rsid w:val="00636E86"/>
    <w:rsid w:val="00636FA5"/>
    <w:rsid w:val="00637043"/>
    <w:rsid w:val="00637111"/>
    <w:rsid w:val="00637418"/>
    <w:rsid w:val="00637570"/>
    <w:rsid w:val="0063782E"/>
    <w:rsid w:val="006379FA"/>
    <w:rsid w:val="00640184"/>
    <w:rsid w:val="0064039A"/>
    <w:rsid w:val="006404A5"/>
    <w:rsid w:val="00640706"/>
    <w:rsid w:val="00640849"/>
    <w:rsid w:val="006409AF"/>
    <w:rsid w:val="00640C5A"/>
    <w:rsid w:val="00640CF2"/>
    <w:rsid w:val="00640DAD"/>
    <w:rsid w:val="0064134A"/>
    <w:rsid w:val="006413E5"/>
    <w:rsid w:val="00641670"/>
    <w:rsid w:val="006416EA"/>
    <w:rsid w:val="00641815"/>
    <w:rsid w:val="00641920"/>
    <w:rsid w:val="0064199D"/>
    <w:rsid w:val="00641C25"/>
    <w:rsid w:val="0064218E"/>
    <w:rsid w:val="0064228C"/>
    <w:rsid w:val="00642491"/>
    <w:rsid w:val="006426C5"/>
    <w:rsid w:val="00642731"/>
    <w:rsid w:val="006427C4"/>
    <w:rsid w:val="00642909"/>
    <w:rsid w:val="00642B46"/>
    <w:rsid w:val="00642C18"/>
    <w:rsid w:val="00642D1F"/>
    <w:rsid w:val="00642F22"/>
    <w:rsid w:val="0064319C"/>
    <w:rsid w:val="006433AA"/>
    <w:rsid w:val="006433AF"/>
    <w:rsid w:val="00643437"/>
    <w:rsid w:val="00643488"/>
    <w:rsid w:val="00643879"/>
    <w:rsid w:val="006438CA"/>
    <w:rsid w:val="0064393B"/>
    <w:rsid w:val="00643C3E"/>
    <w:rsid w:val="00643CCA"/>
    <w:rsid w:val="00643DFD"/>
    <w:rsid w:val="00643F1A"/>
    <w:rsid w:val="0064401F"/>
    <w:rsid w:val="00644047"/>
    <w:rsid w:val="00644162"/>
    <w:rsid w:val="00644518"/>
    <w:rsid w:val="006445CF"/>
    <w:rsid w:val="00644CCB"/>
    <w:rsid w:val="00644F0F"/>
    <w:rsid w:val="006455F1"/>
    <w:rsid w:val="0064562C"/>
    <w:rsid w:val="0064575E"/>
    <w:rsid w:val="00645B83"/>
    <w:rsid w:val="00645C21"/>
    <w:rsid w:val="00645F86"/>
    <w:rsid w:val="00645FD6"/>
    <w:rsid w:val="00645FE5"/>
    <w:rsid w:val="00646109"/>
    <w:rsid w:val="00646297"/>
    <w:rsid w:val="0064634F"/>
    <w:rsid w:val="00646678"/>
    <w:rsid w:val="006467A9"/>
    <w:rsid w:val="00646987"/>
    <w:rsid w:val="00646A98"/>
    <w:rsid w:val="00646D96"/>
    <w:rsid w:val="00646F01"/>
    <w:rsid w:val="00646F6F"/>
    <w:rsid w:val="0064710F"/>
    <w:rsid w:val="006471D6"/>
    <w:rsid w:val="00647403"/>
    <w:rsid w:val="00647407"/>
    <w:rsid w:val="00647507"/>
    <w:rsid w:val="0064753B"/>
    <w:rsid w:val="006476AB"/>
    <w:rsid w:val="00647727"/>
    <w:rsid w:val="00647739"/>
    <w:rsid w:val="006477A0"/>
    <w:rsid w:val="00647AC8"/>
    <w:rsid w:val="00647EB7"/>
    <w:rsid w:val="00647EC3"/>
    <w:rsid w:val="0065000D"/>
    <w:rsid w:val="006503EE"/>
    <w:rsid w:val="0065069F"/>
    <w:rsid w:val="006506A9"/>
    <w:rsid w:val="00650736"/>
    <w:rsid w:val="006507CC"/>
    <w:rsid w:val="006508E7"/>
    <w:rsid w:val="00650B32"/>
    <w:rsid w:val="00650E67"/>
    <w:rsid w:val="00651105"/>
    <w:rsid w:val="006512DD"/>
    <w:rsid w:val="00651430"/>
    <w:rsid w:val="00651906"/>
    <w:rsid w:val="00651981"/>
    <w:rsid w:val="006519CC"/>
    <w:rsid w:val="00651E26"/>
    <w:rsid w:val="00651E8A"/>
    <w:rsid w:val="006520AF"/>
    <w:rsid w:val="006522B3"/>
    <w:rsid w:val="00652442"/>
    <w:rsid w:val="00652A0A"/>
    <w:rsid w:val="00652B7A"/>
    <w:rsid w:val="00652BF7"/>
    <w:rsid w:val="006533FC"/>
    <w:rsid w:val="006536B7"/>
    <w:rsid w:val="00653961"/>
    <w:rsid w:val="006539F2"/>
    <w:rsid w:val="00653A19"/>
    <w:rsid w:val="00653B16"/>
    <w:rsid w:val="00653BCB"/>
    <w:rsid w:val="00653BCF"/>
    <w:rsid w:val="00653DE3"/>
    <w:rsid w:val="00653E34"/>
    <w:rsid w:val="00653EC1"/>
    <w:rsid w:val="0065409F"/>
    <w:rsid w:val="006540DC"/>
    <w:rsid w:val="0065416B"/>
    <w:rsid w:val="0065431C"/>
    <w:rsid w:val="006543B5"/>
    <w:rsid w:val="0065464B"/>
    <w:rsid w:val="00654863"/>
    <w:rsid w:val="00654A77"/>
    <w:rsid w:val="00654C3E"/>
    <w:rsid w:val="00654E93"/>
    <w:rsid w:val="006551E9"/>
    <w:rsid w:val="00655465"/>
    <w:rsid w:val="00655808"/>
    <w:rsid w:val="0065588D"/>
    <w:rsid w:val="00655A0C"/>
    <w:rsid w:val="00655F8B"/>
    <w:rsid w:val="00656225"/>
    <w:rsid w:val="0065633E"/>
    <w:rsid w:val="00656390"/>
    <w:rsid w:val="00656505"/>
    <w:rsid w:val="006569A9"/>
    <w:rsid w:val="006569B5"/>
    <w:rsid w:val="00656A1C"/>
    <w:rsid w:val="00656BF9"/>
    <w:rsid w:val="0065701C"/>
    <w:rsid w:val="00657160"/>
    <w:rsid w:val="00657263"/>
    <w:rsid w:val="0065754C"/>
    <w:rsid w:val="006576D9"/>
    <w:rsid w:val="00657A5E"/>
    <w:rsid w:val="00657A9B"/>
    <w:rsid w:val="00657B5D"/>
    <w:rsid w:val="00657C8B"/>
    <w:rsid w:val="00660412"/>
    <w:rsid w:val="006607A8"/>
    <w:rsid w:val="0066108F"/>
    <w:rsid w:val="0066118B"/>
    <w:rsid w:val="00661655"/>
    <w:rsid w:val="00661702"/>
    <w:rsid w:val="00661A69"/>
    <w:rsid w:val="00661F61"/>
    <w:rsid w:val="00662997"/>
    <w:rsid w:val="00662B3A"/>
    <w:rsid w:val="00662BF9"/>
    <w:rsid w:val="00662D64"/>
    <w:rsid w:val="00662FA3"/>
    <w:rsid w:val="00663027"/>
    <w:rsid w:val="006630EE"/>
    <w:rsid w:val="0066321A"/>
    <w:rsid w:val="0066333D"/>
    <w:rsid w:val="00663763"/>
    <w:rsid w:val="006638B5"/>
    <w:rsid w:val="0066392B"/>
    <w:rsid w:val="00663ADA"/>
    <w:rsid w:val="00663B22"/>
    <w:rsid w:val="00663B79"/>
    <w:rsid w:val="00663C89"/>
    <w:rsid w:val="00664031"/>
    <w:rsid w:val="00664046"/>
    <w:rsid w:val="0066406B"/>
    <w:rsid w:val="006640A0"/>
    <w:rsid w:val="006642B1"/>
    <w:rsid w:val="0066442B"/>
    <w:rsid w:val="006644FB"/>
    <w:rsid w:val="006649DF"/>
    <w:rsid w:val="00664C07"/>
    <w:rsid w:val="00664E1D"/>
    <w:rsid w:val="00664FED"/>
    <w:rsid w:val="006652F1"/>
    <w:rsid w:val="00665486"/>
    <w:rsid w:val="00665558"/>
    <w:rsid w:val="00665627"/>
    <w:rsid w:val="0066584A"/>
    <w:rsid w:val="00665900"/>
    <w:rsid w:val="00665AC2"/>
    <w:rsid w:val="00665D40"/>
    <w:rsid w:val="00666673"/>
    <w:rsid w:val="00666BEE"/>
    <w:rsid w:val="00666C8C"/>
    <w:rsid w:val="00666EEA"/>
    <w:rsid w:val="00666F71"/>
    <w:rsid w:val="00666FEB"/>
    <w:rsid w:val="00667089"/>
    <w:rsid w:val="0066739A"/>
    <w:rsid w:val="006675EF"/>
    <w:rsid w:val="006676D4"/>
    <w:rsid w:val="00667743"/>
    <w:rsid w:val="006677EE"/>
    <w:rsid w:val="006677F6"/>
    <w:rsid w:val="00667818"/>
    <w:rsid w:val="00667C9E"/>
    <w:rsid w:val="00667E4C"/>
    <w:rsid w:val="00667E7E"/>
    <w:rsid w:val="006701D1"/>
    <w:rsid w:val="00670246"/>
    <w:rsid w:val="00670453"/>
    <w:rsid w:val="006704AF"/>
    <w:rsid w:val="00670503"/>
    <w:rsid w:val="006707EE"/>
    <w:rsid w:val="006708A9"/>
    <w:rsid w:val="00670976"/>
    <w:rsid w:val="00670A5E"/>
    <w:rsid w:val="00670E76"/>
    <w:rsid w:val="0067141D"/>
    <w:rsid w:val="0067181E"/>
    <w:rsid w:val="00671836"/>
    <w:rsid w:val="006719BE"/>
    <w:rsid w:val="00671A32"/>
    <w:rsid w:val="00671BBA"/>
    <w:rsid w:val="00671C3F"/>
    <w:rsid w:val="00671CBF"/>
    <w:rsid w:val="00671DFB"/>
    <w:rsid w:val="00671EC7"/>
    <w:rsid w:val="00671FB1"/>
    <w:rsid w:val="00672038"/>
    <w:rsid w:val="00672144"/>
    <w:rsid w:val="00672550"/>
    <w:rsid w:val="0067271B"/>
    <w:rsid w:val="00672910"/>
    <w:rsid w:val="00672B66"/>
    <w:rsid w:val="00672E10"/>
    <w:rsid w:val="00672E98"/>
    <w:rsid w:val="00673068"/>
    <w:rsid w:val="00673160"/>
    <w:rsid w:val="00673346"/>
    <w:rsid w:val="006734DD"/>
    <w:rsid w:val="00673538"/>
    <w:rsid w:val="0067356E"/>
    <w:rsid w:val="0067357B"/>
    <w:rsid w:val="0067363F"/>
    <w:rsid w:val="00673761"/>
    <w:rsid w:val="0067376C"/>
    <w:rsid w:val="00674025"/>
    <w:rsid w:val="006740C7"/>
    <w:rsid w:val="00674102"/>
    <w:rsid w:val="006742D0"/>
    <w:rsid w:val="00674401"/>
    <w:rsid w:val="00674414"/>
    <w:rsid w:val="00674478"/>
    <w:rsid w:val="00674640"/>
    <w:rsid w:val="0067465B"/>
    <w:rsid w:val="0067484E"/>
    <w:rsid w:val="006749B8"/>
    <w:rsid w:val="00674C9E"/>
    <w:rsid w:val="006750CE"/>
    <w:rsid w:val="006750D5"/>
    <w:rsid w:val="006751EE"/>
    <w:rsid w:val="00675281"/>
    <w:rsid w:val="00675493"/>
    <w:rsid w:val="006754C6"/>
    <w:rsid w:val="006756FB"/>
    <w:rsid w:val="0067578B"/>
    <w:rsid w:val="00675A8B"/>
    <w:rsid w:val="00675C34"/>
    <w:rsid w:val="00675D9A"/>
    <w:rsid w:val="00675EBB"/>
    <w:rsid w:val="00675EEA"/>
    <w:rsid w:val="0067606D"/>
    <w:rsid w:val="00676079"/>
    <w:rsid w:val="0067611B"/>
    <w:rsid w:val="006761B4"/>
    <w:rsid w:val="006763E8"/>
    <w:rsid w:val="00676401"/>
    <w:rsid w:val="00676415"/>
    <w:rsid w:val="00676DAE"/>
    <w:rsid w:val="00676DD1"/>
    <w:rsid w:val="00676E77"/>
    <w:rsid w:val="00677449"/>
    <w:rsid w:val="00677716"/>
    <w:rsid w:val="00677788"/>
    <w:rsid w:val="006777BD"/>
    <w:rsid w:val="00677A5F"/>
    <w:rsid w:val="00677A65"/>
    <w:rsid w:val="00677B30"/>
    <w:rsid w:val="00677BC2"/>
    <w:rsid w:val="006801C9"/>
    <w:rsid w:val="00680225"/>
    <w:rsid w:val="00680262"/>
    <w:rsid w:val="00680562"/>
    <w:rsid w:val="0068072E"/>
    <w:rsid w:val="00680764"/>
    <w:rsid w:val="006808CF"/>
    <w:rsid w:val="00680BFD"/>
    <w:rsid w:val="00680C2C"/>
    <w:rsid w:val="00680D61"/>
    <w:rsid w:val="00681492"/>
    <w:rsid w:val="006814B8"/>
    <w:rsid w:val="006814FF"/>
    <w:rsid w:val="0068172F"/>
    <w:rsid w:val="006818A3"/>
    <w:rsid w:val="006819D0"/>
    <w:rsid w:val="00681C28"/>
    <w:rsid w:val="00681F59"/>
    <w:rsid w:val="006821BF"/>
    <w:rsid w:val="006821EC"/>
    <w:rsid w:val="00682943"/>
    <w:rsid w:val="0068294B"/>
    <w:rsid w:val="00682C39"/>
    <w:rsid w:val="0068304E"/>
    <w:rsid w:val="00683194"/>
    <w:rsid w:val="006832A5"/>
    <w:rsid w:val="0068340E"/>
    <w:rsid w:val="00683567"/>
    <w:rsid w:val="0068358F"/>
    <w:rsid w:val="006836FB"/>
    <w:rsid w:val="00683781"/>
    <w:rsid w:val="0068384B"/>
    <w:rsid w:val="00683985"/>
    <w:rsid w:val="006839BD"/>
    <w:rsid w:val="00683BCE"/>
    <w:rsid w:val="00684297"/>
    <w:rsid w:val="006843E0"/>
    <w:rsid w:val="00684407"/>
    <w:rsid w:val="006845DB"/>
    <w:rsid w:val="00684877"/>
    <w:rsid w:val="00684B50"/>
    <w:rsid w:val="00684C92"/>
    <w:rsid w:val="00684CE1"/>
    <w:rsid w:val="00684D88"/>
    <w:rsid w:val="00684DE4"/>
    <w:rsid w:val="00684DE5"/>
    <w:rsid w:val="00684EDF"/>
    <w:rsid w:val="006851CA"/>
    <w:rsid w:val="0068522D"/>
    <w:rsid w:val="00685558"/>
    <w:rsid w:val="0068562E"/>
    <w:rsid w:val="0068595E"/>
    <w:rsid w:val="00685982"/>
    <w:rsid w:val="00685B38"/>
    <w:rsid w:val="00685B76"/>
    <w:rsid w:val="00685D2A"/>
    <w:rsid w:val="00685E32"/>
    <w:rsid w:val="00685E34"/>
    <w:rsid w:val="00685E86"/>
    <w:rsid w:val="00686163"/>
    <w:rsid w:val="006863AF"/>
    <w:rsid w:val="00686522"/>
    <w:rsid w:val="00686594"/>
    <w:rsid w:val="006866C2"/>
    <w:rsid w:val="00686763"/>
    <w:rsid w:val="0068680D"/>
    <w:rsid w:val="00686A79"/>
    <w:rsid w:val="00686EDF"/>
    <w:rsid w:val="00686EE4"/>
    <w:rsid w:val="00687230"/>
    <w:rsid w:val="00687232"/>
    <w:rsid w:val="0068733B"/>
    <w:rsid w:val="006873B8"/>
    <w:rsid w:val="006873D2"/>
    <w:rsid w:val="00687673"/>
    <w:rsid w:val="00687720"/>
    <w:rsid w:val="00687822"/>
    <w:rsid w:val="00687823"/>
    <w:rsid w:val="006879F3"/>
    <w:rsid w:val="00687A3E"/>
    <w:rsid w:val="00687B5C"/>
    <w:rsid w:val="00687BBA"/>
    <w:rsid w:val="00687C0C"/>
    <w:rsid w:val="00687E6A"/>
    <w:rsid w:val="00687EF5"/>
    <w:rsid w:val="00687F8A"/>
    <w:rsid w:val="00690118"/>
    <w:rsid w:val="0069024B"/>
    <w:rsid w:val="00690436"/>
    <w:rsid w:val="00690725"/>
    <w:rsid w:val="006907D2"/>
    <w:rsid w:val="00690CFE"/>
    <w:rsid w:val="00691089"/>
    <w:rsid w:val="0069111B"/>
    <w:rsid w:val="00691244"/>
    <w:rsid w:val="006912F1"/>
    <w:rsid w:val="00691928"/>
    <w:rsid w:val="00691AB7"/>
    <w:rsid w:val="00691C98"/>
    <w:rsid w:val="00691D58"/>
    <w:rsid w:val="00691EF3"/>
    <w:rsid w:val="00691F7A"/>
    <w:rsid w:val="006920B4"/>
    <w:rsid w:val="006920CA"/>
    <w:rsid w:val="00692202"/>
    <w:rsid w:val="0069230D"/>
    <w:rsid w:val="006923E5"/>
    <w:rsid w:val="0069256B"/>
    <w:rsid w:val="00692672"/>
    <w:rsid w:val="00692AD6"/>
    <w:rsid w:val="00692B92"/>
    <w:rsid w:val="00692D31"/>
    <w:rsid w:val="00692E93"/>
    <w:rsid w:val="00692F6F"/>
    <w:rsid w:val="0069308B"/>
    <w:rsid w:val="006930AA"/>
    <w:rsid w:val="006932E2"/>
    <w:rsid w:val="0069334B"/>
    <w:rsid w:val="00693652"/>
    <w:rsid w:val="006936A3"/>
    <w:rsid w:val="0069379B"/>
    <w:rsid w:val="00693942"/>
    <w:rsid w:val="0069394A"/>
    <w:rsid w:val="00693AA4"/>
    <w:rsid w:val="00693B18"/>
    <w:rsid w:val="00693C40"/>
    <w:rsid w:val="00693D7B"/>
    <w:rsid w:val="006941D9"/>
    <w:rsid w:val="006941DB"/>
    <w:rsid w:val="00694786"/>
    <w:rsid w:val="00694A39"/>
    <w:rsid w:val="00694C0F"/>
    <w:rsid w:val="00694C99"/>
    <w:rsid w:val="00694D32"/>
    <w:rsid w:val="006955A0"/>
    <w:rsid w:val="0069581C"/>
    <w:rsid w:val="006958EF"/>
    <w:rsid w:val="00695C64"/>
    <w:rsid w:val="00695FAA"/>
    <w:rsid w:val="006962BE"/>
    <w:rsid w:val="006963E1"/>
    <w:rsid w:val="006964A2"/>
    <w:rsid w:val="00696759"/>
    <w:rsid w:val="00696B1F"/>
    <w:rsid w:val="00696B39"/>
    <w:rsid w:val="00696DC1"/>
    <w:rsid w:val="006970FE"/>
    <w:rsid w:val="0069715B"/>
    <w:rsid w:val="006973B2"/>
    <w:rsid w:val="006974CA"/>
    <w:rsid w:val="00697520"/>
    <w:rsid w:val="0069762C"/>
    <w:rsid w:val="006976D4"/>
    <w:rsid w:val="006978CE"/>
    <w:rsid w:val="0069793E"/>
    <w:rsid w:val="00697942"/>
    <w:rsid w:val="006979F5"/>
    <w:rsid w:val="00697B32"/>
    <w:rsid w:val="00697BCB"/>
    <w:rsid w:val="00697E02"/>
    <w:rsid w:val="00697FCD"/>
    <w:rsid w:val="006A01E5"/>
    <w:rsid w:val="006A0365"/>
    <w:rsid w:val="006A044D"/>
    <w:rsid w:val="006A04E2"/>
    <w:rsid w:val="006A07DD"/>
    <w:rsid w:val="006A088F"/>
    <w:rsid w:val="006A08CF"/>
    <w:rsid w:val="006A091A"/>
    <w:rsid w:val="006A0946"/>
    <w:rsid w:val="006A0A11"/>
    <w:rsid w:val="006A0A18"/>
    <w:rsid w:val="006A0AA1"/>
    <w:rsid w:val="006A0AB8"/>
    <w:rsid w:val="006A105D"/>
    <w:rsid w:val="006A10E4"/>
    <w:rsid w:val="006A121C"/>
    <w:rsid w:val="006A13CC"/>
    <w:rsid w:val="006A164D"/>
    <w:rsid w:val="006A16BA"/>
    <w:rsid w:val="006A18F3"/>
    <w:rsid w:val="006A1957"/>
    <w:rsid w:val="006A19FB"/>
    <w:rsid w:val="006A1B68"/>
    <w:rsid w:val="006A1BC1"/>
    <w:rsid w:val="006A1D9E"/>
    <w:rsid w:val="006A2654"/>
    <w:rsid w:val="006A28F7"/>
    <w:rsid w:val="006A2984"/>
    <w:rsid w:val="006A29C6"/>
    <w:rsid w:val="006A32A8"/>
    <w:rsid w:val="006A34D7"/>
    <w:rsid w:val="006A359B"/>
    <w:rsid w:val="006A38CC"/>
    <w:rsid w:val="006A393B"/>
    <w:rsid w:val="006A3A89"/>
    <w:rsid w:val="006A3A9D"/>
    <w:rsid w:val="006A3D56"/>
    <w:rsid w:val="006A3D98"/>
    <w:rsid w:val="006A3E36"/>
    <w:rsid w:val="006A40D3"/>
    <w:rsid w:val="006A42B6"/>
    <w:rsid w:val="006A42C0"/>
    <w:rsid w:val="006A4C0A"/>
    <w:rsid w:val="006A4C62"/>
    <w:rsid w:val="006A4D2D"/>
    <w:rsid w:val="006A4D4F"/>
    <w:rsid w:val="006A4D5F"/>
    <w:rsid w:val="006A4FA4"/>
    <w:rsid w:val="006A4FB0"/>
    <w:rsid w:val="006A500D"/>
    <w:rsid w:val="006A52E1"/>
    <w:rsid w:val="006A5342"/>
    <w:rsid w:val="006A53B8"/>
    <w:rsid w:val="006A5409"/>
    <w:rsid w:val="006A54E3"/>
    <w:rsid w:val="006A5558"/>
    <w:rsid w:val="006A56BE"/>
    <w:rsid w:val="006A584E"/>
    <w:rsid w:val="006A597F"/>
    <w:rsid w:val="006A5A7A"/>
    <w:rsid w:val="006A5B42"/>
    <w:rsid w:val="006A5E31"/>
    <w:rsid w:val="006A6704"/>
    <w:rsid w:val="006A67DB"/>
    <w:rsid w:val="006A6900"/>
    <w:rsid w:val="006A6CC0"/>
    <w:rsid w:val="006A6DD9"/>
    <w:rsid w:val="006A708A"/>
    <w:rsid w:val="006A70D6"/>
    <w:rsid w:val="006A71F0"/>
    <w:rsid w:val="006A72CA"/>
    <w:rsid w:val="006A72D3"/>
    <w:rsid w:val="006A7681"/>
    <w:rsid w:val="006A77DE"/>
    <w:rsid w:val="006A781F"/>
    <w:rsid w:val="006A7844"/>
    <w:rsid w:val="006A7B45"/>
    <w:rsid w:val="006A7BC7"/>
    <w:rsid w:val="006A7CFA"/>
    <w:rsid w:val="006A7DB5"/>
    <w:rsid w:val="006A7F20"/>
    <w:rsid w:val="006A7F8D"/>
    <w:rsid w:val="006B0035"/>
    <w:rsid w:val="006B0141"/>
    <w:rsid w:val="006B0237"/>
    <w:rsid w:val="006B0339"/>
    <w:rsid w:val="006B0402"/>
    <w:rsid w:val="006B0687"/>
    <w:rsid w:val="006B06B5"/>
    <w:rsid w:val="006B0868"/>
    <w:rsid w:val="006B09EA"/>
    <w:rsid w:val="006B0B64"/>
    <w:rsid w:val="006B0C6D"/>
    <w:rsid w:val="006B0CEB"/>
    <w:rsid w:val="006B0EDB"/>
    <w:rsid w:val="006B0F36"/>
    <w:rsid w:val="006B1279"/>
    <w:rsid w:val="006B13D7"/>
    <w:rsid w:val="006B153A"/>
    <w:rsid w:val="006B1D1A"/>
    <w:rsid w:val="006B1DCB"/>
    <w:rsid w:val="006B1EEE"/>
    <w:rsid w:val="006B201F"/>
    <w:rsid w:val="006B207B"/>
    <w:rsid w:val="006B21A3"/>
    <w:rsid w:val="006B2390"/>
    <w:rsid w:val="006B249C"/>
    <w:rsid w:val="006B2CE1"/>
    <w:rsid w:val="006B2E3F"/>
    <w:rsid w:val="006B31C2"/>
    <w:rsid w:val="006B335C"/>
    <w:rsid w:val="006B335D"/>
    <w:rsid w:val="006B33A3"/>
    <w:rsid w:val="006B3567"/>
    <w:rsid w:val="006B3CEE"/>
    <w:rsid w:val="006B3E94"/>
    <w:rsid w:val="006B3F10"/>
    <w:rsid w:val="006B405A"/>
    <w:rsid w:val="006B436B"/>
    <w:rsid w:val="006B4614"/>
    <w:rsid w:val="006B4780"/>
    <w:rsid w:val="006B4AC9"/>
    <w:rsid w:val="006B4B79"/>
    <w:rsid w:val="006B4BD1"/>
    <w:rsid w:val="006B4C3C"/>
    <w:rsid w:val="006B4FB5"/>
    <w:rsid w:val="006B52CF"/>
    <w:rsid w:val="006B56B7"/>
    <w:rsid w:val="006B56FE"/>
    <w:rsid w:val="006B5C67"/>
    <w:rsid w:val="006B60E4"/>
    <w:rsid w:val="006B61B4"/>
    <w:rsid w:val="006B6255"/>
    <w:rsid w:val="006B626F"/>
    <w:rsid w:val="006B62A3"/>
    <w:rsid w:val="006B67C9"/>
    <w:rsid w:val="006B6FD1"/>
    <w:rsid w:val="006B7076"/>
    <w:rsid w:val="006B7307"/>
    <w:rsid w:val="006B73AA"/>
    <w:rsid w:val="006B746E"/>
    <w:rsid w:val="006B7676"/>
    <w:rsid w:val="006B770F"/>
    <w:rsid w:val="006B77BF"/>
    <w:rsid w:val="006B799F"/>
    <w:rsid w:val="006B79A8"/>
    <w:rsid w:val="006B7A41"/>
    <w:rsid w:val="006B7A4A"/>
    <w:rsid w:val="006B7E41"/>
    <w:rsid w:val="006C0075"/>
    <w:rsid w:val="006C017C"/>
    <w:rsid w:val="006C04DD"/>
    <w:rsid w:val="006C063E"/>
    <w:rsid w:val="006C06FB"/>
    <w:rsid w:val="006C08C7"/>
    <w:rsid w:val="006C0964"/>
    <w:rsid w:val="006C0D41"/>
    <w:rsid w:val="006C0F39"/>
    <w:rsid w:val="006C100D"/>
    <w:rsid w:val="006C1020"/>
    <w:rsid w:val="006C10A8"/>
    <w:rsid w:val="006C1459"/>
    <w:rsid w:val="006C1549"/>
    <w:rsid w:val="006C1757"/>
    <w:rsid w:val="006C19FE"/>
    <w:rsid w:val="006C1BBB"/>
    <w:rsid w:val="006C1BE8"/>
    <w:rsid w:val="006C1E9E"/>
    <w:rsid w:val="006C1EDF"/>
    <w:rsid w:val="006C2008"/>
    <w:rsid w:val="006C2261"/>
    <w:rsid w:val="006C22B2"/>
    <w:rsid w:val="006C22BC"/>
    <w:rsid w:val="006C254C"/>
    <w:rsid w:val="006C2597"/>
    <w:rsid w:val="006C2636"/>
    <w:rsid w:val="006C2BA3"/>
    <w:rsid w:val="006C2C15"/>
    <w:rsid w:val="006C2D0B"/>
    <w:rsid w:val="006C2E78"/>
    <w:rsid w:val="006C2ED6"/>
    <w:rsid w:val="006C2F67"/>
    <w:rsid w:val="006C2FF8"/>
    <w:rsid w:val="006C3093"/>
    <w:rsid w:val="006C3248"/>
    <w:rsid w:val="006C3355"/>
    <w:rsid w:val="006C3517"/>
    <w:rsid w:val="006C3947"/>
    <w:rsid w:val="006C3983"/>
    <w:rsid w:val="006C3BC8"/>
    <w:rsid w:val="006C3C95"/>
    <w:rsid w:val="006C3E39"/>
    <w:rsid w:val="006C3F0C"/>
    <w:rsid w:val="006C3F71"/>
    <w:rsid w:val="006C4332"/>
    <w:rsid w:val="006C434D"/>
    <w:rsid w:val="006C43B4"/>
    <w:rsid w:val="006C4465"/>
    <w:rsid w:val="006C46DC"/>
    <w:rsid w:val="006C46F9"/>
    <w:rsid w:val="006C47AB"/>
    <w:rsid w:val="006C491E"/>
    <w:rsid w:val="006C49FD"/>
    <w:rsid w:val="006C4BEF"/>
    <w:rsid w:val="006C4D9A"/>
    <w:rsid w:val="006C4DB0"/>
    <w:rsid w:val="006C4E17"/>
    <w:rsid w:val="006C4E4F"/>
    <w:rsid w:val="006C4E5A"/>
    <w:rsid w:val="006C4E92"/>
    <w:rsid w:val="006C521F"/>
    <w:rsid w:val="006C531A"/>
    <w:rsid w:val="006C55C4"/>
    <w:rsid w:val="006C581F"/>
    <w:rsid w:val="006C5A5E"/>
    <w:rsid w:val="006C5CB0"/>
    <w:rsid w:val="006C5CE7"/>
    <w:rsid w:val="006C5D17"/>
    <w:rsid w:val="006C5F58"/>
    <w:rsid w:val="006C6387"/>
    <w:rsid w:val="006C6421"/>
    <w:rsid w:val="006C646E"/>
    <w:rsid w:val="006C647C"/>
    <w:rsid w:val="006C6632"/>
    <w:rsid w:val="006C66A7"/>
    <w:rsid w:val="006C66BF"/>
    <w:rsid w:val="006C68A6"/>
    <w:rsid w:val="006C6E8D"/>
    <w:rsid w:val="006C723B"/>
    <w:rsid w:val="006C7444"/>
    <w:rsid w:val="006C76B6"/>
    <w:rsid w:val="006C7B90"/>
    <w:rsid w:val="006C7E5A"/>
    <w:rsid w:val="006D0051"/>
    <w:rsid w:val="006D0053"/>
    <w:rsid w:val="006D0240"/>
    <w:rsid w:val="006D04FD"/>
    <w:rsid w:val="006D074B"/>
    <w:rsid w:val="006D08B6"/>
    <w:rsid w:val="006D09EA"/>
    <w:rsid w:val="006D1163"/>
    <w:rsid w:val="006D1197"/>
    <w:rsid w:val="006D11FB"/>
    <w:rsid w:val="006D14AA"/>
    <w:rsid w:val="006D14CB"/>
    <w:rsid w:val="006D1647"/>
    <w:rsid w:val="006D1BB5"/>
    <w:rsid w:val="006D1BFF"/>
    <w:rsid w:val="006D1DA0"/>
    <w:rsid w:val="006D1F70"/>
    <w:rsid w:val="006D1F97"/>
    <w:rsid w:val="006D2092"/>
    <w:rsid w:val="006D258C"/>
    <w:rsid w:val="006D25FE"/>
    <w:rsid w:val="006D2879"/>
    <w:rsid w:val="006D2A43"/>
    <w:rsid w:val="006D2B04"/>
    <w:rsid w:val="006D2D51"/>
    <w:rsid w:val="006D2E95"/>
    <w:rsid w:val="006D2F9A"/>
    <w:rsid w:val="006D318F"/>
    <w:rsid w:val="006D3308"/>
    <w:rsid w:val="006D33CA"/>
    <w:rsid w:val="006D344B"/>
    <w:rsid w:val="006D3689"/>
    <w:rsid w:val="006D3A13"/>
    <w:rsid w:val="006D3A95"/>
    <w:rsid w:val="006D3F69"/>
    <w:rsid w:val="006D42CE"/>
    <w:rsid w:val="006D434F"/>
    <w:rsid w:val="006D43FD"/>
    <w:rsid w:val="006D4554"/>
    <w:rsid w:val="006D4BE5"/>
    <w:rsid w:val="006D4CAF"/>
    <w:rsid w:val="006D4F4C"/>
    <w:rsid w:val="006D4FAA"/>
    <w:rsid w:val="006D5076"/>
    <w:rsid w:val="006D5412"/>
    <w:rsid w:val="006D560A"/>
    <w:rsid w:val="006D568F"/>
    <w:rsid w:val="006D5716"/>
    <w:rsid w:val="006D58F2"/>
    <w:rsid w:val="006D5AC8"/>
    <w:rsid w:val="006D5BA8"/>
    <w:rsid w:val="006D5CF7"/>
    <w:rsid w:val="006D6075"/>
    <w:rsid w:val="006D6093"/>
    <w:rsid w:val="006D63A4"/>
    <w:rsid w:val="006D642E"/>
    <w:rsid w:val="006D664E"/>
    <w:rsid w:val="006D67A8"/>
    <w:rsid w:val="006D6B12"/>
    <w:rsid w:val="006D6C9D"/>
    <w:rsid w:val="006D6D0F"/>
    <w:rsid w:val="006D6D20"/>
    <w:rsid w:val="006D72A2"/>
    <w:rsid w:val="006D72D3"/>
    <w:rsid w:val="006D72E9"/>
    <w:rsid w:val="006D731E"/>
    <w:rsid w:val="006D73E3"/>
    <w:rsid w:val="006D785A"/>
    <w:rsid w:val="006D7988"/>
    <w:rsid w:val="006D79CF"/>
    <w:rsid w:val="006D7AF0"/>
    <w:rsid w:val="006E0058"/>
    <w:rsid w:val="006E04C9"/>
    <w:rsid w:val="006E086E"/>
    <w:rsid w:val="006E0A81"/>
    <w:rsid w:val="006E0A8D"/>
    <w:rsid w:val="006E0CCA"/>
    <w:rsid w:val="006E0D36"/>
    <w:rsid w:val="006E0D6A"/>
    <w:rsid w:val="006E0E85"/>
    <w:rsid w:val="006E15D1"/>
    <w:rsid w:val="006E196A"/>
    <w:rsid w:val="006E19AE"/>
    <w:rsid w:val="006E1C49"/>
    <w:rsid w:val="006E1C9C"/>
    <w:rsid w:val="006E1D87"/>
    <w:rsid w:val="006E2074"/>
    <w:rsid w:val="006E2230"/>
    <w:rsid w:val="006E25B5"/>
    <w:rsid w:val="006E25CC"/>
    <w:rsid w:val="006E29D0"/>
    <w:rsid w:val="006E2D46"/>
    <w:rsid w:val="006E2F0F"/>
    <w:rsid w:val="006E2FA4"/>
    <w:rsid w:val="006E3210"/>
    <w:rsid w:val="006E3A94"/>
    <w:rsid w:val="006E3BFE"/>
    <w:rsid w:val="006E3D20"/>
    <w:rsid w:val="006E3D7C"/>
    <w:rsid w:val="006E4016"/>
    <w:rsid w:val="006E40EB"/>
    <w:rsid w:val="006E410C"/>
    <w:rsid w:val="006E42F5"/>
    <w:rsid w:val="006E499A"/>
    <w:rsid w:val="006E4ABC"/>
    <w:rsid w:val="006E4EA1"/>
    <w:rsid w:val="006E5171"/>
    <w:rsid w:val="006E52A1"/>
    <w:rsid w:val="006E5575"/>
    <w:rsid w:val="006E5AFE"/>
    <w:rsid w:val="006E5BEE"/>
    <w:rsid w:val="006E5D47"/>
    <w:rsid w:val="006E5E61"/>
    <w:rsid w:val="006E5FE5"/>
    <w:rsid w:val="006E6019"/>
    <w:rsid w:val="006E60A1"/>
    <w:rsid w:val="006E61A2"/>
    <w:rsid w:val="006E6237"/>
    <w:rsid w:val="006E662B"/>
    <w:rsid w:val="006E676A"/>
    <w:rsid w:val="006E68FC"/>
    <w:rsid w:val="006E696F"/>
    <w:rsid w:val="006E69AA"/>
    <w:rsid w:val="006E6C80"/>
    <w:rsid w:val="006E6CA6"/>
    <w:rsid w:val="006E6DB9"/>
    <w:rsid w:val="006E6DED"/>
    <w:rsid w:val="006E6E1A"/>
    <w:rsid w:val="006E6E22"/>
    <w:rsid w:val="006E6E7E"/>
    <w:rsid w:val="006E6FC5"/>
    <w:rsid w:val="006E7058"/>
    <w:rsid w:val="006E714C"/>
    <w:rsid w:val="006E71E3"/>
    <w:rsid w:val="006E725D"/>
    <w:rsid w:val="006E72E7"/>
    <w:rsid w:val="006E7383"/>
    <w:rsid w:val="006E74D8"/>
    <w:rsid w:val="006E7549"/>
    <w:rsid w:val="006E767C"/>
    <w:rsid w:val="006E7789"/>
    <w:rsid w:val="006E793A"/>
    <w:rsid w:val="006E7951"/>
    <w:rsid w:val="006E7A13"/>
    <w:rsid w:val="006E7A7F"/>
    <w:rsid w:val="006E7D8F"/>
    <w:rsid w:val="006F0400"/>
    <w:rsid w:val="006F04E2"/>
    <w:rsid w:val="006F0517"/>
    <w:rsid w:val="006F0568"/>
    <w:rsid w:val="006F06BE"/>
    <w:rsid w:val="006F073A"/>
    <w:rsid w:val="006F075F"/>
    <w:rsid w:val="006F089B"/>
    <w:rsid w:val="006F0B32"/>
    <w:rsid w:val="006F0CCF"/>
    <w:rsid w:val="006F0D8A"/>
    <w:rsid w:val="006F0DF1"/>
    <w:rsid w:val="006F10AF"/>
    <w:rsid w:val="006F1380"/>
    <w:rsid w:val="006F14C8"/>
    <w:rsid w:val="006F181D"/>
    <w:rsid w:val="006F182F"/>
    <w:rsid w:val="006F1CB8"/>
    <w:rsid w:val="006F1F13"/>
    <w:rsid w:val="006F21FC"/>
    <w:rsid w:val="006F2271"/>
    <w:rsid w:val="006F23B3"/>
    <w:rsid w:val="006F243F"/>
    <w:rsid w:val="006F249F"/>
    <w:rsid w:val="006F28D3"/>
    <w:rsid w:val="006F295E"/>
    <w:rsid w:val="006F29A7"/>
    <w:rsid w:val="006F2B49"/>
    <w:rsid w:val="006F2C2C"/>
    <w:rsid w:val="006F2C67"/>
    <w:rsid w:val="006F301F"/>
    <w:rsid w:val="006F3846"/>
    <w:rsid w:val="006F3A88"/>
    <w:rsid w:val="006F3B9E"/>
    <w:rsid w:val="006F3DEC"/>
    <w:rsid w:val="006F3FA7"/>
    <w:rsid w:val="006F40F0"/>
    <w:rsid w:val="006F410D"/>
    <w:rsid w:val="006F41CE"/>
    <w:rsid w:val="006F4546"/>
    <w:rsid w:val="006F4676"/>
    <w:rsid w:val="006F4695"/>
    <w:rsid w:val="006F47C1"/>
    <w:rsid w:val="006F4815"/>
    <w:rsid w:val="006F4ACD"/>
    <w:rsid w:val="006F4C2F"/>
    <w:rsid w:val="006F4E0B"/>
    <w:rsid w:val="006F5245"/>
    <w:rsid w:val="006F533E"/>
    <w:rsid w:val="006F5610"/>
    <w:rsid w:val="006F5A03"/>
    <w:rsid w:val="006F5B63"/>
    <w:rsid w:val="006F5BCE"/>
    <w:rsid w:val="006F5EE7"/>
    <w:rsid w:val="006F6009"/>
    <w:rsid w:val="006F60A0"/>
    <w:rsid w:val="006F6359"/>
    <w:rsid w:val="006F645A"/>
    <w:rsid w:val="006F64BB"/>
    <w:rsid w:val="006F654E"/>
    <w:rsid w:val="006F675D"/>
    <w:rsid w:val="006F67F2"/>
    <w:rsid w:val="006F685B"/>
    <w:rsid w:val="006F6B9A"/>
    <w:rsid w:val="006F6DBF"/>
    <w:rsid w:val="006F6E21"/>
    <w:rsid w:val="006F6E60"/>
    <w:rsid w:val="006F7420"/>
    <w:rsid w:val="006F75F7"/>
    <w:rsid w:val="006F765E"/>
    <w:rsid w:val="006F7B0C"/>
    <w:rsid w:val="006F7B4A"/>
    <w:rsid w:val="006F7C3C"/>
    <w:rsid w:val="006F7D13"/>
    <w:rsid w:val="006F7F3D"/>
    <w:rsid w:val="007002C2"/>
    <w:rsid w:val="007004FF"/>
    <w:rsid w:val="007006ED"/>
    <w:rsid w:val="0070085E"/>
    <w:rsid w:val="00700AD4"/>
    <w:rsid w:val="00700B5B"/>
    <w:rsid w:val="00700B8F"/>
    <w:rsid w:val="00700C34"/>
    <w:rsid w:val="0070114C"/>
    <w:rsid w:val="007011F0"/>
    <w:rsid w:val="00701558"/>
    <w:rsid w:val="007016EB"/>
    <w:rsid w:val="00701A24"/>
    <w:rsid w:val="00701B23"/>
    <w:rsid w:val="00701BB9"/>
    <w:rsid w:val="00701C48"/>
    <w:rsid w:val="00701D98"/>
    <w:rsid w:val="00701FCB"/>
    <w:rsid w:val="0070202D"/>
    <w:rsid w:val="00702098"/>
    <w:rsid w:val="0070248E"/>
    <w:rsid w:val="007024A3"/>
    <w:rsid w:val="007024DA"/>
    <w:rsid w:val="007025C2"/>
    <w:rsid w:val="007025E1"/>
    <w:rsid w:val="007027C3"/>
    <w:rsid w:val="00702A82"/>
    <w:rsid w:val="00702AA2"/>
    <w:rsid w:val="00703255"/>
    <w:rsid w:val="0070326F"/>
    <w:rsid w:val="0070333D"/>
    <w:rsid w:val="007034B9"/>
    <w:rsid w:val="007034E4"/>
    <w:rsid w:val="007034F9"/>
    <w:rsid w:val="007035D9"/>
    <w:rsid w:val="00703815"/>
    <w:rsid w:val="00703A65"/>
    <w:rsid w:val="00703ABB"/>
    <w:rsid w:val="00703E0E"/>
    <w:rsid w:val="00703F5F"/>
    <w:rsid w:val="0070426D"/>
    <w:rsid w:val="007043EE"/>
    <w:rsid w:val="00704503"/>
    <w:rsid w:val="007045E1"/>
    <w:rsid w:val="007049B9"/>
    <w:rsid w:val="00704B85"/>
    <w:rsid w:val="00704BDA"/>
    <w:rsid w:val="00704BF9"/>
    <w:rsid w:val="00704CB8"/>
    <w:rsid w:val="00704D96"/>
    <w:rsid w:val="00704DC0"/>
    <w:rsid w:val="0070538F"/>
    <w:rsid w:val="0070548C"/>
    <w:rsid w:val="007056B5"/>
    <w:rsid w:val="007056F8"/>
    <w:rsid w:val="007059BB"/>
    <w:rsid w:val="00705A45"/>
    <w:rsid w:val="00705ACF"/>
    <w:rsid w:val="00705AD9"/>
    <w:rsid w:val="00705BC9"/>
    <w:rsid w:val="00705C41"/>
    <w:rsid w:val="00705C53"/>
    <w:rsid w:val="00705E19"/>
    <w:rsid w:val="00706101"/>
    <w:rsid w:val="00706240"/>
    <w:rsid w:val="00706580"/>
    <w:rsid w:val="007065CB"/>
    <w:rsid w:val="007065E5"/>
    <w:rsid w:val="0070679C"/>
    <w:rsid w:val="0070698C"/>
    <w:rsid w:val="00706AA7"/>
    <w:rsid w:val="00706AE3"/>
    <w:rsid w:val="00706E61"/>
    <w:rsid w:val="00706F62"/>
    <w:rsid w:val="0070702E"/>
    <w:rsid w:val="00707376"/>
    <w:rsid w:val="00707607"/>
    <w:rsid w:val="00707886"/>
    <w:rsid w:val="007078F0"/>
    <w:rsid w:val="007079D3"/>
    <w:rsid w:val="00707B34"/>
    <w:rsid w:val="00707B4D"/>
    <w:rsid w:val="00707E7C"/>
    <w:rsid w:val="00707F9E"/>
    <w:rsid w:val="00707FFE"/>
    <w:rsid w:val="007101F6"/>
    <w:rsid w:val="0071027D"/>
    <w:rsid w:val="0071058B"/>
    <w:rsid w:val="00710A7C"/>
    <w:rsid w:val="00710CFC"/>
    <w:rsid w:val="00710DE6"/>
    <w:rsid w:val="00710EBB"/>
    <w:rsid w:val="00710EC3"/>
    <w:rsid w:val="00711272"/>
    <w:rsid w:val="0071169D"/>
    <w:rsid w:val="00711987"/>
    <w:rsid w:val="00711A58"/>
    <w:rsid w:val="00711B6B"/>
    <w:rsid w:val="00711B9D"/>
    <w:rsid w:val="00711BCE"/>
    <w:rsid w:val="0071228F"/>
    <w:rsid w:val="007122DC"/>
    <w:rsid w:val="00712329"/>
    <w:rsid w:val="007123D0"/>
    <w:rsid w:val="00712590"/>
    <w:rsid w:val="007125E0"/>
    <w:rsid w:val="00712A21"/>
    <w:rsid w:val="00712A76"/>
    <w:rsid w:val="00712AF4"/>
    <w:rsid w:val="00712F28"/>
    <w:rsid w:val="007132A7"/>
    <w:rsid w:val="007132BA"/>
    <w:rsid w:val="007133B5"/>
    <w:rsid w:val="00713853"/>
    <w:rsid w:val="007138DF"/>
    <w:rsid w:val="0071391F"/>
    <w:rsid w:val="00713AC6"/>
    <w:rsid w:val="0071401B"/>
    <w:rsid w:val="00714031"/>
    <w:rsid w:val="0071404A"/>
    <w:rsid w:val="007141E8"/>
    <w:rsid w:val="00714248"/>
    <w:rsid w:val="007142AC"/>
    <w:rsid w:val="007144BC"/>
    <w:rsid w:val="00714510"/>
    <w:rsid w:val="00714515"/>
    <w:rsid w:val="00714571"/>
    <w:rsid w:val="0071482E"/>
    <w:rsid w:val="00714CB7"/>
    <w:rsid w:val="00714E47"/>
    <w:rsid w:val="0071504D"/>
    <w:rsid w:val="007152A3"/>
    <w:rsid w:val="00715552"/>
    <w:rsid w:val="007155D9"/>
    <w:rsid w:val="00715702"/>
    <w:rsid w:val="00715748"/>
    <w:rsid w:val="00715838"/>
    <w:rsid w:val="007159B9"/>
    <w:rsid w:val="00715FF9"/>
    <w:rsid w:val="00716247"/>
    <w:rsid w:val="007162BB"/>
    <w:rsid w:val="007164BB"/>
    <w:rsid w:val="00716979"/>
    <w:rsid w:val="00716C52"/>
    <w:rsid w:val="00716C87"/>
    <w:rsid w:val="00717108"/>
    <w:rsid w:val="007173D7"/>
    <w:rsid w:val="0071754E"/>
    <w:rsid w:val="007176A0"/>
    <w:rsid w:val="007176DB"/>
    <w:rsid w:val="007178F3"/>
    <w:rsid w:val="00720102"/>
    <w:rsid w:val="00720598"/>
    <w:rsid w:val="007207CF"/>
    <w:rsid w:val="00720982"/>
    <w:rsid w:val="007209CC"/>
    <w:rsid w:val="007209D9"/>
    <w:rsid w:val="00720ADC"/>
    <w:rsid w:val="00721024"/>
    <w:rsid w:val="00721138"/>
    <w:rsid w:val="00721338"/>
    <w:rsid w:val="00721366"/>
    <w:rsid w:val="00721917"/>
    <w:rsid w:val="00721B83"/>
    <w:rsid w:val="00721D93"/>
    <w:rsid w:val="00721F71"/>
    <w:rsid w:val="00722194"/>
    <w:rsid w:val="007222A5"/>
    <w:rsid w:val="007222B5"/>
    <w:rsid w:val="007222EC"/>
    <w:rsid w:val="00722653"/>
    <w:rsid w:val="007226BA"/>
    <w:rsid w:val="00722F56"/>
    <w:rsid w:val="00722F84"/>
    <w:rsid w:val="00722FD0"/>
    <w:rsid w:val="00722FE7"/>
    <w:rsid w:val="007231D4"/>
    <w:rsid w:val="007235DA"/>
    <w:rsid w:val="007236C6"/>
    <w:rsid w:val="007237ED"/>
    <w:rsid w:val="00723885"/>
    <w:rsid w:val="00723ADA"/>
    <w:rsid w:val="00723FE5"/>
    <w:rsid w:val="00724254"/>
    <w:rsid w:val="00724409"/>
    <w:rsid w:val="007246FE"/>
    <w:rsid w:val="00724AD4"/>
    <w:rsid w:val="00724CA5"/>
    <w:rsid w:val="00724EEE"/>
    <w:rsid w:val="00724EEF"/>
    <w:rsid w:val="007257E1"/>
    <w:rsid w:val="00725846"/>
    <w:rsid w:val="007258EC"/>
    <w:rsid w:val="00725AED"/>
    <w:rsid w:val="00725B00"/>
    <w:rsid w:val="00725DC4"/>
    <w:rsid w:val="00725F42"/>
    <w:rsid w:val="00726105"/>
    <w:rsid w:val="007261A3"/>
    <w:rsid w:val="00726347"/>
    <w:rsid w:val="0072641E"/>
    <w:rsid w:val="0072684B"/>
    <w:rsid w:val="00726B82"/>
    <w:rsid w:val="00726E2E"/>
    <w:rsid w:val="00726E3F"/>
    <w:rsid w:val="00726E67"/>
    <w:rsid w:val="00726E79"/>
    <w:rsid w:val="0072713A"/>
    <w:rsid w:val="0072713B"/>
    <w:rsid w:val="00727432"/>
    <w:rsid w:val="00727552"/>
    <w:rsid w:val="007275E3"/>
    <w:rsid w:val="007279CF"/>
    <w:rsid w:val="00727D3C"/>
    <w:rsid w:val="00727DB2"/>
    <w:rsid w:val="00727E2E"/>
    <w:rsid w:val="00730118"/>
    <w:rsid w:val="007301EC"/>
    <w:rsid w:val="0073031F"/>
    <w:rsid w:val="0073038F"/>
    <w:rsid w:val="007304FE"/>
    <w:rsid w:val="00730520"/>
    <w:rsid w:val="00730882"/>
    <w:rsid w:val="00730C34"/>
    <w:rsid w:val="007313AD"/>
    <w:rsid w:val="00731BF5"/>
    <w:rsid w:val="00731E11"/>
    <w:rsid w:val="00732106"/>
    <w:rsid w:val="00732412"/>
    <w:rsid w:val="007325B6"/>
    <w:rsid w:val="00732677"/>
    <w:rsid w:val="007326E8"/>
    <w:rsid w:val="007326F6"/>
    <w:rsid w:val="007327D1"/>
    <w:rsid w:val="007329E6"/>
    <w:rsid w:val="00732A14"/>
    <w:rsid w:val="00732A60"/>
    <w:rsid w:val="00732B7A"/>
    <w:rsid w:val="00732E3B"/>
    <w:rsid w:val="00733156"/>
    <w:rsid w:val="0073317D"/>
    <w:rsid w:val="007332EE"/>
    <w:rsid w:val="0073344A"/>
    <w:rsid w:val="00733656"/>
    <w:rsid w:val="00733817"/>
    <w:rsid w:val="00733D0D"/>
    <w:rsid w:val="00733F02"/>
    <w:rsid w:val="00733FE1"/>
    <w:rsid w:val="007342F9"/>
    <w:rsid w:val="00734476"/>
    <w:rsid w:val="00734566"/>
    <w:rsid w:val="00734583"/>
    <w:rsid w:val="007345EC"/>
    <w:rsid w:val="0073461E"/>
    <w:rsid w:val="00734890"/>
    <w:rsid w:val="007348C7"/>
    <w:rsid w:val="007349BB"/>
    <w:rsid w:val="00734ADF"/>
    <w:rsid w:val="00734C83"/>
    <w:rsid w:val="00734D5C"/>
    <w:rsid w:val="00734F1E"/>
    <w:rsid w:val="00735084"/>
    <w:rsid w:val="007351AE"/>
    <w:rsid w:val="0073528A"/>
    <w:rsid w:val="007353BF"/>
    <w:rsid w:val="0073554B"/>
    <w:rsid w:val="00735610"/>
    <w:rsid w:val="00735770"/>
    <w:rsid w:val="00735B57"/>
    <w:rsid w:val="00736273"/>
    <w:rsid w:val="0073627C"/>
    <w:rsid w:val="007362F8"/>
    <w:rsid w:val="007363BD"/>
    <w:rsid w:val="00736519"/>
    <w:rsid w:val="0073651C"/>
    <w:rsid w:val="00736785"/>
    <w:rsid w:val="00736BFB"/>
    <w:rsid w:val="00736D36"/>
    <w:rsid w:val="00736F02"/>
    <w:rsid w:val="00736F1C"/>
    <w:rsid w:val="00736F80"/>
    <w:rsid w:val="0073727D"/>
    <w:rsid w:val="0073743A"/>
    <w:rsid w:val="00737459"/>
    <w:rsid w:val="0073757D"/>
    <w:rsid w:val="007376A8"/>
    <w:rsid w:val="007377D1"/>
    <w:rsid w:val="007378B0"/>
    <w:rsid w:val="00737BE4"/>
    <w:rsid w:val="00737CF2"/>
    <w:rsid w:val="00737E0E"/>
    <w:rsid w:val="00737EB0"/>
    <w:rsid w:val="00740177"/>
    <w:rsid w:val="0074027E"/>
    <w:rsid w:val="007402C3"/>
    <w:rsid w:val="007403AD"/>
    <w:rsid w:val="007405EB"/>
    <w:rsid w:val="0074064A"/>
    <w:rsid w:val="007406DF"/>
    <w:rsid w:val="0074079D"/>
    <w:rsid w:val="00740BC6"/>
    <w:rsid w:val="00740C0D"/>
    <w:rsid w:val="00740E61"/>
    <w:rsid w:val="007412B5"/>
    <w:rsid w:val="0074145A"/>
    <w:rsid w:val="007414D9"/>
    <w:rsid w:val="00741B3F"/>
    <w:rsid w:val="00741B59"/>
    <w:rsid w:val="00741C46"/>
    <w:rsid w:val="00741E86"/>
    <w:rsid w:val="00742113"/>
    <w:rsid w:val="007421FA"/>
    <w:rsid w:val="007422D2"/>
    <w:rsid w:val="007422D7"/>
    <w:rsid w:val="0074268D"/>
    <w:rsid w:val="00742699"/>
    <w:rsid w:val="0074298E"/>
    <w:rsid w:val="00742C8E"/>
    <w:rsid w:val="00742CF9"/>
    <w:rsid w:val="00742D5D"/>
    <w:rsid w:val="00742D6D"/>
    <w:rsid w:val="00742DA6"/>
    <w:rsid w:val="00742F8F"/>
    <w:rsid w:val="007431E2"/>
    <w:rsid w:val="00743208"/>
    <w:rsid w:val="007432FA"/>
    <w:rsid w:val="00743384"/>
    <w:rsid w:val="007435FA"/>
    <w:rsid w:val="0074374E"/>
    <w:rsid w:val="0074389C"/>
    <w:rsid w:val="007439D3"/>
    <w:rsid w:val="00743B3F"/>
    <w:rsid w:val="00743B6C"/>
    <w:rsid w:val="00743C1C"/>
    <w:rsid w:val="00743E4D"/>
    <w:rsid w:val="00743EEB"/>
    <w:rsid w:val="007440EA"/>
    <w:rsid w:val="007443DE"/>
    <w:rsid w:val="007444C7"/>
    <w:rsid w:val="00744725"/>
    <w:rsid w:val="0074476A"/>
    <w:rsid w:val="00744994"/>
    <w:rsid w:val="00744B59"/>
    <w:rsid w:val="00744E4A"/>
    <w:rsid w:val="00744FF9"/>
    <w:rsid w:val="00745016"/>
    <w:rsid w:val="00745171"/>
    <w:rsid w:val="0074524D"/>
    <w:rsid w:val="00745377"/>
    <w:rsid w:val="007453DD"/>
    <w:rsid w:val="007454C9"/>
    <w:rsid w:val="00745627"/>
    <w:rsid w:val="00745673"/>
    <w:rsid w:val="00745676"/>
    <w:rsid w:val="00745776"/>
    <w:rsid w:val="00745905"/>
    <w:rsid w:val="007459E5"/>
    <w:rsid w:val="00745C44"/>
    <w:rsid w:val="00745C77"/>
    <w:rsid w:val="00745CF0"/>
    <w:rsid w:val="00745E65"/>
    <w:rsid w:val="00745FF4"/>
    <w:rsid w:val="0074671C"/>
    <w:rsid w:val="0074698A"/>
    <w:rsid w:val="007469C4"/>
    <w:rsid w:val="00746B6E"/>
    <w:rsid w:val="00746C92"/>
    <w:rsid w:val="007470F0"/>
    <w:rsid w:val="007472AB"/>
    <w:rsid w:val="0074735F"/>
    <w:rsid w:val="007475B7"/>
    <w:rsid w:val="00747705"/>
    <w:rsid w:val="00747846"/>
    <w:rsid w:val="0074793C"/>
    <w:rsid w:val="00747BBD"/>
    <w:rsid w:val="00747D9F"/>
    <w:rsid w:val="00747DB7"/>
    <w:rsid w:val="00747E21"/>
    <w:rsid w:val="00747F38"/>
    <w:rsid w:val="00750135"/>
    <w:rsid w:val="007502B7"/>
    <w:rsid w:val="007504BA"/>
    <w:rsid w:val="0075060C"/>
    <w:rsid w:val="00750705"/>
    <w:rsid w:val="007508C8"/>
    <w:rsid w:val="00750A30"/>
    <w:rsid w:val="00750D16"/>
    <w:rsid w:val="00750EE5"/>
    <w:rsid w:val="007510A1"/>
    <w:rsid w:val="007510B7"/>
    <w:rsid w:val="00751251"/>
    <w:rsid w:val="0075177D"/>
    <w:rsid w:val="0075178F"/>
    <w:rsid w:val="00751822"/>
    <w:rsid w:val="007518CB"/>
    <w:rsid w:val="00751A31"/>
    <w:rsid w:val="00751C28"/>
    <w:rsid w:val="00751E22"/>
    <w:rsid w:val="0075212F"/>
    <w:rsid w:val="007523B2"/>
    <w:rsid w:val="00752507"/>
    <w:rsid w:val="0075275E"/>
    <w:rsid w:val="00752778"/>
    <w:rsid w:val="00752823"/>
    <w:rsid w:val="00752A82"/>
    <w:rsid w:val="00752B59"/>
    <w:rsid w:val="00752FCB"/>
    <w:rsid w:val="00753132"/>
    <w:rsid w:val="007532FB"/>
    <w:rsid w:val="00753413"/>
    <w:rsid w:val="0075367F"/>
    <w:rsid w:val="00753704"/>
    <w:rsid w:val="00753718"/>
    <w:rsid w:val="007537B1"/>
    <w:rsid w:val="00753A1C"/>
    <w:rsid w:val="00753F10"/>
    <w:rsid w:val="00754093"/>
    <w:rsid w:val="0075461A"/>
    <w:rsid w:val="0075466A"/>
    <w:rsid w:val="00754D94"/>
    <w:rsid w:val="00754E9D"/>
    <w:rsid w:val="00754FEA"/>
    <w:rsid w:val="007553C6"/>
    <w:rsid w:val="007554F1"/>
    <w:rsid w:val="0075557B"/>
    <w:rsid w:val="00755757"/>
    <w:rsid w:val="00755772"/>
    <w:rsid w:val="007559A2"/>
    <w:rsid w:val="0075612A"/>
    <w:rsid w:val="00756154"/>
    <w:rsid w:val="0075622E"/>
    <w:rsid w:val="0075626D"/>
    <w:rsid w:val="00756452"/>
    <w:rsid w:val="0075646A"/>
    <w:rsid w:val="00756693"/>
    <w:rsid w:val="007567EB"/>
    <w:rsid w:val="00756DC2"/>
    <w:rsid w:val="00757034"/>
    <w:rsid w:val="00757079"/>
    <w:rsid w:val="00757402"/>
    <w:rsid w:val="00757494"/>
    <w:rsid w:val="00757667"/>
    <w:rsid w:val="00757797"/>
    <w:rsid w:val="0075780F"/>
    <w:rsid w:val="00757872"/>
    <w:rsid w:val="007579C4"/>
    <w:rsid w:val="00757AD8"/>
    <w:rsid w:val="00757DF0"/>
    <w:rsid w:val="00760375"/>
    <w:rsid w:val="0076067C"/>
    <w:rsid w:val="007606C4"/>
    <w:rsid w:val="007606D9"/>
    <w:rsid w:val="007606FC"/>
    <w:rsid w:val="007608C7"/>
    <w:rsid w:val="00760955"/>
    <w:rsid w:val="00760A50"/>
    <w:rsid w:val="0076120F"/>
    <w:rsid w:val="0076142A"/>
    <w:rsid w:val="0076144F"/>
    <w:rsid w:val="00761612"/>
    <w:rsid w:val="00761D01"/>
    <w:rsid w:val="00761E41"/>
    <w:rsid w:val="00762041"/>
    <w:rsid w:val="00762370"/>
    <w:rsid w:val="007623A2"/>
    <w:rsid w:val="00762515"/>
    <w:rsid w:val="00762549"/>
    <w:rsid w:val="007625F1"/>
    <w:rsid w:val="007626BE"/>
    <w:rsid w:val="007626D5"/>
    <w:rsid w:val="007629CE"/>
    <w:rsid w:val="00762A22"/>
    <w:rsid w:val="00762AD9"/>
    <w:rsid w:val="00762BCC"/>
    <w:rsid w:val="00762D27"/>
    <w:rsid w:val="00762E9F"/>
    <w:rsid w:val="0076324B"/>
    <w:rsid w:val="007633F0"/>
    <w:rsid w:val="00763BFC"/>
    <w:rsid w:val="00763DCF"/>
    <w:rsid w:val="00763FB0"/>
    <w:rsid w:val="007640C2"/>
    <w:rsid w:val="00764309"/>
    <w:rsid w:val="0076436A"/>
    <w:rsid w:val="00764523"/>
    <w:rsid w:val="00764A3F"/>
    <w:rsid w:val="00764BFD"/>
    <w:rsid w:val="00764D06"/>
    <w:rsid w:val="00764DDC"/>
    <w:rsid w:val="00764FB9"/>
    <w:rsid w:val="007658DF"/>
    <w:rsid w:val="00765ACE"/>
    <w:rsid w:val="00765D24"/>
    <w:rsid w:val="00765DB4"/>
    <w:rsid w:val="00765ED5"/>
    <w:rsid w:val="0076605A"/>
    <w:rsid w:val="0076666B"/>
    <w:rsid w:val="007668D5"/>
    <w:rsid w:val="00766F5A"/>
    <w:rsid w:val="00767025"/>
    <w:rsid w:val="00767070"/>
    <w:rsid w:val="00767169"/>
    <w:rsid w:val="007671AA"/>
    <w:rsid w:val="00767523"/>
    <w:rsid w:val="00767741"/>
    <w:rsid w:val="0076775D"/>
    <w:rsid w:val="007679F6"/>
    <w:rsid w:val="00767AA8"/>
    <w:rsid w:val="00767AF4"/>
    <w:rsid w:val="00767D60"/>
    <w:rsid w:val="00767D8F"/>
    <w:rsid w:val="007700FE"/>
    <w:rsid w:val="007703D1"/>
    <w:rsid w:val="00770683"/>
    <w:rsid w:val="00770686"/>
    <w:rsid w:val="007708D6"/>
    <w:rsid w:val="007709C4"/>
    <w:rsid w:val="007709EE"/>
    <w:rsid w:val="00770B4E"/>
    <w:rsid w:val="00770BE3"/>
    <w:rsid w:val="00770D01"/>
    <w:rsid w:val="00770F46"/>
    <w:rsid w:val="00770FEE"/>
    <w:rsid w:val="00771332"/>
    <w:rsid w:val="00771725"/>
    <w:rsid w:val="00771731"/>
    <w:rsid w:val="0077183E"/>
    <w:rsid w:val="0077191C"/>
    <w:rsid w:val="00771ABF"/>
    <w:rsid w:val="00771B54"/>
    <w:rsid w:val="00771C0C"/>
    <w:rsid w:val="00771F6B"/>
    <w:rsid w:val="007723F8"/>
    <w:rsid w:val="00772965"/>
    <w:rsid w:val="00772D50"/>
    <w:rsid w:val="00772FC6"/>
    <w:rsid w:val="007730A4"/>
    <w:rsid w:val="007730B1"/>
    <w:rsid w:val="00773204"/>
    <w:rsid w:val="00773259"/>
    <w:rsid w:val="007734AA"/>
    <w:rsid w:val="007735C4"/>
    <w:rsid w:val="00773650"/>
    <w:rsid w:val="00773698"/>
    <w:rsid w:val="007737AF"/>
    <w:rsid w:val="007739C6"/>
    <w:rsid w:val="00773ABB"/>
    <w:rsid w:val="00773ABC"/>
    <w:rsid w:val="00774004"/>
    <w:rsid w:val="0077427D"/>
    <w:rsid w:val="007742BC"/>
    <w:rsid w:val="00774531"/>
    <w:rsid w:val="00774569"/>
    <w:rsid w:val="007746FA"/>
    <w:rsid w:val="007749AD"/>
    <w:rsid w:val="00774A35"/>
    <w:rsid w:val="00774A5C"/>
    <w:rsid w:val="00774AE5"/>
    <w:rsid w:val="00774AF2"/>
    <w:rsid w:val="00774B32"/>
    <w:rsid w:val="00774B40"/>
    <w:rsid w:val="00774FD7"/>
    <w:rsid w:val="00775047"/>
    <w:rsid w:val="007750E7"/>
    <w:rsid w:val="007754C1"/>
    <w:rsid w:val="00775576"/>
    <w:rsid w:val="0077564C"/>
    <w:rsid w:val="0077571C"/>
    <w:rsid w:val="00775797"/>
    <w:rsid w:val="00775935"/>
    <w:rsid w:val="00775AD9"/>
    <w:rsid w:val="00775BE9"/>
    <w:rsid w:val="00775FD3"/>
    <w:rsid w:val="00776321"/>
    <w:rsid w:val="0077685F"/>
    <w:rsid w:val="0077686E"/>
    <w:rsid w:val="007768A4"/>
    <w:rsid w:val="007768FB"/>
    <w:rsid w:val="00776AB7"/>
    <w:rsid w:val="00776CB9"/>
    <w:rsid w:val="00776DCD"/>
    <w:rsid w:val="007771F9"/>
    <w:rsid w:val="007771FD"/>
    <w:rsid w:val="00777482"/>
    <w:rsid w:val="007774FC"/>
    <w:rsid w:val="00777841"/>
    <w:rsid w:val="00777B1B"/>
    <w:rsid w:val="00777B90"/>
    <w:rsid w:val="00777D6E"/>
    <w:rsid w:val="00777E94"/>
    <w:rsid w:val="00780145"/>
    <w:rsid w:val="007806A3"/>
    <w:rsid w:val="007807B0"/>
    <w:rsid w:val="00780912"/>
    <w:rsid w:val="00780CBA"/>
    <w:rsid w:val="00780D9C"/>
    <w:rsid w:val="00780FD1"/>
    <w:rsid w:val="0078162E"/>
    <w:rsid w:val="007819F1"/>
    <w:rsid w:val="00781B55"/>
    <w:rsid w:val="00781BA9"/>
    <w:rsid w:val="00781D6F"/>
    <w:rsid w:val="00781D95"/>
    <w:rsid w:val="00782024"/>
    <w:rsid w:val="007820D3"/>
    <w:rsid w:val="00782192"/>
    <w:rsid w:val="007821CF"/>
    <w:rsid w:val="0078220B"/>
    <w:rsid w:val="0078255E"/>
    <w:rsid w:val="007826DC"/>
    <w:rsid w:val="007828D0"/>
    <w:rsid w:val="00782ADE"/>
    <w:rsid w:val="00782BAC"/>
    <w:rsid w:val="00782CCB"/>
    <w:rsid w:val="00782CE9"/>
    <w:rsid w:val="00782F74"/>
    <w:rsid w:val="007831EA"/>
    <w:rsid w:val="00783229"/>
    <w:rsid w:val="007836F0"/>
    <w:rsid w:val="00783A4F"/>
    <w:rsid w:val="00783BB1"/>
    <w:rsid w:val="00783BEA"/>
    <w:rsid w:val="00784376"/>
    <w:rsid w:val="0078465B"/>
    <w:rsid w:val="007846D3"/>
    <w:rsid w:val="00784929"/>
    <w:rsid w:val="00784A5B"/>
    <w:rsid w:val="00784A94"/>
    <w:rsid w:val="00784BC3"/>
    <w:rsid w:val="00784DE3"/>
    <w:rsid w:val="00784F74"/>
    <w:rsid w:val="00784FFA"/>
    <w:rsid w:val="0078536A"/>
    <w:rsid w:val="007853A4"/>
    <w:rsid w:val="00785474"/>
    <w:rsid w:val="007854C7"/>
    <w:rsid w:val="0078551D"/>
    <w:rsid w:val="007856BE"/>
    <w:rsid w:val="007856F1"/>
    <w:rsid w:val="0078570D"/>
    <w:rsid w:val="007858B6"/>
    <w:rsid w:val="00785BA8"/>
    <w:rsid w:val="00785C52"/>
    <w:rsid w:val="00785D28"/>
    <w:rsid w:val="00785D85"/>
    <w:rsid w:val="00785E1D"/>
    <w:rsid w:val="00785FD2"/>
    <w:rsid w:val="00786457"/>
    <w:rsid w:val="007864E3"/>
    <w:rsid w:val="007865E6"/>
    <w:rsid w:val="0078677B"/>
    <w:rsid w:val="00786B5D"/>
    <w:rsid w:val="00786C82"/>
    <w:rsid w:val="00786E7A"/>
    <w:rsid w:val="00786F5B"/>
    <w:rsid w:val="007870E9"/>
    <w:rsid w:val="007871F3"/>
    <w:rsid w:val="0078722F"/>
    <w:rsid w:val="0078727E"/>
    <w:rsid w:val="0078733F"/>
    <w:rsid w:val="007873E5"/>
    <w:rsid w:val="007875DC"/>
    <w:rsid w:val="0078787F"/>
    <w:rsid w:val="0078795D"/>
    <w:rsid w:val="00787B4A"/>
    <w:rsid w:val="00787B6B"/>
    <w:rsid w:val="00787D5D"/>
    <w:rsid w:val="00787DF8"/>
    <w:rsid w:val="00787FB9"/>
    <w:rsid w:val="007901B0"/>
    <w:rsid w:val="007902B0"/>
    <w:rsid w:val="007903CA"/>
    <w:rsid w:val="007905D3"/>
    <w:rsid w:val="0079074B"/>
    <w:rsid w:val="007908BE"/>
    <w:rsid w:val="00790A51"/>
    <w:rsid w:val="00790AF0"/>
    <w:rsid w:val="00790D12"/>
    <w:rsid w:val="00790DFE"/>
    <w:rsid w:val="00790F62"/>
    <w:rsid w:val="007916B0"/>
    <w:rsid w:val="00791785"/>
    <w:rsid w:val="00791A14"/>
    <w:rsid w:val="00791BA2"/>
    <w:rsid w:val="00791C2E"/>
    <w:rsid w:val="00791DC1"/>
    <w:rsid w:val="00791FE8"/>
    <w:rsid w:val="0079211A"/>
    <w:rsid w:val="00792139"/>
    <w:rsid w:val="007924B5"/>
    <w:rsid w:val="007926BA"/>
    <w:rsid w:val="00792B6E"/>
    <w:rsid w:val="00792C24"/>
    <w:rsid w:val="00792CC2"/>
    <w:rsid w:val="00792E50"/>
    <w:rsid w:val="00793289"/>
    <w:rsid w:val="00793296"/>
    <w:rsid w:val="0079340E"/>
    <w:rsid w:val="00793625"/>
    <w:rsid w:val="007937AD"/>
    <w:rsid w:val="007938A5"/>
    <w:rsid w:val="007938B2"/>
    <w:rsid w:val="00793942"/>
    <w:rsid w:val="00793A14"/>
    <w:rsid w:val="00793B32"/>
    <w:rsid w:val="00793DD4"/>
    <w:rsid w:val="00793F1A"/>
    <w:rsid w:val="00793FCC"/>
    <w:rsid w:val="00793FD6"/>
    <w:rsid w:val="00794366"/>
    <w:rsid w:val="00794379"/>
    <w:rsid w:val="0079446F"/>
    <w:rsid w:val="007945A1"/>
    <w:rsid w:val="007947A9"/>
    <w:rsid w:val="00794ED9"/>
    <w:rsid w:val="00795023"/>
    <w:rsid w:val="00795503"/>
    <w:rsid w:val="0079553A"/>
    <w:rsid w:val="0079576D"/>
    <w:rsid w:val="00795C35"/>
    <w:rsid w:val="00796004"/>
    <w:rsid w:val="00796285"/>
    <w:rsid w:val="007963AF"/>
    <w:rsid w:val="0079672B"/>
    <w:rsid w:val="00796819"/>
    <w:rsid w:val="00796887"/>
    <w:rsid w:val="00796B22"/>
    <w:rsid w:val="00796B83"/>
    <w:rsid w:val="00796E6E"/>
    <w:rsid w:val="00796E94"/>
    <w:rsid w:val="00796EB1"/>
    <w:rsid w:val="00797075"/>
    <w:rsid w:val="007970A1"/>
    <w:rsid w:val="007970A2"/>
    <w:rsid w:val="0079723A"/>
    <w:rsid w:val="00797333"/>
    <w:rsid w:val="0079744D"/>
    <w:rsid w:val="007976E2"/>
    <w:rsid w:val="0079791C"/>
    <w:rsid w:val="0079794C"/>
    <w:rsid w:val="00797C2E"/>
    <w:rsid w:val="007A0012"/>
    <w:rsid w:val="007A008F"/>
    <w:rsid w:val="007A0237"/>
    <w:rsid w:val="007A0270"/>
    <w:rsid w:val="007A09DF"/>
    <w:rsid w:val="007A0A37"/>
    <w:rsid w:val="007A0EBA"/>
    <w:rsid w:val="007A1337"/>
    <w:rsid w:val="007A1463"/>
    <w:rsid w:val="007A163A"/>
    <w:rsid w:val="007A17B2"/>
    <w:rsid w:val="007A19E8"/>
    <w:rsid w:val="007A1E02"/>
    <w:rsid w:val="007A1EA6"/>
    <w:rsid w:val="007A1F71"/>
    <w:rsid w:val="007A1FA7"/>
    <w:rsid w:val="007A259D"/>
    <w:rsid w:val="007A267E"/>
    <w:rsid w:val="007A279D"/>
    <w:rsid w:val="007A2A5D"/>
    <w:rsid w:val="007A2B2A"/>
    <w:rsid w:val="007A2C5F"/>
    <w:rsid w:val="007A2C67"/>
    <w:rsid w:val="007A304C"/>
    <w:rsid w:val="007A30B1"/>
    <w:rsid w:val="007A3248"/>
    <w:rsid w:val="007A3344"/>
    <w:rsid w:val="007A349B"/>
    <w:rsid w:val="007A3A51"/>
    <w:rsid w:val="007A3CE6"/>
    <w:rsid w:val="007A3E4D"/>
    <w:rsid w:val="007A4023"/>
    <w:rsid w:val="007A40AC"/>
    <w:rsid w:val="007A4377"/>
    <w:rsid w:val="007A4C3C"/>
    <w:rsid w:val="007A501B"/>
    <w:rsid w:val="007A5219"/>
    <w:rsid w:val="007A5370"/>
    <w:rsid w:val="007A5712"/>
    <w:rsid w:val="007A57B1"/>
    <w:rsid w:val="007A57DD"/>
    <w:rsid w:val="007A58C2"/>
    <w:rsid w:val="007A5907"/>
    <w:rsid w:val="007A5A04"/>
    <w:rsid w:val="007A5A6E"/>
    <w:rsid w:val="007A5CF2"/>
    <w:rsid w:val="007A5D32"/>
    <w:rsid w:val="007A5DB5"/>
    <w:rsid w:val="007A5E24"/>
    <w:rsid w:val="007A5EB8"/>
    <w:rsid w:val="007A5F46"/>
    <w:rsid w:val="007A610D"/>
    <w:rsid w:val="007A6137"/>
    <w:rsid w:val="007A6209"/>
    <w:rsid w:val="007A627F"/>
    <w:rsid w:val="007A62A4"/>
    <w:rsid w:val="007A6318"/>
    <w:rsid w:val="007A63FD"/>
    <w:rsid w:val="007A6526"/>
    <w:rsid w:val="007A667B"/>
    <w:rsid w:val="007A671F"/>
    <w:rsid w:val="007A672C"/>
    <w:rsid w:val="007A6D18"/>
    <w:rsid w:val="007A6D3C"/>
    <w:rsid w:val="007A70E6"/>
    <w:rsid w:val="007A70FB"/>
    <w:rsid w:val="007A724D"/>
    <w:rsid w:val="007A7555"/>
    <w:rsid w:val="007A7D64"/>
    <w:rsid w:val="007A7DF1"/>
    <w:rsid w:val="007A7ECC"/>
    <w:rsid w:val="007B0083"/>
    <w:rsid w:val="007B0338"/>
    <w:rsid w:val="007B045A"/>
    <w:rsid w:val="007B049E"/>
    <w:rsid w:val="007B05E0"/>
    <w:rsid w:val="007B05FC"/>
    <w:rsid w:val="007B0739"/>
    <w:rsid w:val="007B0821"/>
    <w:rsid w:val="007B09D8"/>
    <w:rsid w:val="007B0B0D"/>
    <w:rsid w:val="007B0D49"/>
    <w:rsid w:val="007B0F27"/>
    <w:rsid w:val="007B0FE7"/>
    <w:rsid w:val="007B11BF"/>
    <w:rsid w:val="007B1325"/>
    <w:rsid w:val="007B1397"/>
    <w:rsid w:val="007B13AA"/>
    <w:rsid w:val="007B15B9"/>
    <w:rsid w:val="007B1A20"/>
    <w:rsid w:val="007B20F1"/>
    <w:rsid w:val="007B22D4"/>
    <w:rsid w:val="007B23FC"/>
    <w:rsid w:val="007B247D"/>
    <w:rsid w:val="007B2530"/>
    <w:rsid w:val="007B2588"/>
    <w:rsid w:val="007B2606"/>
    <w:rsid w:val="007B2879"/>
    <w:rsid w:val="007B28B7"/>
    <w:rsid w:val="007B29F7"/>
    <w:rsid w:val="007B2C2F"/>
    <w:rsid w:val="007B2CB0"/>
    <w:rsid w:val="007B2E72"/>
    <w:rsid w:val="007B3088"/>
    <w:rsid w:val="007B32EC"/>
    <w:rsid w:val="007B35E5"/>
    <w:rsid w:val="007B36F7"/>
    <w:rsid w:val="007B3AB0"/>
    <w:rsid w:val="007B3C1D"/>
    <w:rsid w:val="007B3C3E"/>
    <w:rsid w:val="007B3CD2"/>
    <w:rsid w:val="007B3D62"/>
    <w:rsid w:val="007B3FE8"/>
    <w:rsid w:val="007B40C0"/>
    <w:rsid w:val="007B4603"/>
    <w:rsid w:val="007B4842"/>
    <w:rsid w:val="007B4A15"/>
    <w:rsid w:val="007B4A85"/>
    <w:rsid w:val="007B4D9E"/>
    <w:rsid w:val="007B4DD7"/>
    <w:rsid w:val="007B4EDA"/>
    <w:rsid w:val="007B4F47"/>
    <w:rsid w:val="007B50CB"/>
    <w:rsid w:val="007B5465"/>
    <w:rsid w:val="007B5489"/>
    <w:rsid w:val="007B57AC"/>
    <w:rsid w:val="007B591C"/>
    <w:rsid w:val="007B5C58"/>
    <w:rsid w:val="007B5E08"/>
    <w:rsid w:val="007B5EDC"/>
    <w:rsid w:val="007B64F7"/>
    <w:rsid w:val="007B667A"/>
    <w:rsid w:val="007B6A91"/>
    <w:rsid w:val="007B6AE0"/>
    <w:rsid w:val="007B6B22"/>
    <w:rsid w:val="007B6BFC"/>
    <w:rsid w:val="007B6C21"/>
    <w:rsid w:val="007B6C7A"/>
    <w:rsid w:val="007B6CD1"/>
    <w:rsid w:val="007B6EBF"/>
    <w:rsid w:val="007B735A"/>
    <w:rsid w:val="007B7386"/>
    <w:rsid w:val="007B73AB"/>
    <w:rsid w:val="007B7561"/>
    <w:rsid w:val="007B7580"/>
    <w:rsid w:val="007B7608"/>
    <w:rsid w:val="007B790F"/>
    <w:rsid w:val="007B7960"/>
    <w:rsid w:val="007B79A9"/>
    <w:rsid w:val="007B7A8A"/>
    <w:rsid w:val="007B7AE5"/>
    <w:rsid w:val="007C0103"/>
    <w:rsid w:val="007C0371"/>
    <w:rsid w:val="007C0400"/>
    <w:rsid w:val="007C0466"/>
    <w:rsid w:val="007C0552"/>
    <w:rsid w:val="007C0BE7"/>
    <w:rsid w:val="007C0C67"/>
    <w:rsid w:val="007C1119"/>
    <w:rsid w:val="007C11B9"/>
    <w:rsid w:val="007C122E"/>
    <w:rsid w:val="007C1552"/>
    <w:rsid w:val="007C1589"/>
    <w:rsid w:val="007C19B2"/>
    <w:rsid w:val="007C1A24"/>
    <w:rsid w:val="007C1A51"/>
    <w:rsid w:val="007C1A90"/>
    <w:rsid w:val="007C1AC1"/>
    <w:rsid w:val="007C1BE8"/>
    <w:rsid w:val="007C1CCB"/>
    <w:rsid w:val="007C1D55"/>
    <w:rsid w:val="007C1D61"/>
    <w:rsid w:val="007C215C"/>
    <w:rsid w:val="007C25D1"/>
    <w:rsid w:val="007C2791"/>
    <w:rsid w:val="007C279B"/>
    <w:rsid w:val="007C2943"/>
    <w:rsid w:val="007C2D3F"/>
    <w:rsid w:val="007C2DC9"/>
    <w:rsid w:val="007C2E63"/>
    <w:rsid w:val="007C32E6"/>
    <w:rsid w:val="007C3379"/>
    <w:rsid w:val="007C33A4"/>
    <w:rsid w:val="007C3511"/>
    <w:rsid w:val="007C370B"/>
    <w:rsid w:val="007C3AE8"/>
    <w:rsid w:val="007C3F88"/>
    <w:rsid w:val="007C4102"/>
    <w:rsid w:val="007C41BB"/>
    <w:rsid w:val="007C4253"/>
    <w:rsid w:val="007C43CD"/>
    <w:rsid w:val="007C449B"/>
    <w:rsid w:val="007C4649"/>
    <w:rsid w:val="007C47CF"/>
    <w:rsid w:val="007C47D6"/>
    <w:rsid w:val="007C48AA"/>
    <w:rsid w:val="007C4BA3"/>
    <w:rsid w:val="007C4E60"/>
    <w:rsid w:val="007C4EBE"/>
    <w:rsid w:val="007C53B0"/>
    <w:rsid w:val="007C5405"/>
    <w:rsid w:val="007C5484"/>
    <w:rsid w:val="007C5512"/>
    <w:rsid w:val="007C55DA"/>
    <w:rsid w:val="007C5729"/>
    <w:rsid w:val="007C574D"/>
    <w:rsid w:val="007C581E"/>
    <w:rsid w:val="007C5892"/>
    <w:rsid w:val="007C58BD"/>
    <w:rsid w:val="007C5AC0"/>
    <w:rsid w:val="007C6142"/>
    <w:rsid w:val="007C6195"/>
    <w:rsid w:val="007C636A"/>
    <w:rsid w:val="007C639E"/>
    <w:rsid w:val="007C6462"/>
    <w:rsid w:val="007C6496"/>
    <w:rsid w:val="007C64D5"/>
    <w:rsid w:val="007C662B"/>
    <w:rsid w:val="007C6886"/>
    <w:rsid w:val="007C6B6C"/>
    <w:rsid w:val="007C6D44"/>
    <w:rsid w:val="007C6DD2"/>
    <w:rsid w:val="007C6E68"/>
    <w:rsid w:val="007C6ED3"/>
    <w:rsid w:val="007C6FFE"/>
    <w:rsid w:val="007C7166"/>
    <w:rsid w:val="007C7193"/>
    <w:rsid w:val="007C72E4"/>
    <w:rsid w:val="007C74E1"/>
    <w:rsid w:val="007C77EB"/>
    <w:rsid w:val="007C786C"/>
    <w:rsid w:val="007C79A8"/>
    <w:rsid w:val="007C7D87"/>
    <w:rsid w:val="007C7EE4"/>
    <w:rsid w:val="007D00D6"/>
    <w:rsid w:val="007D0848"/>
    <w:rsid w:val="007D085A"/>
    <w:rsid w:val="007D08DA"/>
    <w:rsid w:val="007D0D6E"/>
    <w:rsid w:val="007D0E0C"/>
    <w:rsid w:val="007D0F93"/>
    <w:rsid w:val="007D1353"/>
    <w:rsid w:val="007D136F"/>
    <w:rsid w:val="007D13F4"/>
    <w:rsid w:val="007D189C"/>
    <w:rsid w:val="007D1A62"/>
    <w:rsid w:val="007D1AFE"/>
    <w:rsid w:val="007D1C49"/>
    <w:rsid w:val="007D1CAD"/>
    <w:rsid w:val="007D1E84"/>
    <w:rsid w:val="007D1EA6"/>
    <w:rsid w:val="007D1EBA"/>
    <w:rsid w:val="007D1F95"/>
    <w:rsid w:val="007D1FC8"/>
    <w:rsid w:val="007D2028"/>
    <w:rsid w:val="007D21F3"/>
    <w:rsid w:val="007D2401"/>
    <w:rsid w:val="007D2576"/>
    <w:rsid w:val="007D2607"/>
    <w:rsid w:val="007D297C"/>
    <w:rsid w:val="007D29AA"/>
    <w:rsid w:val="007D2A78"/>
    <w:rsid w:val="007D2D78"/>
    <w:rsid w:val="007D3089"/>
    <w:rsid w:val="007D314F"/>
    <w:rsid w:val="007D343F"/>
    <w:rsid w:val="007D3521"/>
    <w:rsid w:val="007D35FF"/>
    <w:rsid w:val="007D361F"/>
    <w:rsid w:val="007D3760"/>
    <w:rsid w:val="007D3833"/>
    <w:rsid w:val="007D397C"/>
    <w:rsid w:val="007D39AE"/>
    <w:rsid w:val="007D3A19"/>
    <w:rsid w:val="007D3DF2"/>
    <w:rsid w:val="007D3E14"/>
    <w:rsid w:val="007D43D2"/>
    <w:rsid w:val="007D4436"/>
    <w:rsid w:val="007D46AC"/>
    <w:rsid w:val="007D4B09"/>
    <w:rsid w:val="007D4D47"/>
    <w:rsid w:val="007D4DE6"/>
    <w:rsid w:val="007D4F29"/>
    <w:rsid w:val="007D5060"/>
    <w:rsid w:val="007D507B"/>
    <w:rsid w:val="007D53F8"/>
    <w:rsid w:val="007D551C"/>
    <w:rsid w:val="007D571E"/>
    <w:rsid w:val="007D58A4"/>
    <w:rsid w:val="007D5A20"/>
    <w:rsid w:val="007D5A23"/>
    <w:rsid w:val="007D5CB1"/>
    <w:rsid w:val="007D5F27"/>
    <w:rsid w:val="007D6140"/>
    <w:rsid w:val="007D635E"/>
    <w:rsid w:val="007D67A9"/>
    <w:rsid w:val="007D67EA"/>
    <w:rsid w:val="007D690F"/>
    <w:rsid w:val="007D6927"/>
    <w:rsid w:val="007D6992"/>
    <w:rsid w:val="007D6A03"/>
    <w:rsid w:val="007D6D32"/>
    <w:rsid w:val="007D6DB7"/>
    <w:rsid w:val="007D7115"/>
    <w:rsid w:val="007D71D5"/>
    <w:rsid w:val="007D73DF"/>
    <w:rsid w:val="007D7A1B"/>
    <w:rsid w:val="007D7A28"/>
    <w:rsid w:val="007D7D18"/>
    <w:rsid w:val="007D7D45"/>
    <w:rsid w:val="007E017D"/>
    <w:rsid w:val="007E02E3"/>
    <w:rsid w:val="007E0391"/>
    <w:rsid w:val="007E04A5"/>
    <w:rsid w:val="007E04CC"/>
    <w:rsid w:val="007E05E6"/>
    <w:rsid w:val="007E06AF"/>
    <w:rsid w:val="007E0F2A"/>
    <w:rsid w:val="007E118C"/>
    <w:rsid w:val="007E1311"/>
    <w:rsid w:val="007E1521"/>
    <w:rsid w:val="007E1551"/>
    <w:rsid w:val="007E19A3"/>
    <w:rsid w:val="007E19B6"/>
    <w:rsid w:val="007E1A99"/>
    <w:rsid w:val="007E1B41"/>
    <w:rsid w:val="007E20E5"/>
    <w:rsid w:val="007E2107"/>
    <w:rsid w:val="007E218A"/>
    <w:rsid w:val="007E230D"/>
    <w:rsid w:val="007E2316"/>
    <w:rsid w:val="007E234C"/>
    <w:rsid w:val="007E2454"/>
    <w:rsid w:val="007E2463"/>
    <w:rsid w:val="007E278B"/>
    <w:rsid w:val="007E29DE"/>
    <w:rsid w:val="007E2A77"/>
    <w:rsid w:val="007E2F7F"/>
    <w:rsid w:val="007E3059"/>
    <w:rsid w:val="007E32A6"/>
    <w:rsid w:val="007E3549"/>
    <w:rsid w:val="007E3571"/>
    <w:rsid w:val="007E3608"/>
    <w:rsid w:val="007E39EA"/>
    <w:rsid w:val="007E3AC4"/>
    <w:rsid w:val="007E3B85"/>
    <w:rsid w:val="007E3C3F"/>
    <w:rsid w:val="007E3D09"/>
    <w:rsid w:val="007E3D58"/>
    <w:rsid w:val="007E3EA0"/>
    <w:rsid w:val="007E3F3D"/>
    <w:rsid w:val="007E3FF4"/>
    <w:rsid w:val="007E4119"/>
    <w:rsid w:val="007E4243"/>
    <w:rsid w:val="007E4648"/>
    <w:rsid w:val="007E4990"/>
    <w:rsid w:val="007E4A0C"/>
    <w:rsid w:val="007E4A75"/>
    <w:rsid w:val="007E4C79"/>
    <w:rsid w:val="007E4E21"/>
    <w:rsid w:val="007E4F65"/>
    <w:rsid w:val="007E507E"/>
    <w:rsid w:val="007E51E1"/>
    <w:rsid w:val="007E53A3"/>
    <w:rsid w:val="007E5405"/>
    <w:rsid w:val="007E5567"/>
    <w:rsid w:val="007E5987"/>
    <w:rsid w:val="007E5B96"/>
    <w:rsid w:val="007E5C5B"/>
    <w:rsid w:val="007E5D7F"/>
    <w:rsid w:val="007E600A"/>
    <w:rsid w:val="007E635D"/>
    <w:rsid w:val="007E64EA"/>
    <w:rsid w:val="007E66B1"/>
    <w:rsid w:val="007E69AF"/>
    <w:rsid w:val="007E6A09"/>
    <w:rsid w:val="007E6B6C"/>
    <w:rsid w:val="007E73F0"/>
    <w:rsid w:val="007E73FA"/>
    <w:rsid w:val="007E742E"/>
    <w:rsid w:val="007E7519"/>
    <w:rsid w:val="007E75AC"/>
    <w:rsid w:val="007E75FF"/>
    <w:rsid w:val="007E7841"/>
    <w:rsid w:val="007E7930"/>
    <w:rsid w:val="007E7966"/>
    <w:rsid w:val="007E7AFA"/>
    <w:rsid w:val="007E7C5F"/>
    <w:rsid w:val="007E7C9C"/>
    <w:rsid w:val="007E7DCB"/>
    <w:rsid w:val="007F016E"/>
    <w:rsid w:val="007F054E"/>
    <w:rsid w:val="007F0557"/>
    <w:rsid w:val="007F05A1"/>
    <w:rsid w:val="007F05DB"/>
    <w:rsid w:val="007F096A"/>
    <w:rsid w:val="007F09B0"/>
    <w:rsid w:val="007F0A60"/>
    <w:rsid w:val="007F0A87"/>
    <w:rsid w:val="007F0C16"/>
    <w:rsid w:val="007F0C59"/>
    <w:rsid w:val="007F0CD2"/>
    <w:rsid w:val="007F0F58"/>
    <w:rsid w:val="007F1051"/>
    <w:rsid w:val="007F11D2"/>
    <w:rsid w:val="007F123C"/>
    <w:rsid w:val="007F140E"/>
    <w:rsid w:val="007F14BB"/>
    <w:rsid w:val="007F1712"/>
    <w:rsid w:val="007F1748"/>
    <w:rsid w:val="007F17DF"/>
    <w:rsid w:val="007F17EC"/>
    <w:rsid w:val="007F180E"/>
    <w:rsid w:val="007F1865"/>
    <w:rsid w:val="007F19FD"/>
    <w:rsid w:val="007F1A80"/>
    <w:rsid w:val="007F1B0F"/>
    <w:rsid w:val="007F1BE4"/>
    <w:rsid w:val="007F22AB"/>
    <w:rsid w:val="007F25B2"/>
    <w:rsid w:val="007F2660"/>
    <w:rsid w:val="007F2C4A"/>
    <w:rsid w:val="007F2C8B"/>
    <w:rsid w:val="007F2D8D"/>
    <w:rsid w:val="007F2E98"/>
    <w:rsid w:val="007F30D2"/>
    <w:rsid w:val="007F30EC"/>
    <w:rsid w:val="007F32E0"/>
    <w:rsid w:val="007F33E3"/>
    <w:rsid w:val="007F3868"/>
    <w:rsid w:val="007F390F"/>
    <w:rsid w:val="007F3A66"/>
    <w:rsid w:val="007F3C83"/>
    <w:rsid w:val="007F3D53"/>
    <w:rsid w:val="007F3D69"/>
    <w:rsid w:val="007F413B"/>
    <w:rsid w:val="007F42AB"/>
    <w:rsid w:val="007F4312"/>
    <w:rsid w:val="007F45C8"/>
    <w:rsid w:val="007F4955"/>
    <w:rsid w:val="007F4A6C"/>
    <w:rsid w:val="007F4B0F"/>
    <w:rsid w:val="007F5166"/>
    <w:rsid w:val="007F5281"/>
    <w:rsid w:val="007F52FA"/>
    <w:rsid w:val="007F5354"/>
    <w:rsid w:val="007F5360"/>
    <w:rsid w:val="007F5566"/>
    <w:rsid w:val="007F55F7"/>
    <w:rsid w:val="007F5803"/>
    <w:rsid w:val="007F5C79"/>
    <w:rsid w:val="007F5D14"/>
    <w:rsid w:val="007F5D5C"/>
    <w:rsid w:val="007F5D7A"/>
    <w:rsid w:val="007F5E26"/>
    <w:rsid w:val="007F6030"/>
    <w:rsid w:val="007F667E"/>
    <w:rsid w:val="007F6833"/>
    <w:rsid w:val="007F6896"/>
    <w:rsid w:val="007F69AA"/>
    <w:rsid w:val="007F6AA9"/>
    <w:rsid w:val="007F6C67"/>
    <w:rsid w:val="007F6D62"/>
    <w:rsid w:val="007F6ED9"/>
    <w:rsid w:val="007F6F5C"/>
    <w:rsid w:val="007F71E5"/>
    <w:rsid w:val="007F737E"/>
    <w:rsid w:val="007F7442"/>
    <w:rsid w:val="007F74DB"/>
    <w:rsid w:val="007F763F"/>
    <w:rsid w:val="007F77CD"/>
    <w:rsid w:val="007F7989"/>
    <w:rsid w:val="007F79F6"/>
    <w:rsid w:val="007F7C26"/>
    <w:rsid w:val="007F7D1E"/>
    <w:rsid w:val="0080020C"/>
    <w:rsid w:val="00800579"/>
    <w:rsid w:val="0080058C"/>
    <w:rsid w:val="00800994"/>
    <w:rsid w:val="00800AFD"/>
    <w:rsid w:val="00800C7D"/>
    <w:rsid w:val="0080108C"/>
    <w:rsid w:val="0080110B"/>
    <w:rsid w:val="00801476"/>
    <w:rsid w:val="00801547"/>
    <w:rsid w:val="00801619"/>
    <w:rsid w:val="00801633"/>
    <w:rsid w:val="00801731"/>
    <w:rsid w:val="00801BE4"/>
    <w:rsid w:val="00801C26"/>
    <w:rsid w:val="00801E99"/>
    <w:rsid w:val="00801EAD"/>
    <w:rsid w:val="00802088"/>
    <w:rsid w:val="008022B0"/>
    <w:rsid w:val="0080240F"/>
    <w:rsid w:val="008025AC"/>
    <w:rsid w:val="0080278F"/>
    <w:rsid w:val="0080280C"/>
    <w:rsid w:val="00802896"/>
    <w:rsid w:val="00802C47"/>
    <w:rsid w:val="0080312C"/>
    <w:rsid w:val="00803488"/>
    <w:rsid w:val="0080375A"/>
    <w:rsid w:val="00803B9C"/>
    <w:rsid w:val="008040DC"/>
    <w:rsid w:val="0080437B"/>
    <w:rsid w:val="008044C5"/>
    <w:rsid w:val="008044D4"/>
    <w:rsid w:val="0080453B"/>
    <w:rsid w:val="008048EC"/>
    <w:rsid w:val="00804938"/>
    <w:rsid w:val="00804B96"/>
    <w:rsid w:val="00804E92"/>
    <w:rsid w:val="00805000"/>
    <w:rsid w:val="00805085"/>
    <w:rsid w:val="008050EE"/>
    <w:rsid w:val="0080519B"/>
    <w:rsid w:val="0080535C"/>
    <w:rsid w:val="00805472"/>
    <w:rsid w:val="008054C0"/>
    <w:rsid w:val="008054E0"/>
    <w:rsid w:val="0080553E"/>
    <w:rsid w:val="00805979"/>
    <w:rsid w:val="00805B06"/>
    <w:rsid w:val="00805F04"/>
    <w:rsid w:val="0080608D"/>
    <w:rsid w:val="008060C7"/>
    <w:rsid w:val="0080612A"/>
    <w:rsid w:val="008064A9"/>
    <w:rsid w:val="008064B2"/>
    <w:rsid w:val="00806690"/>
    <w:rsid w:val="008066DC"/>
    <w:rsid w:val="00806791"/>
    <w:rsid w:val="00806F13"/>
    <w:rsid w:val="00806F20"/>
    <w:rsid w:val="008071B5"/>
    <w:rsid w:val="0080729C"/>
    <w:rsid w:val="00807464"/>
    <w:rsid w:val="0080751E"/>
    <w:rsid w:val="0080753B"/>
    <w:rsid w:val="008077C1"/>
    <w:rsid w:val="008078BC"/>
    <w:rsid w:val="00807A27"/>
    <w:rsid w:val="00807C36"/>
    <w:rsid w:val="00807C8D"/>
    <w:rsid w:val="00807EBB"/>
    <w:rsid w:val="008100BA"/>
    <w:rsid w:val="00810166"/>
    <w:rsid w:val="00810381"/>
    <w:rsid w:val="0081047C"/>
    <w:rsid w:val="00810891"/>
    <w:rsid w:val="008108BB"/>
    <w:rsid w:val="00810A0C"/>
    <w:rsid w:val="00810BB7"/>
    <w:rsid w:val="00810C03"/>
    <w:rsid w:val="00811570"/>
    <w:rsid w:val="00811574"/>
    <w:rsid w:val="00811707"/>
    <w:rsid w:val="00811778"/>
    <w:rsid w:val="00811C7C"/>
    <w:rsid w:val="00811D00"/>
    <w:rsid w:val="00811E1B"/>
    <w:rsid w:val="00811EA2"/>
    <w:rsid w:val="00812478"/>
    <w:rsid w:val="0081247D"/>
    <w:rsid w:val="00812496"/>
    <w:rsid w:val="00812576"/>
    <w:rsid w:val="00812691"/>
    <w:rsid w:val="00812AEB"/>
    <w:rsid w:val="00812B39"/>
    <w:rsid w:val="00812BB4"/>
    <w:rsid w:val="00812BD0"/>
    <w:rsid w:val="00812C25"/>
    <w:rsid w:val="00812D81"/>
    <w:rsid w:val="00812E33"/>
    <w:rsid w:val="008132F8"/>
    <w:rsid w:val="00813458"/>
    <w:rsid w:val="00813551"/>
    <w:rsid w:val="008135E4"/>
    <w:rsid w:val="00813968"/>
    <w:rsid w:val="00813C1D"/>
    <w:rsid w:val="00813DCD"/>
    <w:rsid w:val="00813DD5"/>
    <w:rsid w:val="00814296"/>
    <w:rsid w:val="008142F5"/>
    <w:rsid w:val="00814336"/>
    <w:rsid w:val="008144F0"/>
    <w:rsid w:val="008147C6"/>
    <w:rsid w:val="008148E6"/>
    <w:rsid w:val="00814952"/>
    <w:rsid w:val="008149AB"/>
    <w:rsid w:val="008149BB"/>
    <w:rsid w:val="00814ABE"/>
    <w:rsid w:val="00814F2D"/>
    <w:rsid w:val="00815083"/>
    <w:rsid w:val="0081533F"/>
    <w:rsid w:val="008153F5"/>
    <w:rsid w:val="0081554B"/>
    <w:rsid w:val="0081578B"/>
    <w:rsid w:val="00815C2E"/>
    <w:rsid w:val="00815D73"/>
    <w:rsid w:val="00815E32"/>
    <w:rsid w:val="008160B9"/>
    <w:rsid w:val="00816343"/>
    <w:rsid w:val="0081641A"/>
    <w:rsid w:val="0081681A"/>
    <w:rsid w:val="00816968"/>
    <w:rsid w:val="00816A06"/>
    <w:rsid w:val="00816A84"/>
    <w:rsid w:val="00816BC4"/>
    <w:rsid w:val="00816C34"/>
    <w:rsid w:val="00816C85"/>
    <w:rsid w:val="00816D57"/>
    <w:rsid w:val="0081704F"/>
    <w:rsid w:val="00817300"/>
    <w:rsid w:val="00817383"/>
    <w:rsid w:val="0081755E"/>
    <w:rsid w:val="00817713"/>
    <w:rsid w:val="0081784A"/>
    <w:rsid w:val="00817943"/>
    <w:rsid w:val="00817D61"/>
    <w:rsid w:val="00817F7E"/>
    <w:rsid w:val="00820185"/>
    <w:rsid w:val="008204F4"/>
    <w:rsid w:val="00820555"/>
    <w:rsid w:val="00820608"/>
    <w:rsid w:val="00820794"/>
    <w:rsid w:val="008207AA"/>
    <w:rsid w:val="00820A49"/>
    <w:rsid w:val="00820B2D"/>
    <w:rsid w:val="00820F51"/>
    <w:rsid w:val="00820FAE"/>
    <w:rsid w:val="0082104F"/>
    <w:rsid w:val="008210EA"/>
    <w:rsid w:val="0082117C"/>
    <w:rsid w:val="00821350"/>
    <w:rsid w:val="00821663"/>
    <w:rsid w:val="00821841"/>
    <w:rsid w:val="008219EF"/>
    <w:rsid w:val="00821F29"/>
    <w:rsid w:val="00821F37"/>
    <w:rsid w:val="00822051"/>
    <w:rsid w:val="00822073"/>
    <w:rsid w:val="00822105"/>
    <w:rsid w:val="008221E2"/>
    <w:rsid w:val="00822228"/>
    <w:rsid w:val="00822295"/>
    <w:rsid w:val="008222BD"/>
    <w:rsid w:val="008229A0"/>
    <w:rsid w:val="00822C69"/>
    <w:rsid w:val="00822D57"/>
    <w:rsid w:val="00822DCE"/>
    <w:rsid w:val="008230A7"/>
    <w:rsid w:val="008236E8"/>
    <w:rsid w:val="008238DA"/>
    <w:rsid w:val="00823B2F"/>
    <w:rsid w:val="00823B36"/>
    <w:rsid w:val="00823C08"/>
    <w:rsid w:val="00823DE4"/>
    <w:rsid w:val="00823E73"/>
    <w:rsid w:val="0082415B"/>
    <w:rsid w:val="008243D4"/>
    <w:rsid w:val="008243FF"/>
    <w:rsid w:val="0082456F"/>
    <w:rsid w:val="00824678"/>
    <w:rsid w:val="0082476A"/>
    <w:rsid w:val="00824A3C"/>
    <w:rsid w:val="00824BA3"/>
    <w:rsid w:val="00824BE3"/>
    <w:rsid w:val="00824D6C"/>
    <w:rsid w:val="00824FAA"/>
    <w:rsid w:val="008252E5"/>
    <w:rsid w:val="008253A1"/>
    <w:rsid w:val="008255C8"/>
    <w:rsid w:val="0082566E"/>
    <w:rsid w:val="00825812"/>
    <w:rsid w:val="00825815"/>
    <w:rsid w:val="0082583C"/>
    <w:rsid w:val="0082598A"/>
    <w:rsid w:val="00825B85"/>
    <w:rsid w:val="00825EA5"/>
    <w:rsid w:val="00826018"/>
    <w:rsid w:val="008260DC"/>
    <w:rsid w:val="00826741"/>
    <w:rsid w:val="0082676D"/>
    <w:rsid w:val="00826AA7"/>
    <w:rsid w:val="00826D03"/>
    <w:rsid w:val="00826FC8"/>
    <w:rsid w:val="008276AF"/>
    <w:rsid w:val="00827994"/>
    <w:rsid w:val="008279B5"/>
    <w:rsid w:val="008279ED"/>
    <w:rsid w:val="00827D33"/>
    <w:rsid w:val="00827D35"/>
    <w:rsid w:val="00830329"/>
    <w:rsid w:val="008303FE"/>
    <w:rsid w:val="00830402"/>
    <w:rsid w:val="00830561"/>
    <w:rsid w:val="008305AE"/>
    <w:rsid w:val="00830690"/>
    <w:rsid w:val="00830A9F"/>
    <w:rsid w:val="00830C10"/>
    <w:rsid w:val="00830D1E"/>
    <w:rsid w:val="0083138D"/>
    <w:rsid w:val="008313A7"/>
    <w:rsid w:val="0083168B"/>
    <w:rsid w:val="00831872"/>
    <w:rsid w:val="00831A7B"/>
    <w:rsid w:val="00831AC0"/>
    <w:rsid w:val="00831D8D"/>
    <w:rsid w:val="0083205F"/>
    <w:rsid w:val="00832194"/>
    <w:rsid w:val="00832295"/>
    <w:rsid w:val="008322E9"/>
    <w:rsid w:val="0083235B"/>
    <w:rsid w:val="0083236E"/>
    <w:rsid w:val="00832453"/>
    <w:rsid w:val="00832558"/>
    <w:rsid w:val="0083266E"/>
    <w:rsid w:val="00832842"/>
    <w:rsid w:val="0083290A"/>
    <w:rsid w:val="00832F01"/>
    <w:rsid w:val="0083301D"/>
    <w:rsid w:val="0083308D"/>
    <w:rsid w:val="0083316A"/>
    <w:rsid w:val="00833280"/>
    <w:rsid w:val="0083342C"/>
    <w:rsid w:val="00833587"/>
    <w:rsid w:val="00833660"/>
    <w:rsid w:val="008336AF"/>
    <w:rsid w:val="00833807"/>
    <w:rsid w:val="00833847"/>
    <w:rsid w:val="0083397D"/>
    <w:rsid w:val="00833B66"/>
    <w:rsid w:val="0083402B"/>
    <w:rsid w:val="00834060"/>
    <w:rsid w:val="00834321"/>
    <w:rsid w:val="0083444F"/>
    <w:rsid w:val="00834713"/>
    <w:rsid w:val="008348CE"/>
    <w:rsid w:val="00834925"/>
    <w:rsid w:val="008349E2"/>
    <w:rsid w:val="00834C4D"/>
    <w:rsid w:val="00834D15"/>
    <w:rsid w:val="00834DEC"/>
    <w:rsid w:val="00834E97"/>
    <w:rsid w:val="00834F4A"/>
    <w:rsid w:val="00835067"/>
    <w:rsid w:val="0083547A"/>
    <w:rsid w:val="0083556E"/>
    <w:rsid w:val="00835586"/>
    <w:rsid w:val="008356CC"/>
    <w:rsid w:val="00835811"/>
    <w:rsid w:val="00835854"/>
    <w:rsid w:val="00835E5C"/>
    <w:rsid w:val="00836073"/>
    <w:rsid w:val="00836281"/>
    <w:rsid w:val="00836344"/>
    <w:rsid w:val="0083648F"/>
    <w:rsid w:val="008364F8"/>
    <w:rsid w:val="00836510"/>
    <w:rsid w:val="0083652A"/>
    <w:rsid w:val="00836DC3"/>
    <w:rsid w:val="00836E6C"/>
    <w:rsid w:val="00837066"/>
    <w:rsid w:val="008370DE"/>
    <w:rsid w:val="00837143"/>
    <w:rsid w:val="008372CB"/>
    <w:rsid w:val="00837392"/>
    <w:rsid w:val="008373E7"/>
    <w:rsid w:val="0083745A"/>
    <w:rsid w:val="0083756B"/>
    <w:rsid w:val="0083769C"/>
    <w:rsid w:val="00837805"/>
    <w:rsid w:val="0083786C"/>
    <w:rsid w:val="00837BE9"/>
    <w:rsid w:val="00837EBC"/>
    <w:rsid w:val="00837FB1"/>
    <w:rsid w:val="0084008C"/>
    <w:rsid w:val="00840486"/>
    <w:rsid w:val="008407C2"/>
    <w:rsid w:val="008409B6"/>
    <w:rsid w:val="00840ECE"/>
    <w:rsid w:val="00840F2E"/>
    <w:rsid w:val="00841032"/>
    <w:rsid w:val="0084120B"/>
    <w:rsid w:val="00841382"/>
    <w:rsid w:val="0084139F"/>
    <w:rsid w:val="00841542"/>
    <w:rsid w:val="008415C0"/>
    <w:rsid w:val="008418F6"/>
    <w:rsid w:val="0084197D"/>
    <w:rsid w:val="008419AA"/>
    <w:rsid w:val="00841CC8"/>
    <w:rsid w:val="008421EE"/>
    <w:rsid w:val="0084228D"/>
    <w:rsid w:val="00842298"/>
    <w:rsid w:val="008422EE"/>
    <w:rsid w:val="00842334"/>
    <w:rsid w:val="008425FF"/>
    <w:rsid w:val="0084272E"/>
    <w:rsid w:val="00842921"/>
    <w:rsid w:val="00842BA6"/>
    <w:rsid w:val="00842C1E"/>
    <w:rsid w:val="00842C4F"/>
    <w:rsid w:val="00842C7C"/>
    <w:rsid w:val="00842EEC"/>
    <w:rsid w:val="008431DD"/>
    <w:rsid w:val="00843294"/>
    <w:rsid w:val="00843372"/>
    <w:rsid w:val="0084359D"/>
    <w:rsid w:val="0084360E"/>
    <w:rsid w:val="0084365B"/>
    <w:rsid w:val="0084377F"/>
    <w:rsid w:val="00843801"/>
    <w:rsid w:val="008439C7"/>
    <w:rsid w:val="00843CB6"/>
    <w:rsid w:val="00843DDD"/>
    <w:rsid w:val="00843F8F"/>
    <w:rsid w:val="00844354"/>
    <w:rsid w:val="008443EC"/>
    <w:rsid w:val="008446AB"/>
    <w:rsid w:val="008446F2"/>
    <w:rsid w:val="00844BC8"/>
    <w:rsid w:val="00845067"/>
    <w:rsid w:val="008450C6"/>
    <w:rsid w:val="00845220"/>
    <w:rsid w:val="008452E5"/>
    <w:rsid w:val="0084555E"/>
    <w:rsid w:val="0084574C"/>
    <w:rsid w:val="00845770"/>
    <w:rsid w:val="008459A3"/>
    <w:rsid w:val="00845B12"/>
    <w:rsid w:val="00845B2D"/>
    <w:rsid w:val="00845D5C"/>
    <w:rsid w:val="00845D88"/>
    <w:rsid w:val="00845DBF"/>
    <w:rsid w:val="00845FE6"/>
    <w:rsid w:val="008461FA"/>
    <w:rsid w:val="0084642D"/>
    <w:rsid w:val="0084645B"/>
    <w:rsid w:val="0084650D"/>
    <w:rsid w:val="008467E6"/>
    <w:rsid w:val="0084681F"/>
    <w:rsid w:val="00846844"/>
    <w:rsid w:val="00846950"/>
    <w:rsid w:val="00846A15"/>
    <w:rsid w:val="00846A25"/>
    <w:rsid w:val="00846C5F"/>
    <w:rsid w:val="00846E02"/>
    <w:rsid w:val="0084729D"/>
    <w:rsid w:val="00847798"/>
    <w:rsid w:val="00847C12"/>
    <w:rsid w:val="00847C3F"/>
    <w:rsid w:val="00847CFB"/>
    <w:rsid w:val="00847D47"/>
    <w:rsid w:val="0085006B"/>
    <w:rsid w:val="00850140"/>
    <w:rsid w:val="008502FC"/>
    <w:rsid w:val="0085040B"/>
    <w:rsid w:val="00850412"/>
    <w:rsid w:val="0085088C"/>
    <w:rsid w:val="00850C7B"/>
    <w:rsid w:val="00850CFE"/>
    <w:rsid w:val="00850D66"/>
    <w:rsid w:val="00850E84"/>
    <w:rsid w:val="00851112"/>
    <w:rsid w:val="00851230"/>
    <w:rsid w:val="008516BE"/>
    <w:rsid w:val="00851790"/>
    <w:rsid w:val="00851875"/>
    <w:rsid w:val="00851A3A"/>
    <w:rsid w:val="00851B8D"/>
    <w:rsid w:val="00851BA9"/>
    <w:rsid w:val="00851D83"/>
    <w:rsid w:val="00851E41"/>
    <w:rsid w:val="0085247E"/>
    <w:rsid w:val="008524DE"/>
    <w:rsid w:val="00852525"/>
    <w:rsid w:val="00852539"/>
    <w:rsid w:val="00852589"/>
    <w:rsid w:val="008525C1"/>
    <w:rsid w:val="0085280B"/>
    <w:rsid w:val="00852908"/>
    <w:rsid w:val="008529A7"/>
    <w:rsid w:val="00852AE1"/>
    <w:rsid w:val="00852D68"/>
    <w:rsid w:val="00852FC7"/>
    <w:rsid w:val="0085326B"/>
    <w:rsid w:val="008532D3"/>
    <w:rsid w:val="00853686"/>
    <w:rsid w:val="00853728"/>
    <w:rsid w:val="00853F2D"/>
    <w:rsid w:val="008540C3"/>
    <w:rsid w:val="00854155"/>
    <w:rsid w:val="0085437C"/>
    <w:rsid w:val="00854728"/>
    <w:rsid w:val="00854C98"/>
    <w:rsid w:val="00854D35"/>
    <w:rsid w:val="00854DA8"/>
    <w:rsid w:val="00854DC6"/>
    <w:rsid w:val="00854FBD"/>
    <w:rsid w:val="00855018"/>
    <w:rsid w:val="008551A7"/>
    <w:rsid w:val="008554AD"/>
    <w:rsid w:val="008554FB"/>
    <w:rsid w:val="008558B4"/>
    <w:rsid w:val="008559A0"/>
    <w:rsid w:val="00855B27"/>
    <w:rsid w:val="00855EE2"/>
    <w:rsid w:val="00855FBF"/>
    <w:rsid w:val="00856056"/>
    <w:rsid w:val="00856070"/>
    <w:rsid w:val="008560A9"/>
    <w:rsid w:val="00856787"/>
    <w:rsid w:val="00856881"/>
    <w:rsid w:val="00856A19"/>
    <w:rsid w:val="00856BF6"/>
    <w:rsid w:val="00856C07"/>
    <w:rsid w:val="00856D32"/>
    <w:rsid w:val="00857087"/>
    <w:rsid w:val="008571B1"/>
    <w:rsid w:val="008575FE"/>
    <w:rsid w:val="008577DE"/>
    <w:rsid w:val="00857C22"/>
    <w:rsid w:val="00857C3E"/>
    <w:rsid w:val="00857CD5"/>
    <w:rsid w:val="00857DDE"/>
    <w:rsid w:val="00857E09"/>
    <w:rsid w:val="00857F24"/>
    <w:rsid w:val="00860070"/>
    <w:rsid w:val="0086017C"/>
    <w:rsid w:val="008605F9"/>
    <w:rsid w:val="008607E6"/>
    <w:rsid w:val="008608CF"/>
    <w:rsid w:val="0086091B"/>
    <w:rsid w:val="00860A66"/>
    <w:rsid w:val="00860AE9"/>
    <w:rsid w:val="00860BA8"/>
    <w:rsid w:val="00860C49"/>
    <w:rsid w:val="00860FB8"/>
    <w:rsid w:val="008610D2"/>
    <w:rsid w:val="008611DC"/>
    <w:rsid w:val="008613A1"/>
    <w:rsid w:val="00861564"/>
    <w:rsid w:val="008615BE"/>
    <w:rsid w:val="00861990"/>
    <w:rsid w:val="008619BB"/>
    <w:rsid w:val="00861A84"/>
    <w:rsid w:val="00861BD4"/>
    <w:rsid w:val="0086213C"/>
    <w:rsid w:val="00862313"/>
    <w:rsid w:val="008624A4"/>
    <w:rsid w:val="008625E1"/>
    <w:rsid w:val="00862923"/>
    <w:rsid w:val="00862A0F"/>
    <w:rsid w:val="00862B80"/>
    <w:rsid w:val="00862C13"/>
    <w:rsid w:val="00862D1C"/>
    <w:rsid w:val="00862D96"/>
    <w:rsid w:val="00862F3E"/>
    <w:rsid w:val="00862F98"/>
    <w:rsid w:val="00863123"/>
    <w:rsid w:val="00863364"/>
    <w:rsid w:val="008634CA"/>
    <w:rsid w:val="008634EF"/>
    <w:rsid w:val="00863F1D"/>
    <w:rsid w:val="008640C2"/>
    <w:rsid w:val="00864351"/>
    <w:rsid w:val="008644D9"/>
    <w:rsid w:val="00864503"/>
    <w:rsid w:val="008645C0"/>
    <w:rsid w:val="0086460A"/>
    <w:rsid w:val="00864653"/>
    <w:rsid w:val="00864A37"/>
    <w:rsid w:val="00864AC6"/>
    <w:rsid w:val="00864AE5"/>
    <w:rsid w:val="00864BFC"/>
    <w:rsid w:val="00864C5F"/>
    <w:rsid w:val="00864F4E"/>
    <w:rsid w:val="008650AA"/>
    <w:rsid w:val="00865235"/>
    <w:rsid w:val="00865533"/>
    <w:rsid w:val="008655CB"/>
    <w:rsid w:val="008656F7"/>
    <w:rsid w:val="00865A70"/>
    <w:rsid w:val="00865ECF"/>
    <w:rsid w:val="00866000"/>
    <w:rsid w:val="00866575"/>
    <w:rsid w:val="008665AB"/>
    <w:rsid w:val="00866882"/>
    <w:rsid w:val="00866979"/>
    <w:rsid w:val="00866A9A"/>
    <w:rsid w:val="00866E58"/>
    <w:rsid w:val="00867081"/>
    <w:rsid w:val="008673C1"/>
    <w:rsid w:val="00867456"/>
    <w:rsid w:val="008675E5"/>
    <w:rsid w:val="008675F0"/>
    <w:rsid w:val="008676E3"/>
    <w:rsid w:val="00867757"/>
    <w:rsid w:val="00867768"/>
    <w:rsid w:val="00867989"/>
    <w:rsid w:val="00867A63"/>
    <w:rsid w:val="00867BB9"/>
    <w:rsid w:val="00867D36"/>
    <w:rsid w:val="00867E31"/>
    <w:rsid w:val="00867FEE"/>
    <w:rsid w:val="008700B1"/>
    <w:rsid w:val="00870251"/>
    <w:rsid w:val="00870747"/>
    <w:rsid w:val="0087077B"/>
    <w:rsid w:val="0087081C"/>
    <w:rsid w:val="0087084A"/>
    <w:rsid w:val="0087087C"/>
    <w:rsid w:val="00870941"/>
    <w:rsid w:val="00870A23"/>
    <w:rsid w:val="00870ABD"/>
    <w:rsid w:val="00870AC4"/>
    <w:rsid w:val="00870BB9"/>
    <w:rsid w:val="00870C71"/>
    <w:rsid w:val="00870CF7"/>
    <w:rsid w:val="0087105B"/>
    <w:rsid w:val="008711A0"/>
    <w:rsid w:val="008711D5"/>
    <w:rsid w:val="00871264"/>
    <w:rsid w:val="00871405"/>
    <w:rsid w:val="0087177E"/>
    <w:rsid w:val="008718FD"/>
    <w:rsid w:val="00871D05"/>
    <w:rsid w:val="00871D48"/>
    <w:rsid w:val="00871D89"/>
    <w:rsid w:val="00871EF8"/>
    <w:rsid w:val="00871FD0"/>
    <w:rsid w:val="0087248D"/>
    <w:rsid w:val="00872651"/>
    <w:rsid w:val="00872D7F"/>
    <w:rsid w:val="00872DC6"/>
    <w:rsid w:val="00872F38"/>
    <w:rsid w:val="00873167"/>
    <w:rsid w:val="0087316B"/>
    <w:rsid w:val="00873295"/>
    <w:rsid w:val="008733CA"/>
    <w:rsid w:val="00873805"/>
    <w:rsid w:val="00873AB2"/>
    <w:rsid w:val="00873FB2"/>
    <w:rsid w:val="00874740"/>
    <w:rsid w:val="0087497E"/>
    <w:rsid w:val="00874BF7"/>
    <w:rsid w:val="008750AB"/>
    <w:rsid w:val="00875112"/>
    <w:rsid w:val="008756FA"/>
    <w:rsid w:val="00875749"/>
    <w:rsid w:val="00875EAE"/>
    <w:rsid w:val="00876598"/>
    <w:rsid w:val="00876643"/>
    <w:rsid w:val="00876799"/>
    <w:rsid w:val="008767D1"/>
    <w:rsid w:val="0087683A"/>
    <w:rsid w:val="00876A79"/>
    <w:rsid w:val="00876B89"/>
    <w:rsid w:val="00876C85"/>
    <w:rsid w:val="00876D87"/>
    <w:rsid w:val="00876E5A"/>
    <w:rsid w:val="0087707F"/>
    <w:rsid w:val="008773C8"/>
    <w:rsid w:val="00877A38"/>
    <w:rsid w:val="00877A62"/>
    <w:rsid w:val="00877B55"/>
    <w:rsid w:val="00877CD9"/>
    <w:rsid w:val="00877D92"/>
    <w:rsid w:val="00877EE9"/>
    <w:rsid w:val="008802E3"/>
    <w:rsid w:val="0088035F"/>
    <w:rsid w:val="0088038B"/>
    <w:rsid w:val="0088043B"/>
    <w:rsid w:val="00880896"/>
    <w:rsid w:val="00880936"/>
    <w:rsid w:val="008809D5"/>
    <w:rsid w:val="00880C2E"/>
    <w:rsid w:val="00880CC1"/>
    <w:rsid w:val="008811A3"/>
    <w:rsid w:val="00881248"/>
    <w:rsid w:val="0088137A"/>
    <w:rsid w:val="008814B7"/>
    <w:rsid w:val="008815D0"/>
    <w:rsid w:val="008816CA"/>
    <w:rsid w:val="008816F0"/>
    <w:rsid w:val="008817D0"/>
    <w:rsid w:val="0088199B"/>
    <w:rsid w:val="008819BE"/>
    <w:rsid w:val="00881D07"/>
    <w:rsid w:val="00881DE1"/>
    <w:rsid w:val="00881E34"/>
    <w:rsid w:val="00882147"/>
    <w:rsid w:val="008821BE"/>
    <w:rsid w:val="0088225C"/>
    <w:rsid w:val="00882545"/>
    <w:rsid w:val="008825A2"/>
    <w:rsid w:val="00882A13"/>
    <w:rsid w:val="00882C17"/>
    <w:rsid w:val="00882DF4"/>
    <w:rsid w:val="00882F68"/>
    <w:rsid w:val="008830EA"/>
    <w:rsid w:val="0088321E"/>
    <w:rsid w:val="0088335D"/>
    <w:rsid w:val="0088341F"/>
    <w:rsid w:val="008834B6"/>
    <w:rsid w:val="008835E8"/>
    <w:rsid w:val="0088363D"/>
    <w:rsid w:val="00883723"/>
    <w:rsid w:val="00883A02"/>
    <w:rsid w:val="00883BA9"/>
    <w:rsid w:val="00883C47"/>
    <w:rsid w:val="00884215"/>
    <w:rsid w:val="0088424B"/>
    <w:rsid w:val="008845CE"/>
    <w:rsid w:val="00884733"/>
    <w:rsid w:val="00884739"/>
    <w:rsid w:val="00884858"/>
    <w:rsid w:val="00884A2E"/>
    <w:rsid w:val="00884A32"/>
    <w:rsid w:val="00884A35"/>
    <w:rsid w:val="00884E3E"/>
    <w:rsid w:val="00884EDE"/>
    <w:rsid w:val="00885013"/>
    <w:rsid w:val="0088513A"/>
    <w:rsid w:val="0088522D"/>
    <w:rsid w:val="0088589E"/>
    <w:rsid w:val="00885AD0"/>
    <w:rsid w:val="00885E28"/>
    <w:rsid w:val="008863C8"/>
    <w:rsid w:val="008864EE"/>
    <w:rsid w:val="0088685F"/>
    <w:rsid w:val="00886938"/>
    <w:rsid w:val="00886CBE"/>
    <w:rsid w:val="00886D19"/>
    <w:rsid w:val="00886DC1"/>
    <w:rsid w:val="00886E19"/>
    <w:rsid w:val="008870A6"/>
    <w:rsid w:val="008872B4"/>
    <w:rsid w:val="008873BE"/>
    <w:rsid w:val="00887598"/>
    <w:rsid w:val="008875B7"/>
    <w:rsid w:val="008877F0"/>
    <w:rsid w:val="0088786A"/>
    <w:rsid w:val="00887AAD"/>
    <w:rsid w:val="00887BDA"/>
    <w:rsid w:val="00887DFD"/>
    <w:rsid w:val="00890043"/>
    <w:rsid w:val="008900E8"/>
    <w:rsid w:val="00890345"/>
    <w:rsid w:val="0089038D"/>
    <w:rsid w:val="0089054D"/>
    <w:rsid w:val="00890700"/>
    <w:rsid w:val="008908F4"/>
    <w:rsid w:val="0089090D"/>
    <w:rsid w:val="00890A16"/>
    <w:rsid w:val="00890CAD"/>
    <w:rsid w:val="00890D76"/>
    <w:rsid w:val="00890EDF"/>
    <w:rsid w:val="00890F26"/>
    <w:rsid w:val="008915F3"/>
    <w:rsid w:val="00891744"/>
    <w:rsid w:val="00891B4E"/>
    <w:rsid w:val="00892054"/>
    <w:rsid w:val="00892267"/>
    <w:rsid w:val="008922E6"/>
    <w:rsid w:val="008923BD"/>
    <w:rsid w:val="00892430"/>
    <w:rsid w:val="0089265B"/>
    <w:rsid w:val="0089282A"/>
    <w:rsid w:val="00892C02"/>
    <w:rsid w:val="00892C3E"/>
    <w:rsid w:val="00892CC6"/>
    <w:rsid w:val="00892F52"/>
    <w:rsid w:val="00892FF8"/>
    <w:rsid w:val="008932A3"/>
    <w:rsid w:val="008934CB"/>
    <w:rsid w:val="008936AB"/>
    <w:rsid w:val="008937FC"/>
    <w:rsid w:val="0089387B"/>
    <w:rsid w:val="008938C5"/>
    <w:rsid w:val="008939AE"/>
    <w:rsid w:val="00893D00"/>
    <w:rsid w:val="00893D21"/>
    <w:rsid w:val="00893E81"/>
    <w:rsid w:val="00894027"/>
    <w:rsid w:val="0089431E"/>
    <w:rsid w:val="008947CA"/>
    <w:rsid w:val="0089497D"/>
    <w:rsid w:val="00894A96"/>
    <w:rsid w:val="00894D0D"/>
    <w:rsid w:val="00894D80"/>
    <w:rsid w:val="00894E41"/>
    <w:rsid w:val="00894F7C"/>
    <w:rsid w:val="008952E3"/>
    <w:rsid w:val="0089538A"/>
    <w:rsid w:val="008955EA"/>
    <w:rsid w:val="0089560E"/>
    <w:rsid w:val="0089579A"/>
    <w:rsid w:val="00895ADC"/>
    <w:rsid w:val="00895AF0"/>
    <w:rsid w:val="00895B88"/>
    <w:rsid w:val="00895B8D"/>
    <w:rsid w:val="00895C7E"/>
    <w:rsid w:val="00895D03"/>
    <w:rsid w:val="00895DD8"/>
    <w:rsid w:val="00895F92"/>
    <w:rsid w:val="00896600"/>
    <w:rsid w:val="00896730"/>
    <w:rsid w:val="0089673E"/>
    <w:rsid w:val="008969D0"/>
    <w:rsid w:val="00896C89"/>
    <w:rsid w:val="00896F56"/>
    <w:rsid w:val="0089708E"/>
    <w:rsid w:val="008971CA"/>
    <w:rsid w:val="0089789F"/>
    <w:rsid w:val="0089791A"/>
    <w:rsid w:val="00897946"/>
    <w:rsid w:val="00897AA2"/>
    <w:rsid w:val="00897DF8"/>
    <w:rsid w:val="00897E3B"/>
    <w:rsid w:val="008A0057"/>
    <w:rsid w:val="008A01B6"/>
    <w:rsid w:val="008A023D"/>
    <w:rsid w:val="008A0348"/>
    <w:rsid w:val="008A04BC"/>
    <w:rsid w:val="008A05CE"/>
    <w:rsid w:val="008A0691"/>
    <w:rsid w:val="008A07C1"/>
    <w:rsid w:val="008A08F0"/>
    <w:rsid w:val="008A0901"/>
    <w:rsid w:val="008A0937"/>
    <w:rsid w:val="008A09F2"/>
    <w:rsid w:val="008A0DEC"/>
    <w:rsid w:val="008A0E1E"/>
    <w:rsid w:val="008A0EA4"/>
    <w:rsid w:val="008A1719"/>
    <w:rsid w:val="008A1879"/>
    <w:rsid w:val="008A18A5"/>
    <w:rsid w:val="008A1BA8"/>
    <w:rsid w:val="008A1C91"/>
    <w:rsid w:val="008A1CDB"/>
    <w:rsid w:val="008A1CF5"/>
    <w:rsid w:val="008A1EFA"/>
    <w:rsid w:val="008A1F94"/>
    <w:rsid w:val="008A1FB6"/>
    <w:rsid w:val="008A21EF"/>
    <w:rsid w:val="008A230D"/>
    <w:rsid w:val="008A2649"/>
    <w:rsid w:val="008A2735"/>
    <w:rsid w:val="008A27F8"/>
    <w:rsid w:val="008A2893"/>
    <w:rsid w:val="008A28B8"/>
    <w:rsid w:val="008A2BEE"/>
    <w:rsid w:val="008A2D5F"/>
    <w:rsid w:val="008A2DDF"/>
    <w:rsid w:val="008A3214"/>
    <w:rsid w:val="008A329E"/>
    <w:rsid w:val="008A3435"/>
    <w:rsid w:val="008A363C"/>
    <w:rsid w:val="008A3755"/>
    <w:rsid w:val="008A389E"/>
    <w:rsid w:val="008A3948"/>
    <w:rsid w:val="008A39B7"/>
    <w:rsid w:val="008A3A57"/>
    <w:rsid w:val="008A3D29"/>
    <w:rsid w:val="008A3DCE"/>
    <w:rsid w:val="008A3E37"/>
    <w:rsid w:val="008A4040"/>
    <w:rsid w:val="008A40E7"/>
    <w:rsid w:val="008A42B9"/>
    <w:rsid w:val="008A4412"/>
    <w:rsid w:val="008A44C8"/>
    <w:rsid w:val="008A4AD5"/>
    <w:rsid w:val="008A4BA6"/>
    <w:rsid w:val="008A4CB7"/>
    <w:rsid w:val="008A4E73"/>
    <w:rsid w:val="008A4E7E"/>
    <w:rsid w:val="008A55A8"/>
    <w:rsid w:val="008A566C"/>
    <w:rsid w:val="008A5853"/>
    <w:rsid w:val="008A5A63"/>
    <w:rsid w:val="008A5C95"/>
    <w:rsid w:val="008A5D84"/>
    <w:rsid w:val="008A5EC4"/>
    <w:rsid w:val="008A60B4"/>
    <w:rsid w:val="008A61BC"/>
    <w:rsid w:val="008A61C3"/>
    <w:rsid w:val="008A6245"/>
    <w:rsid w:val="008A62FF"/>
    <w:rsid w:val="008A631B"/>
    <w:rsid w:val="008A63EE"/>
    <w:rsid w:val="008A6477"/>
    <w:rsid w:val="008A6490"/>
    <w:rsid w:val="008A671A"/>
    <w:rsid w:val="008A6777"/>
    <w:rsid w:val="008A6974"/>
    <w:rsid w:val="008A6CA2"/>
    <w:rsid w:val="008A708C"/>
    <w:rsid w:val="008A71E7"/>
    <w:rsid w:val="008A72B9"/>
    <w:rsid w:val="008A738E"/>
    <w:rsid w:val="008A7396"/>
    <w:rsid w:val="008A73A1"/>
    <w:rsid w:val="008A7626"/>
    <w:rsid w:val="008A764B"/>
    <w:rsid w:val="008A7697"/>
    <w:rsid w:val="008A7870"/>
    <w:rsid w:val="008A78F5"/>
    <w:rsid w:val="008A7A93"/>
    <w:rsid w:val="008A7E05"/>
    <w:rsid w:val="008A7F26"/>
    <w:rsid w:val="008A7F27"/>
    <w:rsid w:val="008A7FC3"/>
    <w:rsid w:val="008B044D"/>
    <w:rsid w:val="008B0451"/>
    <w:rsid w:val="008B06C6"/>
    <w:rsid w:val="008B08DD"/>
    <w:rsid w:val="008B097F"/>
    <w:rsid w:val="008B0B5E"/>
    <w:rsid w:val="008B0C86"/>
    <w:rsid w:val="008B1004"/>
    <w:rsid w:val="008B1164"/>
    <w:rsid w:val="008B153E"/>
    <w:rsid w:val="008B15EB"/>
    <w:rsid w:val="008B1783"/>
    <w:rsid w:val="008B17A9"/>
    <w:rsid w:val="008B18DA"/>
    <w:rsid w:val="008B1DBE"/>
    <w:rsid w:val="008B1F92"/>
    <w:rsid w:val="008B22A3"/>
    <w:rsid w:val="008B275E"/>
    <w:rsid w:val="008B2A2F"/>
    <w:rsid w:val="008B2A49"/>
    <w:rsid w:val="008B2A4E"/>
    <w:rsid w:val="008B2AAC"/>
    <w:rsid w:val="008B2B98"/>
    <w:rsid w:val="008B2BB7"/>
    <w:rsid w:val="008B2C69"/>
    <w:rsid w:val="008B2C90"/>
    <w:rsid w:val="008B3035"/>
    <w:rsid w:val="008B31F2"/>
    <w:rsid w:val="008B3278"/>
    <w:rsid w:val="008B3304"/>
    <w:rsid w:val="008B36C3"/>
    <w:rsid w:val="008B38F2"/>
    <w:rsid w:val="008B3929"/>
    <w:rsid w:val="008B3C2B"/>
    <w:rsid w:val="008B3F26"/>
    <w:rsid w:val="008B4008"/>
    <w:rsid w:val="008B4153"/>
    <w:rsid w:val="008B42D1"/>
    <w:rsid w:val="008B44CA"/>
    <w:rsid w:val="008B455D"/>
    <w:rsid w:val="008B49DC"/>
    <w:rsid w:val="008B49F0"/>
    <w:rsid w:val="008B4A73"/>
    <w:rsid w:val="008B4B14"/>
    <w:rsid w:val="008B4BFF"/>
    <w:rsid w:val="008B4DDD"/>
    <w:rsid w:val="008B4F50"/>
    <w:rsid w:val="008B4F53"/>
    <w:rsid w:val="008B4F84"/>
    <w:rsid w:val="008B525D"/>
    <w:rsid w:val="008B5437"/>
    <w:rsid w:val="008B5A9D"/>
    <w:rsid w:val="008B5F8E"/>
    <w:rsid w:val="008B62ED"/>
    <w:rsid w:val="008B66EE"/>
    <w:rsid w:val="008B67D1"/>
    <w:rsid w:val="008B687E"/>
    <w:rsid w:val="008B6936"/>
    <w:rsid w:val="008B6C2F"/>
    <w:rsid w:val="008B6D27"/>
    <w:rsid w:val="008B70F1"/>
    <w:rsid w:val="008B71E7"/>
    <w:rsid w:val="008B7230"/>
    <w:rsid w:val="008B7311"/>
    <w:rsid w:val="008B7508"/>
    <w:rsid w:val="008B75FE"/>
    <w:rsid w:val="008B7A03"/>
    <w:rsid w:val="008B7A3E"/>
    <w:rsid w:val="008B7AC3"/>
    <w:rsid w:val="008B7B97"/>
    <w:rsid w:val="008C0062"/>
    <w:rsid w:val="008C0280"/>
    <w:rsid w:val="008C02B9"/>
    <w:rsid w:val="008C0430"/>
    <w:rsid w:val="008C0808"/>
    <w:rsid w:val="008C089A"/>
    <w:rsid w:val="008C0984"/>
    <w:rsid w:val="008C09B6"/>
    <w:rsid w:val="008C0AF4"/>
    <w:rsid w:val="008C0DC5"/>
    <w:rsid w:val="008C0EF5"/>
    <w:rsid w:val="008C11D7"/>
    <w:rsid w:val="008C12A2"/>
    <w:rsid w:val="008C1C3D"/>
    <w:rsid w:val="008C1EDB"/>
    <w:rsid w:val="008C2171"/>
    <w:rsid w:val="008C22B3"/>
    <w:rsid w:val="008C22FB"/>
    <w:rsid w:val="008C2314"/>
    <w:rsid w:val="008C26D7"/>
    <w:rsid w:val="008C273B"/>
    <w:rsid w:val="008C278F"/>
    <w:rsid w:val="008C2B33"/>
    <w:rsid w:val="008C2D15"/>
    <w:rsid w:val="008C2E01"/>
    <w:rsid w:val="008C2E12"/>
    <w:rsid w:val="008C308D"/>
    <w:rsid w:val="008C32F4"/>
    <w:rsid w:val="008C361D"/>
    <w:rsid w:val="008C391E"/>
    <w:rsid w:val="008C3BDD"/>
    <w:rsid w:val="008C3DC2"/>
    <w:rsid w:val="008C413B"/>
    <w:rsid w:val="008C41AF"/>
    <w:rsid w:val="008C431B"/>
    <w:rsid w:val="008C453E"/>
    <w:rsid w:val="008C467C"/>
    <w:rsid w:val="008C46B9"/>
    <w:rsid w:val="008C46C5"/>
    <w:rsid w:val="008C4812"/>
    <w:rsid w:val="008C4B94"/>
    <w:rsid w:val="008C4BDA"/>
    <w:rsid w:val="008C4C4F"/>
    <w:rsid w:val="008C4D2D"/>
    <w:rsid w:val="008C4DB8"/>
    <w:rsid w:val="008C5146"/>
    <w:rsid w:val="008C525D"/>
    <w:rsid w:val="008C5405"/>
    <w:rsid w:val="008C546B"/>
    <w:rsid w:val="008C54C1"/>
    <w:rsid w:val="008C58CF"/>
    <w:rsid w:val="008C602C"/>
    <w:rsid w:val="008C61CA"/>
    <w:rsid w:val="008C63F9"/>
    <w:rsid w:val="008C6550"/>
    <w:rsid w:val="008C68F5"/>
    <w:rsid w:val="008C6969"/>
    <w:rsid w:val="008C6E62"/>
    <w:rsid w:val="008C6F17"/>
    <w:rsid w:val="008C7030"/>
    <w:rsid w:val="008C7215"/>
    <w:rsid w:val="008C7349"/>
    <w:rsid w:val="008C73D0"/>
    <w:rsid w:val="008C758E"/>
    <w:rsid w:val="008C7755"/>
    <w:rsid w:val="008C7902"/>
    <w:rsid w:val="008C79E2"/>
    <w:rsid w:val="008C7A0E"/>
    <w:rsid w:val="008C7AFE"/>
    <w:rsid w:val="008C7BDA"/>
    <w:rsid w:val="008C7BE2"/>
    <w:rsid w:val="008C7E4C"/>
    <w:rsid w:val="008D007B"/>
    <w:rsid w:val="008D022F"/>
    <w:rsid w:val="008D076E"/>
    <w:rsid w:val="008D0783"/>
    <w:rsid w:val="008D07B7"/>
    <w:rsid w:val="008D08A5"/>
    <w:rsid w:val="008D09F9"/>
    <w:rsid w:val="008D0B4A"/>
    <w:rsid w:val="008D0B5E"/>
    <w:rsid w:val="008D0B7B"/>
    <w:rsid w:val="008D1016"/>
    <w:rsid w:val="008D1124"/>
    <w:rsid w:val="008D123E"/>
    <w:rsid w:val="008D1254"/>
    <w:rsid w:val="008D1534"/>
    <w:rsid w:val="008D15AA"/>
    <w:rsid w:val="008D176B"/>
    <w:rsid w:val="008D1798"/>
    <w:rsid w:val="008D17DC"/>
    <w:rsid w:val="008D1963"/>
    <w:rsid w:val="008D199D"/>
    <w:rsid w:val="008D1CD5"/>
    <w:rsid w:val="008D218F"/>
    <w:rsid w:val="008D2247"/>
    <w:rsid w:val="008D22E3"/>
    <w:rsid w:val="008D24EB"/>
    <w:rsid w:val="008D26B1"/>
    <w:rsid w:val="008D2915"/>
    <w:rsid w:val="008D2BC6"/>
    <w:rsid w:val="008D2C15"/>
    <w:rsid w:val="008D2EA1"/>
    <w:rsid w:val="008D2F5F"/>
    <w:rsid w:val="008D311E"/>
    <w:rsid w:val="008D31D5"/>
    <w:rsid w:val="008D3896"/>
    <w:rsid w:val="008D3CFF"/>
    <w:rsid w:val="008D40B4"/>
    <w:rsid w:val="008D41FA"/>
    <w:rsid w:val="008D45B7"/>
    <w:rsid w:val="008D4A6E"/>
    <w:rsid w:val="008D4AB6"/>
    <w:rsid w:val="008D4B1F"/>
    <w:rsid w:val="008D4F26"/>
    <w:rsid w:val="008D4F33"/>
    <w:rsid w:val="008D503F"/>
    <w:rsid w:val="008D5385"/>
    <w:rsid w:val="008D578A"/>
    <w:rsid w:val="008D599D"/>
    <w:rsid w:val="008D5BF4"/>
    <w:rsid w:val="008D5EC6"/>
    <w:rsid w:val="008D61FE"/>
    <w:rsid w:val="008D624A"/>
    <w:rsid w:val="008D66A0"/>
    <w:rsid w:val="008D6704"/>
    <w:rsid w:val="008D678C"/>
    <w:rsid w:val="008D67D3"/>
    <w:rsid w:val="008D67F1"/>
    <w:rsid w:val="008D680E"/>
    <w:rsid w:val="008D68A9"/>
    <w:rsid w:val="008D6965"/>
    <w:rsid w:val="008D6C92"/>
    <w:rsid w:val="008D6CC7"/>
    <w:rsid w:val="008D6D5E"/>
    <w:rsid w:val="008D7042"/>
    <w:rsid w:val="008D71EE"/>
    <w:rsid w:val="008D73E4"/>
    <w:rsid w:val="008D74E4"/>
    <w:rsid w:val="008D79E2"/>
    <w:rsid w:val="008D7B03"/>
    <w:rsid w:val="008D7FA3"/>
    <w:rsid w:val="008E000E"/>
    <w:rsid w:val="008E01C2"/>
    <w:rsid w:val="008E05BC"/>
    <w:rsid w:val="008E05FF"/>
    <w:rsid w:val="008E0743"/>
    <w:rsid w:val="008E07E8"/>
    <w:rsid w:val="008E08AE"/>
    <w:rsid w:val="008E0CBA"/>
    <w:rsid w:val="008E0D36"/>
    <w:rsid w:val="008E0E7D"/>
    <w:rsid w:val="008E116E"/>
    <w:rsid w:val="008E14B0"/>
    <w:rsid w:val="008E18A5"/>
    <w:rsid w:val="008E18E4"/>
    <w:rsid w:val="008E1A91"/>
    <w:rsid w:val="008E1C17"/>
    <w:rsid w:val="008E1C58"/>
    <w:rsid w:val="008E1CA0"/>
    <w:rsid w:val="008E1F3E"/>
    <w:rsid w:val="008E2024"/>
    <w:rsid w:val="008E2266"/>
    <w:rsid w:val="008E233D"/>
    <w:rsid w:val="008E26C0"/>
    <w:rsid w:val="008E285C"/>
    <w:rsid w:val="008E2944"/>
    <w:rsid w:val="008E29FB"/>
    <w:rsid w:val="008E2BDC"/>
    <w:rsid w:val="008E2CAD"/>
    <w:rsid w:val="008E2D53"/>
    <w:rsid w:val="008E2D64"/>
    <w:rsid w:val="008E2DB8"/>
    <w:rsid w:val="008E2EFE"/>
    <w:rsid w:val="008E33E5"/>
    <w:rsid w:val="008E34D7"/>
    <w:rsid w:val="008E36FA"/>
    <w:rsid w:val="008E39D2"/>
    <w:rsid w:val="008E3C18"/>
    <w:rsid w:val="008E3D83"/>
    <w:rsid w:val="008E3EED"/>
    <w:rsid w:val="008E3F37"/>
    <w:rsid w:val="008E40F0"/>
    <w:rsid w:val="008E41F4"/>
    <w:rsid w:val="008E422E"/>
    <w:rsid w:val="008E44FD"/>
    <w:rsid w:val="008E482C"/>
    <w:rsid w:val="008E4902"/>
    <w:rsid w:val="008E4B03"/>
    <w:rsid w:val="008E4BA6"/>
    <w:rsid w:val="008E4C11"/>
    <w:rsid w:val="008E4CC3"/>
    <w:rsid w:val="008E4F49"/>
    <w:rsid w:val="008E4FB9"/>
    <w:rsid w:val="008E513B"/>
    <w:rsid w:val="008E524A"/>
    <w:rsid w:val="008E531B"/>
    <w:rsid w:val="008E53E5"/>
    <w:rsid w:val="008E5706"/>
    <w:rsid w:val="008E5778"/>
    <w:rsid w:val="008E588C"/>
    <w:rsid w:val="008E588E"/>
    <w:rsid w:val="008E5B09"/>
    <w:rsid w:val="008E5BA7"/>
    <w:rsid w:val="008E5F67"/>
    <w:rsid w:val="008E60AC"/>
    <w:rsid w:val="008E60EA"/>
    <w:rsid w:val="008E6164"/>
    <w:rsid w:val="008E6262"/>
    <w:rsid w:val="008E63A5"/>
    <w:rsid w:val="008E63AF"/>
    <w:rsid w:val="008E63E0"/>
    <w:rsid w:val="008E67AB"/>
    <w:rsid w:val="008E68BA"/>
    <w:rsid w:val="008E6D51"/>
    <w:rsid w:val="008E6F0A"/>
    <w:rsid w:val="008E709E"/>
    <w:rsid w:val="008E71FA"/>
    <w:rsid w:val="008E77EC"/>
    <w:rsid w:val="008E7A13"/>
    <w:rsid w:val="008E7DBA"/>
    <w:rsid w:val="008E7E56"/>
    <w:rsid w:val="008E7FF3"/>
    <w:rsid w:val="008F0177"/>
    <w:rsid w:val="008F01E8"/>
    <w:rsid w:val="008F0529"/>
    <w:rsid w:val="008F0724"/>
    <w:rsid w:val="008F07AD"/>
    <w:rsid w:val="008F0DB9"/>
    <w:rsid w:val="008F145D"/>
    <w:rsid w:val="008F1766"/>
    <w:rsid w:val="008F17AD"/>
    <w:rsid w:val="008F1865"/>
    <w:rsid w:val="008F1ABC"/>
    <w:rsid w:val="008F1AF9"/>
    <w:rsid w:val="008F1B94"/>
    <w:rsid w:val="008F2218"/>
    <w:rsid w:val="008F233C"/>
    <w:rsid w:val="008F2584"/>
    <w:rsid w:val="008F2B7A"/>
    <w:rsid w:val="008F2BC9"/>
    <w:rsid w:val="008F2D5C"/>
    <w:rsid w:val="008F304B"/>
    <w:rsid w:val="008F30E3"/>
    <w:rsid w:val="008F317B"/>
    <w:rsid w:val="008F3258"/>
    <w:rsid w:val="008F33EC"/>
    <w:rsid w:val="008F39A3"/>
    <w:rsid w:val="008F3B1E"/>
    <w:rsid w:val="008F3C64"/>
    <w:rsid w:val="008F3C73"/>
    <w:rsid w:val="008F3C8A"/>
    <w:rsid w:val="008F410D"/>
    <w:rsid w:val="008F4176"/>
    <w:rsid w:val="008F4267"/>
    <w:rsid w:val="008F435B"/>
    <w:rsid w:val="008F43DC"/>
    <w:rsid w:val="008F4415"/>
    <w:rsid w:val="008F4769"/>
    <w:rsid w:val="008F47E4"/>
    <w:rsid w:val="008F498F"/>
    <w:rsid w:val="008F499C"/>
    <w:rsid w:val="008F4A4D"/>
    <w:rsid w:val="008F4AF7"/>
    <w:rsid w:val="008F4CC5"/>
    <w:rsid w:val="008F4CF5"/>
    <w:rsid w:val="008F4DA1"/>
    <w:rsid w:val="008F4E4E"/>
    <w:rsid w:val="008F4EE4"/>
    <w:rsid w:val="008F4F25"/>
    <w:rsid w:val="008F4FB5"/>
    <w:rsid w:val="008F51D9"/>
    <w:rsid w:val="008F5661"/>
    <w:rsid w:val="008F56FB"/>
    <w:rsid w:val="008F57F1"/>
    <w:rsid w:val="008F5951"/>
    <w:rsid w:val="008F5C44"/>
    <w:rsid w:val="008F5D4D"/>
    <w:rsid w:val="008F5D5A"/>
    <w:rsid w:val="008F5DE8"/>
    <w:rsid w:val="008F5EBC"/>
    <w:rsid w:val="008F5ED3"/>
    <w:rsid w:val="008F617B"/>
    <w:rsid w:val="008F62E2"/>
    <w:rsid w:val="008F632A"/>
    <w:rsid w:val="008F6763"/>
    <w:rsid w:val="008F6A11"/>
    <w:rsid w:val="008F6B3A"/>
    <w:rsid w:val="008F70F1"/>
    <w:rsid w:val="008F70FD"/>
    <w:rsid w:val="008F71EF"/>
    <w:rsid w:val="008F724B"/>
    <w:rsid w:val="008F725C"/>
    <w:rsid w:val="008F7450"/>
    <w:rsid w:val="008F75B5"/>
    <w:rsid w:val="008F75C9"/>
    <w:rsid w:val="00900193"/>
    <w:rsid w:val="00900275"/>
    <w:rsid w:val="00900418"/>
    <w:rsid w:val="00900422"/>
    <w:rsid w:val="009006CE"/>
    <w:rsid w:val="009007A1"/>
    <w:rsid w:val="00900CC3"/>
    <w:rsid w:val="00900D46"/>
    <w:rsid w:val="00901025"/>
    <w:rsid w:val="00901041"/>
    <w:rsid w:val="009011ED"/>
    <w:rsid w:val="0090142E"/>
    <w:rsid w:val="00901523"/>
    <w:rsid w:val="0090155D"/>
    <w:rsid w:val="00901AFF"/>
    <w:rsid w:val="00901C97"/>
    <w:rsid w:val="00901D62"/>
    <w:rsid w:val="00901D88"/>
    <w:rsid w:val="00902076"/>
    <w:rsid w:val="00902157"/>
    <w:rsid w:val="00902182"/>
    <w:rsid w:val="009021A6"/>
    <w:rsid w:val="00902443"/>
    <w:rsid w:val="00902547"/>
    <w:rsid w:val="00902881"/>
    <w:rsid w:val="00902CB0"/>
    <w:rsid w:val="00902FF4"/>
    <w:rsid w:val="0090308E"/>
    <w:rsid w:val="00903103"/>
    <w:rsid w:val="009033CD"/>
    <w:rsid w:val="00903763"/>
    <w:rsid w:val="009039D3"/>
    <w:rsid w:val="00903D0D"/>
    <w:rsid w:val="0090414E"/>
    <w:rsid w:val="00904399"/>
    <w:rsid w:val="009043EF"/>
    <w:rsid w:val="0090446D"/>
    <w:rsid w:val="00904552"/>
    <w:rsid w:val="009046CD"/>
    <w:rsid w:val="00904B23"/>
    <w:rsid w:val="00904D11"/>
    <w:rsid w:val="00904DD4"/>
    <w:rsid w:val="00904E1A"/>
    <w:rsid w:val="0090508B"/>
    <w:rsid w:val="009051F9"/>
    <w:rsid w:val="0090531B"/>
    <w:rsid w:val="00905398"/>
    <w:rsid w:val="0090543D"/>
    <w:rsid w:val="00905672"/>
    <w:rsid w:val="00905C42"/>
    <w:rsid w:val="0090605F"/>
    <w:rsid w:val="009060BD"/>
    <w:rsid w:val="00906172"/>
    <w:rsid w:val="00906189"/>
    <w:rsid w:val="00906194"/>
    <w:rsid w:val="0090675C"/>
    <w:rsid w:val="009067F6"/>
    <w:rsid w:val="00906835"/>
    <w:rsid w:val="00906A37"/>
    <w:rsid w:val="00906B7D"/>
    <w:rsid w:val="00906CB2"/>
    <w:rsid w:val="00906E37"/>
    <w:rsid w:val="00906E5C"/>
    <w:rsid w:val="00906F42"/>
    <w:rsid w:val="009070EC"/>
    <w:rsid w:val="00907143"/>
    <w:rsid w:val="00907318"/>
    <w:rsid w:val="00907372"/>
    <w:rsid w:val="0090748A"/>
    <w:rsid w:val="00907832"/>
    <w:rsid w:val="0090792C"/>
    <w:rsid w:val="00907A9E"/>
    <w:rsid w:val="00907B80"/>
    <w:rsid w:val="00907D3B"/>
    <w:rsid w:val="00907D6C"/>
    <w:rsid w:val="00907E21"/>
    <w:rsid w:val="00907E3C"/>
    <w:rsid w:val="00907E48"/>
    <w:rsid w:val="009105E8"/>
    <w:rsid w:val="009106AC"/>
    <w:rsid w:val="009106FF"/>
    <w:rsid w:val="009108AD"/>
    <w:rsid w:val="00910933"/>
    <w:rsid w:val="00910A83"/>
    <w:rsid w:val="00910C98"/>
    <w:rsid w:val="00910CE2"/>
    <w:rsid w:val="00910E1B"/>
    <w:rsid w:val="00910EC2"/>
    <w:rsid w:val="00911139"/>
    <w:rsid w:val="00911355"/>
    <w:rsid w:val="009114A3"/>
    <w:rsid w:val="009114D8"/>
    <w:rsid w:val="00911685"/>
    <w:rsid w:val="0091192D"/>
    <w:rsid w:val="00911948"/>
    <w:rsid w:val="00911B36"/>
    <w:rsid w:val="00911B84"/>
    <w:rsid w:val="00911CEF"/>
    <w:rsid w:val="009121DA"/>
    <w:rsid w:val="0091231D"/>
    <w:rsid w:val="009125B6"/>
    <w:rsid w:val="009125C8"/>
    <w:rsid w:val="00912664"/>
    <w:rsid w:val="00912670"/>
    <w:rsid w:val="00912695"/>
    <w:rsid w:val="00912AB9"/>
    <w:rsid w:val="00912F96"/>
    <w:rsid w:val="00913053"/>
    <w:rsid w:val="00913241"/>
    <w:rsid w:val="009136B7"/>
    <w:rsid w:val="00914098"/>
    <w:rsid w:val="0091420A"/>
    <w:rsid w:val="00914278"/>
    <w:rsid w:val="009142A0"/>
    <w:rsid w:val="009142E0"/>
    <w:rsid w:val="00914321"/>
    <w:rsid w:val="00914552"/>
    <w:rsid w:val="00914820"/>
    <w:rsid w:val="00914867"/>
    <w:rsid w:val="009148BE"/>
    <w:rsid w:val="00914B1A"/>
    <w:rsid w:val="00914F2F"/>
    <w:rsid w:val="009154B5"/>
    <w:rsid w:val="009158EE"/>
    <w:rsid w:val="00915BD6"/>
    <w:rsid w:val="00915C25"/>
    <w:rsid w:val="00915C78"/>
    <w:rsid w:val="00915E41"/>
    <w:rsid w:val="00916049"/>
    <w:rsid w:val="00916242"/>
    <w:rsid w:val="00916457"/>
    <w:rsid w:val="009165D9"/>
    <w:rsid w:val="009166F7"/>
    <w:rsid w:val="00916716"/>
    <w:rsid w:val="0091674F"/>
    <w:rsid w:val="00916998"/>
    <w:rsid w:val="00916C26"/>
    <w:rsid w:val="00916C3C"/>
    <w:rsid w:val="00916CDD"/>
    <w:rsid w:val="00916D18"/>
    <w:rsid w:val="00916ED9"/>
    <w:rsid w:val="00917367"/>
    <w:rsid w:val="00917477"/>
    <w:rsid w:val="009175E9"/>
    <w:rsid w:val="00917EAA"/>
    <w:rsid w:val="00920487"/>
    <w:rsid w:val="0092059E"/>
    <w:rsid w:val="00920701"/>
    <w:rsid w:val="009207E6"/>
    <w:rsid w:val="0092099B"/>
    <w:rsid w:val="00920AEE"/>
    <w:rsid w:val="00920BA9"/>
    <w:rsid w:val="00920BAD"/>
    <w:rsid w:val="00920D5F"/>
    <w:rsid w:val="00920F05"/>
    <w:rsid w:val="00920F3E"/>
    <w:rsid w:val="009211FE"/>
    <w:rsid w:val="0092145F"/>
    <w:rsid w:val="009214E8"/>
    <w:rsid w:val="00921532"/>
    <w:rsid w:val="00921760"/>
    <w:rsid w:val="00921C22"/>
    <w:rsid w:val="00921C6D"/>
    <w:rsid w:val="00921D13"/>
    <w:rsid w:val="009221AF"/>
    <w:rsid w:val="009225A2"/>
    <w:rsid w:val="009225B1"/>
    <w:rsid w:val="0092288F"/>
    <w:rsid w:val="00922892"/>
    <w:rsid w:val="009228A4"/>
    <w:rsid w:val="009229B7"/>
    <w:rsid w:val="009229BA"/>
    <w:rsid w:val="009229FA"/>
    <w:rsid w:val="00922AD5"/>
    <w:rsid w:val="00922D8A"/>
    <w:rsid w:val="00922FF7"/>
    <w:rsid w:val="0092304E"/>
    <w:rsid w:val="0092306A"/>
    <w:rsid w:val="009231AE"/>
    <w:rsid w:val="009232B4"/>
    <w:rsid w:val="00923320"/>
    <w:rsid w:val="009233BD"/>
    <w:rsid w:val="009235AC"/>
    <w:rsid w:val="009238E3"/>
    <w:rsid w:val="00923A4A"/>
    <w:rsid w:val="00923FC9"/>
    <w:rsid w:val="00924013"/>
    <w:rsid w:val="009240C4"/>
    <w:rsid w:val="009240CC"/>
    <w:rsid w:val="00924132"/>
    <w:rsid w:val="0092459B"/>
    <w:rsid w:val="00924655"/>
    <w:rsid w:val="00924784"/>
    <w:rsid w:val="00924897"/>
    <w:rsid w:val="00924AB6"/>
    <w:rsid w:val="00924CB6"/>
    <w:rsid w:val="00924F0A"/>
    <w:rsid w:val="00924F40"/>
    <w:rsid w:val="00924FD0"/>
    <w:rsid w:val="009252D9"/>
    <w:rsid w:val="0092531A"/>
    <w:rsid w:val="0092547B"/>
    <w:rsid w:val="009256B4"/>
    <w:rsid w:val="009259C8"/>
    <w:rsid w:val="00925A3A"/>
    <w:rsid w:val="00925A72"/>
    <w:rsid w:val="00925B18"/>
    <w:rsid w:val="00925DFA"/>
    <w:rsid w:val="00925E23"/>
    <w:rsid w:val="00925EA4"/>
    <w:rsid w:val="0092605F"/>
    <w:rsid w:val="009261C3"/>
    <w:rsid w:val="009262A4"/>
    <w:rsid w:val="009262B7"/>
    <w:rsid w:val="00926433"/>
    <w:rsid w:val="009264A9"/>
    <w:rsid w:val="009264F2"/>
    <w:rsid w:val="00926517"/>
    <w:rsid w:val="009265C3"/>
    <w:rsid w:val="009265F8"/>
    <w:rsid w:val="00926AB2"/>
    <w:rsid w:val="00926E1A"/>
    <w:rsid w:val="009270CE"/>
    <w:rsid w:val="00927219"/>
    <w:rsid w:val="00927227"/>
    <w:rsid w:val="009275B6"/>
    <w:rsid w:val="00927827"/>
    <w:rsid w:val="00927AF8"/>
    <w:rsid w:val="00927BFF"/>
    <w:rsid w:val="00927C45"/>
    <w:rsid w:val="00927D08"/>
    <w:rsid w:val="00927D17"/>
    <w:rsid w:val="00927E8D"/>
    <w:rsid w:val="00930048"/>
    <w:rsid w:val="0093006E"/>
    <w:rsid w:val="0093017E"/>
    <w:rsid w:val="00930286"/>
    <w:rsid w:val="00930322"/>
    <w:rsid w:val="00930432"/>
    <w:rsid w:val="00930572"/>
    <w:rsid w:val="00930636"/>
    <w:rsid w:val="009306F2"/>
    <w:rsid w:val="00930817"/>
    <w:rsid w:val="009309AE"/>
    <w:rsid w:val="00930B63"/>
    <w:rsid w:val="00930B92"/>
    <w:rsid w:val="00930D38"/>
    <w:rsid w:val="00930F0C"/>
    <w:rsid w:val="00930F6A"/>
    <w:rsid w:val="009310D5"/>
    <w:rsid w:val="00931174"/>
    <w:rsid w:val="0093134C"/>
    <w:rsid w:val="0093138F"/>
    <w:rsid w:val="00931423"/>
    <w:rsid w:val="0093153F"/>
    <w:rsid w:val="00931549"/>
    <w:rsid w:val="00931617"/>
    <w:rsid w:val="00931700"/>
    <w:rsid w:val="009317C9"/>
    <w:rsid w:val="00931823"/>
    <w:rsid w:val="009319CA"/>
    <w:rsid w:val="00931C46"/>
    <w:rsid w:val="00931F10"/>
    <w:rsid w:val="009323E0"/>
    <w:rsid w:val="0093248A"/>
    <w:rsid w:val="0093254F"/>
    <w:rsid w:val="009325AC"/>
    <w:rsid w:val="00932CB5"/>
    <w:rsid w:val="0093321D"/>
    <w:rsid w:val="0093339D"/>
    <w:rsid w:val="0093344C"/>
    <w:rsid w:val="009334A8"/>
    <w:rsid w:val="009334E1"/>
    <w:rsid w:val="00933584"/>
    <w:rsid w:val="009335F1"/>
    <w:rsid w:val="00933726"/>
    <w:rsid w:val="00933976"/>
    <w:rsid w:val="00933D3C"/>
    <w:rsid w:val="00933F5F"/>
    <w:rsid w:val="0093401B"/>
    <w:rsid w:val="00934708"/>
    <w:rsid w:val="009347C6"/>
    <w:rsid w:val="009347FD"/>
    <w:rsid w:val="00934A29"/>
    <w:rsid w:val="00934C00"/>
    <w:rsid w:val="00934C48"/>
    <w:rsid w:val="00934FA8"/>
    <w:rsid w:val="00934FCA"/>
    <w:rsid w:val="00935000"/>
    <w:rsid w:val="00935055"/>
    <w:rsid w:val="009351E4"/>
    <w:rsid w:val="00935272"/>
    <w:rsid w:val="0093559F"/>
    <w:rsid w:val="0093567C"/>
    <w:rsid w:val="009356A9"/>
    <w:rsid w:val="0093571E"/>
    <w:rsid w:val="009358D6"/>
    <w:rsid w:val="0093592E"/>
    <w:rsid w:val="009359DC"/>
    <w:rsid w:val="00935B41"/>
    <w:rsid w:val="00935DE9"/>
    <w:rsid w:val="00935E24"/>
    <w:rsid w:val="00935E69"/>
    <w:rsid w:val="00936247"/>
    <w:rsid w:val="00936532"/>
    <w:rsid w:val="009368C3"/>
    <w:rsid w:val="00936AF0"/>
    <w:rsid w:val="00936F5F"/>
    <w:rsid w:val="0093710F"/>
    <w:rsid w:val="009371CE"/>
    <w:rsid w:val="00937239"/>
    <w:rsid w:val="0093727D"/>
    <w:rsid w:val="009373E5"/>
    <w:rsid w:val="009373F1"/>
    <w:rsid w:val="009375E8"/>
    <w:rsid w:val="009376D2"/>
    <w:rsid w:val="0093793C"/>
    <w:rsid w:val="00937D41"/>
    <w:rsid w:val="00937E26"/>
    <w:rsid w:val="0094001A"/>
    <w:rsid w:val="0094005B"/>
    <w:rsid w:val="0094022E"/>
    <w:rsid w:val="00940CD2"/>
    <w:rsid w:val="00940D90"/>
    <w:rsid w:val="00940DDC"/>
    <w:rsid w:val="00940E06"/>
    <w:rsid w:val="00940E1E"/>
    <w:rsid w:val="00940E47"/>
    <w:rsid w:val="00940E51"/>
    <w:rsid w:val="00940FD8"/>
    <w:rsid w:val="0094102D"/>
    <w:rsid w:val="00941045"/>
    <w:rsid w:val="00941206"/>
    <w:rsid w:val="00941328"/>
    <w:rsid w:val="00941368"/>
    <w:rsid w:val="0094144E"/>
    <w:rsid w:val="0094165A"/>
    <w:rsid w:val="009418CD"/>
    <w:rsid w:val="00941A12"/>
    <w:rsid w:val="00941CC7"/>
    <w:rsid w:val="00941D0D"/>
    <w:rsid w:val="00941DE3"/>
    <w:rsid w:val="00941E90"/>
    <w:rsid w:val="0094203C"/>
    <w:rsid w:val="009420C8"/>
    <w:rsid w:val="009423A6"/>
    <w:rsid w:val="0094260F"/>
    <w:rsid w:val="0094263B"/>
    <w:rsid w:val="0094266A"/>
    <w:rsid w:val="009426CA"/>
    <w:rsid w:val="00942AFC"/>
    <w:rsid w:val="00942CFE"/>
    <w:rsid w:val="00942D49"/>
    <w:rsid w:val="00942D6B"/>
    <w:rsid w:val="00942F33"/>
    <w:rsid w:val="0094310E"/>
    <w:rsid w:val="00943569"/>
    <w:rsid w:val="00943616"/>
    <w:rsid w:val="009436FC"/>
    <w:rsid w:val="0094393F"/>
    <w:rsid w:val="00943B4A"/>
    <w:rsid w:val="00943C75"/>
    <w:rsid w:val="00943CBF"/>
    <w:rsid w:val="00943D78"/>
    <w:rsid w:val="009444C7"/>
    <w:rsid w:val="0094450D"/>
    <w:rsid w:val="00944602"/>
    <w:rsid w:val="009446CE"/>
    <w:rsid w:val="009447A7"/>
    <w:rsid w:val="00944A8E"/>
    <w:rsid w:val="00944CF7"/>
    <w:rsid w:val="009450DA"/>
    <w:rsid w:val="00945411"/>
    <w:rsid w:val="00945418"/>
    <w:rsid w:val="00945509"/>
    <w:rsid w:val="009455C1"/>
    <w:rsid w:val="00945680"/>
    <w:rsid w:val="009459DD"/>
    <w:rsid w:val="009459E1"/>
    <w:rsid w:val="00945D92"/>
    <w:rsid w:val="00945E1E"/>
    <w:rsid w:val="00945E99"/>
    <w:rsid w:val="00945FA2"/>
    <w:rsid w:val="00945FD2"/>
    <w:rsid w:val="00946031"/>
    <w:rsid w:val="00946124"/>
    <w:rsid w:val="009461BF"/>
    <w:rsid w:val="0094662D"/>
    <w:rsid w:val="0094682B"/>
    <w:rsid w:val="00946B48"/>
    <w:rsid w:val="00946BAC"/>
    <w:rsid w:val="00946C86"/>
    <w:rsid w:val="00946DCF"/>
    <w:rsid w:val="00946E85"/>
    <w:rsid w:val="00947060"/>
    <w:rsid w:val="009470BE"/>
    <w:rsid w:val="009472B7"/>
    <w:rsid w:val="00947D19"/>
    <w:rsid w:val="00950163"/>
    <w:rsid w:val="00950282"/>
    <w:rsid w:val="00950299"/>
    <w:rsid w:val="009502E2"/>
    <w:rsid w:val="0095040F"/>
    <w:rsid w:val="00950690"/>
    <w:rsid w:val="00950A91"/>
    <w:rsid w:val="00950ACB"/>
    <w:rsid w:val="00950B60"/>
    <w:rsid w:val="00950CE8"/>
    <w:rsid w:val="00950D09"/>
    <w:rsid w:val="00951070"/>
    <w:rsid w:val="0095128E"/>
    <w:rsid w:val="009512D9"/>
    <w:rsid w:val="00951322"/>
    <w:rsid w:val="00951584"/>
    <w:rsid w:val="00951AB3"/>
    <w:rsid w:val="00951BB4"/>
    <w:rsid w:val="00951D41"/>
    <w:rsid w:val="00952004"/>
    <w:rsid w:val="0095205E"/>
    <w:rsid w:val="009520AF"/>
    <w:rsid w:val="0095226D"/>
    <w:rsid w:val="00952600"/>
    <w:rsid w:val="009529C8"/>
    <w:rsid w:val="00952B51"/>
    <w:rsid w:val="00952EC5"/>
    <w:rsid w:val="009533E1"/>
    <w:rsid w:val="009535E4"/>
    <w:rsid w:val="00953750"/>
    <w:rsid w:val="00953982"/>
    <w:rsid w:val="00953D3D"/>
    <w:rsid w:val="00953D72"/>
    <w:rsid w:val="00953E1E"/>
    <w:rsid w:val="00953F45"/>
    <w:rsid w:val="00954113"/>
    <w:rsid w:val="00954124"/>
    <w:rsid w:val="00954416"/>
    <w:rsid w:val="009546EC"/>
    <w:rsid w:val="00954776"/>
    <w:rsid w:val="00954846"/>
    <w:rsid w:val="00954ACB"/>
    <w:rsid w:val="00954E6C"/>
    <w:rsid w:val="00954F19"/>
    <w:rsid w:val="00955141"/>
    <w:rsid w:val="009551BC"/>
    <w:rsid w:val="0095538F"/>
    <w:rsid w:val="00955718"/>
    <w:rsid w:val="0095574E"/>
    <w:rsid w:val="009557D2"/>
    <w:rsid w:val="009557FB"/>
    <w:rsid w:val="00955833"/>
    <w:rsid w:val="00955BBA"/>
    <w:rsid w:val="00955C95"/>
    <w:rsid w:val="00955CCD"/>
    <w:rsid w:val="00955D57"/>
    <w:rsid w:val="00955E56"/>
    <w:rsid w:val="00955EC7"/>
    <w:rsid w:val="00956075"/>
    <w:rsid w:val="0095630A"/>
    <w:rsid w:val="00956379"/>
    <w:rsid w:val="009564E9"/>
    <w:rsid w:val="009565D5"/>
    <w:rsid w:val="009567BC"/>
    <w:rsid w:val="009568F5"/>
    <w:rsid w:val="009568FD"/>
    <w:rsid w:val="00956996"/>
    <w:rsid w:val="00956A2C"/>
    <w:rsid w:val="00956AE1"/>
    <w:rsid w:val="00956E9E"/>
    <w:rsid w:val="00956EAA"/>
    <w:rsid w:val="00956FF4"/>
    <w:rsid w:val="00957048"/>
    <w:rsid w:val="009570A4"/>
    <w:rsid w:val="009572D0"/>
    <w:rsid w:val="009573E7"/>
    <w:rsid w:val="009574E7"/>
    <w:rsid w:val="009576DA"/>
    <w:rsid w:val="009576E1"/>
    <w:rsid w:val="009577DA"/>
    <w:rsid w:val="009577EA"/>
    <w:rsid w:val="00957812"/>
    <w:rsid w:val="009578CF"/>
    <w:rsid w:val="00957BAC"/>
    <w:rsid w:val="00957BC9"/>
    <w:rsid w:val="00957DDD"/>
    <w:rsid w:val="00957F2D"/>
    <w:rsid w:val="0096023A"/>
    <w:rsid w:val="0096025F"/>
    <w:rsid w:val="00960683"/>
    <w:rsid w:val="0096070B"/>
    <w:rsid w:val="009607F7"/>
    <w:rsid w:val="00960850"/>
    <w:rsid w:val="00960A17"/>
    <w:rsid w:val="00960CCD"/>
    <w:rsid w:val="00960F76"/>
    <w:rsid w:val="00960F7C"/>
    <w:rsid w:val="00961007"/>
    <w:rsid w:val="00961114"/>
    <w:rsid w:val="009611D0"/>
    <w:rsid w:val="00961204"/>
    <w:rsid w:val="0096123F"/>
    <w:rsid w:val="009614B0"/>
    <w:rsid w:val="0096168D"/>
    <w:rsid w:val="0096180B"/>
    <w:rsid w:val="009618C3"/>
    <w:rsid w:val="00961919"/>
    <w:rsid w:val="00961AED"/>
    <w:rsid w:val="00961B9B"/>
    <w:rsid w:val="00961BC9"/>
    <w:rsid w:val="00962305"/>
    <w:rsid w:val="00962321"/>
    <w:rsid w:val="0096235D"/>
    <w:rsid w:val="009623CE"/>
    <w:rsid w:val="0096245D"/>
    <w:rsid w:val="0096269A"/>
    <w:rsid w:val="00962A4F"/>
    <w:rsid w:val="00962E4D"/>
    <w:rsid w:val="009630D0"/>
    <w:rsid w:val="00963117"/>
    <w:rsid w:val="0096318F"/>
    <w:rsid w:val="009634C9"/>
    <w:rsid w:val="009636E6"/>
    <w:rsid w:val="00963836"/>
    <w:rsid w:val="0096388E"/>
    <w:rsid w:val="00963B2E"/>
    <w:rsid w:val="00963BEB"/>
    <w:rsid w:val="00963E09"/>
    <w:rsid w:val="00963F1E"/>
    <w:rsid w:val="00964012"/>
    <w:rsid w:val="00964088"/>
    <w:rsid w:val="00964324"/>
    <w:rsid w:val="0096479F"/>
    <w:rsid w:val="009647BC"/>
    <w:rsid w:val="00964AE8"/>
    <w:rsid w:val="00964C2A"/>
    <w:rsid w:val="00964C45"/>
    <w:rsid w:val="00964D23"/>
    <w:rsid w:val="00964F2C"/>
    <w:rsid w:val="00964FCF"/>
    <w:rsid w:val="0096530D"/>
    <w:rsid w:val="00965500"/>
    <w:rsid w:val="00965AB4"/>
    <w:rsid w:val="00965C69"/>
    <w:rsid w:val="009660E7"/>
    <w:rsid w:val="00966263"/>
    <w:rsid w:val="0096646F"/>
    <w:rsid w:val="00966520"/>
    <w:rsid w:val="0096655D"/>
    <w:rsid w:val="0096694F"/>
    <w:rsid w:val="009669AE"/>
    <w:rsid w:val="00966A1B"/>
    <w:rsid w:val="00966A7B"/>
    <w:rsid w:val="00966CF6"/>
    <w:rsid w:val="00966E75"/>
    <w:rsid w:val="00966EE4"/>
    <w:rsid w:val="00967604"/>
    <w:rsid w:val="009678AB"/>
    <w:rsid w:val="00967962"/>
    <w:rsid w:val="00967A0F"/>
    <w:rsid w:val="00967C0B"/>
    <w:rsid w:val="00967C38"/>
    <w:rsid w:val="00967CE6"/>
    <w:rsid w:val="009700B8"/>
    <w:rsid w:val="00970156"/>
    <w:rsid w:val="0097018F"/>
    <w:rsid w:val="00970667"/>
    <w:rsid w:val="009707C3"/>
    <w:rsid w:val="009709B3"/>
    <w:rsid w:val="009709EF"/>
    <w:rsid w:val="00970B24"/>
    <w:rsid w:val="00970C60"/>
    <w:rsid w:val="00970C9B"/>
    <w:rsid w:val="0097103D"/>
    <w:rsid w:val="009710F6"/>
    <w:rsid w:val="0097123F"/>
    <w:rsid w:val="009713F4"/>
    <w:rsid w:val="00971403"/>
    <w:rsid w:val="00971491"/>
    <w:rsid w:val="009716F4"/>
    <w:rsid w:val="00971855"/>
    <w:rsid w:val="009718DF"/>
    <w:rsid w:val="00971BB3"/>
    <w:rsid w:val="00971E55"/>
    <w:rsid w:val="00971FC7"/>
    <w:rsid w:val="0097213B"/>
    <w:rsid w:val="00972141"/>
    <w:rsid w:val="00972388"/>
    <w:rsid w:val="009723D8"/>
    <w:rsid w:val="00972520"/>
    <w:rsid w:val="009727D8"/>
    <w:rsid w:val="00972980"/>
    <w:rsid w:val="00972994"/>
    <w:rsid w:val="00972ABC"/>
    <w:rsid w:val="00972C40"/>
    <w:rsid w:val="00972C8A"/>
    <w:rsid w:val="00972D70"/>
    <w:rsid w:val="00973702"/>
    <w:rsid w:val="00973859"/>
    <w:rsid w:val="00973B3B"/>
    <w:rsid w:val="00973B61"/>
    <w:rsid w:val="00973B97"/>
    <w:rsid w:val="00974062"/>
    <w:rsid w:val="0097408A"/>
    <w:rsid w:val="009740AD"/>
    <w:rsid w:val="009741BE"/>
    <w:rsid w:val="009741ED"/>
    <w:rsid w:val="0097429B"/>
    <w:rsid w:val="009742DC"/>
    <w:rsid w:val="0097440C"/>
    <w:rsid w:val="009744CC"/>
    <w:rsid w:val="00974537"/>
    <w:rsid w:val="009746B8"/>
    <w:rsid w:val="0097490E"/>
    <w:rsid w:val="0097494C"/>
    <w:rsid w:val="00974BE8"/>
    <w:rsid w:val="00974C9C"/>
    <w:rsid w:val="00974CE6"/>
    <w:rsid w:val="00974D85"/>
    <w:rsid w:val="00974D9B"/>
    <w:rsid w:val="00974E1D"/>
    <w:rsid w:val="009752A2"/>
    <w:rsid w:val="009753C6"/>
    <w:rsid w:val="009753FC"/>
    <w:rsid w:val="00975580"/>
    <w:rsid w:val="009756D4"/>
    <w:rsid w:val="00975702"/>
    <w:rsid w:val="00975970"/>
    <w:rsid w:val="00975985"/>
    <w:rsid w:val="00975B45"/>
    <w:rsid w:val="00975CFD"/>
    <w:rsid w:val="00975F7B"/>
    <w:rsid w:val="009760AD"/>
    <w:rsid w:val="00976318"/>
    <w:rsid w:val="00976374"/>
    <w:rsid w:val="009763CD"/>
    <w:rsid w:val="009763FA"/>
    <w:rsid w:val="0097646C"/>
    <w:rsid w:val="00976543"/>
    <w:rsid w:val="0097658E"/>
    <w:rsid w:val="00976818"/>
    <w:rsid w:val="0097684B"/>
    <w:rsid w:val="00976944"/>
    <w:rsid w:val="00976A0B"/>
    <w:rsid w:val="00976ABF"/>
    <w:rsid w:val="00976C88"/>
    <w:rsid w:val="00976D64"/>
    <w:rsid w:val="00976EEC"/>
    <w:rsid w:val="00976F16"/>
    <w:rsid w:val="00977069"/>
    <w:rsid w:val="0097707C"/>
    <w:rsid w:val="009770B1"/>
    <w:rsid w:val="00977207"/>
    <w:rsid w:val="00977344"/>
    <w:rsid w:val="009773AD"/>
    <w:rsid w:val="009773FE"/>
    <w:rsid w:val="00977464"/>
    <w:rsid w:val="009779D1"/>
    <w:rsid w:val="00977D82"/>
    <w:rsid w:val="00977EB2"/>
    <w:rsid w:val="00977F0C"/>
    <w:rsid w:val="00977FFA"/>
    <w:rsid w:val="0098001E"/>
    <w:rsid w:val="00980057"/>
    <w:rsid w:val="009801B2"/>
    <w:rsid w:val="009802B5"/>
    <w:rsid w:val="009802E4"/>
    <w:rsid w:val="009803BD"/>
    <w:rsid w:val="00980602"/>
    <w:rsid w:val="0098083E"/>
    <w:rsid w:val="0098087E"/>
    <w:rsid w:val="00980A92"/>
    <w:rsid w:val="00980CA8"/>
    <w:rsid w:val="00980FE2"/>
    <w:rsid w:val="009810DA"/>
    <w:rsid w:val="00981544"/>
    <w:rsid w:val="009815B6"/>
    <w:rsid w:val="009815BE"/>
    <w:rsid w:val="0098168A"/>
    <w:rsid w:val="009816D6"/>
    <w:rsid w:val="009817F9"/>
    <w:rsid w:val="0098182E"/>
    <w:rsid w:val="00981A03"/>
    <w:rsid w:val="00981A8F"/>
    <w:rsid w:val="00981AEC"/>
    <w:rsid w:val="00981C40"/>
    <w:rsid w:val="00981C58"/>
    <w:rsid w:val="009820E6"/>
    <w:rsid w:val="009822E4"/>
    <w:rsid w:val="0098232E"/>
    <w:rsid w:val="00982579"/>
    <w:rsid w:val="00982694"/>
    <w:rsid w:val="009829DC"/>
    <w:rsid w:val="00982BB2"/>
    <w:rsid w:val="00982D1A"/>
    <w:rsid w:val="00983142"/>
    <w:rsid w:val="0098315F"/>
    <w:rsid w:val="009832CD"/>
    <w:rsid w:val="0098342C"/>
    <w:rsid w:val="0098346D"/>
    <w:rsid w:val="009834A7"/>
    <w:rsid w:val="009836E2"/>
    <w:rsid w:val="00983BC8"/>
    <w:rsid w:val="00983C7F"/>
    <w:rsid w:val="00983D79"/>
    <w:rsid w:val="00983DDC"/>
    <w:rsid w:val="009841EB"/>
    <w:rsid w:val="0098425A"/>
    <w:rsid w:val="0098425C"/>
    <w:rsid w:val="0098426A"/>
    <w:rsid w:val="00984327"/>
    <w:rsid w:val="009843B8"/>
    <w:rsid w:val="0098463E"/>
    <w:rsid w:val="00984737"/>
    <w:rsid w:val="00984AFD"/>
    <w:rsid w:val="00984FEE"/>
    <w:rsid w:val="009852DB"/>
    <w:rsid w:val="00985D06"/>
    <w:rsid w:val="00986188"/>
    <w:rsid w:val="0098618D"/>
    <w:rsid w:val="00986336"/>
    <w:rsid w:val="0098643E"/>
    <w:rsid w:val="009864C7"/>
    <w:rsid w:val="009865D6"/>
    <w:rsid w:val="009867EE"/>
    <w:rsid w:val="00986A60"/>
    <w:rsid w:val="00986C58"/>
    <w:rsid w:val="00986D29"/>
    <w:rsid w:val="00987018"/>
    <w:rsid w:val="0098714D"/>
    <w:rsid w:val="0098738E"/>
    <w:rsid w:val="0098776B"/>
    <w:rsid w:val="009878A7"/>
    <w:rsid w:val="00987B74"/>
    <w:rsid w:val="00987E0D"/>
    <w:rsid w:val="00990372"/>
    <w:rsid w:val="0099058E"/>
    <w:rsid w:val="00990680"/>
    <w:rsid w:val="00990985"/>
    <w:rsid w:val="00990EF8"/>
    <w:rsid w:val="0099132A"/>
    <w:rsid w:val="00991567"/>
    <w:rsid w:val="009915E0"/>
    <w:rsid w:val="00991889"/>
    <w:rsid w:val="0099192D"/>
    <w:rsid w:val="009919E8"/>
    <w:rsid w:val="009920DD"/>
    <w:rsid w:val="0099250D"/>
    <w:rsid w:val="00992580"/>
    <w:rsid w:val="009926D9"/>
    <w:rsid w:val="00992825"/>
    <w:rsid w:val="00992F67"/>
    <w:rsid w:val="00992FA7"/>
    <w:rsid w:val="009932AD"/>
    <w:rsid w:val="009933FD"/>
    <w:rsid w:val="0099350F"/>
    <w:rsid w:val="00993669"/>
    <w:rsid w:val="009936A9"/>
    <w:rsid w:val="0099383A"/>
    <w:rsid w:val="009941C5"/>
    <w:rsid w:val="009942BD"/>
    <w:rsid w:val="009942FC"/>
    <w:rsid w:val="00994364"/>
    <w:rsid w:val="00994490"/>
    <w:rsid w:val="009945A7"/>
    <w:rsid w:val="009946E2"/>
    <w:rsid w:val="0099470D"/>
    <w:rsid w:val="0099472F"/>
    <w:rsid w:val="009948AA"/>
    <w:rsid w:val="009949B8"/>
    <w:rsid w:val="009949D8"/>
    <w:rsid w:val="00994C37"/>
    <w:rsid w:val="00994D2D"/>
    <w:rsid w:val="00994D6E"/>
    <w:rsid w:val="0099536E"/>
    <w:rsid w:val="00995397"/>
    <w:rsid w:val="009953B3"/>
    <w:rsid w:val="009954A8"/>
    <w:rsid w:val="00995599"/>
    <w:rsid w:val="009958B1"/>
    <w:rsid w:val="00995A20"/>
    <w:rsid w:val="00995ABC"/>
    <w:rsid w:val="00995B92"/>
    <w:rsid w:val="00995DA5"/>
    <w:rsid w:val="00995E84"/>
    <w:rsid w:val="00996023"/>
    <w:rsid w:val="009965E2"/>
    <w:rsid w:val="0099681D"/>
    <w:rsid w:val="009969B0"/>
    <w:rsid w:val="00996AB7"/>
    <w:rsid w:val="00996EEF"/>
    <w:rsid w:val="00997273"/>
    <w:rsid w:val="009A023E"/>
    <w:rsid w:val="009A0253"/>
    <w:rsid w:val="009A04B8"/>
    <w:rsid w:val="009A05E2"/>
    <w:rsid w:val="009A089F"/>
    <w:rsid w:val="009A0AF8"/>
    <w:rsid w:val="009A0EAC"/>
    <w:rsid w:val="009A0F9E"/>
    <w:rsid w:val="009A1127"/>
    <w:rsid w:val="009A13AC"/>
    <w:rsid w:val="009A1435"/>
    <w:rsid w:val="009A1546"/>
    <w:rsid w:val="009A1719"/>
    <w:rsid w:val="009A17C7"/>
    <w:rsid w:val="009A1863"/>
    <w:rsid w:val="009A1AB8"/>
    <w:rsid w:val="009A1BD3"/>
    <w:rsid w:val="009A1E9B"/>
    <w:rsid w:val="009A1F53"/>
    <w:rsid w:val="009A21DF"/>
    <w:rsid w:val="009A22A3"/>
    <w:rsid w:val="009A2323"/>
    <w:rsid w:val="009A254A"/>
    <w:rsid w:val="009A2790"/>
    <w:rsid w:val="009A27BC"/>
    <w:rsid w:val="009A2913"/>
    <w:rsid w:val="009A2B28"/>
    <w:rsid w:val="009A2B42"/>
    <w:rsid w:val="009A2C19"/>
    <w:rsid w:val="009A2C53"/>
    <w:rsid w:val="009A2E25"/>
    <w:rsid w:val="009A3119"/>
    <w:rsid w:val="009A3238"/>
    <w:rsid w:val="009A33CB"/>
    <w:rsid w:val="009A3645"/>
    <w:rsid w:val="009A3680"/>
    <w:rsid w:val="009A37C1"/>
    <w:rsid w:val="009A37EF"/>
    <w:rsid w:val="009A39E5"/>
    <w:rsid w:val="009A3AC5"/>
    <w:rsid w:val="009A3B08"/>
    <w:rsid w:val="009A3D7C"/>
    <w:rsid w:val="009A3F8D"/>
    <w:rsid w:val="009A4090"/>
    <w:rsid w:val="009A426A"/>
    <w:rsid w:val="009A4313"/>
    <w:rsid w:val="009A448F"/>
    <w:rsid w:val="009A4704"/>
    <w:rsid w:val="009A491C"/>
    <w:rsid w:val="009A4C4A"/>
    <w:rsid w:val="009A4C56"/>
    <w:rsid w:val="009A4D43"/>
    <w:rsid w:val="009A5114"/>
    <w:rsid w:val="009A5206"/>
    <w:rsid w:val="009A5291"/>
    <w:rsid w:val="009A5389"/>
    <w:rsid w:val="009A53BD"/>
    <w:rsid w:val="009A53F8"/>
    <w:rsid w:val="009A5604"/>
    <w:rsid w:val="009A5738"/>
    <w:rsid w:val="009A58F3"/>
    <w:rsid w:val="009A5963"/>
    <w:rsid w:val="009A5A8B"/>
    <w:rsid w:val="009A5CA7"/>
    <w:rsid w:val="009A5EDC"/>
    <w:rsid w:val="009A61EB"/>
    <w:rsid w:val="009A622E"/>
    <w:rsid w:val="009A639A"/>
    <w:rsid w:val="009A64C3"/>
    <w:rsid w:val="009A656B"/>
    <w:rsid w:val="009A6A45"/>
    <w:rsid w:val="009A6A8C"/>
    <w:rsid w:val="009A6B7B"/>
    <w:rsid w:val="009A6E39"/>
    <w:rsid w:val="009A7020"/>
    <w:rsid w:val="009A7068"/>
    <w:rsid w:val="009A7331"/>
    <w:rsid w:val="009A73D6"/>
    <w:rsid w:val="009A7791"/>
    <w:rsid w:val="009A77C4"/>
    <w:rsid w:val="009A793F"/>
    <w:rsid w:val="009A7AA0"/>
    <w:rsid w:val="009A7AA6"/>
    <w:rsid w:val="009A7C31"/>
    <w:rsid w:val="009A7C46"/>
    <w:rsid w:val="009A7D14"/>
    <w:rsid w:val="009A7D35"/>
    <w:rsid w:val="009A7D5B"/>
    <w:rsid w:val="009A7DB8"/>
    <w:rsid w:val="009A7ED3"/>
    <w:rsid w:val="009A7EE9"/>
    <w:rsid w:val="009A7F26"/>
    <w:rsid w:val="009B018F"/>
    <w:rsid w:val="009B0745"/>
    <w:rsid w:val="009B0843"/>
    <w:rsid w:val="009B0A48"/>
    <w:rsid w:val="009B0D28"/>
    <w:rsid w:val="009B0E90"/>
    <w:rsid w:val="009B0E9F"/>
    <w:rsid w:val="009B0EC0"/>
    <w:rsid w:val="009B0F5F"/>
    <w:rsid w:val="009B0F71"/>
    <w:rsid w:val="009B115F"/>
    <w:rsid w:val="009B1212"/>
    <w:rsid w:val="009B12AC"/>
    <w:rsid w:val="009B1326"/>
    <w:rsid w:val="009B13E0"/>
    <w:rsid w:val="009B1445"/>
    <w:rsid w:val="009B15B8"/>
    <w:rsid w:val="009B189A"/>
    <w:rsid w:val="009B1A8B"/>
    <w:rsid w:val="009B1B06"/>
    <w:rsid w:val="009B1E28"/>
    <w:rsid w:val="009B2231"/>
    <w:rsid w:val="009B2375"/>
    <w:rsid w:val="009B28D9"/>
    <w:rsid w:val="009B2A27"/>
    <w:rsid w:val="009B2AB3"/>
    <w:rsid w:val="009B2AE2"/>
    <w:rsid w:val="009B2B9C"/>
    <w:rsid w:val="009B2BB7"/>
    <w:rsid w:val="009B2CE3"/>
    <w:rsid w:val="009B2DC0"/>
    <w:rsid w:val="009B2FDB"/>
    <w:rsid w:val="009B3113"/>
    <w:rsid w:val="009B314F"/>
    <w:rsid w:val="009B3296"/>
    <w:rsid w:val="009B3575"/>
    <w:rsid w:val="009B35D5"/>
    <w:rsid w:val="009B36B4"/>
    <w:rsid w:val="009B37F4"/>
    <w:rsid w:val="009B3853"/>
    <w:rsid w:val="009B3A0D"/>
    <w:rsid w:val="009B3F0D"/>
    <w:rsid w:val="009B41F3"/>
    <w:rsid w:val="009B4273"/>
    <w:rsid w:val="009B430A"/>
    <w:rsid w:val="009B43FF"/>
    <w:rsid w:val="009B4761"/>
    <w:rsid w:val="009B497F"/>
    <w:rsid w:val="009B49B4"/>
    <w:rsid w:val="009B4AFC"/>
    <w:rsid w:val="009B4C09"/>
    <w:rsid w:val="009B4E79"/>
    <w:rsid w:val="009B52AB"/>
    <w:rsid w:val="009B5440"/>
    <w:rsid w:val="009B5443"/>
    <w:rsid w:val="009B5649"/>
    <w:rsid w:val="009B5806"/>
    <w:rsid w:val="009B586D"/>
    <w:rsid w:val="009B5D0F"/>
    <w:rsid w:val="009B5D99"/>
    <w:rsid w:val="009B614A"/>
    <w:rsid w:val="009B68E8"/>
    <w:rsid w:val="009B73C3"/>
    <w:rsid w:val="009B75D2"/>
    <w:rsid w:val="009B760F"/>
    <w:rsid w:val="009B7797"/>
    <w:rsid w:val="009B7984"/>
    <w:rsid w:val="009B7AD9"/>
    <w:rsid w:val="009B7C5C"/>
    <w:rsid w:val="009B7D3C"/>
    <w:rsid w:val="009B7F0A"/>
    <w:rsid w:val="009B7FD2"/>
    <w:rsid w:val="009B7FF7"/>
    <w:rsid w:val="009C033D"/>
    <w:rsid w:val="009C03AB"/>
    <w:rsid w:val="009C0605"/>
    <w:rsid w:val="009C0743"/>
    <w:rsid w:val="009C085A"/>
    <w:rsid w:val="009C0B32"/>
    <w:rsid w:val="009C0C2C"/>
    <w:rsid w:val="009C0F1A"/>
    <w:rsid w:val="009C0FBA"/>
    <w:rsid w:val="009C1060"/>
    <w:rsid w:val="009C1190"/>
    <w:rsid w:val="009C16C9"/>
    <w:rsid w:val="009C1AEE"/>
    <w:rsid w:val="009C1C1D"/>
    <w:rsid w:val="009C1CEE"/>
    <w:rsid w:val="009C1D79"/>
    <w:rsid w:val="009C1D7F"/>
    <w:rsid w:val="009C2491"/>
    <w:rsid w:val="009C25CF"/>
    <w:rsid w:val="009C27FC"/>
    <w:rsid w:val="009C2800"/>
    <w:rsid w:val="009C2AD5"/>
    <w:rsid w:val="009C2B3A"/>
    <w:rsid w:val="009C2C33"/>
    <w:rsid w:val="009C2F30"/>
    <w:rsid w:val="009C2F8E"/>
    <w:rsid w:val="009C2F97"/>
    <w:rsid w:val="009C3092"/>
    <w:rsid w:val="009C328C"/>
    <w:rsid w:val="009C3584"/>
    <w:rsid w:val="009C35EA"/>
    <w:rsid w:val="009C361F"/>
    <w:rsid w:val="009C378B"/>
    <w:rsid w:val="009C38C6"/>
    <w:rsid w:val="009C3933"/>
    <w:rsid w:val="009C3A42"/>
    <w:rsid w:val="009C3C03"/>
    <w:rsid w:val="009C3CD1"/>
    <w:rsid w:val="009C3DC8"/>
    <w:rsid w:val="009C3FE8"/>
    <w:rsid w:val="009C40DA"/>
    <w:rsid w:val="009C4100"/>
    <w:rsid w:val="009C4233"/>
    <w:rsid w:val="009C4289"/>
    <w:rsid w:val="009C43E2"/>
    <w:rsid w:val="009C443F"/>
    <w:rsid w:val="009C45A9"/>
    <w:rsid w:val="009C4810"/>
    <w:rsid w:val="009C49C9"/>
    <w:rsid w:val="009C4C14"/>
    <w:rsid w:val="009C4C38"/>
    <w:rsid w:val="009C4CD4"/>
    <w:rsid w:val="009C4DB3"/>
    <w:rsid w:val="009C50D8"/>
    <w:rsid w:val="009C516B"/>
    <w:rsid w:val="009C5281"/>
    <w:rsid w:val="009C5426"/>
    <w:rsid w:val="009C5495"/>
    <w:rsid w:val="009C5530"/>
    <w:rsid w:val="009C55A0"/>
    <w:rsid w:val="009C5D85"/>
    <w:rsid w:val="009C5E98"/>
    <w:rsid w:val="009C602E"/>
    <w:rsid w:val="009C64A9"/>
    <w:rsid w:val="009C656A"/>
    <w:rsid w:val="009C678D"/>
    <w:rsid w:val="009C6853"/>
    <w:rsid w:val="009C687C"/>
    <w:rsid w:val="009C694E"/>
    <w:rsid w:val="009C698B"/>
    <w:rsid w:val="009C6B9E"/>
    <w:rsid w:val="009C6D9D"/>
    <w:rsid w:val="009C6E13"/>
    <w:rsid w:val="009C6FF8"/>
    <w:rsid w:val="009C6FFC"/>
    <w:rsid w:val="009C758A"/>
    <w:rsid w:val="009C75B8"/>
    <w:rsid w:val="009C7703"/>
    <w:rsid w:val="009C790C"/>
    <w:rsid w:val="009C7980"/>
    <w:rsid w:val="009C7A0B"/>
    <w:rsid w:val="009C7AF6"/>
    <w:rsid w:val="009C7CF2"/>
    <w:rsid w:val="009C7DF5"/>
    <w:rsid w:val="009C7F5A"/>
    <w:rsid w:val="009D0487"/>
    <w:rsid w:val="009D07A2"/>
    <w:rsid w:val="009D0AD8"/>
    <w:rsid w:val="009D0CF1"/>
    <w:rsid w:val="009D0D34"/>
    <w:rsid w:val="009D1370"/>
    <w:rsid w:val="009D14F2"/>
    <w:rsid w:val="009D1923"/>
    <w:rsid w:val="009D1968"/>
    <w:rsid w:val="009D196D"/>
    <w:rsid w:val="009D19AD"/>
    <w:rsid w:val="009D1A5A"/>
    <w:rsid w:val="009D1B50"/>
    <w:rsid w:val="009D1E5C"/>
    <w:rsid w:val="009D1F2B"/>
    <w:rsid w:val="009D2379"/>
    <w:rsid w:val="009D26DD"/>
    <w:rsid w:val="009D281A"/>
    <w:rsid w:val="009D29A4"/>
    <w:rsid w:val="009D2B96"/>
    <w:rsid w:val="009D2C05"/>
    <w:rsid w:val="009D2DE0"/>
    <w:rsid w:val="009D3002"/>
    <w:rsid w:val="009D3215"/>
    <w:rsid w:val="009D326C"/>
    <w:rsid w:val="009D3421"/>
    <w:rsid w:val="009D35A9"/>
    <w:rsid w:val="009D36B6"/>
    <w:rsid w:val="009D39C1"/>
    <w:rsid w:val="009D3D17"/>
    <w:rsid w:val="009D40D1"/>
    <w:rsid w:val="009D40F4"/>
    <w:rsid w:val="009D4171"/>
    <w:rsid w:val="009D4412"/>
    <w:rsid w:val="009D47FC"/>
    <w:rsid w:val="009D4840"/>
    <w:rsid w:val="009D4BBF"/>
    <w:rsid w:val="009D5126"/>
    <w:rsid w:val="009D5133"/>
    <w:rsid w:val="009D5269"/>
    <w:rsid w:val="009D55C6"/>
    <w:rsid w:val="009D57E2"/>
    <w:rsid w:val="009D581F"/>
    <w:rsid w:val="009D5E2E"/>
    <w:rsid w:val="009D629A"/>
    <w:rsid w:val="009D6583"/>
    <w:rsid w:val="009D6649"/>
    <w:rsid w:val="009D66B0"/>
    <w:rsid w:val="009D66FB"/>
    <w:rsid w:val="009D67D9"/>
    <w:rsid w:val="009D680C"/>
    <w:rsid w:val="009D6814"/>
    <w:rsid w:val="009D68B7"/>
    <w:rsid w:val="009D6C49"/>
    <w:rsid w:val="009D6D19"/>
    <w:rsid w:val="009D6DFF"/>
    <w:rsid w:val="009D6F67"/>
    <w:rsid w:val="009D6FB6"/>
    <w:rsid w:val="009D77A5"/>
    <w:rsid w:val="009D796B"/>
    <w:rsid w:val="009D7D6C"/>
    <w:rsid w:val="009E0116"/>
    <w:rsid w:val="009E0204"/>
    <w:rsid w:val="009E0542"/>
    <w:rsid w:val="009E054B"/>
    <w:rsid w:val="009E0638"/>
    <w:rsid w:val="009E0794"/>
    <w:rsid w:val="009E084E"/>
    <w:rsid w:val="009E0EA3"/>
    <w:rsid w:val="009E0ED6"/>
    <w:rsid w:val="009E1004"/>
    <w:rsid w:val="009E11DB"/>
    <w:rsid w:val="009E12C2"/>
    <w:rsid w:val="009E12D8"/>
    <w:rsid w:val="009E137F"/>
    <w:rsid w:val="009E139B"/>
    <w:rsid w:val="009E1702"/>
    <w:rsid w:val="009E1F23"/>
    <w:rsid w:val="009E210E"/>
    <w:rsid w:val="009E2167"/>
    <w:rsid w:val="009E259E"/>
    <w:rsid w:val="009E275B"/>
    <w:rsid w:val="009E275E"/>
    <w:rsid w:val="009E2A80"/>
    <w:rsid w:val="009E2B60"/>
    <w:rsid w:val="009E346E"/>
    <w:rsid w:val="009E34CD"/>
    <w:rsid w:val="009E376A"/>
    <w:rsid w:val="009E397F"/>
    <w:rsid w:val="009E3DA3"/>
    <w:rsid w:val="009E3DF7"/>
    <w:rsid w:val="009E3EF9"/>
    <w:rsid w:val="009E4406"/>
    <w:rsid w:val="009E4447"/>
    <w:rsid w:val="009E4709"/>
    <w:rsid w:val="009E473F"/>
    <w:rsid w:val="009E483A"/>
    <w:rsid w:val="009E48B8"/>
    <w:rsid w:val="009E48D6"/>
    <w:rsid w:val="009E49AF"/>
    <w:rsid w:val="009E4B10"/>
    <w:rsid w:val="009E4D10"/>
    <w:rsid w:val="009E4E90"/>
    <w:rsid w:val="009E5490"/>
    <w:rsid w:val="009E56A8"/>
    <w:rsid w:val="009E58BB"/>
    <w:rsid w:val="009E5B00"/>
    <w:rsid w:val="009E5DB9"/>
    <w:rsid w:val="009E5E5B"/>
    <w:rsid w:val="009E60A6"/>
    <w:rsid w:val="009E60CF"/>
    <w:rsid w:val="009E6226"/>
    <w:rsid w:val="009E6627"/>
    <w:rsid w:val="009E6898"/>
    <w:rsid w:val="009E6A15"/>
    <w:rsid w:val="009E6AE0"/>
    <w:rsid w:val="009E6E1F"/>
    <w:rsid w:val="009E7015"/>
    <w:rsid w:val="009E7116"/>
    <w:rsid w:val="009E740C"/>
    <w:rsid w:val="009E76C8"/>
    <w:rsid w:val="009E7943"/>
    <w:rsid w:val="009F0163"/>
    <w:rsid w:val="009F058F"/>
    <w:rsid w:val="009F081C"/>
    <w:rsid w:val="009F0908"/>
    <w:rsid w:val="009F0CA0"/>
    <w:rsid w:val="009F0E72"/>
    <w:rsid w:val="009F119A"/>
    <w:rsid w:val="009F1520"/>
    <w:rsid w:val="009F1636"/>
    <w:rsid w:val="009F1BA5"/>
    <w:rsid w:val="009F1C51"/>
    <w:rsid w:val="009F1C98"/>
    <w:rsid w:val="009F1CB7"/>
    <w:rsid w:val="009F1CBF"/>
    <w:rsid w:val="009F1DBE"/>
    <w:rsid w:val="009F1E8E"/>
    <w:rsid w:val="009F1F4A"/>
    <w:rsid w:val="009F1F62"/>
    <w:rsid w:val="009F2426"/>
    <w:rsid w:val="009F2676"/>
    <w:rsid w:val="009F28D9"/>
    <w:rsid w:val="009F2A88"/>
    <w:rsid w:val="009F2B6B"/>
    <w:rsid w:val="009F2BC0"/>
    <w:rsid w:val="009F2C16"/>
    <w:rsid w:val="009F2C4B"/>
    <w:rsid w:val="009F2C53"/>
    <w:rsid w:val="009F2D53"/>
    <w:rsid w:val="009F2DEC"/>
    <w:rsid w:val="009F3640"/>
    <w:rsid w:val="009F3658"/>
    <w:rsid w:val="009F374A"/>
    <w:rsid w:val="009F3814"/>
    <w:rsid w:val="009F3C4F"/>
    <w:rsid w:val="009F3D38"/>
    <w:rsid w:val="009F3F68"/>
    <w:rsid w:val="009F4130"/>
    <w:rsid w:val="009F421A"/>
    <w:rsid w:val="009F4323"/>
    <w:rsid w:val="009F4374"/>
    <w:rsid w:val="009F44A5"/>
    <w:rsid w:val="009F466F"/>
    <w:rsid w:val="009F468A"/>
    <w:rsid w:val="009F46D9"/>
    <w:rsid w:val="009F4769"/>
    <w:rsid w:val="009F4E69"/>
    <w:rsid w:val="009F50AF"/>
    <w:rsid w:val="009F52AE"/>
    <w:rsid w:val="009F548F"/>
    <w:rsid w:val="009F58E8"/>
    <w:rsid w:val="009F5985"/>
    <w:rsid w:val="009F5AB1"/>
    <w:rsid w:val="009F5B05"/>
    <w:rsid w:val="009F5B2E"/>
    <w:rsid w:val="009F5CA3"/>
    <w:rsid w:val="009F5D33"/>
    <w:rsid w:val="009F5D5D"/>
    <w:rsid w:val="009F60E5"/>
    <w:rsid w:val="009F67DC"/>
    <w:rsid w:val="009F6C4F"/>
    <w:rsid w:val="009F6F12"/>
    <w:rsid w:val="009F7043"/>
    <w:rsid w:val="009F705F"/>
    <w:rsid w:val="009F7159"/>
    <w:rsid w:val="009F7341"/>
    <w:rsid w:val="009F7387"/>
    <w:rsid w:val="009F7500"/>
    <w:rsid w:val="009F7536"/>
    <w:rsid w:val="009F75BD"/>
    <w:rsid w:val="009F764A"/>
    <w:rsid w:val="009F7B9E"/>
    <w:rsid w:val="009F7C27"/>
    <w:rsid w:val="009F7D6F"/>
    <w:rsid w:val="009F7DFC"/>
    <w:rsid w:val="009F7DFD"/>
    <w:rsid w:val="00A00211"/>
    <w:rsid w:val="00A006AE"/>
    <w:rsid w:val="00A0086F"/>
    <w:rsid w:val="00A00927"/>
    <w:rsid w:val="00A0093F"/>
    <w:rsid w:val="00A00B0D"/>
    <w:rsid w:val="00A00BA4"/>
    <w:rsid w:val="00A01887"/>
    <w:rsid w:val="00A01C2C"/>
    <w:rsid w:val="00A01CAD"/>
    <w:rsid w:val="00A01E86"/>
    <w:rsid w:val="00A02277"/>
    <w:rsid w:val="00A023E9"/>
    <w:rsid w:val="00A02513"/>
    <w:rsid w:val="00A026E1"/>
    <w:rsid w:val="00A02B46"/>
    <w:rsid w:val="00A02C01"/>
    <w:rsid w:val="00A02FB6"/>
    <w:rsid w:val="00A032B5"/>
    <w:rsid w:val="00A033F3"/>
    <w:rsid w:val="00A036C1"/>
    <w:rsid w:val="00A03829"/>
    <w:rsid w:val="00A03BA8"/>
    <w:rsid w:val="00A03C30"/>
    <w:rsid w:val="00A03C38"/>
    <w:rsid w:val="00A03E4A"/>
    <w:rsid w:val="00A03F98"/>
    <w:rsid w:val="00A0400D"/>
    <w:rsid w:val="00A0425C"/>
    <w:rsid w:val="00A051C2"/>
    <w:rsid w:val="00A05218"/>
    <w:rsid w:val="00A0524C"/>
    <w:rsid w:val="00A052B9"/>
    <w:rsid w:val="00A053B1"/>
    <w:rsid w:val="00A054D6"/>
    <w:rsid w:val="00A05534"/>
    <w:rsid w:val="00A055B4"/>
    <w:rsid w:val="00A0621B"/>
    <w:rsid w:val="00A06323"/>
    <w:rsid w:val="00A06367"/>
    <w:rsid w:val="00A066AE"/>
    <w:rsid w:val="00A0678A"/>
    <w:rsid w:val="00A06A2F"/>
    <w:rsid w:val="00A06A48"/>
    <w:rsid w:val="00A06B4C"/>
    <w:rsid w:val="00A06B8F"/>
    <w:rsid w:val="00A06D74"/>
    <w:rsid w:val="00A07193"/>
    <w:rsid w:val="00A07258"/>
    <w:rsid w:val="00A07398"/>
    <w:rsid w:val="00A0742C"/>
    <w:rsid w:val="00A07526"/>
    <w:rsid w:val="00A07809"/>
    <w:rsid w:val="00A07941"/>
    <w:rsid w:val="00A07B51"/>
    <w:rsid w:val="00A07D8C"/>
    <w:rsid w:val="00A07DCC"/>
    <w:rsid w:val="00A07FE4"/>
    <w:rsid w:val="00A1023C"/>
    <w:rsid w:val="00A1032D"/>
    <w:rsid w:val="00A10497"/>
    <w:rsid w:val="00A106D1"/>
    <w:rsid w:val="00A10890"/>
    <w:rsid w:val="00A10BEF"/>
    <w:rsid w:val="00A10DA1"/>
    <w:rsid w:val="00A10EBA"/>
    <w:rsid w:val="00A10F5F"/>
    <w:rsid w:val="00A11047"/>
    <w:rsid w:val="00A1116F"/>
    <w:rsid w:val="00A111ED"/>
    <w:rsid w:val="00A112CD"/>
    <w:rsid w:val="00A112D4"/>
    <w:rsid w:val="00A11778"/>
    <w:rsid w:val="00A117A4"/>
    <w:rsid w:val="00A11CDF"/>
    <w:rsid w:val="00A11E00"/>
    <w:rsid w:val="00A120B4"/>
    <w:rsid w:val="00A121C4"/>
    <w:rsid w:val="00A1223E"/>
    <w:rsid w:val="00A12271"/>
    <w:rsid w:val="00A12432"/>
    <w:rsid w:val="00A12670"/>
    <w:rsid w:val="00A1289F"/>
    <w:rsid w:val="00A128C5"/>
    <w:rsid w:val="00A12AE6"/>
    <w:rsid w:val="00A12DC1"/>
    <w:rsid w:val="00A12F3C"/>
    <w:rsid w:val="00A1305D"/>
    <w:rsid w:val="00A13541"/>
    <w:rsid w:val="00A137BF"/>
    <w:rsid w:val="00A14010"/>
    <w:rsid w:val="00A1425F"/>
    <w:rsid w:val="00A1460A"/>
    <w:rsid w:val="00A1463E"/>
    <w:rsid w:val="00A14E7F"/>
    <w:rsid w:val="00A1500C"/>
    <w:rsid w:val="00A150CF"/>
    <w:rsid w:val="00A152A8"/>
    <w:rsid w:val="00A153AD"/>
    <w:rsid w:val="00A156EB"/>
    <w:rsid w:val="00A15728"/>
    <w:rsid w:val="00A158F5"/>
    <w:rsid w:val="00A15B6B"/>
    <w:rsid w:val="00A15BD2"/>
    <w:rsid w:val="00A15D69"/>
    <w:rsid w:val="00A161A4"/>
    <w:rsid w:val="00A161A7"/>
    <w:rsid w:val="00A162C4"/>
    <w:rsid w:val="00A16565"/>
    <w:rsid w:val="00A16729"/>
    <w:rsid w:val="00A16774"/>
    <w:rsid w:val="00A16817"/>
    <w:rsid w:val="00A16BBD"/>
    <w:rsid w:val="00A16D54"/>
    <w:rsid w:val="00A16E1D"/>
    <w:rsid w:val="00A16ED2"/>
    <w:rsid w:val="00A171C6"/>
    <w:rsid w:val="00A172F7"/>
    <w:rsid w:val="00A1734E"/>
    <w:rsid w:val="00A17378"/>
    <w:rsid w:val="00A1775F"/>
    <w:rsid w:val="00A1791A"/>
    <w:rsid w:val="00A179B7"/>
    <w:rsid w:val="00A17A8C"/>
    <w:rsid w:val="00A17E30"/>
    <w:rsid w:val="00A17EC2"/>
    <w:rsid w:val="00A20186"/>
    <w:rsid w:val="00A20270"/>
    <w:rsid w:val="00A2029E"/>
    <w:rsid w:val="00A202A0"/>
    <w:rsid w:val="00A2045F"/>
    <w:rsid w:val="00A20A1E"/>
    <w:rsid w:val="00A20ACA"/>
    <w:rsid w:val="00A20BBA"/>
    <w:rsid w:val="00A20C05"/>
    <w:rsid w:val="00A20CAE"/>
    <w:rsid w:val="00A21174"/>
    <w:rsid w:val="00A212D5"/>
    <w:rsid w:val="00A2138C"/>
    <w:rsid w:val="00A21435"/>
    <w:rsid w:val="00A2169A"/>
    <w:rsid w:val="00A218BF"/>
    <w:rsid w:val="00A219E3"/>
    <w:rsid w:val="00A21A1A"/>
    <w:rsid w:val="00A21A85"/>
    <w:rsid w:val="00A21B12"/>
    <w:rsid w:val="00A21B83"/>
    <w:rsid w:val="00A21CEE"/>
    <w:rsid w:val="00A21DDD"/>
    <w:rsid w:val="00A220F4"/>
    <w:rsid w:val="00A2228F"/>
    <w:rsid w:val="00A224EB"/>
    <w:rsid w:val="00A225DD"/>
    <w:rsid w:val="00A22825"/>
    <w:rsid w:val="00A2296E"/>
    <w:rsid w:val="00A22CE3"/>
    <w:rsid w:val="00A22E67"/>
    <w:rsid w:val="00A22E6C"/>
    <w:rsid w:val="00A22F68"/>
    <w:rsid w:val="00A2310D"/>
    <w:rsid w:val="00A234EE"/>
    <w:rsid w:val="00A235EA"/>
    <w:rsid w:val="00A2377F"/>
    <w:rsid w:val="00A2401C"/>
    <w:rsid w:val="00A240F8"/>
    <w:rsid w:val="00A2411E"/>
    <w:rsid w:val="00A241C1"/>
    <w:rsid w:val="00A2423C"/>
    <w:rsid w:val="00A24243"/>
    <w:rsid w:val="00A245EB"/>
    <w:rsid w:val="00A2462E"/>
    <w:rsid w:val="00A24AA4"/>
    <w:rsid w:val="00A24B99"/>
    <w:rsid w:val="00A24BDC"/>
    <w:rsid w:val="00A24CE4"/>
    <w:rsid w:val="00A24DB6"/>
    <w:rsid w:val="00A24E4E"/>
    <w:rsid w:val="00A24FF3"/>
    <w:rsid w:val="00A25799"/>
    <w:rsid w:val="00A2591D"/>
    <w:rsid w:val="00A25931"/>
    <w:rsid w:val="00A259D7"/>
    <w:rsid w:val="00A25D2A"/>
    <w:rsid w:val="00A262CC"/>
    <w:rsid w:val="00A26551"/>
    <w:rsid w:val="00A265AF"/>
    <w:rsid w:val="00A2665B"/>
    <w:rsid w:val="00A266C8"/>
    <w:rsid w:val="00A267DE"/>
    <w:rsid w:val="00A26905"/>
    <w:rsid w:val="00A26AEB"/>
    <w:rsid w:val="00A26BCD"/>
    <w:rsid w:val="00A26D2C"/>
    <w:rsid w:val="00A26DC5"/>
    <w:rsid w:val="00A26EBC"/>
    <w:rsid w:val="00A26F76"/>
    <w:rsid w:val="00A27114"/>
    <w:rsid w:val="00A27351"/>
    <w:rsid w:val="00A2736C"/>
    <w:rsid w:val="00A27532"/>
    <w:rsid w:val="00A2762A"/>
    <w:rsid w:val="00A27863"/>
    <w:rsid w:val="00A27867"/>
    <w:rsid w:val="00A3016D"/>
    <w:rsid w:val="00A3018B"/>
    <w:rsid w:val="00A30233"/>
    <w:rsid w:val="00A30254"/>
    <w:rsid w:val="00A30C94"/>
    <w:rsid w:val="00A30CE1"/>
    <w:rsid w:val="00A30D4C"/>
    <w:rsid w:val="00A3114A"/>
    <w:rsid w:val="00A313F6"/>
    <w:rsid w:val="00A3158C"/>
    <w:rsid w:val="00A31B34"/>
    <w:rsid w:val="00A31CBF"/>
    <w:rsid w:val="00A32373"/>
    <w:rsid w:val="00A325A1"/>
    <w:rsid w:val="00A325FA"/>
    <w:rsid w:val="00A32627"/>
    <w:rsid w:val="00A32BCC"/>
    <w:rsid w:val="00A32D92"/>
    <w:rsid w:val="00A32F03"/>
    <w:rsid w:val="00A32F18"/>
    <w:rsid w:val="00A32F67"/>
    <w:rsid w:val="00A32FB8"/>
    <w:rsid w:val="00A33053"/>
    <w:rsid w:val="00A33206"/>
    <w:rsid w:val="00A3325E"/>
    <w:rsid w:val="00A33287"/>
    <w:rsid w:val="00A33367"/>
    <w:rsid w:val="00A33517"/>
    <w:rsid w:val="00A3377E"/>
    <w:rsid w:val="00A338A2"/>
    <w:rsid w:val="00A339A1"/>
    <w:rsid w:val="00A33C77"/>
    <w:rsid w:val="00A34422"/>
    <w:rsid w:val="00A3481D"/>
    <w:rsid w:val="00A34822"/>
    <w:rsid w:val="00A3488B"/>
    <w:rsid w:val="00A349FD"/>
    <w:rsid w:val="00A35216"/>
    <w:rsid w:val="00A35383"/>
    <w:rsid w:val="00A35A3D"/>
    <w:rsid w:val="00A35CA2"/>
    <w:rsid w:val="00A35D9F"/>
    <w:rsid w:val="00A3608F"/>
    <w:rsid w:val="00A3609E"/>
    <w:rsid w:val="00A363B8"/>
    <w:rsid w:val="00A364CC"/>
    <w:rsid w:val="00A36773"/>
    <w:rsid w:val="00A3683B"/>
    <w:rsid w:val="00A36C97"/>
    <w:rsid w:val="00A36D4E"/>
    <w:rsid w:val="00A36E57"/>
    <w:rsid w:val="00A36FB5"/>
    <w:rsid w:val="00A36FD6"/>
    <w:rsid w:val="00A370C5"/>
    <w:rsid w:val="00A37541"/>
    <w:rsid w:val="00A37607"/>
    <w:rsid w:val="00A37837"/>
    <w:rsid w:val="00A378F8"/>
    <w:rsid w:val="00A37B1D"/>
    <w:rsid w:val="00A37B42"/>
    <w:rsid w:val="00A37FB3"/>
    <w:rsid w:val="00A40003"/>
    <w:rsid w:val="00A40107"/>
    <w:rsid w:val="00A401A7"/>
    <w:rsid w:val="00A40338"/>
    <w:rsid w:val="00A404A5"/>
    <w:rsid w:val="00A404F5"/>
    <w:rsid w:val="00A40501"/>
    <w:rsid w:val="00A406A7"/>
    <w:rsid w:val="00A40822"/>
    <w:rsid w:val="00A408AA"/>
    <w:rsid w:val="00A40A5E"/>
    <w:rsid w:val="00A40C97"/>
    <w:rsid w:val="00A40D9C"/>
    <w:rsid w:val="00A4112C"/>
    <w:rsid w:val="00A411CC"/>
    <w:rsid w:val="00A41405"/>
    <w:rsid w:val="00A414FC"/>
    <w:rsid w:val="00A415EA"/>
    <w:rsid w:val="00A41681"/>
    <w:rsid w:val="00A41783"/>
    <w:rsid w:val="00A417F1"/>
    <w:rsid w:val="00A41829"/>
    <w:rsid w:val="00A41B67"/>
    <w:rsid w:val="00A41BAD"/>
    <w:rsid w:val="00A41D07"/>
    <w:rsid w:val="00A42010"/>
    <w:rsid w:val="00A42204"/>
    <w:rsid w:val="00A42303"/>
    <w:rsid w:val="00A42535"/>
    <w:rsid w:val="00A42944"/>
    <w:rsid w:val="00A4296F"/>
    <w:rsid w:val="00A43059"/>
    <w:rsid w:val="00A431D2"/>
    <w:rsid w:val="00A431D8"/>
    <w:rsid w:val="00A431FF"/>
    <w:rsid w:val="00A43291"/>
    <w:rsid w:val="00A432DD"/>
    <w:rsid w:val="00A43534"/>
    <w:rsid w:val="00A43606"/>
    <w:rsid w:val="00A436F5"/>
    <w:rsid w:val="00A43988"/>
    <w:rsid w:val="00A43B69"/>
    <w:rsid w:val="00A43B77"/>
    <w:rsid w:val="00A43BEA"/>
    <w:rsid w:val="00A43C41"/>
    <w:rsid w:val="00A43DCE"/>
    <w:rsid w:val="00A43E08"/>
    <w:rsid w:val="00A43E99"/>
    <w:rsid w:val="00A43F2B"/>
    <w:rsid w:val="00A43FCC"/>
    <w:rsid w:val="00A441EF"/>
    <w:rsid w:val="00A442F3"/>
    <w:rsid w:val="00A444C3"/>
    <w:rsid w:val="00A44769"/>
    <w:rsid w:val="00A44861"/>
    <w:rsid w:val="00A44928"/>
    <w:rsid w:val="00A44A7B"/>
    <w:rsid w:val="00A45062"/>
    <w:rsid w:val="00A4512B"/>
    <w:rsid w:val="00A452E0"/>
    <w:rsid w:val="00A457A6"/>
    <w:rsid w:val="00A45A32"/>
    <w:rsid w:val="00A45D1B"/>
    <w:rsid w:val="00A45DE5"/>
    <w:rsid w:val="00A46463"/>
    <w:rsid w:val="00A464D6"/>
    <w:rsid w:val="00A46606"/>
    <w:rsid w:val="00A467A7"/>
    <w:rsid w:val="00A468FC"/>
    <w:rsid w:val="00A46936"/>
    <w:rsid w:val="00A4694B"/>
    <w:rsid w:val="00A469B9"/>
    <w:rsid w:val="00A46B20"/>
    <w:rsid w:val="00A46CB9"/>
    <w:rsid w:val="00A46D8D"/>
    <w:rsid w:val="00A46F6C"/>
    <w:rsid w:val="00A46FF4"/>
    <w:rsid w:val="00A47021"/>
    <w:rsid w:val="00A47045"/>
    <w:rsid w:val="00A4734C"/>
    <w:rsid w:val="00A473AA"/>
    <w:rsid w:val="00A47507"/>
    <w:rsid w:val="00A4764A"/>
    <w:rsid w:val="00A476F2"/>
    <w:rsid w:val="00A47877"/>
    <w:rsid w:val="00A4787A"/>
    <w:rsid w:val="00A47DA1"/>
    <w:rsid w:val="00A47DC0"/>
    <w:rsid w:val="00A50050"/>
    <w:rsid w:val="00A500BE"/>
    <w:rsid w:val="00A5048B"/>
    <w:rsid w:val="00A5050A"/>
    <w:rsid w:val="00A50633"/>
    <w:rsid w:val="00A506FA"/>
    <w:rsid w:val="00A50906"/>
    <w:rsid w:val="00A5098A"/>
    <w:rsid w:val="00A50C14"/>
    <w:rsid w:val="00A50C35"/>
    <w:rsid w:val="00A50C41"/>
    <w:rsid w:val="00A50C8D"/>
    <w:rsid w:val="00A50D6D"/>
    <w:rsid w:val="00A50EA4"/>
    <w:rsid w:val="00A50F2B"/>
    <w:rsid w:val="00A514B7"/>
    <w:rsid w:val="00A517C2"/>
    <w:rsid w:val="00A51901"/>
    <w:rsid w:val="00A51A15"/>
    <w:rsid w:val="00A51F12"/>
    <w:rsid w:val="00A52460"/>
    <w:rsid w:val="00A527CF"/>
    <w:rsid w:val="00A52CB7"/>
    <w:rsid w:val="00A52DE1"/>
    <w:rsid w:val="00A52ED8"/>
    <w:rsid w:val="00A535C1"/>
    <w:rsid w:val="00A5378F"/>
    <w:rsid w:val="00A538A2"/>
    <w:rsid w:val="00A53A21"/>
    <w:rsid w:val="00A53C18"/>
    <w:rsid w:val="00A53CA3"/>
    <w:rsid w:val="00A53FE0"/>
    <w:rsid w:val="00A54151"/>
    <w:rsid w:val="00A5418D"/>
    <w:rsid w:val="00A544B6"/>
    <w:rsid w:val="00A544DE"/>
    <w:rsid w:val="00A5458E"/>
    <w:rsid w:val="00A54824"/>
    <w:rsid w:val="00A548D1"/>
    <w:rsid w:val="00A54A97"/>
    <w:rsid w:val="00A54C15"/>
    <w:rsid w:val="00A54C53"/>
    <w:rsid w:val="00A54F57"/>
    <w:rsid w:val="00A5507A"/>
    <w:rsid w:val="00A55696"/>
    <w:rsid w:val="00A5589A"/>
    <w:rsid w:val="00A55944"/>
    <w:rsid w:val="00A55C21"/>
    <w:rsid w:val="00A55D3D"/>
    <w:rsid w:val="00A55D89"/>
    <w:rsid w:val="00A55E91"/>
    <w:rsid w:val="00A56286"/>
    <w:rsid w:val="00A5651B"/>
    <w:rsid w:val="00A56824"/>
    <w:rsid w:val="00A56B4A"/>
    <w:rsid w:val="00A56F4F"/>
    <w:rsid w:val="00A5708E"/>
    <w:rsid w:val="00A57631"/>
    <w:rsid w:val="00A578EB"/>
    <w:rsid w:val="00A57AA3"/>
    <w:rsid w:val="00A57B4F"/>
    <w:rsid w:val="00A57C8B"/>
    <w:rsid w:val="00A57CA4"/>
    <w:rsid w:val="00A57E35"/>
    <w:rsid w:val="00A57EAD"/>
    <w:rsid w:val="00A57EFA"/>
    <w:rsid w:val="00A57F26"/>
    <w:rsid w:val="00A6006A"/>
    <w:rsid w:val="00A60191"/>
    <w:rsid w:val="00A604B8"/>
    <w:rsid w:val="00A608DE"/>
    <w:rsid w:val="00A6098A"/>
    <w:rsid w:val="00A60AC0"/>
    <w:rsid w:val="00A60BA3"/>
    <w:rsid w:val="00A60C2E"/>
    <w:rsid w:val="00A60CD2"/>
    <w:rsid w:val="00A61049"/>
    <w:rsid w:val="00A611C9"/>
    <w:rsid w:val="00A61758"/>
    <w:rsid w:val="00A61832"/>
    <w:rsid w:val="00A6188A"/>
    <w:rsid w:val="00A61B05"/>
    <w:rsid w:val="00A61E95"/>
    <w:rsid w:val="00A61F25"/>
    <w:rsid w:val="00A61FF9"/>
    <w:rsid w:val="00A62092"/>
    <w:rsid w:val="00A620FF"/>
    <w:rsid w:val="00A626FF"/>
    <w:rsid w:val="00A62711"/>
    <w:rsid w:val="00A6272A"/>
    <w:rsid w:val="00A627D1"/>
    <w:rsid w:val="00A6284A"/>
    <w:rsid w:val="00A6291F"/>
    <w:rsid w:val="00A629FF"/>
    <w:rsid w:val="00A62B96"/>
    <w:rsid w:val="00A62CF6"/>
    <w:rsid w:val="00A62E8F"/>
    <w:rsid w:val="00A62FE4"/>
    <w:rsid w:val="00A6309D"/>
    <w:rsid w:val="00A631AE"/>
    <w:rsid w:val="00A632DB"/>
    <w:rsid w:val="00A63406"/>
    <w:rsid w:val="00A63801"/>
    <w:rsid w:val="00A63A9E"/>
    <w:rsid w:val="00A63B76"/>
    <w:rsid w:val="00A63C44"/>
    <w:rsid w:val="00A63F0F"/>
    <w:rsid w:val="00A64020"/>
    <w:rsid w:val="00A64220"/>
    <w:rsid w:val="00A6426B"/>
    <w:rsid w:val="00A642C7"/>
    <w:rsid w:val="00A64335"/>
    <w:rsid w:val="00A64373"/>
    <w:rsid w:val="00A643C6"/>
    <w:rsid w:val="00A643D5"/>
    <w:rsid w:val="00A644CF"/>
    <w:rsid w:val="00A6458A"/>
    <w:rsid w:val="00A646F0"/>
    <w:rsid w:val="00A6498D"/>
    <w:rsid w:val="00A64A72"/>
    <w:rsid w:val="00A64B99"/>
    <w:rsid w:val="00A64C5B"/>
    <w:rsid w:val="00A64E4C"/>
    <w:rsid w:val="00A64E97"/>
    <w:rsid w:val="00A64EC1"/>
    <w:rsid w:val="00A64FC8"/>
    <w:rsid w:val="00A6500D"/>
    <w:rsid w:val="00A65028"/>
    <w:rsid w:val="00A654B2"/>
    <w:rsid w:val="00A657CD"/>
    <w:rsid w:val="00A6587F"/>
    <w:rsid w:val="00A658B5"/>
    <w:rsid w:val="00A65B33"/>
    <w:rsid w:val="00A65DD4"/>
    <w:rsid w:val="00A65EF9"/>
    <w:rsid w:val="00A65F52"/>
    <w:rsid w:val="00A65F85"/>
    <w:rsid w:val="00A660ED"/>
    <w:rsid w:val="00A66131"/>
    <w:rsid w:val="00A661DC"/>
    <w:rsid w:val="00A66226"/>
    <w:rsid w:val="00A66583"/>
    <w:rsid w:val="00A6661F"/>
    <w:rsid w:val="00A66AD8"/>
    <w:rsid w:val="00A66D51"/>
    <w:rsid w:val="00A676DC"/>
    <w:rsid w:val="00A677ED"/>
    <w:rsid w:val="00A67823"/>
    <w:rsid w:val="00A67BA6"/>
    <w:rsid w:val="00A67D07"/>
    <w:rsid w:val="00A67FF0"/>
    <w:rsid w:val="00A7007C"/>
    <w:rsid w:val="00A70114"/>
    <w:rsid w:val="00A70337"/>
    <w:rsid w:val="00A7034E"/>
    <w:rsid w:val="00A703FE"/>
    <w:rsid w:val="00A704CD"/>
    <w:rsid w:val="00A70607"/>
    <w:rsid w:val="00A7076E"/>
    <w:rsid w:val="00A70807"/>
    <w:rsid w:val="00A709AB"/>
    <w:rsid w:val="00A70C8D"/>
    <w:rsid w:val="00A70CA2"/>
    <w:rsid w:val="00A70FCF"/>
    <w:rsid w:val="00A71080"/>
    <w:rsid w:val="00A7152D"/>
    <w:rsid w:val="00A71679"/>
    <w:rsid w:val="00A71E1B"/>
    <w:rsid w:val="00A71E7F"/>
    <w:rsid w:val="00A71F5B"/>
    <w:rsid w:val="00A72014"/>
    <w:rsid w:val="00A72033"/>
    <w:rsid w:val="00A7215E"/>
    <w:rsid w:val="00A7237F"/>
    <w:rsid w:val="00A72436"/>
    <w:rsid w:val="00A72480"/>
    <w:rsid w:val="00A7252A"/>
    <w:rsid w:val="00A7268D"/>
    <w:rsid w:val="00A7287E"/>
    <w:rsid w:val="00A72AD0"/>
    <w:rsid w:val="00A72C17"/>
    <w:rsid w:val="00A72F95"/>
    <w:rsid w:val="00A72F9E"/>
    <w:rsid w:val="00A72FA0"/>
    <w:rsid w:val="00A73066"/>
    <w:rsid w:val="00A732BF"/>
    <w:rsid w:val="00A733B7"/>
    <w:rsid w:val="00A73734"/>
    <w:rsid w:val="00A73812"/>
    <w:rsid w:val="00A73AD1"/>
    <w:rsid w:val="00A73AFD"/>
    <w:rsid w:val="00A73BAC"/>
    <w:rsid w:val="00A73C59"/>
    <w:rsid w:val="00A73D0F"/>
    <w:rsid w:val="00A73EF2"/>
    <w:rsid w:val="00A7415D"/>
    <w:rsid w:val="00A74165"/>
    <w:rsid w:val="00A7416E"/>
    <w:rsid w:val="00A741CE"/>
    <w:rsid w:val="00A741F3"/>
    <w:rsid w:val="00A74385"/>
    <w:rsid w:val="00A743C7"/>
    <w:rsid w:val="00A7453D"/>
    <w:rsid w:val="00A7463E"/>
    <w:rsid w:val="00A746BE"/>
    <w:rsid w:val="00A74AAA"/>
    <w:rsid w:val="00A74C85"/>
    <w:rsid w:val="00A74CD2"/>
    <w:rsid w:val="00A74D6D"/>
    <w:rsid w:val="00A74EE0"/>
    <w:rsid w:val="00A75367"/>
    <w:rsid w:val="00A756F3"/>
    <w:rsid w:val="00A75914"/>
    <w:rsid w:val="00A7594C"/>
    <w:rsid w:val="00A75C51"/>
    <w:rsid w:val="00A75CCE"/>
    <w:rsid w:val="00A75DD3"/>
    <w:rsid w:val="00A7603F"/>
    <w:rsid w:val="00A76621"/>
    <w:rsid w:val="00A7676A"/>
    <w:rsid w:val="00A76B92"/>
    <w:rsid w:val="00A76C7A"/>
    <w:rsid w:val="00A76C9D"/>
    <w:rsid w:val="00A76D9A"/>
    <w:rsid w:val="00A76FF8"/>
    <w:rsid w:val="00A77098"/>
    <w:rsid w:val="00A770AB"/>
    <w:rsid w:val="00A77532"/>
    <w:rsid w:val="00A77597"/>
    <w:rsid w:val="00A7767A"/>
    <w:rsid w:val="00A776DD"/>
    <w:rsid w:val="00A777AB"/>
    <w:rsid w:val="00A77898"/>
    <w:rsid w:val="00A778CD"/>
    <w:rsid w:val="00A77A55"/>
    <w:rsid w:val="00A77FA9"/>
    <w:rsid w:val="00A80175"/>
    <w:rsid w:val="00A801C1"/>
    <w:rsid w:val="00A80214"/>
    <w:rsid w:val="00A8029B"/>
    <w:rsid w:val="00A80330"/>
    <w:rsid w:val="00A8034D"/>
    <w:rsid w:val="00A8048A"/>
    <w:rsid w:val="00A804F7"/>
    <w:rsid w:val="00A8066C"/>
    <w:rsid w:val="00A80673"/>
    <w:rsid w:val="00A80747"/>
    <w:rsid w:val="00A8087E"/>
    <w:rsid w:val="00A80C6D"/>
    <w:rsid w:val="00A80E07"/>
    <w:rsid w:val="00A80E7F"/>
    <w:rsid w:val="00A80F12"/>
    <w:rsid w:val="00A81333"/>
    <w:rsid w:val="00A817C1"/>
    <w:rsid w:val="00A8196E"/>
    <w:rsid w:val="00A819BF"/>
    <w:rsid w:val="00A81A3D"/>
    <w:rsid w:val="00A81ACE"/>
    <w:rsid w:val="00A81DCF"/>
    <w:rsid w:val="00A81DE3"/>
    <w:rsid w:val="00A81EFE"/>
    <w:rsid w:val="00A82001"/>
    <w:rsid w:val="00A82174"/>
    <w:rsid w:val="00A82870"/>
    <w:rsid w:val="00A828D9"/>
    <w:rsid w:val="00A82982"/>
    <w:rsid w:val="00A82C75"/>
    <w:rsid w:val="00A82F5A"/>
    <w:rsid w:val="00A82F90"/>
    <w:rsid w:val="00A830AF"/>
    <w:rsid w:val="00A83214"/>
    <w:rsid w:val="00A8321C"/>
    <w:rsid w:val="00A834BC"/>
    <w:rsid w:val="00A83588"/>
    <w:rsid w:val="00A83CE6"/>
    <w:rsid w:val="00A84086"/>
    <w:rsid w:val="00A843D6"/>
    <w:rsid w:val="00A84607"/>
    <w:rsid w:val="00A846FC"/>
    <w:rsid w:val="00A848AF"/>
    <w:rsid w:val="00A84A20"/>
    <w:rsid w:val="00A84EA4"/>
    <w:rsid w:val="00A84ED6"/>
    <w:rsid w:val="00A8506E"/>
    <w:rsid w:val="00A8517E"/>
    <w:rsid w:val="00A8531F"/>
    <w:rsid w:val="00A85369"/>
    <w:rsid w:val="00A854E3"/>
    <w:rsid w:val="00A855B8"/>
    <w:rsid w:val="00A859AF"/>
    <w:rsid w:val="00A859E0"/>
    <w:rsid w:val="00A85A22"/>
    <w:rsid w:val="00A85A30"/>
    <w:rsid w:val="00A85ACF"/>
    <w:rsid w:val="00A85C36"/>
    <w:rsid w:val="00A85C59"/>
    <w:rsid w:val="00A85FE8"/>
    <w:rsid w:val="00A863D6"/>
    <w:rsid w:val="00A8656F"/>
    <w:rsid w:val="00A865AF"/>
    <w:rsid w:val="00A86698"/>
    <w:rsid w:val="00A86847"/>
    <w:rsid w:val="00A86B91"/>
    <w:rsid w:val="00A86D92"/>
    <w:rsid w:val="00A86E16"/>
    <w:rsid w:val="00A86F26"/>
    <w:rsid w:val="00A86FE5"/>
    <w:rsid w:val="00A872A2"/>
    <w:rsid w:val="00A8735A"/>
    <w:rsid w:val="00A87494"/>
    <w:rsid w:val="00A8751C"/>
    <w:rsid w:val="00A8768E"/>
    <w:rsid w:val="00A878A9"/>
    <w:rsid w:val="00A879AF"/>
    <w:rsid w:val="00A87DB2"/>
    <w:rsid w:val="00A87FEA"/>
    <w:rsid w:val="00A90466"/>
    <w:rsid w:val="00A90489"/>
    <w:rsid w:val="00A904B2"/>
    <w:rsid w:val="00A905C5"/>
    <w:rsid w:val="00A90755"/>
    <w:rsid w:val="00A90972"/>
    <w:rsid w:val="00A90C97"/>
    <w:rsid w:val="00A91163"/>
    <w:rsid w:val="00A91208"/>
    <w:rsid w:val="00A91251"/>
    <w:rsid w:val="00A9158E"/>
    <w:rsid w:val="00A91DE2"/>
    <w:rsid w:val="00A91DEE"/>
    <w:rsid w:val="00A91F9E"/>
    <w:rsid w:val="00A9202D"/>
    <w:rsid w:val="00A920FC"/>
    <w:rsid w:val="00A924A0"/>
    <w:rsid w:val="00A92539"/>
    <w:rsid w:val="00A9253F"/>
    <w:rsid w:val="00A928FE"/>
    <w:rsid w:val="00A92D67"/>
    <w:rsid w:val="00A92EE5"/>
    <w:rsid w:val="00A9306D"/>
    <w:rsid w:val="00A93160"/>
    <w:rsid w:val="00A93315"/>
    <w:rsid w:val="00A935C2"/>
    <w:rsid w:val="00A93648"/>
    <w:rsid w:val="00A936B8"/>
    <w:rsid w:val="00A93DD6"/>
    <w:rsid w:val="00A93ECA"/>
    <w:rsid w:val="00A93FA0"/>
    <w:rsid w:val="00A9406A"/>
    <w:rsid w:val="00A94121"/>
    <w:rsid w:val="00A94157"/>
    <w:rsid w:val="00A942AA"/>
    <w:rsid w:val="00A9431C"/>
    <w:rsid w:val="00A94366"/>
    <w:rsid w:val="00A9438E"/>
    <w:rsid w:val="00A94441"/>
    <w:rsid w:val="00A944C0"/>
    <w:rsid w:val="00A94B33"/>
    <w:rsid w:val="00A94BF0"/>
    <w:rsid w:val="00A94D3E"/>
    <w:rsid w:val="00A94E28"/>
    <w:rsid w:val="00A95090"/>
    <w:rsid w:val="00A95370"/>
    <w:rsid w:val="00A95467"/>
    <w:rsid w:val="00A95599"/>
    <w:rsid w:val="00A95AD0"/>
    <w:rsid w:val="00A95CBF"/>
    <w:rsid w:val="00A95EB0"/>
    <w:rsid w:val="00A95FDA"/>
    <w:rsid w:val="00A96237"/>
    <w:rsid w:val="00A96425"/>
    <w:rsid w:val="00A96475"/>
    <w:rsid w:val="00A964BE"/>
    <w:rsid w:val="00A96550"/>
    <w:rsid w:val="00A9666E"/>
    <w:rsid w:val="00A96691"/>
    <w:rsid w:val="00A96829"/>
    <w:rsid w:val="00A96A06"/>
    <w:rsid w:val="00A96D77"/>
    <w:rsid w:val="00A96E81"/>
    <w:rsid w:val="00A97396"/>
    <w:rsid w:val="00A97601"/>
    <w:rsid w:val="00A976B5"/>
    <w:rsid w:val="00A97945"/>
    <w:rsid w:val="00A97F85"/>
    <w:rsid w:val="00A97FD6"/>
    <w:rsid w:val="00AA004E"/>
    <w:rsid w:val="00AA020A"/>
    <w:rsid w:val="00AA08CF"/>
    <w:rsid w:val="00AA0945"/>
    <w:rsid w:val="00AA0C1C"/>
    <w:rsid w:val="00AA0C2C"/>
    <w:rsid w:val="00AA0E49"/>
    <w:rsid w:val="00AA0E8F"/>
    <w:rsid w:val="00AA0E99"/>
    <w:rsid w:val="00AA0FDE"/>
    <w:rsid w:val="00AA1154"/>
    <w:rsid w:val="00AA1185"/>
    <w:rsid w:val="00AA139D"/>
    <w:rsid w:val="00AA140E"/>
    <w:rsid w:val="00AA142C"/>
    <w:rsid w:val="00AA1527"/>
    <w:rsid w:val="00AA1A02"/>
    <w:rsid w:val="00AA1B76"/>
    <w:rsid w:val="00AA1CFB"/>
    <w:rsid w:val="00AA1D69"/>
    <w:rsid w:val="00AA21D2"/>
    <w:rsid w:val="00AA2612"/>
    <w:rsid w:val="00AA2B5B"/>
    <w:rsid w:val="00AA2B7F"/>
    <w:rsid w:val="00AA2B8B"/>
    <w:rsid w:val="00AA2BCC"/>
    <w:rsid w:val="00AA2C9D"/>
    <w:rsid w:val="00AA2DC6"/>
    <w:rsid w:val="00AA3084"/>
    <w:rsid w:val="00AA31C2"/>
    <w:rsid w:val="00AA340E"/>
    <w:rsid w:val="00AA356A"/>
    <w:rsid w:val="00AA360C"/>
    <w:rsid w:val="00AA37D8"/>
    <w:rsid w:val="00AA3928"/>
    <w:rsid w:val="00AA39FF"/>
    <w:rsid w:val="00AA3ACC"/>
    <w:rsid w:val="00AA3B0B"/>
    <w:rsid w:val="00AA3B93"/>
    <w:rsid w:val="00AA3C94"/>
    <w:rsid w:val="00AA3CB4"/>
    <w:rsid w:val="00AA3E9C"/>
    <w:rsid w:val="00AA42DF"/>
    <w:rsid w:val="00AA449C"/>
    <w:rsid w:val="00AA4848"/>
    <w:rsid w:val="00AA4AD6"/>
    <w:rsid w:val="00AA4C55"/>
    <w:rsid w:val="00AA4CDF"/>
    <w:rsid w:val="00AA4ECC"/>
    <w:rsid w:val="00AA534D"/>
    <w:rsid w:val="00AA5370"/>
    <w:rsid w:val="00AA541D"/>
    <w:rsid w:val="00AA562A"/>
    <w:rsid w:val="00AA5C46"/>
    <w:rsid w:val="00AA5C84"/>
    <w:rsid w:val="00AA5DE6"/>
    <w:rsid w:val="00AA63B5"/>
    <w:rsid w:val="00AA6581"/>
    <w:rsid w:val="00AA665E"/>
    <w:rsid w:val="00AA6686"/>
    <w:rsid w:val="00AA6700"/>
    <w:rsid w:val="00AA6D34"/>
    <w:rsid w:val="00AA724B"/>
    <w:rsid w:val="00AA73D3"/>
    <w:rsid w:val="00AA7526"/>
    <w:rsid w:val="00AA7B1E"/>
    <w:rsid w:val="00AA7C39"/>
    <w:rsid w:val="00AA7DD4"/>
    <w:rsid w:val="00AA7E9D"/>
    <w:rsid w:val="00AA7FEB"/>
    <w:rsid w:val="00AB0045"/>
    <w:rsid w:val="00AB00D7"/>
    <w:rsid w:val="00AB0307"/>
    <w:rsid w:val="00AB0309"/>
    <w:rsid w:val="00AB03CD"/>
    <w:rsid w:val="00AB048E"/>
    <w:rsid w:val="00AB0864"/>
    <w:rsid w:val="00AB08A0"/>
    <w:rsid w:val="00AB0BC9"/>
    <w:rsid w:val="00AB0C1C"/>
    <w:rsid w:val="00AB0CCE"/>
    <w:rsid w:val="00AB0D1D"/>
    <w:rsid w:val="00AB0E26"/>
    <w:rsid w:val="00AB0ECC"/>
    <w:rsid w:val="00AB1099"/>
    <w:rsid w:val="00AB137D"/>
    <w:rsid w:val="00AB168D"/>
    <w:rsid w:val="00AB16A6"/>
    <w:rsid w:val="00AB1997"/>
    <w:rsid w:val="00AB1BCF"/>
    <w:rsid w:val="00AB1D84"/>
    <w:rsid w:val="00AB1DA1"/>
    <w:rsid w:val="00AB1F22"/>
    <w:rsid w:val="00AB2036"/>
    <w:rsid w:val="00AB2137"/>
    <w:rsid w:val="00AB2297"/>
    <w:rsid w:val="00AB26F4"/>
    <w:rsid w:val="00AB2706"/>
    <w:rsid w:val="00AB276D"/>
    <w:rsid w:val="00AB284D"/>
    <w:rsid w:val="00AB2982"/>
    <w:rsid w:val="00AB2A6A"/>
    <w:rsid w:val="00AB2CA4"/>
    <w:rsid w:val="00AB305B"/>
    <w:rsid w:val="00AB3212"/>
    <w:rsid w:val="00AB35FA"/>
    <w:rsid w:val="00AB3928"/>
    <w:rsid w:val="00AB3AE5"/>
    <w:rsid w:val="00AB3C59"/>
    <w:rsid w:val="00AB3E4E"/>
    <w:rsid w:val="00AB3FE0"/>
    <w:rsid w:val="00AB412F"/>
    <w:rsid w:val="00AB42C8"/>
    <w:rsid w:val="00AB443C"/>
    <w:rsid w:val="00AB46A5"/>
    <w:rsid w:val="00AB49DD"/>
    <w:rsid w:val="00AB4B1E"/>
    <w:rsid w:val="00AB4B5B"/>
    <w:rsid w:val="00AB4C4F"/>
    <w:rsid w:val="00AB4EDD"/>
    <w:rsid w:val="00AB5169"/>
    <w:rsid w:val="00AB53A8"/>
    <w:rsid w:val="00AB5417"/>
    <w:rsid w:val="00AB5658"/>
    <w:rsid w:val="00AB5805"/>
    <w:rsid w:val="00AB581B"/>
    <w:rsid w:val="00AB58E3"/>
    <w:rsid w:val="00AB5A99"/>
    <w:rsid w:val="00AB5DFF"/>
    <w:rsid w:val="00AB5E6A"/>
    <w:rsid w:val="00AB5ED2"/>
    <w:rsid w:val="00AB5F7B"/>
    <w:rsid w:val="00AB5FEF"/>
    <w:rsid w:val="00AB6099"/>
    <w:rsid w:val="00AB650E"/>
    <w:rsid w:val="00AB6623"/>
    <w:rsid w:val="00AB662B"/>
    <w:rsid w:val="00AB69A2"/>
    <w:rsid w:val="00AB6AC6"/>
    <w:rsid w:val="00AB6ACB"/>
    <w:rsid w:val="00AB6AD3"/>
    <w:rsid w:val="00AB6BFD"/>
    <w:rsid w:val="00AB6F22"/>
    <w:rsid w:val="00AB6FD4"/>
    <w:rsid w:val="00AB71B3"/>
    <w:rsid w:val="00AB726B"/>
    <w:rsid w:val="00AB74A5"/>
    <w:rsid w:val="00AB753A"/>
    <w:rsid w:val="00AB758D"/>
    <w:rsid w:val="00AB79F5"/>
    <w:rsid w:val="00AB7A8D"/>
    <w:rsid w:val="00AB7BEA"/>
    <w:rsid w:val="00AB7DE3"/>
    <w:rsid w:val="00AC0051"/>
    <w:rsid w:val="00AC019E"/>
    <w:rsid w:val="00AC0B30"/>
    <w:rsid w:val="00AC0C70"/>
    <w:rsid w:val="00AC0C95"/>
    <w:rsid w:val="00AC0D0C"/>
    <w:rsid w:val="00AC0D0D"/>
    <w:rsid w:val="00AC0E8F"/>
    <w:rsid w:val="00AC0EBA"/>
    <w:rsid w:val="00AC0FDA"/>
    <w:rsid w:val="00AC0FF3"/>
    <w:rsid w:val="00AC10BC"/>
    <w:rsid w:val="00AC147A"/>
    <w:rsid w:val="00AC1553"/>
    <w:rsid w:val="00AC1609"/>
    <w:rsid w:val="00AC17AE"/>
    <w:rsid w:val="00AC1825"/>
    <w:rsid w:val="00AC187D"/>
    <w:rsid w:val="00AC1A54"/>
    <w:rsid w:val="00AC1BAE"/>
    <w:rsid w:val="00AC1E11"/>
    <w:rsid w:val="00AC1EBC"/>
    <w:rsid w:val="00AC2129"/>
    <w:rsid w:val="00AC2963"/>
    <w:rsid w:val="00AC2B0A"/>
    <w:rsid w:val="00AC2E90"/>
    <w:rsid w:val="00AC2F42"/>
    <w:rsid w:val="00AC2F4E"/>
    <w:rsid w:val="00AC2F5C"/>
    <w:rsid w:val="00AC3315"/>
    <w:rsid w:val="00AC342E"/>
    <w:rsid w:val="00AC34CC"/>
    <w:rsid w:val="00AC35CF"/>
    <w:rsid w:val="00AC35FC"/>
    <w:rsid w:val="00AC38C8"/>
    <w:rsid w:val="00AC3910"/>
    <w:rsid w:val="00AC3932"/>
    <w:rsid w:val="00AC39FC"/>
    <w:rsid w:val="00AC3B1F"/>
    <w:rsid w:val="00AC3CD5"/>
    <w:rsid w:val="00AC3FE6"/>
    <w:rsid w:val="00AC4086"/>
    <w:rsid w:val="00AC4105"/>
    <w:rsid w:val="00AC41FF"/>
    <w:rsid w:val="00AC4354"/>
    <w:rsid w:val="00AC46A4"/>
    <w:rsid w:val="00AC46F9"/>
    <w:rsid w:val="00AC48E6"/>
    <w:rsid w:val="00AC4AFE"/>
    <w:rsid w:val="00AC4F95"/>
    <w:rsid w:val="00AC4FD2"/>
    <w:rsid w:val="00AC5387"/>
    <w:rsid w:val="00AC563B"/>
    <w:rsid w:val="00AC56AA"/>
    <w:rsid w:val="00AC58A9"/>
    <w:rsid w:val="00AC5B49"/>
    <w:rsid w:val="00AC5CD6"/>
    <w:rsid w:val="00AC5DEE"/>
    <w:rsid w:val="00AC5E15"/>
    <w:rsid w:val="00AC62E0"/>
    <w:rsid w:val="00AC6400"/>
    <w:rsid w:val="00AC6682"/>
    <w:rsid w:val="00AC6B97"/>
    <w:rsid w:val="00AC6C1D"/>
    <w:rsid w:val="00AC6D27"/>
    <w:rsid w:val="00AC6E07"/>
    <w:rsid w:val="00AC6E10"/>
    <w:rsid w:val="00AC7254"/>
    <w:rsid w:val="00AC725D"/>
    <w:rsid w:val="00AC7655"/>
    <w:rsid w:val="00AC7740"/>
    <w:rsid w:val="00AC777A"/>
    <w:rsid w:val="00AC7782"/>
    <w:rsid w:val="00AC778E"/>
    <w:rsid w:val="00AC7835"/>
    <w:rsid w:val="00AC7851"/>
    <w:rsid w:val="00AC78E0"/>
    <w:rsid w:val="00AC79B6"/>
    <w:rsid w:val="00AC7B55"/>
    <w:rsid w:val="00AD010D"/>
    <w:rsid w:val="00AD027C"/>
    <w:rsid w:val="00AD02F8"/>
    <w:rsid w:val="00AD044C"/>
    <w:rsid w:val="00AD04EC"/>
    <w:rsid w:val="00AD07F7"/>
    <w:rsid w:val="00AD11B3"/>
    <w:rsid w:val="00AD13CD"/>
    <w:rsid w:val="00AD177A"/>
    <w:rsid w:val="00AD1898"/>
    <w:rsid w:val="00AD19F1"/>
    <w:rsid w:val="00AD1B92"/>
    <w:rsid w:val="00AD1C46"/>
    <w:rsid w:val="00AD1DA0"/>
    <w:rsid w:val="00AD1DBD"/>
    <w:rsid w:val="00AD1DC1"/>
    <w:rsid w:val="00AD21AB"/>
    <w:rsid w:val="00AD22AE"/>
    <w:rsid w:val="00AD23FF"/>
    <w:rsid w:val="00AD2471"/>
    <w:rsid w:val="00AD2593"/>
    <w:rsid w:val="00AD278D"/>
    <w:rsid w:val="00AD2980"/>
    <w:rsid w:val="00AD29ED"/>
    <w:rsid w:val="00AD2ADB"/>
    <w:rsid w:val="00AD2E2B"/>
    <w:rsid w:val="00AD2F3B"/>
    <w:rsid w:val="00AD30EB"/>
    <w:rsid w:val="00AD32E2"/>
    <w:rsid w:val="00AD38BF"/>
    <w:rsid w:val="00AD3AF6"/>
    <w:rsid w:val="00AD3E87"/>
    <w:rsid w:val="00AD4027"/>
    <w:rsid w:val="00AD424B"/>
    <w:rsid w:val="00AD43D5"/>
    <w:rsid w:val="00AD446C"/>
    <w:rsid w:val="00AD466F"/>
    <w:rsid w:val="00AD472A"/>
    <w:rsid w:val="00AD4CAC"/>
    <w:rsid w:val="00AD4D27"/>
    <w:rsid w:val="00AD50EF"/>
    <w:rsid w:val="00AD53F5"/>
    <w:rsid w:val="00AD5576"/>
    <w:rsid w:val="00AD5865"/>
    <w:rsid w:val="00AD598E"/>
    <w:rsid w:val="00AD5999"/>
    <w:rsid w:val="00AD5C58"/>
    <w:rsid w:val="00AD5C5F"/>
    <w:rsid w:val="00AD5FF9"/>
    <w:rsid w:val="00AD625F"/>
    <w:rsid w:val="00AD646B"/>
    <w:rsid w:val="00AD64F5"/>
    <w:rsid w:val="00AD6621"/>
    <w:rsid w:val="00AD66EC"/>
    <w:rsid w:val="00AD675C"/>
    <w:rsid w:val="00AD680F"/>
    <w:rsid w:val="00AD683B"/>
    <w:rsid w:val="00AD6B4E"/>
    <w:rsid w:val="00AD6C1F"/>
    <w:rsid w:val="00AD6D00"/>
    <w:rsid w:val="00AD6F7C"/>
    <w:rsid w:val="00AD720E"/>
    <w:rsid w:val="00AD75BE"/>
    <w:rsid w:val="00AD75D4"/>
    <w:rsid w:val="00AD7635"/>
    <w:rsid w:val="00AD7815"/>
    <w:rsid w:val="00AD7AB2"/>
    <w:rsid w:val="00AD7B80"/>
    <w:rsid w:val="00AD7EC4"/>
    <w:rsid w:val="00AE00AB"/>
    <w:rsid w:val="00AE0148"/>
    <w:rsid w:val="00AE0704"/>
    <w:rsid w:val="00AE097E"/>
    <w:rsid w:val="00AE0B74"/>
    <w:rsid w:val="00AE0E27"/>
    <w:rsid w:val="00AE0E47"/>
    <w:rsid w:val="00AE0EF0"/>
    <w:rsid w:val="00AE0FBC"/>
    <w:rsid w:val="00AE10FC"/>
    <w:rsid w:val="00AE1251"/>
    <w:rsid w:val="00AE1297"/>
    <w:rsid w:val="00AE1437"/>
    <w:rsid w:val="00AE175E"/>
    <w:rsid w:val="00AE193C"/>
    <w:rsid w:val="00AE196D"/>
    <w:rsid w:val="00AE1AB3"/>
    <w:rsid w:val="00AE1BEF"/>
    <w:rsid w:val="00AE1CE2"/>
    <w:rsid w:val="00AE1E52"/>
    <w:rsid w:val="00AE2174"/>
    <w:rsid w:val="00AE217E"/>
    <w:rsid w:val="00AE23A2"/>
    <w:rsid w:val="00AE256E"/>
    <w:rsid w:val="00AE25C0"/>
    <w:rsid w:val="00AE2697"/>
    <w:rsid w:val="00AE2910"/>
    <w:rsid w:val="00AE2956"/>
    <w:rsid w:val="00AE2ACE"/>
    <w:rsid w:val="00AE2C1B"/>
    <w:rsid w:val="00AE2C9F"/>
    <w:rsid w:val="00AE2CB2"/>
    <w:rsid w:val="00AE31FA"/>
    <w:rsid w:val="00AE346D"/>
    <w:rsid w:val="00AE34C4"/>
    <w:rsid w:val="00AE3619"/>
    <w:rsid w:val="00AE375C"/>
    <w:rsid w:val="00AE384C"/>
    <w:rsid w:val="00AE39D6"/>
    <w:rsid w:val="00AE3C07"/>
    <w:rsid w:val="00AE3D53"/>
    <w:rsid w:val="00AE3EDC"/>
    <w:rsid w:val="00AE3F38"/>
    <w:rsid w:val="00AE3FCB"/>
    <w:rsid w:val="00AE3FF2"/>
    <w:rsid w:val="00AE40CF"/>
    <w:rsid w:val="00AE4464"/>
    <w:rsid w:val="00AE4501"/>
    <w:rsid w:val="00AE479B"/>
    <w:rsid w:val="00AE48A2"/>
    <w:rsid w:val="00AE49D8"/>
    <w:rsid w:val="00AE4D2B"/>
    <w:rsid w:val="00AE4E4C"/>
    <w:rsid w:val="00AE546F"/>
    <w:rsid w:val="00AE58ED"/>
    <w:rsid w:val="00AE59C6"/>
    <w:rsid w:val="00AE5A4C"/>
    <w:rsid w:val="00AE5B66"/>
    <w:rsid w:val="00AE5D85"/>
    <w:rsid w:val="00AE5DF8"/>
    <w:rsid w:val="00AE5E25"/>
    <w:rsid w:val="00AE5E6E"/>
    <w:rsid w:val="00AE6009"/>
    <w:rsid w:val="00AE61D9"/>
    <w:rsid w:val="00AE6440"/>
    <w:rsid w:val="00AE65BD"/>
    <w:rsid w:val="00AE6646"/>
    <w:rsid w:val="00AE66A6"/>
    <w:rsid w:val="00AE66E5"/>
    <w:rsid w:val="00AE6891"/>
    <w:rsid w:val="00AE68D9"/>
    <w:rsid w:val="00AE6962"/>
    <w:rsid w:val="00AE6A1E"/>
    <w:rsid w:val="00AE6C9C"/>
    <w:rsid w:val="00AE7547"/>
    <w:rsid w:val="00AE76D0"/>
    <w:rsid w:val="00AE7729"/>
    <w:rsid w:val="00AE7782"/>
    <w:rsid w:val="00AE78A1"/>
    <w:rsid w:val="00AE7D78"/>
    <w:rsid w:val="00AF0076"/>
    <w:rsid w:val="00AF0144"/>
    <w:rsid w:val="00AF0574"/>
    <w:rsid w:val="00AF057F"/>
    <w:rsid w:val="00AF0616"/>
    <w:rsid w:val="00AF09D6"/>
    <w:rsid w:val="00AF0CBA"/>
    <w:rsid w:val="00AF11D2"/>
    <w:rsid w:val="00AF1291"/>
    <w:rsid w:val="00AF153A"/>
    <w:rsid w:val="00AF17B1"/>
    <w:rsid w:val="00AF1A89"/>
    <w:rsid w:val="00AF1D77"/>
    <w:rsid w:val="00AF1DD2"/>
    <w:rsid w:val="00AF1E29"/>
    <w:rsid w:val="00AF1EC7"/>
    <w:rsid w:val="00AF1FD3"/>
    <w:rsid w:val="00AF2167"/>
    <w:rsid w:val="00AF228E"/>
    <w:rsid w:val="00AF24E3"/>
    <w:rsid w:val="00AF269E"/>
    <w:rsid w:val="00AF2808"/>
    <w:rsid w:val="00AF2881"/>
    <w:rsid w:val="00AF297D"/>
    <w:rsid w:val="00AF2A5E"/>
    <w:rsid w:val="00AF2CD7"/>
    <w:rsid w:val="00AF2D4D"/>
    <w:rsid w:val="00AF2EF0"/>
    <w:rsid w:val="00AF2F1B"/>
    <w:rsid w:val="00AF2FB3"/>
    <w:rsid w:val="00AF2FBD"/>
    <w:rsid w:val="00AF301B"/>
    <w:rsid w:val="00AF30B1"/>
    <w:rsid w:val="00AF336A"/>
    <w:rsid w:val="00AF3463"/>
    <w:rsid w:val="00AF35E3"/>
    <w:rsid w:val="00AF3766"/>
    <w:rsid w:val="00AF3895"/>
    <w:rsid w:val="00AF38EF"/>
    <w:rsid w:val="00AF3972"/>
    <w:rsid w:val="00AF39AF"/>
    <w:rsid w:val="00AF3A58"/>
    <w:rsid w:val="00AF3AD1"/>
    <w:rsid w:val="00AF3AE3"/>
    <w:rsid w:val="00AF3D9F"/>
    <w:rsid w:val="00AF3DF1"/>
    <w:rsid w:val="00AF4050"/>
    <w:rsid w:val="00AF41ED"/>
    <w:rsid w:val="00AF43C2"/>
    <w:rsid w:val="00AF4426"/>
    <w:rsid w:val="00AF4456"/>
    <w:rsid w:val="00AF4562"/>
    <w:rsid w:val="00AF4613"/>
    <w:rsid w:val="00AF473B"/>
    <w:rsid w:val="00AF48B3"/>
    <w:rsid w:val="00AF499C"/>
    <w:rsid w:val="00AF4D28"/>
    <w:rsid w:val="00AF4D9D"/>
    <w:rsid w:val="00AF4DD9"/>
    <w:rsid w:val="00AF52B1"/>
    <w:rsid w:val="00AF5350"/>
    <w:rsid w:val="00AF5399"/>
    <w:rsid w:val="00AF53AC"/>
    <w:rsid w:val="00AF556A"/>
    <w:rsid w:val="00AF55B9"/>
    <w:rsid w:val="00AF56BA"/>
    <w:rsid w:val="00AF5853"/>
    <w:rsid w:val="00AF590D"/>
    <w:rsid w:val="00AF596C"/>
    <w:rsid w:val="00AF5BAF"/>
    <w:rsid w:val="00AF5BC0"/>
    <w:rsid w:val="00AF5C97"/>
    <w:rsid w:val="00AF5F16"/>
    <w:rsid w:val="00AF632C"/>
    <w:rsid w:val="00AF6543"/>
    <w:rsid w:val="00AF6B61"/>
    <w:rsid w:val="00AF6C5A"/>
    <w:rsid w:val="00AF705B"/>
    <w:rsid w:val="00AF7112"/>
    <w:rsid w:val="00AF731F"/>
    <w:rsid w:val="00AF740E"/>
    <w:rsid w:val="00AF744A"/>
    <w:rsid w:val="00AF76E2"/>
    <w:rsid w:val="00AF7967"/>
    <w:rsid w:val="00AF7A2C"/>
    <w:rsid w:val="00AF7A6F"/>
    <w:rsid w:val="00AF7B69"/>
    <w:rsid w:val="00AF7E62"/>
    <w:rsid w:val="00AF7FEA"/>
    <w:rsid w:val="00B00049"/>
    <w:rsid w:val="00B00113"/>
    <w:rsid w:val="00B0015D"/>
    <w:rsid w:val="00B0025E"/>
    <w:rsid w:val="00B002AD"/>
    <w:rsid w:val="00B00391"/>
    <w:rsid w:val="00B00665"/>
    <w:rsid w:val="00B00862"/>
    <w:rsid w:val="00B00C57"/>
    <w:rsid w:val="00B00D31"/>
    <w:rsid w:val="00B01021"/>
    <w:rsid w:val="00B0119B"/>
    <w:rsid w:val="00B011B9"/>
    <w:rsid w:val="00B011C3"/>
    <w:rsid w:val="00B0137E"/>
    <w:rsid w:val="00B015E6"/>
    <w:rsid w:val="00B01660"/>
    <w:rsid w:val="00B0168B"/>
    <w:rsid w:val="00B01812"/>
    <w:rsid w:val="00B0197B"/>
    <w:rsid w:val="00B01A05"/>
    <w:rsid w:val="00B01A4B"/>
    <w:rsid w:val="00B02346"/>
    <w:rsid w:val="00B0294C"/>
    <w:rsid w:val="00B02C75"/>
    <w:rsid w:val="00B02D3A"/>
    <w:rsid w:val="00B02D8D"/>
    <w:rsid w:val="00B02E07"/>
    <w:rsid w:val="00B02EEE"/>
    <w:rsid w:val="00B0305B"/>
    <w:rsid w:val="00B0309F"/>
    <w:rsid w:val="00B0315F"/>
    <w:rsid w:val="00B03198"/>
    <w:rsid w:val="00B03377"/>
    <w:rsid w:val="00B03383"/>
    <w:rsid w:val="00B033A4"/>
    <w:rsid w:val="00B03544"/>
    <w:rsid w:val="00B0371E"/>
    <w:rsid w:val="00B03890"/>
    <w:rsid w:val="00B03A69"/>
    <w:rsid w:val="00B03B89"/>
    <w:rsid w:val="00B03C7A"/>
    <w:rsid w:val="00B03CB5"/>
    <w:rsid w:val="00B03CD6"/>
    <w:rsid w:val="00B03E9D"/>
    <w:rsid w:val="00B03EBE"/>
    <w:rsid w:val="00B04014"/>
    <w:rsid w:val="00B04173"/>
    <w:rsid w:val="00B04386"/>
    <w:rsid w:val="00B043F5"/>
    <w:rsid w:val="00B04A8A"/>
    <w:rsid w:val="00B04AFC"/>
    <w:rsid w:val="00B04C06"/>
    <w:rsid w:val="00B04D01"/>
    <w:rsid w:val="00B04EC5"/>
    <w:rsid w:val="00B04EFD"/>
    <w:rsid w:val="00B05059"/>
    <w:rsid w:val="00B05259"/>
    <w:rsid w:val="00B052AE"/>
    <w:rsid w:val="00B05628"/>
    <w:rsid w:val="00B05947"/>
    <w:rsid w:val="00B05982"/>
    <w:rsid w:val="00B059FE"/>
    <w:rsid w:val="00B05B53"/>
    <w:rsid w:val="00B05BF0"/>
    <w:rsid w:val="00B05D82"/>
    <w:rsid w:val="00B05D9A"/>
    <w:rsid w:val="00B05DA6"/>
    <w:rsid w:val="00B05EEE"/>
    <w:rsid w:val="00B05FD1"/>
    <w:rsid w:val="00B0617B"/>
    <w:rsid w:val="00B0628D"/>
    <w:rsid w:val="00B067F3"/>
    <w:rsid w:val="00B068F9"/>
    <w:rsid w:val="00B06A16"/>
    <w:rsid w:val="00B06CEF"/>
    <w:rsid w:val="00B06E8D"/>
    <w:rsid w:val="00B070AE"/>
    <w:rsid w:val="00B07136"/>
    <w:rsid w:val="00B0726A"/>
    <w:rsid w:val="00B075E3"/>
    <w:rsid w:val="00B075EB"/>
    <w:rsid w:val="00B076B4"/>
    <w:rsid w:val="00B07A31"/>
    <w:rsid w:val="00B07C63"/>
    <w:rsid w:val="00B07C98"/>
    <w:rsid w:val="00B07C9C"/>
    <w:rsid w:val="00B07C9D"/>
    <w:rsid w:val="00B07F2B"/>
    <w:rsid w:val="00B10078"/>
    <w:rsid w:val="00B10653"/>
    <w:rsid w:val="00B10EDD"/>
    <w:rsid w:val="00B11018"/>
    <w:rsid w:val="00B11143"/>
    <w:rsid w:val="00B11186"/>
    <w:rsid w:val="00B1118D"/>
    <w:rsid w:val="00B112F9"/>
    <w:rsid w:val="00B1186C"/>
    <w:rsid w:val="00B11B0E"/>
    <w:rsid w:val="00B11CAC"/>
    <w:rsid w:val="00B11DB9"/>
    <w:rsid w:val="00B11E31"/>
    <w:rsid w:val="00B123AB"/>
    <w:rsid w:val="00B123FF"/>
    <w:rsid w:val="00B125F6"/>
    <w:rsid w:val="00B127D4"/>
    <w:rsid w:val="00B128A8"/>
    <w:rsid w:val="00B128FA"/>
    <w:rsid w:val="00B12913"/>
    <w:rsid w:val="00B1299D"/>
    <w:rsid w:val="00B12BD9"/>
    <w:rsid w:val="00B12BF5"/>
    <w:rsid w:val="00B12DD9"/>
    <w:rsid w:val="00B12E22"/>
    <w:rsid w:val="00B12F00"/>
    <w:rsid w:val="00B13000"/>
    <w:rsid w:val="00B130CC"/>
    <w:rsid w:val="00B13234"/>
    <w:rsid w:val="00B1351F"/>
    <w:rsid w:val="00B1356D"/>
    <w:rsid w:val="00B13B93"/>
    <w:rsid w:val="00B13C8B"/>
    <w:rsid w:val="00B13CFD"/>
    <w:rsid w:val="00B13D12"/>
    <w:rsid w:val="00B141FD"/>
    <w:rsid w:val="00B1428F"/>
    <w:rsid w:val="00B1474A"/>
    <w:rsid w:val="00B14A18"/>
    <w:rsid w:val="00B14B98"/>
    <w:rsid w:val="00B14B99"/>
    <w:rsid w:val="00B14C06"/>
    <w:rsid w:val="00B14D8B"/>
    <w:rsid w:val="00B150A7"/>
    <w:rsid w:val="00B1521F"/>
    <w:rsid w:val="00B152A8"/>
    <w:rsid w:val="00B159D6"/>
    <w:rsid w:val="00B15A6E"/>
    <w:rsid w:val="00B15A93"/>
    <w:rsid w:val="00B15A9D"/>
    <w:rsid w:val="00B15B27"/>
    <w:rsid w:val="00B15BAA"/>
    <w:rsid w:val="00B15C0F"/>
    <w:rsid w:val="00B15C21"/>
    <w:rsid w:val="00B15F15"/>
    <w:rsid w:val="00B16311"/>
    <w:rsid w:val="00B16477"/>
    <w:rsid w:val="00B16639"/>
    <w:rsid w:val="00B1692C"/>
    <w:rsid w:val="00B16991"/>
    <w:rsid w:val="00B16D7E"/>
    <w:rsid w:val="00B170D8"/>
    <w:rsid w:val="00B171C7"/>
    <w:rsid w:val="00B173A1"/>
    <w:rsid w:val="00B173A3"/>
    <w:rsid w:val="00B1748D"/>
    <w:rsid w:val="00B177E3"/>
    <w:rsid w:val="00B17857"/>
    <w:rsid w:val="00B179F9"/>
    <w:rsid w:val="00B17E69"/>
    <w:rsid w:val="00B201ED"/>
    <w:rsid w:val="00B20427"/>
    <w:rsid w:val="00B20951"/>
    <w:rsid w:val="00B20CEE"/>
    <w:rsid w:val="00B20FB4"/>
    <w:rsid w:val="00B20FED"/>
    <w:rsid w:val="00B211EF"/>
    <w:rsid w:val="00B212A9"/>
    <w:rsid w:val="00B2132B"/>
    <w:rsid w:val="00B213E8"/>
    <w:rsid w:val="00B214CD"/>
    <w:rsid w:val="00B216CF"/>
    <w:rsid w:val="00B21818"/>
    <w:rsid w:val="00B21873"/>
    <w:rsid w:val="00B21AA1"/>
    <w:rsid w:val="00B21BE5"/>
    <w:rsid w:val="00B21E11"/>
    <w:rsid w:val="00B21F95"/>
    <w:rsid w:val="00B21FF6"/>
    <w:rsid w:val="00B22101"/>
    <w:rsid w:val="00B2210B"/>
    <w:rsid w:val="00B2221D"/>
    <w:rsid w:val="00B222E3"/>
    <w:rsid w:val="00B2230F"/>
    <w:rsid w:val="00B2233E"/>
    <w:rsid w:val="00B2259A"/>
    <w:rsid w:val="00B2260D"/>
    <w:rsid w:val="00B22A9D"/>
    <w:rsid w:val="00B22AD0"/>
    <w:rsid w:val="00B22C0E"/>
    <w:rsid w:val="00B22DD6"/>
    <w:rsid w:val="00B22E02"/>
    <w:rsid w:val="00B22ECC"/>
    <w:rsid w:val="00B23098"/>
    <w:rsid w:val="00B231E6"/>
    <w:rsid w:val="00B23203"/>
    <w:rsid w:val="00B2325F"/>
    <w:rsid w:val="00B237DF"/>
    <w:rsid w:val="00B23924"/>
    <w:rsid w:val="00B23AAF"/>
    <w:rsid w:val="00B23E14"/>
    <w:rsid w:val="00B23E4A"/>
    <w:rsid w:val="00B23FC0"/>
    <w:rsid w:val="00B23FC1"/>
    <w:rsid w:val="00B24282"/>
    <w:rsid w:val="00B242EB"/>
    <w:rsid w:val="00B2430E"/>
    <w:rsid w:val="00B24331"/>
    <w:rsid w:val="00B2452D"/>
    <w:rsid w:val="00B24A53"/>
    <w:rsid w:val="00B24A60"/>
    <w:rsid w:val="00B24DE0"/>
    <w:rsid w:val="00B25082"/>
    <w:rsid w:val="00B2515E"/>
    <w:rsid w:val="00B25829"/>
    <w:rsid w:val="00B2592E"/>
    <w:rsid w:val="00B259C9"/>
    <w:rsid w:val="00B259DD"/>
    <w:rsid w:val="00B25A7A"/>
    <w:rsid w:val="00B25B70"/>
    <w:rsid w:val="00B25E0A"/>
    <w:rsid w:val="00B2604C"/>
    <w:rsid w:val="00B264BB"/>
    <w:rsid w:val="00B26726"/>
    <w:rsid w:val="00B26883"/>
    <w:rsid w:val="00B26AC0"/>
    <w:rsid w:val="00B26BA2"/>
    <w:rsid w:val="00B26CFB"/>
    <w:rsid w:val="00B26E27"/>
    <w:rsid w:val="00B26FD3"/>
    <w:rsid w:val="00B2710A"/>
    <w:rsid w:val="00B27338"/>
    <w:rsid w:val="00B273FD"/>
    <w:rsid w:val="00B2762C"/>
    <w:rsid w:val="00B27716"/>
    <w:rsid w:val="00B278E1"/>
    <w:rsid w:val="00B27901"/>
    <w:rsid w:val="00B27A1A"/>
    <w:rsid w:val="00B3001C"/>
    <w:rsid w:val="00B30152"/>
    <w:rsid w:val="00B302E2"/>
    <w:rsid w:val="00B302F5"/>
    <w:rsid w:val="00B3049A"/>
    <w:rsid w:val="00B3059C"/>
    <w:rsid w:val="00B305B7"/>
    <w:rsid w:val="00B305D8"/>
    <w:rsid w:val="00B3060B"/>
    <w:rsid w:val="00B30724"/>
    <w:rsid w:val="00B3083E"/>
    <w:rsid w:val="00B30A27"/>
    <w:rsid w:val="00B30E2F"/>
    <w:rsid w:val="00B30EAC"/>
    <w:rsid w:val="00B3132D"/>
    <w:rsid w:val="00B31335"/>
    <w:rsid w:val="00B313BC"/>
    <w:rsid w:val="00B315A5"/>
    <w:rsid w:val="00B3168D"/>
    <w:rsid w:val="00B31944"/>
    <w:rsid w:val="00B319D7"/>
    <w:rsid w:val="00B31A52"/>
    <w:rsid w:val="00B31BFC"/>
    <w:rsid w:val="00B31F9F"/>
    <w:rsid w:val="00B3244F"/>
    <w:rsid w:val="00B32605"/>
    <w:rsid w:val="00B326F7"/>
    <w:rsid w:val="00B3282F"/>
    <w:rsid w:val="00B328D6"/>
    <w:rsid w:val="00B329EE"/>
    <w:rsid w:val="00B32C2E"/>
    <w:rsid w:val="00B32E19"/>
    <w:rsid w:val="00B32EC9"/>
    <w:rsid w:val="00B32EFC"/>
    <w:rsid w:val="00B3307E"/>
    <w:rsid w:val="00B330B6"/>
    <w:rsid w:val="00B33463"/>
    <w:rsid w:val="00B3380C"/>
    <w:rsid w:val="00B3385D"/>
    <w:rsid w:val="00B33BAA"/>
    <w:rsid w:val="00B33E3B"/>
    <w:rsid w:val="00B33FC2"/>
    <w:rsid w:val="00B34049"/>
    <w:rsid w:val="00B34229"/>
    <w:rsid w:val="00B3423E"/>
    <w:rsid w:val="00B34407"/>
    <w:rsid w:val="00B34440"/>
    <w:rsid w:val="00B34529"/>
    <w:rsid w:val="00B34790"/>
    <w:rsid w:val="00B3484A"/>
    <w:rsid w:val="00B3487C"/>
    <w:rsid w:val="00B34909"/>
    <w:rsid w:val="00B34AE2"/>
    <w:rsid w:val="00B34F5E"/>
    <w:rsid w:val="00B3506E"/>
    <w:rsid w:val="00B35072"/>
    <w:rsid w:val="00B350CC"/>
    <w:rsid w:val="00B3524A"/>
    <w:rsid w:val="00B3527C"/>
    <w:rsid w:val="00B353C3"/>
    <w:rsid w:val="00B35592"/>
    <w:rsid w:val="00B35624"/>
    <w:rsid w:val="00B35730"/>
    <w:rsid w:val="00B35838"/>
    <w:rsid w:val="00B35861"/>
    <w:rsid w:val="00B35999"/>
    <w:rsid w:val="00B35E9E"/>
    <w:rsid w:val="00B36405"/>
    <w:rsid w:val="00B364B2"/>
    <w:rsid w:val="00B366D1"/>
    <w:rsid w:val="00B36A02"/>
    <w:rsid w:val="00B36CF4"/>
    <w:rsid w:val="00B36D20"/>
    <w:rsid w:val="00B36D41"/>
    <w:rsid w:val="00B36E2E"/>
    <w:rsid w:val="00B36EFA"/>
    <w:rsid w:val="00B36FAB"/>
    <w:rsid w:val="00B37098"/>
    <w:rsid w:val="00B371A0"/>
    <w:rsid w:val="00B373D0"/>
    <w:rsid w:val="00B37494"/>
    <w:rsid w:val="00B374E9"/>
    <w:rsid w:val="00B3754F"/>
    <w:rsid w:val="00B376B8"/>
    <w:rsid w:val="00B37B11"/>
    <w:rsid w:val="00B37F35"/>
    <w:rsid w:val="00B37FBA"/>
    <w:rsid w:val="00B40245"/>
    <w:rsid w:val="00B40326"/>
    <w:rsid w:val="00B40468"/>
    <w:rsid w:val="00B406EA"/>
    <w:rsid w:val="00B4094D"/>
    <w:rsid w:val="00B40AA3"/>
    <w:rsid w:val="00B40CF5"/>
    <w:rsid w:val="00B40F5F"/>
    <w:rsid w:val="00B41163"/>
    <w:rsid w:val="00B412EC"/>
    <w:rsid w:val="00B413E1"/>
    <w:rsid w:val="00B4144A"/>
    <w:rsid w:val="00B414F0"/>
    <w:rsid w:val="00B4159D"/>
    <w:rsid w:val="00B4176C"/>
    <w:rsid w:val="00B41981"/>
    <w:rsid w:val="00B41D4F"/>
    <w:rsid w:val="00B41D88"/>
    <w:rsid w:val="00B4209E"/>
    <w:rsid w:val="00B422DA"/>
    <w:rsid w:val="00B4232D"/>
    <w:rsid w:val="00B42677"/>
    <w:rsid w:val="00B4273C"/>
    <w:rsid w:val="00B42A3D"/>
    <w:rsid w:val="00B43160"/>
    <w:rsid w:val="00B4366C"/>
    <w:rsid w:val="00B43A05"/>
    <w:rsid w:val="00B43A2B"/>
    <w:rsid w:val="00B43AC6"/>
    <w:rsid w:val="00B43BFF"/>
    <w:rsid w:val="00B43C93"/>
    <w:rsid w:val="00B43E9B"/>
    <w:rsid w:val="00B43F0B"/>
    <w:rsid w:val="00B44269"/>
    <w:rsid w:val="00B44B0C"/>
    <w:rsid w:val="00B44BC9"/>
    <w:rsid w:val="00B44DC6"/>
    <w:rsid w:val="00B44E80"/>
    <w:rsid w:val="00B453EF"/>
    <w:rsid w:val="00B456A3"/>
    <w:rsid w:val="00B45778"/>
    <w:rsid w:val="00B45931"/>
    <w:rsid w:val="00B45BFF"/>
    <w:rsid w:val="00B45E29"/>
    <w:rsid w:val="00B45E60"/>
    <w:rsid w:val="00B4617B"/>
    <w:rsid w:val="00B46538"/>
    <w:rsid w:val="00B46A12"/>
    <w:rsid w:val="00B46CC5"/>
    <w:rsid w:val="00B46E1F"/>
    <w:rsid w:val="00B46E95"/>
    <w:rsid w:val="00B46FE3"/>
    <w:rsid w:val="00B470CA"/>
    <w:rsid w:val="00B47231"/>
    <w:rsid w:val="00B47534"/>
    <w:rsid w:val="00B4759B"/>
    <w:rsid w:val="00B47B6A"/>
    <w:rsid w:val="00B47B9D"/>
    <w:rsid w:val="00B47DF1"/>
    <w:rsid w:val="00B47E36"/>
    <w:rsid w:val="00B5014B"/>
    <w:rsid w:val="00B5040D"/>
    <w:rsid w:val="00B50412"/>
    <w:rsid w:val="00B50505"/>
    <w:rsid w:val="00B506EB"/>
    <w:rsid w:val="00B50707"/>
    <w:rsid w:val="00B50B35"/>
    <w:rsid w:val="00B50D66"/>
    <w:rsid w:val="00B50DBF"/>
    <w:rsid w:val="00B50F5E"/>
    <w:rsid w:val="00B51132"/>
    <w:rsid w:val="00B51236"/>
    <w:rsid w:val="00B51907"/>
    <w:rsid w:val="00B51A8F"/>
    <w:rsid w:val="00B51B81"/>
    <w:rsid w:val="00B51BD4"/>
    <w:rsid w:val="00B51C7E"/>
    <w:rsid w:val="00B521EE"/>
    <w:rsid w:val="00B52239"/>
    <w:rsid w:val="00B524AB"/>
    <w:rsid w:val="00B5281D"/>
    <w:rsid w:val="00B529CC"/>
    <w:rsid w:val="00B52EF4"/>
    <w:rsid w:val="00B531F6"/>
    <w:rsid w:val="00B532D3"/>
    <w:rsid w:val="00B53458"/>
    <w:rsid w:val="00B53535"/>
    <w:rsid w:val="00B53616"/>
    <w:rsid w:val="00B537AD"/>
    <w:rsid w:val="00B537BA"/>
    <w:rsid w:val="00B538DF"/>
    <w:rsid w:val="00B538E8"/>
    <w:rsid w:val="00B538EA"/>
    <w:rsid w:val="00B53E8E"/>
    <w:rsid w:val="00B5416B"/>
    <w:rsid w:val="00B54428"/>
    <w:rsid w:val="00B54515"/>
    <w:rsid w:val="00B546FF"/>
    <w:rsid w:val="00B5475B"/>
    <w:rsid w:val="00B54996"/>
    <w:rsid w:val="00B54ADA"/>
    <w:rsid w:val="00B54BE8"/>
    <w:rsid w:val="00B54C3E"/>
    <w:rsid w:val="00B54DA0"/>
    <w:rsid w:val="00B55183"/>
    <w:rsid w:val="00B551CA"/>
    <w:rsid w:val="00B55485"/>
    <w:rsid w:val="00B559BF"/>
    <w:rsid w:val="00B55A79"/>
    <w:rsid w:val="00B55A7F"/>
    <w:rsid w:val="00B55C65"/>
    <w:rsid w:val="00B560D0"/>
    <w:rsid w:val="00B56172"/>
    <w:rsid w:val="00B56223"/>
    <w:rsid w:val="00B56598"/>
    <w:rsid w:val="00B56B03"/>
    <w:rsid w:val="00B56B07"/>
    <w:rsid w:val="00B56C88"/>
    <w:rsid w:val="00B56CD9"/>
    <w:rsid w:val="00B56E7D"/>
    <w:rsid w:val="00B56E82"/>
    <w:rsid w:val="00B5722C"/>
    <w:rsid w:val="00B576B4"/>
    <w:rsid w:val="00B57972"/>
    <w:rsid w:val="00B57B2E"/>
    <w:rsid w:val="00B57BF9"/>
    <w:rsid w:val="00B57C02"/>
    <w:rsid w:val="00B57C3D"/>
    <w:rsid w:val="00B57DAF"/>
    <w:rsid w:val="00B57E62"/>
    <w:rsid w:val="00B602C9"/>
    <w:rsid w:val="00B602CD"/>
    <w:rsid w:val="00B6032E"/>
    <w:rsid w:val="00B6083E"/>
    <w:rsid w:val="00B6092F"/>
    <w:rsid w:val="00B609A6"/>
    <w:rsid w:val="00B60BEF"/>
    <w:rsid w:val="00B60E1F"/>
    <w:rsid w:val="00B612E3"/>
    <w:rsid w:val="00B61354"/>
    <w:rsid w:val="00B613A1"/>
    <w:rsid w:val="00B61464"/>
    <w:rsid w:val="00B61523"/>
    <w:rsid w:val="00B61870"/>
    <w:rsid w:val="00B61964"/>
    <w:rsid w:val="00B61B5A"/>
    <w:rsid w:val="00B61C77"/>
    <w:rsid w:val="00B61EAA"/>
    <w:rsid w:val="00B62002"/>
    <w:rsid w:val="00B62076"/>
    <w:rsid w:val="00B620E7"/>
    <w:rsid w:val="00B628A6"/>
    <w:rsid w:val="00B62A19"/>
    <w:rsid w:val="00B62D2F"/>
    <w:rsid w:val="00B62D84"/>
    <w:rsid w:val="00B63136"/>
    <w:rsid w:val="00B63686"/>
    <w:rsid w:val="00B638EF"/>
    <w:rsid w:val="00B63D6D"/>
    <w:rsid w:val="00B63EAB"/>
    <w:rsid w:val="00B63F81"/>
    <w:rsid w:val="00B64040"/>
    <w:rsid w:val="00B640AA"/>
    <w:rsid w:val="00B64164"/>
    <w:rsid w:val="00B64274"/>
    <w:rsid w:val="00B644A2"/>
    <w:rsid w:val="00B64526"/>
    <w:rsid w:val="00B645D5"/>
    <w:rsid w:val="00B646C8"/>
    <w:rsid w:val="00B647C8"/>
    <w:rsid w:val="00B647FF"/>
    <w:rsid w:val="00B64D62"/>
    <w:rsid w:val="00B65091"/>
    <w:rsid w:val="00B6525B"/>
    <w:rsid w:val="00B65359"/>
    <w:rsid w:val="00B65429"/>
    <w:rsid w:val="00B655B5"/>
    <w:rsid w:val="00B65752"/>
    <w:rsid w:val="00B6598F"/>
    <w:rsid w:val="00B65ACA"/>
    <w:rsid w:val="00B65B8E"/>
    <w:rsid w:val="00B65DD0"/>
    <w:rsid w:val="00B65DD9"/>
    <w:rsid w:val="00B6611C"/>
    <w:rsid w:val="00B66373"/>
    <w:rsid w:val="00B6638C"/>
    <w:rsid w:val="00B66608"/>
    <w:rsid w:val="00B666DA"/>
    <w:rsid w:val="00B668B7"/>
    <w:rsid w:val="00B6695E"/>
    <w:rsid w:val="00B669E9"/>
    <w:rsid w:val="00B66A0D"/>
    <w:rsid w:val="00B66BEE"/>
    <w:rsid w:val="00B66BFA"/>
    <w:rsid w:val="00B66C0F"/>
    <w:rsid w:val="00B66D1A"/>
    <w:rsid w:val="00B67096"/>
    <w:rsid w:val="00B67194"/>
    <w:rsid w:val="00B674BE"/>
    <w:rsid w:val="00B674D7"/>
    <w:rsid w:val="00B677CF"/>
    <w:rsid w:val="00B67AAA"/>
    <w:rsid w:val="00B67B1B"/>
    <w:rsid w:val="00B67B4E"/>
    <w:rsid w:val="00B67CFF"/>
    <w:rsid w:val="00B67D62"/>
    <w:rsid w:val="00B67D88"/>
    <w:rsid w:val="00B70192"/>
    <w:rsid w:val="00B70365"/>
    <w:rsid w:val="00B70552"/>
    <w:rsid w:val="00B7055F"/>
    <w:rsid w:val="00B70663"/>
    <w:rsid w:val="00B7080E"/>
    <w:rsid w:val="00B708FF"/>
    <w:rsid w:val="00B709C4"/>
    <w:rsid w:val="00B70CAD"/>
    <w:rsid w:val="00B70F2D"/>
    <w:rsid w:val="00B71244"/>
    <w:rsid w:val="00B7130D"/>
    <w:rsid w:val="00B71340"/>
    <w:rsid w:val="00B7155C"/>
    <w:rsid w:val="00B7188D"/>
    <w:rsid w:val="00B718A7"/>
    <w:rsid w:val="00B71996"/>
    <w:rsid w:val="00B71A40"/>
    <w:rsid w:val="00B71B80"/>
    <w:rsid w:val="00B71C63"/>
    <w:rsid w:val="00B72049"/>
    <w:rsid w:val="00B720A2"/>
    <w:rsid w:val="00B720F3"/>
    <w:rsid w:val="00B72109"/>
    <w:rsid w:val="00B72324"/>
    <w:rsid w:val="00B723AF"/>
    <w:rsid w:val="00B723E2"/>
    <w:rsid w:val="00B7244B"/>
    <w:rsid w:val="00B72AAA"/>
    <w:rsid w:val="00B72DDA"/>
    <w:rsid w:val="00B72E1B"/>
    <w:rsid w:val="00B72E31"/>
    <w:rsid w:val="00B72FA4"/>
    <w:rsid w:val="00B734C2"/>
    <w:rsid w:val="00B735B7"/>
    <w:rsid w:val="00B735E1"/>
    <w:rsid w:val="00B738BF"/>
    <w:rsid w:val="00B738D5"/>
    <w:rsid w:val="00B73994"/>
    <w:rsid w:val="00B73AEE"/>
    <w:rsid w:val="00B73B8B"/>
    <w:rsid w:val="00B73BA0"/>
    <w:rsid w:val="00B73C96"/>
    <w:rsid w:val="00B73F80"/>
    <w:rsid w:val="00B73F82"/>
    <w:rsid w:val="00B74045"/>
    <w:rsid w:val="00B741F0"/>
    <w:rsid w:val="00B7423E"/>
    <w:rsid w:val="00B744DF"/>
    <w:rsid w:val="00B746A0"/>
    <w:rsid w:val="00B746E2"/>
    <w:rsid w:val="00B747EA"/>
    <w:rsid w:val="00B7481C"/>
    <w:rsid w:val="00B749B4"/>
    <w:rsid w:val="00B74A10"/>
    <w:rsid w:val="00B74B48"/>
    <w:rsid w:val="00B74B79"/>
    <w:rsid w:val="00B74B80"/>
    <w:rsid w:val="00B74C43"/>
    <w:rsid w:val="00B74E13"/>
    <w:rsid w:val="00B74EB7"/>
    <w:rsid w:val="00B75255"/>
    <w:rsid w:val="00B75348"/>
    <w:rsid w:val="00B754CE"/>
    <w:rsid w:val="00B75502"/>
    <w:rsid w:val="00B756E8"/>
    <w:rsid w:val="00B7573C"/>
    <w:rsid w:val="00B75821"/>
    <w:rsid w:val="00B7582C"/>
    <w:rsid w:val="00B7587B"/>
    <w:rsid w:val="00B7595B"/>
    <w:rsid w:val="00B759AD"/>
    <w:rsid w:val="00B759B5"/>
    <w:rsid w:val="00B76030"/>
    <w:rsid w:val="00B76065"/>
    <w:rsid w:val="00B7606E"/>
    <w:rsid w:val="00B76235"/>
    <w:rsid w:val="00B76395"/>
    <w:rsid w:val="00B763BD"/>
    <w:rsid w:val="00B763C6"/>
    <w:rsid w:val="00B763F0"/>
    <w:rsid w:val="00B76429"/>
    <w:rsid w:val="00B76541"/>
    <w:rsid w:val="00B76621"/>
    <w:rsid w:val="00B76764"/>
    <w:rsid w:val="00B76A9E"/>
    <w:rsid w:val="00B76CD6"/>
    <w:rsid w:val="00B7702B"/>
    <w:rsid w:val="00B7736E"/>
    <w:rsid w:val="00B7764F"/>
    <w:rsid w:val="00B7765E"/>
    <w:rsid w:val="00B7778E"/>
    <w:rsid w:val="00B77845"/>
    <w:rsid w:val="00B77B8F"/>
    <w:rsid w:val="00B77EF4"/>
    <w:rsid w:val="00B77EF8"/>
    <w:rsid w:val="00B77F40"/>
    <w:rsid w:val="00B77FAE"/>
    <w:rsid w:val="00B80036"/>
    <w:rsid w:val="00B803B8"/>
    <w:rsid w:val="00B80539"/>
    <w:rsid w:val="00B80685"/>
    <w:rsid w:val="00B80759"/>
    <w:rsid w:val="00B80785"/>
    <w:rsid w:val="00B807F7"/>
    <w:rsid w:val="00B80866"/>
    <w:rsid w:val="00B808C7"/>
    <w:rsid w:val="00B80AC2"/>
    <w:rsid w:val="00B80AD9"/>
    <w:rsid w:val="00B80EDC"/>
    <w:rsid w:val="00B80FED"/>
    <w:rsid w:val="00B81123"/>
    <w:rsid w:val="00B816D8"/>
    <w:rsid w:val="00B81723"/>
    <w:rsid w:val="00B8172E"/>
    <w:rsid w:val="00B81775"/>
    <w:rsid w:val="00B8192C"/>
    <w:rsid w:val="00B819FE"/>
    <w:rsid w:val="00B81B45"/>
    <w:rsid w:val="00B81B9E"/>
    <w:rsid w:val="00B81EA2"/>
    <w:rsid w:val="00B81EBD"/>
    <w:rsid w:val="00B820D5"/>
    <w:rsid w:val="00B822AC"/>
    <w:rsid w:val="00B8233C"/>
    <w:rsid w:val="00B824FE"/>
    <w:rsid w:val="00B826E2"/>
    <w:rsid w:val="00B82DE7"/>
    <w:rsid w:val="00B8343B"/>
    <w:rsid w:val="00B83497"/>
    <w:rsid w:val="00B834AA"/>
    <w:rsid w:val="00B836D6"/>
    <w:rsid w:val="00B83989"/>
    <w:rsid w:val="00B839F6"/>
    <w:rsid w:val="00B83A13"/>
    <w:rsid w:val="00B83A37"/>
    <w:rsid w:val="00B83BAC"/>
    <w:rsid w:val="00B83BC2"/>
    <w:rsid w:val="00B83CC9"/>
    <w:rsid w:val="00B83D95"/>
    <w:rsid w:val="00B83DA2"/>
    <w:rsid w:val="00B83E00"/>
    <w:rsid w:val="00B84221"/>
    <w:rsid w:val="00B84275"/>
    <w:rsid w:val="00B847D2"/>
    <w:rsid w:val="00B84871"/>
    <w:rsid w:val="00B84ADD"/>
    <w:rsid w:val="00B84D1D"/>
    <w:rsid w:val="00B8505A"/>
    <w:rsid w:val="00B85082"/>
    <w:rsid w:val="00B85148"/>
    <w:rsid w:val="00B85463"/>
    <w:rsid w:val="00B85753"/>
    <w:rsid w:val="00B85C72"/>
    <w:rsid w:val="00B86032"/>
    <w:rsid w:val="00B8606A"/>
    <w:rsid w:val="00B86109"/>
    <w:rsid w:val="00B8616D"/>
    <w:rsid w:val="00B86268"/>
    <w:rsid w:val="00B862E5"/>
    <w:rsid w:val="00B86763"/>
    <w:rsid w:val="00B86BF4"/>
    <w:rsid w:val="00B871A0"/>
    <w:rsid w:val="00B8737B"/>
    <w:rsid w:val="00B87454"/>
    <w:rsid w:val="00B87A2D"/>
    <w:rsid w:val="00B87A98"/>
    <w:rsid w:val="00B87B2B"/>
    <w:rsid w:val="00B87D57"/>
    <w:rsid w:val="00B87E16"/>
    <w:rsid w:val="00B900D2"/>
    <w:rsid w:val="00B9032E"/>
    <w:rsid w:val="00B90913"/>
    <w:rsid w:val="00B911F6"/>
    <w:rsid w:val="00B915BB"/>
    <w:rsid w:val="00B91D2D"/>
    <w:rsid w:val="00B91D92"/>
    <w:rsid w:val="00B91E1D"/>
    <w:rsid w:val="00B91E75"/>
    <w:rsid w:val="00B91FAA"/>
    <w:rsid w:val="00B92161"/>
    <w:rsid w:val="00B9216B"/>
    <w:rsid w:val="00B921A7"/>
    <w:rsid w:val="00B9220A"/>
    <w:rsid w:val="00B9230B"/>
    <w:rsid w:val="00B92325"/>
    <w:rsid w:val="00B9239C"/>
    <w:rsid w:val="00B925A5"/>
    <w:rsid w:val="00B925A8"/>
    <w:rsid w:val="00B926C7"/>
    <w:rsid w:val="00B928D0"/>
    <w:rsid w:val="00B92B9A"/>
    <w:rsid w:val="00B92F23"/>
    <w:rsid w:val="00B93641"/>
    <w:rsid w:val="00B9367D"/>
    <w:rsid w:val="00B9373B"/>
    <w:rsid w:val="00B93768"/>
    <w:rsid w:val="00B9382E"/>
    <w:rsid w:val="00B93881"/>
    <w:rsid w:val="00B9388F"/>
    <w:rsid w:val="00B93AF1"/>
    <w:rsid w:val="00B93D45"/>
    <w:rsid w:val="00B93D6A"/>
    <w:rsid w:val="00B93E5B"/>
    <w:rsid w:val="00B94110"/>
    <w:rsid w:val="00B94213"/>
    <w:rsid w:val="00B94413"/>
    <w:rsid w:val="00B9441B"/>
    <w:rsid w:val="00B9442C"/>
    <w:rsid w:val="00B94711"/>
    <w:rsid w:val="00B94830"/>
    <w:rsid w:val="00B9495F"/>
    <w:rsid w:val="00B94B52"/>
    <w:rsid w:val="00B94BEE"/>
    <w:rsid w:val="00B94D80"/>
    <w:rsid w:val="00B94EF9"/>
    <w:rsid w:val="00B95164"/>
    <w:rsid w:val="00B954D4"/>
    <w:rsid w:val="00B9553F"/>
    <w:rsid w:val="00B95722"/>
    <w:rsid w:val="00B9589D"/>
    <w:rsid w:val="00B95997"/>
    <w:rsid w:val="00B95A37"/>
    <w:rsid w:val="00B95BEC"/>
    <w:rsid w:val="00B95F3E"/>
    <w:rsid w:val="00B96128"/>
    <w:rsid w:val="00B96281"/>
    <w:rsid w:val="00B96543"/>
    <w:rsid w:val="00B966FC"/>
    <w:rsid w:val="00B96825"/>
    <w:rsid w:val="00B9686D"/>
    <w:rsid w:val="00B96A94"/>
    <w:rsid w:val="00B96A9C"/>
    <w:rsid w:val="00B96ABC"/>
    <w:rsid w:val="00B96AC5"/>
    <w:rsid w:val="00B96C7F"/>
    <w:rsid w:val="00B96DD9"/>
    <w:rsid w:val="00B96DE2"/>
    <w:rsid w:val="00B9703A"/>
    <w:rsid w:val="00B970F1"/>
    <w:rsid w:val="00B972B8"/>
    <w:rsid w:val="00B972FA"/>
    <w:rsid w:val="00B973FE"/>
    <w:rsid w:val="00B97455"/>
    <w:rsid w:val="00B97537"/>
    <w:rsid w:val="00B977DE"/>
    <w:rsid w:val="00B97874"/>
    <w:rsid w:val="00B978DC"/>
    <w:rsid w:val="00B979CF"/>
    <w:rsid w:val="00B97A5F"/>
    <w:rsid w:val="00B97D70"/>
    <w:rsid w:val="00BA0168"/>
    <w:rsid w:val="00BA0299"/>
    <w:rsid w:val="00BA07BA"/>
    <w:rsid w:val="00BA0881"/>
    <w:rsid w:val="00BA090E"/>
    <w:rsid w:val="00BA0B9E"/>
    <w:rsid w:val="00BA0DA3"/>
    <w:rsid w:val="00BA0E64"/>
    <w:rsid w:val="00BA0E88"/>
    <w:rsid w:val="00BA0E9B"/>
    <w:rsid w:val="00BA10AD"/>
    <w:rsid w:val="00BA1690"/>
    <w:rsid w:val="00BA1774"/>
    <w:rsid w:val="00BA1878"/>
    <w:rsid w:val="00BA1897"/>
    <w:rsid w:val="00BA1986"/>
    <w:rsid w:val="00BA19F8"/>
    <w:rsid w:val="00BA1A15"/>
    <w:rsid w:val="00BA1BEE"/>
    <w:rsid w:val="00BA201F"/>
    <w:rsid w:val="00BA2147"/>
    <w:rsid w:val="00BA252D"/>
    <w:rsid w:val="00BA2636"/>
    <w:rsid w:val="00BA2674"/>
    <w:rsid w:val="00BA27A9"/>
    <w:rsid w:val="00BA2815"/>
    <w:rsid w:val="00BA2A23"/>
    <w:rsid w:val="00BA2B49"/>
    <w:rsid w:val="00BA2E78"/>
    <w:rsid w:val="00BA3071"/>
    <w:rsid w:val="00BA30FD"/>
    <w:rsid w:val="00BA3142"/>
    <w:rsid w:val="00BA341E"/>
    <w:rsid w:val="00BA3500"/>
    <w:rsid w:val="00BA3514"/>
    <w:rsid w:val="00BA379A"/>
    <w:rsid w:val="00BA38E6"/>
    <w:rsid w:val="00BA3A2F"/>
    <w:rsid w:val="00BA3CB9"/>
    <w:rsid w:val="00BA41AC"/>
    <w:rsid w:val="00BA42C7"/>
    <w:rsid w:val="00BA4442"/>
    <w:rsid w:val="00BA45DE"/>
    <w:rsid w:val="00BA464D"/>
    <w:rsid w:val="00BA488F"/>
    <w:rsid w:val="00BA48F8"/>
    <w:rsid w:val="00BA4932"/>
    <w:rsid w:val="00BA4A9D"/>
    <w:rsid w:val="00BA4F62"/>
    <w:rsid w:val="00BA503E"/>
    <w:rsid w:val="00BA53DD"/>
    <w:rsid w:val="00BA53E4"/>
    <w:rsid w:val="00BA55CA"/>
    <w:rsid w:val="00BA56EF"/>
    <w:rsid w:val="00BA5883"/>
    <w:rsid w:val="00BA5BC3"/>
    <w:rsid w:val="00BA5D55"/>
    <w:rsid w:val="00BA5F2C"/>
    <w:rsid w:val="00BA6042"/>
    <w:rsid w:val="00BA6056"/>
    <w:rsid w:val="00BA6204"/>
    <w:rsid w:val="00BA637F"/>
    <w:rsid w:val="00BA63D9"/>
    <w:rsid w:val="00BA67E4"/>
    <w:rsid w:val="00BA68B0"/>
    <w:rsid w:val="00BA6990"/>
    <w:rsid w:val="00BA6AAC"/>
    <w:rsid w:val="00BA6AFC"/>
    <w:rsid w:val="00BA6B66"/>
    <w:rsid w:val="00BA6C4F"/>
    <w:rsid w:val="00BA6DB7"/>
    <w:rsid w:val="00BA7019"/>
    <w:rsid w:val="00BA72C5"/>
    <w:rsid w:val="00BA73BC"/>
    <w:rsid w:val="00BA73E5"/>
    <w:rsid w:val="00BA7500"/>
    <w:rsid w:val="00BA75E4"/>
    <w:rsid w:val="00BA7602"/>
    <w:rsid w:val="00BA7811"/>
    <w:rsid w:val="00BA78E3"/>
    <w:rsid w:val="00BA791A"/>
    <w:rsid w:val="00BA797F"/>
    <w:rsid w:val="00BA7DC2"/>
    <w:rsid w:val="00BA7EF1"/>
    <w:rsid w:val="00BB01D6"/>
    <w:rsid w:val="00BB04C3"/>
    <w:rsid w:val="00BB06B4"/>
    <w:rsid w:val="00BB095B"/>
    <w:rsid w:val="00BB0AC3"/>
    <w:rsid w:val="00BB0BA0"/>
    <w:rsid w:val="00BB0CA2"/>
    <w:rsid w:val="00BB0ECB"/>
    <w:rsid w:val="00BB0F03"/>
    <w:rsid w:val="00BB0FEC"/>
    <w:rsid w:val="00BB11D4"/>
    <w:rsid w:val="00BB1408"/>
    <w:rsid w:val="00BB1653"/>
    <w:rsid w:val="00BB1769"/>
    <w:rsid w:val="00BB19A9"/>
    <w:rsid w:val="00BB1CC2"/>
    <w:rsid w:val="00BB1CC4"/>
    <w:rsid w:val="00BB1CF3"/>
    <w:rsid w:val="00BB231A"/>
    <w:rsid w:val="00BB2587"/>
    <w:rsid w:val="00BB25B8"/>
    <w:rsid w:val="00BB281B"/>
    <w:rsid w:val="00BB2854"/>
    <w:rsid w:val="00BB291B"/>
    <w:rsid w:val="00BB2BA3"/>
    <w:rsid w:val="00BB2E07"/>
    <w:rsid w:val="00BB30CF"/>
    <w:rsid w:val="00BB3159"/>
    <w:rsid w:val="00BB3252"/>
    <w:rsid w:val="00BB32BD"/>
    <w:rsid w:val="00BB32D9"/>
    <w:rsid w:val="00BB32DF"/>
    <w:rsid w:val="00BB33BD"/>
    <w:rsid w:val="00BB350F"/>
    <w:rsid w:val="00BB36AA"/>
    <w:rsid w:val="00BB3928"/>
    <w:rsid w:val="00BB39B2"/>
    <w:rsid w:val="00BB3BB9"/>
    <w:rsid w:val="00BB3C14"/>
    <w:rsid w:val="00BB3D9C"/>
    <w:rsid w:val="00BB3E38"/>
    <w:rsid w:val="00BB45BB"/>
    <w:rsid w:val="00BB4602"/>
    <w:rsid w:val="00BB4678"/>
    <w:rsid w:val="00BB4877"/>
    <w:rsid w:val="00BB49BF"/>
    <w:rsid w:val="00BB4C54"/>
    <w:rsid w:val="00BB4CEF"/>
    <w:rsid w:val="00BB50B5"/>
    <w:rsid w:val="00BB5302"/>
    <w:rsid w:val="00BB5621"/>
    <w:rsid w:val="00BB56FD"/>
    <w:rsid w:val="00BB5777"/>
    <w:rsid w:val="00BB577A"/>
    <w:rsid w:val="00BB5919"/>
    <w:rsid w:val="00BB5D30"/>
    <w:rsid w:val="00BB5E91"/>
    <w:rsid w:val="00BB5EC3"/>
    <w:rsid w:val="00BB613C"/>
    <w:rsid w:val="00BB616F"/>
    <w:rsid w:val="00BB6407"/>
    <w:rsid w:val="00BB67DA"/>
    <w:rsid w:val="00BB67FA"/>
    <w:rsid w:val="00BB6882"/>
    <w:rsid w:val="00BB689E"/>
    <w:rsid w:val="00BB6971"/>
    <w:rsid w:val="00BB6A6A"/>
    <w:rsid w:val="00BB6BF5"/>
    <w:rsid w:val="00BB6E89"/>
    <w:rsid w:val="00BB6F9C"/>
    <w:rsid w:val="00BB6FC0"/>
    <w:rsid w:val="00BB73AF"/>
    <w:rsid w:val="00BB7599"/>
    <w:rsid w:val="00BB78EA"/>
    <w:rsid w:val="00BB7927"/>
    <w:rsid w:val="00BB7A2E"/>
    <w:rsid w:val="00BB7AD2"/>
    <w:rsid w:val="00BB7F97"/>
    <w:rsid w:val="00BC015C"/>
    <w:rsid w:val="00BC016D"/>
    <w:rsid w:val="00BC02BA"/>
    <w:rsid w:val="00BC0323"/>
    <w:rsid w:val="00BC0454"/>
    <w:rsid w:val="00BC04ED"/>
    <w:rsid w:val="00BC0B94"/>
    <w:rsid w:val="00BC0C0C"/>
    <w:rsid w:val="00BC0C4F"/>
    <w:rsid w:val="00BC0C9C"/>
    <w:rsid w:val="00BC0CD4"/>
    <w:rsid w:val="00BC0D91"/>
    <w:rsid w:val="00BC0E13"/>
    <w:rsid w:val="00BC105D"/>
    <w:rsid w:val="00BC1191"/>
    <w:rsid w:val="00BC12A4"/>
    <w:rsid w:val="00BC1A80"/>
    <w:rsid w:val="00BC1C3E"/>
    <w:rsid w:val="00BC1CBC"/>
    <w:rsid w:val="00BC1CC1"/>
    <w:rsid w:val="00BC1D00"/>
    <w:rsid w:val="00BC25F5"/>
    <w:rsid w:val="00BC2754"/>
    <w:rsid w:val="00BC2760"/>
    <w:rsid w:val="00BC27B0"/>
    <w:rsid w:val="00BC2C94"/>
    <w:rsid w:val="00BC2CC2"/>
    <w:rsid w:val="00BC2DFE"/>
    <w:rsid w:val="00BC2EF5"/>
    <w:rsid w:val="00BC30FE"/>
    <w:rsid w:val="00BC35D7"/>
    <w:rsid w:val="00BC38EF"/>
    <w:rsid w:val="00BC3907"/>
    <w:rsid w:val="00BC39E7"/>
    <w:rsid w:val="00BC3A89"/>
    <w:rsid w:val="00BC3AC7"/>
    <w:rsid w:val="00BC3CA4"/>
    <w:rsid w:val="00BC3F0F"/>
    <w:rsid w:val="00BC42C6"/>
    <w:rsid w:val="00BC449C"/>
    <w:rsid w:val="00BC45C8"/>
    <w:rsid w:val="00BC46B4"/>
    <w:rsid w:val="00BC473D"/>
    <w:rsid w:val="00BC4A69"/>
    <w:rsid w:val="00BC5029"/>
    <w:rsid w:val="00BC5073"/>
    <w:rsid w:val="00BC519D"/>
    <w:rsid w:val="00BC5335"/>
    <w:rsid w:val="00BC547A"/>
    <w:rsid w:val="00BC5669"/>
    <w:rsid w:val="00BC5938"/>
    <w:rsid w:val="00BC598E"/>
    <w:rsid w:val="00BC62DB"/>
    <w:rsid w:val="00BC63AE"/>
    <w:rsid w:val="00BC64A7"/>
    <w:rsid w:val="00BC64AB"/>
    <w:rsid w:val="00BC65AD"/>
    <w:rsid w:val="00BC67FD"/>
    <w:rsid w:val="00BC684E"/>
    <w:rsid w:val="00BC6854"/>
    <w:rsid w:val="00BC685D"/>
    <w:rsid w:val="00BC6B09"/>
    <w:rsid w:val="00BC6B91"/>
    <w:rsid w:val="00BC70F6"/>
    <w:rsid w:val="00BC716B"/>
    <w:rsid w:val="00BC727F"/>
    <w:rsid w:val="00BC72EE"/>
    <w:rsid w:val="00BC743F"/>
    <w:rsid w:val="00BC752A"/>
    <w:rsid w:val="00BC797E"/>
    <w:rsid w:val="00BC7A3D"/>
    <w:rsid w:val="00BC7DBF"/>
    <w:rsid w:val="00BC7EF7"/>
    <w:rsid w:val="00BD039A"/>
    <w:rsid w:val="00BD040A"/>
    <w:rsid w:val="00BD0859"/>
    <w:rsid w:val="00BD0A7C"/>
    <w:rsid w:val="00BD0BC2"/>
    <w:rsid w:val="00BD0D28"/>
    <w:rsid w:val="00BD0DF9"/>
    <w:rsid w:val="00BD1068"/>
    <w:rsid w:val="00BD12CA"/>
    <w:rsid w:val="00BD1414"/>
    <w:rsid w:val="00BD150D"/>
    <w:rsid w:val="00BD15D3"/>
    <w:rsid w:val="00BD15E1"/>
    <w:rsid w:val="00BD1867"/>
    <w:rsid w:val="00BD1885"/>
    <w:rsid w:val="00BD1911"/>
    <w:rsid w:val="00BD1C9F"/>
    <w:rsid w:val="00BD1CCD"/>
    <w:rsid w:val="00BD1D03"/>
    <w:rsid w:val="00BD1DD6"/>
    <w:rsid w:val="00BD20C6"/>
    <w:rsid w:val="00BD212F"/>
    <w:rsid w:val="00BD24DE"/>
    <w:rsid w:val="00BD24FB"/>
    <w:rsid w:val="00BD2568"/>
    <w:rsid w:val="00BD26F8"/>
    <w:rsid w:val="00BD27F5"/>
    <w:rsid w:val="00BD2A44"/>
    <w:rsid w:val="00BD2C0B"/>
    <w:rsid w:val="00BD2CDA"/>
    <w:rsid w:val="00BD2F2A"/>
    <w:rsid w:val="00BD2F81"/>
    <w:rsid w:val="00BD3038"/>
    <w:rsid w:val="00BD312E"/>
    <w:rsid w:val="00BD31CB"/>
    <w:rsid w:val="00BD3211"/>
    <w:rsid w:val="00BD32CE"/>
    <w:rsid w:val="00BD35B5"/>
    <w:rsid w:val="00BD3732"/>
    <w:rsid w:val="00BD3787"/>
    <w:rsid w:val="00BD38DA"/>
    <w:rsid w:val="00BD3A7F"/>
    <w:rsid w:val="00BD3AB7"/>
    <w:rsid w:val="00BD3BA9"/>
    <w:rsid w:val="00BD3C39"/>
    <w:rsid w:val="00BD3C71"/>
    <w:rsid w:val="00BD43A1"/>
    <w:rsid w:val="00BD4491"/>
    <w:rsid w:val="00BD4556"/>
    <w:rsid w:val="00BD4602"/>
    <w:rsid w:val="00BD472D"/>
    <w:rsid w:val="00BD4773"/>
    <w:rsid w:val="00BD47FA"/>
    <w:rsid w:val="00BD492B"/>
    <w:rsid w:val="00BD4A85"/>
    <w:rsid w:val="00BD4CC4"/>
    <w:rsid w:val="00BD4F06"/>
    <w:rsid w:val="00BD57A4"/>
    <w:rsid w:val="00BD58CC"/>
    <w:rsid w:val="00BD5BE5"/>
    <w:rsid w:val="00BD5C9F"/>
    <w:rsid w:val="00BD5CB5"/>
    <w:rsid w:val="00BD5D6D"/>
    <w:rsid w:val="00BD5E34"/>
    <w:rsid w:val="00BD62BC"/>
    <w:rsid w:val="00BD6736"/>
    <w:rsid w:val="00BD694E"/>
    <w:rsid w:val="00BD6A47"/>
    <w:rsid w:val="00BD6A4B"/>
    <w:rsid w:val="00BD6CC6"/>
    <w:rsid w:val="00BD6CE9"/>
    <w:rsid w:val="00BD6DE3"/>
    <w:rsid w:val="00BD6FA0"/>
    <w:rsid w:val="00BD761A"/>
    <w:rsid w:val="00BD776C"/>
    <w:rsid w:val="00BD7B87"/>
    <w:rsid w:val="00BD7C15"/>
    <w:rsid w:val="00BD7E40"/>
    <w:rsid w:val="00BD7EE4"/>
    <w:rsid w:val="00BD7FCA"/>
    <w:rsid w:val="00BE00ED"/>
    <w:rsid w:val="00BE0491"/>
    <w:rsid w:val="00BE062F"/>
    <w:rsid w:val="00BE0842"/>
    <w:rsid w:val="00BE0D7A"/>
    <w:rsid w:val="00BE0E7F"/>
    <w:rsid w:val="00BE111F"/>
    <w:rsid w:val="00BE1323"/>
    <w:rsid w:val="00BE132A"/>
    <w:rsid w:val="00BE15DE"/>
    <w:rsid w:val="00BE18CF"/>
    <w:rsid w:val="00BE1B02"/>
    <w:rsid w:val="00BE1BCA"/>
    <w:rsid w:val="00BE1C50"/>
    <w:rsid w:val="00BE1F93"/>
    <w:rsid w:val="00BE2223"/>
    <w:rsid w:val="00BE2332"/>
    <w:rsid w:val="00BE237A"/>
    <w:rsid w:val="00BE2536"/>
    <w:rsid w:val="00BE262B"/>
    <w:rsid w:val="00BE2826"/>
    <w:rsid w:val="00BE289D"/>
    <w:rsid w:val="00BE28CB"/>
    <w:rsid w:val="00BE2950"/>
    <w:rsid w:val="00BE2CB7"/>
    <w:rsid w:val="00BE304E"/>
    <w:rsid w:val="00BE30FB"/>
    <w:rsid w:val="00BE31BC"/>
    <w:rsid w:val="00BE3463"/>
    <w:rsid w:val="00BE3569"/>
    <w:rsid w:val="00BE357E"/>
    <w:rsid w:val="00BE3695"/>
    <w:rsid w:val="00BE39C7"/>
    <w:rsid w:val="00BE3AC8"/>
    <w:rsid w:val="00BE3BC5"/>
    <w:rsid w:val="00BE4086"/>
    <w:rsid w:val="00BE443E"/>
    <w:rsid w:val="00BE45F5"/>
    <w:rsid w:val="00BE4664"/>
    <w:rsid w:val="00BE47F6"/>
    <w:rsid w:val="00BE4B55"/>
    <w:rsid w:val="00BE4C5A"/>
    <w:rsid w:val="00BE4CC4"/>
    <w:rsid w:val="00BE51D3"/>
    <w:rsid w:val="00BE52A1"/>
    <w:rsid w:val="00BE52AF"/>
    <w:rsid w:val="00BE5496"/>
    <w:rsid w:val="00BE5520"/>
    <w:rsid w:val="00BE556C"/>
    <w:rsid w:val="00BE5AA9"/>
    <w:rsid w:val="00BE5C70"/>
    <w:rsid w:val="00BE607B"/>
    <w:rsid w:val="00BE60C3"/>
    <w:rsid w:val="00BE6331"/>
    <w:rsid w:val="00BE6490"/>
    <w:rsid w:val="00BE6624"/>
    <w:rsid w:val="00BE68AF"/>
    <w:rsid w:val="00BE6A61"/>
    <w:rsid w:val="00BE6EA3"/>
    <w:rsid w:val="00BE6F8F"/>
    <w:rsid w:val="00BE7187"/>
    <w:rsid w:val="00BE72D0"/>
    <w:rsid w:val="00BE7432"/>
    <w:rsid w:val="00BE7B03"/>
    <w:rsid w:val="00BE7B36"/>
    <w:rsid w:val="00BE7C32"/>
    <w:rsid w:val="00BE7C5F"/>
    <w:rsid w:val="00BE7D6E"/>
    <w:rsid w:val="00BE7FE3"/>
    <w:rsid w:val="00BF0069"/>
    <w:rsid w:val="00BF0124"/>
    <w:rsid w:val="00BF069E"/>
    <w:rsid w:val="00BF0900"/>
    <w:rsid w:val="00BF0A0C"/>
    <w:rsid w:val="00BF0BA8"/>
    <w:rsid w:val="00BF0C42"/>
    <w:rsid w:val="00BF0D8C"/>
    <w:rsid w:val="00BF1313"/>
    <w:rsid w:val="00BF1463"/>
    <w:rsid w:val="00BF1610"/>
    <w:rsid w:val="00BF1647"/>
    <w:rsid w:val="00BF1C69"/>
    <w:rsid w:val="00BF1DC8"/>
    <w:rsid w:val="00BF2084"/>
    <w:rsid w:val="00BF208F"/>
    <w:rsid w:val="00BF2213"/>
    <w:rsid w:val="00BF22C0"/>
    <w:rsid w:val="00BF2428"/>
    <w:rsid w:val="00BF2526"/>
    <w:rsid w:val="00BF25CD"/>
    <w:rsid w:val="00BF25F5"/>
    <w:rsid w:val="00BF293F"/>
    <w:rsid w:val="00BF2A70"/>
    <w:rsid w:val="00BF2D94"/>
    <w:rsid w:val="00BF2FEF"/>
    <w:rsid w:val="00BF3651"/>
    <w:rsid w:val="00BF3677"/>
    <w:rsid w:val="00BF36D7"/>
    <w:rsid w:val="00BF38AE"/>
    <w:rsid w:val="00BF391E"/>
    <w:rsid w:val="00BF39C8"/>
    <w:rsid w:val="00BF3B12"/>
    <w:rsid w:val="00BF3B66"/>
    <w:rsid w:val="00BF3CCA"/>
    <w:rsid w:val="00BF3EAA"/>
    <w:rsid w:val="00BF3EC7"/>
    <w:rsid w:val="00BF3F96"/>
    <w:rsid w:val="00BF42C0"/>
    <w:rsid w:val="00BF46B6"/>
    <w:rsid w:val="00BF47A5"/>
    <w:rsid w:val="00BF4965"/>
    <w:rsid w:val="00BF4DBB"/>
    <w:rsid w:val="00BF4EBA"/>
    <w:rsid w:val="00BF5153"/>
    <w:rsid w:val="00BF5306"/>
    <w:rsid w:val="00BF5395"/>
    <w:rsid w:val="00BF53BC"/>
    <w:rsid w:val="00BF5691"/>
    <w:rsid w:val="00BF56A1"/>
    <w:rsid w:val="00BF570A"/>
    <w:rsid w:val="00BF59DB"/>
    <w:rsid w:val="00BF5C0B"/>
    <w:rsid w:val="00BF5DAE"/>
    <w:rsid w:val="00BF5DC4"/>
    <w:rsid w:val="00BF5E1E"/>
    <w:rsid w:val="00BF5EF8"/>
    <w:rsid w:val="00BF5FEF"/>
    <w:rsid w:val="00BF60B1"/>
    <w:rsid w:val="00BF6225"/>
    <w:rsid w:val="00BF65DD"/>
    <w:rsid w:val="00BF6832"/>
    <w:rsid w:val="00BF69F8"/>
    <w:rsid w:val="00BF6D71"/>
    <w:rsid w:val="00BF6EE5"/>
    <w:rsid w:val="00BF708F"/>
    <w:rsid w:val="00BF733D"/>
    <w:rsid w:val="00BF73FB"/>
    <w:rsid w:val="00BF746D"/>
    <w:rsid w:val="00BF76FA"/>
    <w:rsid w:val="00BF7714"/>
    <w:rsid w:val="00BF7970"/>
    <w:rsid w:val="00BF7A3D"/>
    <w:rsid w:val="00BF7A51"/>
    <w:rsid w:val="00BF7ACF"/>
    <w:rsid w:val="00BF7AE1"/>
    <w:rsid w:val="00BF7E9D"/>
    <w:rsid w:val="00C00057"/>
    <w:rsid w:val="00C006A6"/>
    <w:rsid w:val="00C006C1"/>
    <w:rsid w:val="00C0083E"/>
    <w:rsid w:val="00C00B73"/>
    <w:rsid w:val="00C00C6E"/>
    <w:rsid w:val="00C00D14"/>
    <w:rsid w:val="00C012C7"/>
    <w:rsid w:val="00C01462"/>
    <w:rsid w:val="00C017DE"/>
    <w:rsid w:val="00C01B37"/>
    <w:rsid w:val="00C01D8B"/>
    <w:rsid w:val="00C0218F"/>
    <w:rsid w:val="00C022FE"/>
    <w:rsid w:val="00C02404"/>
    <w:rsid w:val="00C02647"/>
    <w:rsid w:val="00C02713"/>
    <w:rsid w:val="00C027B3"/>
    <w:rsid w:val="00C027CE"/>
    <w:rsid w:val="00C02966"/>
    <w:rsid w:val="00C02AA7"/>
    <w:rsid w:val="00C02C07"/>
    <w:rsid w:val="00C02CD5"/>
    <w:rsid w:val="00C02D26"/>
    <w:rsid w:val="00C02D8C"/>
    <w:rsid w:val="00C02D94"/>
    <w:rsid w:val="00C02F1E"/>
    <w:rsid w:val="00C03272"/>
    <w:rsid w:val="00C0348F"/>
    <w:rsid w:val="00C034A0"/>
    <w:rsid w:val="00C035CA"/>
    <w:rsid w:val="00C03699"/>
    <w:rsid w:val="00C03AEA"/>
    <w:rsid w:val="00C03C44"/>
    <w:rsid w:val="00C03CD0"/>
    <w:rsid w:val="00C03E36"/>
    <w:rsid w:val="00C040B4"/>
    <w:rsid w:val="00C0451C"/>
    <w:rsid w:val="00C0472B"/>
    <w:rsid w:val="00C04858"/>
    <w:rsid w:val="00C04AA0"/>
    <w:rsid w:val="00C04B1C"/>
    <w:rsid w:val="00C04DE1"/>
    <w:rsid w:val="00C04F35"/>
    <w:rsid w:val="00C05123"/>
    <w:rsid w:val="00C05950"/>
    <w:rsid w:val="00C05D66"/>
    <w:rsid w:val="00C05DA2"/>
    <w:rsid w:val="00C05F97"/>
    <w:rsid w:val="00C06295"/>
    <w:rsid w:val="00C06A6A"/>
    <w:rsid w:val="00C06AD8"/>
    <w:rsid w:val="00C06ADE"/>
    <w:rsid w:val="00C06B15"/>
    <w:rsid w:val="00C06D57"/>
    <w:rsid w:val="00C07319"/>
    <w:rsid w:val="00C07517"/>
    <w:rsid w:val="00C076D2"/>
    <w:rsid w:val="00C077F3"/>
    <w:rsid w:val="00C0789C"/>
    <w:rsid w:val="00C07965"/>
    <w:rsid w:val="00C07A02"/>
    <w:rsid w:val="00C1004C"/>
    <w:rsid w:val="00C10200"/>
    <w:rsid w:val="00C104C0"/>
    <w:rsid w:val="00C1050A"/>
    <w:rsid w:val="00C1059A"/>
    <w:rsid w:val="00C106A3"/>
    <w:rsid w:val="00C10AF0"/>
    <w:rsid w:val="00C10D67"/>
    <w:rsid w:val="00C11387"/>
    <w:rsid w:val="00C11507"/>
    <w:rsid w:val="00C11869"/>
    <w:rsid w:val="00C11971"/>
    <w:rsid w:val="00C11A45"/>
    <w:rsid w:val="00C11F5A"/>
    <w:rsid w:val="00C11FAC"/>
    <w:rsid w:val="00C12008"/>
    <w:rsid w:val="00C1220E"/>
    <w:rsid w:val="00C12240"/>
    <w:rsid w:val="00C1250B"/>
    <w:rsid w:val="00C1251D"/>
    <w:rsid w:val="00C12694"/>
    <w:rsid w:val="00C12A5A"/>
    <w:rsid w:val="00C12BFF"/>
    <w:rsid w:val="00C12EFB"/>
    <w:rsid w:val="00C1347C"/>
    <w:rsid w:val="00C1382B"/>
    <w:rsid w:val="00C139E1"/>
    <w:rsid w:val="00C13AFA"/>
    <w:rsid w:val="00C13FD4"/>
    <w:rsid w:val="00C13FDF"/>
    <w:rsid w:val="00C14049"/>
    <w:rsid w:val="00C1410B"/>
    <w:rsid w:val="00C1416B"/>
    <w:rsid w:val="00C14582"/>
    <w:rsid w:val="00C14843"/>
    <w:rsid w:val="00C14A8A"/>
    <w:rsid w:val="00C14DDB"/>
    <w:rsid w:val="00C14E3F"/>
    <w:rsid w:val="00C14F17"/>
    <w:rsid w:val="00C14F3A"/>
    <w:rsid w:val="00C15130"/>
    <w:rsid w:val="00C153B5"/>
    <w:rsid w:val="00C156C1"/>
    <w:rsid w:val="00C1594F"/>
    <w:rsid w:val="00C15AE0"/>
    <w:rsid w:val="00C15E77"/>
    <w:rsid w:val="00C15F1F"/>
    <w:rsid w:val="00C1638B"/>
    <w:rsid w:val="00C1644C"/>
    <w:rsid w:val="00C165B9"/>
    <w:rsid w:val="00C16708"/>
    <w:rsid w:val="00C16717"/>
    <w:rsid w:val="00C167DE"/>
    <w:rsid w:val="00C1699C"/>
    <w:rsid w:val="00C16A49"/>
    <w:rsid w:val="00C16BDF"/>
    <w:rsid w:val="00C16E50"/>
    <w:rsid w:val="00C16EE1"/>
    <w:rsid w:val="00C16F03"/>
    <w:rsid w:val="00C16FB9"/>
    <w:rsid w:val="00C1707F"/>
    <w:rsid w:val="00C170A6"/>
    <w:rsid w:val="00C17281"/>
    <w:rsid w:val="00C172E2"/>
    <w:rsid w:val="00C17A3B"/>
    <w:rsid w:val="00C17C44"/>
    <w:rsid w:val="00C17E2F"/>
    <w:rsid w:val="00C201C7"/>
    <w:rsid w:val="00C20604"/>
    <w:rsid w:val="00C20823"/>
    <w:rsid w:val="00C2097C"/>
    <w:rsid w:val="00C20FB8"/>
    <w:rsid w:val="00C20FC3"/>
    <w:rsid w:val="00C21267"/>
    <w:rsid w:val="00C2134B"/>
    <w:rsid w:val="00C2143A"/>
    <w:rsid w:val="00C214B5"/>
    <w:rsid w:val="00C21524"/>
    <w:rsid w:val="00C21844"/>
    <w:rsid w:val="00C2190F"/>
    <w:rsid w:val="00C219E5"/>
    <w:rsid w:val="00C21B28"/>
    <w:rsid w:val="00C21D75"/>
    <w:rsid w:val="00C21FD5"/>
    <w:rsid w:val="00C21FF7"/>
    <w:rsid w:val="00C224B6"/>
    <w:rsid w:val="00C22A4B"/>
    <w:rsid w:val="00C22B38"/>
    <w:rsid w:val="00C22BA3"/>
    <w:rsid w:val="00C22C7C"/>
    <w:rsid w:val="00C22E1F"/>
    <w:rsid w:val="00C22F7C"/>
    <w:rsid w:val="00C2303C"/>
    <w:rsid w:val="00C230C7"/>
    <w:rsid w:val="00C230F4"/>
    <w:rsid w:val="00C23340"/>
    <w:rsid w:val="00C23363"/>
    <w:rsid w:val="00C234EB"/>
    <w:rsid w:val="00C234EF"/>
    <w:rsid w:val="00C236E1"/>
    <w:rsid w:val="00C237E9"/>
    <w:rsid w:val="00C23961"/>
    <w:rsid w:val="00C239B3"/>
    <w:rsid w:val="00C23B28"/>
    <w:rsid w:val="00C23CCA"/>
    <w:rsid w:val="00C23E06"/>
    <w:rsid w:val="00C23E53"/>
    <w:rsid w:val="00C23F15"/>
    <w:rsid w:val="00C2403D"/>
    <w:rsid w:val="00C24044"/>
    <w:rsid w:val="00C2449E"/>
    <w:rsid w:val="00C24648"/>
    <w:rsid w:val="00C24738"/>
    <w:rsid w:val="00C2474A"/>
    <w:rsid w:val="00C2483B"/>
    <w:rsid w:val="00C24CAE"/>
    <w:rsid w:val="00C24CDC"/>
    <w:rsid w:val="00C24D6F"/>
    <w:rsid w:val="00C24FDA"/>
    <w:rsid w:val="00C25113"/>
    <w:rsid w:val="00C25327"/>
    <w:rsid w:val="00C25329"/>
    <w:rsid w:val="00C258C8"/>
    <w:rsid w:val="00C25D89"/>
    <w:rsid w:val="00C25E98"/>
    <w:rsid w:val="00C264B0"/>
    <w:rsid w:val="00C26662"/>
    <w:rsid w:val="00C26865"/>
    <w:rsid w:val="00C268AD"/>
    <w:rsid w:val="00C26981"/>
    <w:rsid w:val="00C269A5"/>
    <w:rsid w:val="00C26C28"/>
    <w:rsid w:val="00C26CAB"/>
    <w:rsid w:val="00C27347"/>
    <w:rsid w:val="00C274B2"/>
    <w:rsid w:val="00C2759A"/>
    <w:rsid w:val="00C276F1"/>
    <w:rsid w:val="00C277C0"/>
    <w:rsid w:val="00C27866"/>
    <w:rsid w:val="00C2799A"/>
    <w:rsid w:val="00C27B1B"/>
    <w:rsid w:val="00C27C0E"/>
    <w:rsid w:val="00C27C26"/>
    <w:rsid w:val="00C27DF8"/>
    <w:rsid w:val="00C3015A"/>
    <w:rsid w:val="00C30207"/>
    <w:rsid w:val="00C3089A"/>
    <w:rsid w:val="00C3094F"/>
    <w:rsid w:val="00C30A04"/>
    <w:rsid w:val="00C30AFA"/>
    <w:rsid w:val="00C30E3D"/>
    <w:rsid w:val="00C31031"/>
    <w:rsid w:val="00C310DE"/>
    <w:rsid w:val="00C31435"/>
    <w:rsid w:val="00C3165B"/>
    <w:rsid w:val="00C316FA"/>
    <w:rsid w:val="00C31728"/>
    <w:rsid w:val="00C318F9"/>
    <w:rsid w:val="00C3199C"/>
    <w:rsid w:val="00C319DA"/>
    <w:rsid w:val="00C31C35"/>
    <w:rsid w:val="00C32025"/>
    <w:rsid w:val="00C320CF"/>
    <w:rsid w:val="00C325E2"/>
    <w:rsid w:val="00C3264B"/>
    <w:rsid w:val="00C32686"/>
    <w:rsid w:val="00C32783"/>
    <w:rsid w:val="00C327B6"/>
    <w:rsid w:val="00C32AAC"/>
    <w:rsid w:val="00C32B93"/>
    <w:rsid w:val="00C32F2F"/>
    <w:rsid w:val="00C32F85"/>
    <w:rsid w:val="00C3310E"/>
    <w:rsid w:val="00C33142"/>
    <w:rsid w:val="00C332A7"/>
    <w:rsid w:val="00C33316"/>
    <w:rsid w:val="00C33496"/>
    <w:rsid w:val="00C335EC"/>
    <w:rsid w:val="00C338CE"/>
    <w:rsid w:val="00C3414F"/>
    <w:rsid w:val="00C3438E"/>
    <w:rsid w:val="00C3439C"/>
    <w:rsid w:val="00C343C0"/>
    <w:rsid w:val="00C34616"/>
    <w:rsid w:val="00C3461A"/>
    <w:rsid w:val="00C348C7"/>
    <w:rsid w:val="00C34901"/>
    <w:rsid w:val="00C34AD6"/>
    <w:rsid w:val="00C34C80"/>
    <w:rsid w:val="00C34DB3"/>
    <w:rsid w:val="00C34DDC"/>
    <w:rsid w:val="00C35514"/>
    <w:rsid w:val="00C3560D"/>
    <w:rsid w:val="00C35785"/>
    <w:rsid w:val="00C358F7"/>
    <w:rsid w:val="00C35FC4"/>
    <w:rsid w:val="00C36251"/>
    <w:rsid w:val="00C36402"/>
    <w:rsid w:val="00C36436"/>
    <w:rsid w:val="00C36475"/>
    <w:rsid w:val="00C36606"/>
    <w:rsid w:val="00C36718"/>
    <w:rsid w:val="00C36821"/>
    <w:rsid w:val="00C368A9"/>
    <w:rsid w:val="00C3696E"/>
    <w:rsid w:val="00C36A8A"/>
    <w:rsid w:val="00C36DA5"/>
    <w:rsid w:val="00C36EA4"/>
    <w:rsid w:val="00C37210"/>
    <w:rsid w:val="00C37225"/>
    <w:rsid w:val="00C37362"/>
    <w:rsid w:val="00C3763D"/>
    <w:rsid w:val="00C376B5"/>
    <w:rsid w:val="00C3781E"/>
    <w:rsid w:val="00C37899"/>
    <w:rsid w:val="00C37A3C"/>
    <w:rsid w:val="00C37C83"/>
    <w:rsid w:val="00C37D03"/>
    <w:rsid w:val="00C40266"/>
    <w:rsid w:val="00C4037D"/>
    <w:rsid w:val="00C4097B"/>
    <w:rsid w:val="00C40A45"/>
    <w:rsid w:val="00C40AD9"/>
    <w:rsid w:val="00C40D34"/>
    <w:rsid w:val="00C40D3D"/>
    <w:rsid w:val="00C413A9"/>
    <w:rsid w:val="00C415A6"/>
    <w:rsid w:val="00C41662"/>
    <w:rsid w:val="00C417EE"/>
    <w:rsid w:val="00C419AD"/>
    <w:rsid w:val="00C41AA3"/>
    <w:rsid w:val="00C41AF3"/>
    <w:rsid w:val="00C41C70"/>
    <w:rsid w:val="00C41C7C"/>
    <w:rsid w:val="00C41DF9"/>
    <w:rsid w:val="00C41F04"/>
    <w:rsid w:val="00C41F0E"/>
    <w:rsid w:val="00C4224E"/>
    <w:rsid w:val="00C4232A"/>
    <w:rsid w:val="00C425C2"/>
    <w:rsid w:val="00C42886"/>
    <w:rsid w:val="00C42891"/>
    <w:rsid w:val="00C428E1"/>
    <w:rsid w:val="00C42941"/>
    <w:rsid w:val="00C42A7A"/>
    <w:rsid w:val="00C42BB3"/>
    <w:rsid w:val="00C42EA7"/>
    <w:rsid w:val="00C42F16"/>
    <w:rsid w:val="00C42F52"/>
    <w:rsid w:val="00C43058"/>
    <w:rsid w:val="00C4346C"/>
    <w:rsid w:val="00C43741"/>
    <w:rsid w:val="00C43856"/>
    <w:rsid w:val="00C438D5"/>
    <w:rsid w:val="00C43DBD"/>
    <w:rsid w:val="00C43E7A"/>
    <w:rsid w:val="00C43FC5"/>
    <w:rsid w:val="00C44392"/>
    <w:rsid w:val="00C44E76"/>
    <w:rsid w:val="00C44EDF"/>
    <w:rsid w:val="00C44FA3"/>
    <w:rsid w:val="00C45072"/>
    <w:rsid w:val="00C45095"/>
    <w:rsid w:val="00C45311"/>
    <w:rsid w:val="00C45399"/>
    <w:rsid w:val="00C454E9"/>
    <w:rsid w:val="00C455A4"/>
    <w:rsid w:val="00C45709"/>
    <w:rsid w:val="00C45A05"/>
    <w:rsid w:val="00C45CBC"/>
    <w:rsid w:val="00C45CDA"/>
    <w:rsid w:val="00C45D41"/>
    <w:rsid w:val="00C46000"/>
    <w:rsid w:val="00C460BF"/>
    <w:rsid w:val="00C462CA"/>
    <w:rsid w:val="00C4631E"/>
    <w:rsid w:val="00C4646A"/>
    <w:rsid w:val="00C466B9"/>
    <w:rsid w:val="00C46759"/>
    <w:rsid w:val="00C4677B"/>
    <w:rsid w:val="00C46B64"/>
    <w:rsid w:val="00C46BE4"/>
    <w:rsid w:val="00C4704D"/>
    <w:rsid w:val="00C4717D"/>
    <w:rsid w:val="00C472E8"/>
    <w:rsid w:val="00C4744D"/>
    <w:rsid w:val="00C47485"/>
    <w:rsid w:val="00C478E7"/>
    <w:rsid w:val="00C47CD1"/>
    <w:rsid w:val="00C47DD5"/>
    <w:rsid w:val="00C47F84"/>
    <w:rsid w:val="00C5012A"/>
    <w:rsid w:val="00C50154"/>
    <w:rsid w:val="00C501FC"/>
    <w:rsid w:val="00C50420"/>
    <w:rsid w:val="00C504D2"/>
    <w:rsid w:val="00C50506"/>
    <w:rsid w:val="00C507B2"/>
    <w:rsid w:val="00C50818"/>
    <w:rsid w:val="00C50837"/>
    <w:rsid w:val="00C5097E"/>
    <w:rsid w:val="00C509F2"/>
    <w:rsid w:val="00C50AF6"/>
    <w:rsid w:val="00C50C99"/>
    <w:rsid w:val="00C50D24"/>
    <w:rsid w:val="00C50FAC"/>
    <w:rsid w:val="00C5101D"/>
    <w:rsid w:val="00C5130B"/>
    <w:rsid w:val="00C515A8"/>
    <w:rsid w:val="00C515EC"/>
    <w:rsid w:val="00C519FF"/>
    <w:rsid w:val="00C51A1E"/>
    <w:rsid w:val="00C51CA4"/>
    <w:rsid w:val="00C51CD2"/>
    <w:rsid w:val="00C51D5B"/>
    <w:rsid w:val="00C51D7C"/>
    <w:rsid w:val="00C51D91"/>
    <w:rsid w:val="00C52091"/>
    <w:rsid w:val="00C5286A"/>
    <w:rsid w:val="00C52B7B"/>
    <w:rsid w:val="00C52C98"/>
    <w:rsid w:val="00C52EA6"/>
    <w:rsid w:val="00C53199"/>
    <w:rsid w:val="00C53228"/>
    <w:rsid w:val="00C53236"/>
    <w:rsid w:val="00C532F1"/>
    <w:rsid w:val="00C53448"/>
    <w:rsid w:val="00C535A0"/>
    <w:rsid w:val="00C535F3"/>
    <w:rsid w:val="00C5393F"/>
    <w:rsid w:val="00C539BC"/>
    <w:rsid w:val="00C53A77"/>
    <w:rsid w:val="00C53ABB"/>
    <w:rsid w:val="00C53BB4"/>
    <w:rsid w:val="00C53CB4"/>
    <w:rsid w:val="00C53FE0"/>
    <w:rsid w:val="00C545E1"/>
    <w:rsid w:val="00C547D2"/>
    <w:rsid w:val="00C548CD"/>
    <w:rsid w:val="00C54919"/>
    <w:rsid w:val="00C5491B"/>
    <w:rsid w:val="00C54DC2"/>
    <w:rsid w:val="00C54DE7"/>
    <w:rsid w:val="00C54FD5"/>
    <w:rsid w:val="00C552DB"/>
    <w:rsid w:val="00C553A7"/>
    <w:rsid w:val="00C558C9"/>
    <w:rsid w:val="00C55A16"/>
    <w:rsid w:val="00C55A50"/>
    <w:rsid w:val="00C55A70"/>
    <w:rsid w:val="00C55A8D"/>
    <w:rsid w:val="00C55F6E"/>
    <w:rsid w:val="00C56317"/>
    <w:rsid w:val="00C563C2"/>
    <w:rsid w:val="00C563FA"/>
    <w:rsid w:val="00C566BB"/>
    <w:rsid w:val="00C56848"/>
    <w:rsid w:val="00C56999"/>
    <w:rsid w:val="00C56C12"/>
    <w:rsid w:val="00C56ECE"/>
    <w:rsid w:val="00C56F30"/>
    <w:rsid w:val="00C5704A"/>
    <w:rsid w:val="00C57453"/>
    <w:rsid w:val="00C578D9"/>
    <w:rsid w:val="00C57CDD"/>
    <w:rsid w:val="00C601F9"/>
    <w:rsid w:val="00C6037E"/>
    <w:rsid w:val="00C608C4"/>
    <w:rsid w:val="00C60AF0"/>
    <w:rsid w:val="00C60B9F"/>
    <w:rsid w:val="00C60E80"/>
    <w:rsid w:val="00C60F8A"/>
    <w:rsid w:val="00C61019"/>
    <w:rsid w:val="00C61071"/>
    <w:rsid w:val="00C61185"/>
    <w:rsid w:val="00C615FF"/>
    <w:rsid w:val="00C6179F"/>
    <w:rsid w:val="00C61D47"/>
    <w:rsid w:val="00C623A2"/>
    <w:rsid w:val="00C623CE"/>
    <w:rsid w:val="00C626B2"/>
    <w:rsid w:val="00C628AF"/>
    <w:rsid w:val="00C62C7C"/>
    <w:rsid w:val="00C630B8"/>
    <w:rsid w:val="00C630C9"/>
    <w:rsid w:val="00C630F8"/>
    <w:rsid w:val="00C637B5"/>
    <w:rsid w:val="00C63A2F"/>
    <w:rsid w:val="00C63A3E"/>
    <w:rsid w:val="00C63B79"/>
    <w:rsid w:val="00C63BD2"/>
    <w:rsid w:val="00C63C8A"/>
    <w:rsid w:val="00C63ED0"/>
    <w:rsid w:val="00C63F10"/>
    <w:rsid w:val="00C6400E"/>
    <w:rsid w:val="00C64337"/>
    <w:rsid w:val="00C645D2"/>
    <w:rsid w:val="00C6471E"/>
    <w:rsid w:val="00C64835"/>
    <w:rsid w:val="00C648D2"/>
    <w:rsid w:val="00C64B01"/>
    <w:rsid w:val="00C64BEA"/>
    <w:rsid w:val="00C64D28"/>
    <w:rsid w:val="00C64E9F"/>
    <w:rsid w:val="00C64ECC"/>
    <w:rsid w:val="00C65159"/>
    <w:rsid w:val="00C6523A"/>
    <w:rsid w:val="00C652E2"/>
    <w:rsid w:val="00C6538E"/>
    <w:rsid w:val="00C6551D"/>
    <w:rsid w:val="00C659A1"/>
    <w:rsid w:val="00C659F9"/>
    <w:rsid w:val="00C65B3C"/>
    <w:rsid w:val="00C65E09"/>
    <w:rsid w:val="00C65F19"/>
    <w:rsid w:val="00C6635F"/>
    <w:rsid w:val="00C66563"/>
    <w:rsid w:val="00C66757"/>
    <w:rsid w:val="00C66842"/>
    <w:rsid w:val="00C66951"/>
    <w:rsid w:val="00C66955"/>
    <w:rsid w:val="00C669EE"/>
    <w:rsid w:val="00C66C12"/>
    <w:rsid w:val="00C66D87"/>
    <w:rsid w:val="00C6737C"/>
    <w:rsid w:val="00C6741D"/>
    <w:rsid w:val="00C6755D"/>
    <w:rsid w:val="00C675AE"/>
    <w:rsid w:val="00C67796"/>
    <w:rsid w:val="00C679CE"/>
    <w:rsid w:val="00C67E2C"/>
    <w:rsid w:val="00C67E4A"/>
    <w:rsid w:val="00C67F29"/>
    <w:rsid w:val="00C70072"/>
    <w:rsid w:val="00C7017D"/>
    <w:rsid w:val="00C7028A"/>
    <w:rsid w:val="00C705F4"/>
    <w:rsid w:val="00C70613"/>
    <w:rsid w:val="00C71416"/>
    <w:rsid w:val="00C715A8"/>
    <w:rsid w:val="00C71943"/>
    <w:rsid w:val="00C71A74"/>
    <w:rsid w:val="00C72317"/>
    <w:rsid w:val="00C724AC"/>
    <w:rsid w:val="00C7285A"/>
    <w:rsid w:val="00C72AD6"/>
    <w:rsid w:val="00C731EB"/>
    <w:rsid w:val="00C732EB"/>
    <w:rsid w:val="00C73717"/>
    <w:rsid w:val="00C7374F"/>
    <w:rsid w:val="00C737AD"/>
    <w:rsid w:val="00C73EDF"/>
    <w:rsid w:val="00C73F4F"/>
    <w:rsid w:val="00C73FA5"/>
    <w:rsid w:val="00C7401E"/>
    <w:rsid w:val="00C74156"/>
    <w:rsid w:val="00C74308"/>
    <w:rsid w:val="00C74323"/>
    <w:rsid w:val="00C7433B"/>
    <w:rsid w:val="00C743D4"/>
    <w:rsid w:val="00C7455D"/>
    <w:rsid w:val="00C74799"/>
    <w:rsid w:val="00C74C28"/>
    <w:rsid w:val="00C74E19"/>
    <w:rsid w:val="00C7502B"/>
    <w:rsid w:val="00C7513A"/>
    <w:rsid w:val="00C7514D"/>
    <w:rsid w:val="00C7544F"/>
    <w:rsid w:val="00C75584"/>
    <w:rsid w:val="00C755CA"/>
    <w:rsid w:val="00C75625"/>
    <w:rsid w:val="00C7596D"/>
    <w:rsid w:val="00C75D68"/>
    <w:rsid w:val="00C76152"/>
    <w:rsid w:val="00C76194"/>
    <w:rsid w:val="00C76387"/>
    <w:rsid w:val="00C7685C"/>
    <w:rsid w:val="00C76885"/>
    <w:rsid w:val="00C768A3"/>
    <w:rsid w:val="00C76ADE"/>
    <w:rsid w:val="00C76DF8"/>
    <w:rsid w:val="00C76E6B"/>
    <w:rsid w:val="00C76E79"/>
    <w:rsid w:val="00C77018"/>
    <w:rsid w:val="00C7703C"/>
    <w:rsid w:val="00C771CA"/>
    <w:rsid w:val="00C7735D"/>
    <w:rsid w:val="00C7756B"/>
    <w:rsid w:val="00C7761D"/>
    <w:rsid w:val="00C779F9"/>
    <w:rsid w:val="00C77A48"/>
    <w:rsid w:val="00C77A83"/>
    <w:rsid w:val="00C77B4C"/>
    <w:rsid w:val="00C77BAB"/>
    <w:rsid w:val="00C77EDF"/>
    <w:rsid w:val="00C77F65"/>
    <w:rsid w:val="00C8029D"/>
    <w:rsid w:val="00C802F4"/>
    <w:rsid w:val="00C805F0"/>
    <w:rsid w:val="00C80615"/>
    <w:rsid w:val="00C8082C"/>
    <w:rsid w:val="00C80889"/>
    <w:rsid w:val="00C812F8"/>
    <w:rsid w:val="00C814F2"/>
    <w:rsid w:val="00C815F6"/>
    <w:rsid w:val="00C817B6"/>
    <w:rsid w:val="00C81830"/>
    <w:rsid w:val="00C81831"/>
    <w:rsid w:val="00C819D3"/>
    <w:rsid w:val="00C81BAA"/>
    <w:rsid w:val="00C81C01"/>
    <w:rsid w:val="00C81CAC"/>
    <w:rsid w:val="00C81CC4"/>
    <w:rsid w:val="00C81F7D"/>
    <w:rsid w:val="00C827B5"/>
    <w:rsid w:val="00C828FF"/>
    <w:rsid w:val="00C82BF8"/>
    <w:rsid w:val="00C82FD9"/>
    <w:rsid w:val="00C833E9"/>
    <w:rsid w:val="00C836BF"/>
    <w:rsid w:val="00C836F7"/>
    <w:rsid w:val="00C83980"/>
    <w:rsid w:val="00C839B1"/>
    <w:rsid w:val="00C83C15"/>
    <w:rsid w:val="00C83C88"/>
    <w:rsid w:val="00C83EA4"/>
    <w:rsid w:val="00C84237"/>
    <w:rsid w:val="00C8423D"/>
    <w:rsid w:val="00C84372"/>
    <w:rsid w:val="00C847C0"/>
    <w:rsid w:val="00C848EE"/>
    <w:rsid w:val="00C84AFC"/>
    <w:rsid w:val="00C84B2A"/>
    <w:rsid w:val="00C84B39"/>
    <w:rsid w:val="00C84E9C"/>
    <w:rsid w:val="00C84F37"/>
    <w:rsid w:val="00C84F65"/>
    <w:rsid w:val="00C8555C"/>
    <w:rsid w:val="00C85A37"/>
    <w:rsid w:val="00C85B14"/>
    <w:rsid w:val="00C85C90"/>
    <w:rsid w:val="00C85D48"/>
    <w:rsid w:val="00C85D8B"/>
    <w:rsid w:val="00C85EAA"/>
    <w:rsid w:val="00C861C5"/>
    <w:rsid w:val="00C86269"/>
    <w:rsid w:val="00C8626B"/>
    <w:rsid w:val="00C86434"/>
    <w:rsid w:val="00C864F5"/>
    <w:rsid w:val="00C86656"/>
    <w:rsid w:val="00C8679C"/>
    <w:rsid w:val="00C8683B"/>
    <w:rsid w:val="00C86855"/>
    <w:rsid w:val="00C869C5"/>
    <w:rsid w:val="00C86B02"/>
    <w:rsid w:val="00C86B8A"/>
    <w:rsid w:val="00C86EB9"/>
    <w:rsid w:val="00C86F08"/>
    <w:rsid w:val="00C86F7D"/>
    <w:rsid w:val="00C87076"/>
    <w:rsid w:val="00C870B0"/>
    <w:rsid w:val="00C87135"/>
    <w:rsid w:val="00C87201"/>
    <w:rsid w:val="00C87314"/>
    <w:rsid w:val="00C87521"/>
    <w:rsid w:val="00C876D3"/>
    <w:rsid w:val="00C8778E"/>
    <w:rsid w:val="00C87B89"/>
    <w:rsid w:val="00C87E2A"/>
    <w:rsid w:val="00C90014"/>
    <w:rsid w:val="00C9003A"/>
    <w:rsid w:val="00C90175"/>
    <w:rsid w:val="00C90195"/>
    <w:rsid w:val="00C905FC"/>
    <w:rsid w:val="00C90A62"/>
    <w:rsid w:val="00C911CF"/>
    <w:rsid w:val="00C91278"/>
    <w:rsid w:val="00C914F1"/>
    <w:rsid w:val="00C91B51"/>
    <w:rsid w:val="00C91F87"/>
    <w:rsid w:val="00C91FB2"/>
    <w:rsid w:val="00C92021"/>
    <w:rsid w:val="00C9215D"/>
    <w:rsid w:val="00C9240A"/>
    <w:rsid w:val="00C92735"/>
    <w:rsid w:val="00C92774"/>
    <w:rsid w:val="00C927E7"/>
    <w:rsid w:val="00C92AB9"/>
    <w:rsid w:val="00C932D3"/>
    <w:rsid w:val="00C936F0"/>
    <w:rsid w:val="00C9389A"/>
    <w:rsid w:val="00C93BBB"/>
    <w:rsid w:val="00C93D5E"/>
    <w:rsid w:val="00C93E6D"/>
    <w:rsid w:val="00C93EB4"/>
    <w:rsid w:val="00C93ED6"/>
    <w:rsid w:val="00C93F80"/>
    <w:rsid w:val="00C9401B"/>
    <w:rsid w:val="00C941D0"/>
    <w:rsid w:val="00C94301"/>
    <w:rsid w:val="00C94335"/>
    <w:rsid w:val="00C94474"/>
    <w:rsid w:val="00C945D4"/>
    <w:rsid w:val="00C94999"/>
    <w:rsid w:val="00C94AA2"/>
    <w:rsid w:val="00C94E24"/>
    <w:rsid w:val="00C9520D"/>
    <w:rsid w:val="00C954BC"/>
    <w:rsid w:val="00C954DF"/>
    <w:rsid w:val="00C95794"/>
    <w:rsid w:val="00C958B1"/>
    <w:rsid w:val="00C95C12"/>
    <w:rsid w:val="00C95C4C"/>
    <w:rsid w:val="00C95DEF"/>
    <w:rsid w:val="00C95E4B"/>
    <w:rsid w:val="00C95E5F"/>
    <w:rsid w:val="00C9602E"/>
    <w:rsid w:val="00C96066"/>
    <w:rsid w:val="00C964D7"/>
    <w:rsid w:val="00C9656F"/>
    <w:rsid w:val="00C967E1"/>
    <w:rsid w:val="00C96915"/>
    <w:rsid w:val="00C96B75"/>
    <w:rsid w:val="00C96D59"/>
    <w:rsid w:val="00C96EAE"/>
    <w:rsid w:val="00C96EF7"/>
    <w:rsid w:val="00C96F37"/>
    <w:rsid w:val="00C97120"/>
    <w:rsid w:val="00C9755C"/>
    <w:rsid w:val="00C9775B"/>
    <w:rsid w:val="00C9786F"/>
    <w:rsid w:val="00C978AC"/>
    <w:rsid w:val="00C978D1"/>
    <w:rsid w:val="00C97995"/>
    <w:rsid w:val="00C97A35"/>
    <w:rsid w:val="00C97AD6"/>
    <w:rsid w:val="00C97B3C"/>
    <w:rsid w:val="00C97D04"/>
    <w:rsid w:val="00C97FE2"/>
    <w:rsid w:val="00CA0042"/>
    <w:rsid w:val="00CA03AA"/>
    <w:rsid w:val="00CA03FB"/>
    <w:rsid w:val="00CA0402"/>
    <w:rsid w:val="00CA0523"/>
    <w:rsid w:val="00CA06FB"/>
    <w:rsid w:val="00CA0B81"/>
    <w:rsid w:val="00CA0EF0"/>
    <w:rsid w:val="00CA12AD"/>
    <w:rsid w:val="00CA12DD"/>
    <w:rsid w:val="00CA1320"/>
    <w:rsid w:val="00CA13F5"/>
    <w:rsid w:val="00CA142C"/>
    <w:rsid w:val="00CA16E2"/>
    <w:rsid w:val="00CA1801"/>
    <w:rsid w:val="00CA1820"/>
    <w:rsid w:val="00CA1A19"/>
    <w:rsid w:val="00CA1B6B"/>
    <w:rsid w:val="00CA1D27"/>
    <w:rsid w:val="00CA1DE3"/>
    <w:rsid w:val="00CA20FD"/>
    <w:rsid w:val="00CA2170"/>
    <w:rsid w:val="00CA25B5"/>
    <w:rsid w:val="00CA2600"/>
    <w:rsid w:val="00CA264D"/>
    <w:rsid w:val="00CA2846"/>
    <w:rsid w:val="00CA2C4B"/>
    <w:rsid w:val="00CA2E65"/>
    <w:rsid w:val="00CA2E97"/>
    <w:rsid w:val="00CA37B3"/>
    <w:rsid w:val="00CA3917"/>
    <w:rsid w:val="00CA3ABA"/>
    <w:rsid w:val="00CA3C8C"/>
    <w:rsid w:val="00CA3F6D"/>
    <w:rsid w:val="00CA40B7"/>
    <w:rsid w:val="00CA40C3"/>
    <w:rsid w:val="00CA4167"/>
    <w:rsid w:val="00CA4424"/>
    <w:rsid w:val="00CA490F"/>
    <w:rsid w:val="00CA4D5C"/>
    <w:rsid w:val="00CA5022"/>
    <w:rsid w:val="00CA5073"/>
    <w:rsid w:val="00CA5174"/>
    <w:rsid w:val="00CA555E"/>
    <w:rsid w:val="00CA55C2"/>
    <w:rsid w:val="00CA5C46"/>
    <w:rsid w:val="00CA5D1D"/>
    <w:rsid w:val="00CA5D6E"/>
    <w:rsid w:val="00CA611A"/>
    <w:rsid w:val="00CA61B3"/>
    <w:rsid w:val="00CA6237"/>
    <w:rsid w:val="00CA637C"/>
    <w:rsid w:val="00CA63BE"/>
    <w:rsid w:val="00CA644F"/>
    <w:rsid w:val="00CA64AF"/>
    <w:rsid w:val="00CA66FC"/>
    <w:rsid w:val="00CA6A87"/>
    <w:rsid w:val="00CA6BFE"/>
    <w:rsid w:val="00CA6CD0"/>
    <w:rsid w:val="00CA6D20"/>
    <w:rsid w:val="00CA70B5"/>
    <w:rsid w:val="00CA7138"/>
    <w:rsid w:val="00CA72B3"/>
    <w:rsid w:val="00CA72CC"/>
    <w:rsid w:val="00CA7C5E"/>
    <w:rsid w:val="00CB00FC"/>
    <w:rsid w:val="00CB01CE"/>
    <w:rsid w:val="00CB0767"/>
    <w:rsid w:val="00CB0D52"/>
    <w:rsid w:val="00CB10D9"/>
    <w:rsid w:val="00CB11C0"/>
    <w:rsid w:val="00CB1337"/>
    <w:rsid w:val="00CB157B"/>
    <w:rsid w:val="00CB1605"/>
    <w:rsid w:val="00CB16C1"/>
    <w:rsid w:val="00CB1A0B"/>
    <w:rsid w:val="00CB1A1B"/>
    <w:rsid w:val="00CB1D52"/>
    <w:rsid w:val="00CB1F6F"/>
    <w:rsid w:val="00CB22D7"/>
    <w:rsid w:val="00CB2385"/>
    <w:rsid w:val="00CB2489"/>
    <w:rsid w:val="00CB251E"/>
    <w:rsid w:val="00CB2531"/>
    <w:rsid w:val="00CB2710"/>
    <w:rsid w:val="00CB27D4"/>
    <w:rsid w:val="00CB2923"/>
    <w:rsid w:val="00CB2B06"/>
    <w:rsid w:val="00CB2BA9"/>
    <w:rsid w:val="00CB2CC1"/>
    <w:rsid w:val="00CB2CDD"/>
    <w:rsid w:val="00CB2EB6"/>
    <w:rsid w:val="00CB2EDF"/>
    <w:rsid w:val="00CB31F5"/>
    <w:rsid w:val="00CB3578"/>
    <w:rsid w:val="00CB35E9"/>
    <w:rsid w:val="00CB366C"/>
    <w:rsid w:val="00CB379F"/>
    <w:rsid w:val="00CB37E6"/>
    <w:rsid w:val="00CB380D"/>
    <w:rsid w:val="00CB389D"/>
    <w:rsid w:val="00CB39BF"/>
    <w:rsid w:val="00CB3B04"/>
    <w:rsid w:val="00CB3F0D"/>
    <w:rsid w:val="00CB3FDF"/>
    <w:rsid w:val="00CB4079"/>
    <w:rsid w:val="00CB412E"/>
    <w:rsid w:val="00CB41E3"/>
    <w:rsid w:val="00CB455D"/>
    <w:rsid w:val="00CB482C"/>
    <w:rsid w:val="00CB48D6"/>
    <w:rsid w:val="00CB49E3"/>
    <w:rsid w:val="00CB4D6E"/>
    <w:rsid w:val="00CB4D7E"/>
    <w:rsid w:val="00CB5231"/>
    <w:rsid w:val="00CB526C"/>
    <w:rsid w:val="00CB54C0"/>
    <w:rsid w:val="00CB556E"/>
    <w:rsid w:val="00CB55D6"/>
    <w:rsid w:val="00CB5607"/>
    <w:rsid w:val="00CB56C2"/>
    <w:rsid w:val="00CB5841"/>
    <w:rsid w:val="00CB58EF"/>
    <w:rsid w:val="00CB5BD2"/>
    <w:rsid w:val="00CB5C19"/>
    <w:rsid w:val="00CB5C22"/>
    <w:rsid w:val="00CB5C6E"/>
    <w:rsid w:val="00CB63F4"/>
    <w:rsid w:val="00CB68D1"/>
    <w:rsid w:val="00CB69AF"/>
    <w:rsid w:val="00CB6BFD"/>
    <w:rsid w:val="00CB6DD6"/>
    <w:rsid w:val="00CB6FC7"/>
    <w:rsid w:val="00CB7478"/>
    <w:rsid w:val="00CB77D3"/>
    <w:rsid w:val="00CB7B6A"/>
    <w:rsid w:val="00CB7C25"/>
    <w:rsid w:val="00CB7DC8"/>
    <w:rsid w:val="00CC094A"/>
    <w:rsid w:val="00CC0A09"/>
    <w:rsid w:val="00CC0A67"/>
    <w:rsid w:val="00CC0B5A"/>
    <w:rsid w:val="00CC0C0C"/>
    <w:rsid w:val="00CC0F34"/>
    <w:rsid w:val="00CC1107"/>
    <w:rsid w:val="00CC1243"/>
    <w:rsid w:val="00CC13CA"/>
    <w:rsid w:val="00CC144D"/>
    <w:rsid w:val="00CC1451"/>
    <w:rsid w:val="00CC14BF"/>
    <w:rsid w:val="00CC155D"/>
    <w:rsid w:val="00CC1776"/>
    <w:rsid w:val="00CC18DE"/>
    <w:rsid w:val="00CC1A82"/>
    <w:rsid w:val="00CC20D8"/>
    <w:rsid w:val="00CC2143"/>
    <w:rsid w:val="00CC2206"/>
    <w:rsid w:val="00CC2750"/>
    <w:rsid w:val="00CC31AA"/>
    <w:rsid w:val="00CC31C7"/>
    <w:rsid w:val="00CC3472"/>
    <w:rsid w:val="00CC3499"/>
    <w:rsid w:val="00CC34C5"/>
    <w:rsid w:val="00CC3A43"/>
    <w:rsid w:val="00CC3B43"/>
    <w:rsid w:val="00CC4344"/>
    <w:rsid w:val="00CC4479"/>
    <w:rsid w:val="00CC4596"/>
    <w:rsid w:val="00CC46AD"/>
    <w:rsid w:val="00CC497A"/>
    <w:rsid w:val="00CC4C1E"/>
    <w:rsid w:val="00CC4C56"/>
    <w:rsid w:val="00CC4EB4"/>
    <w:rsid w:val="00CC502F"/>
    <w:rsid w:val="00CC50E2"/>
    <w:rsid w:val="00CC52CB"/>
    <w:rsid w:val="00CC5362"/>
    <w:rsid w:val="00CC540D"/>
    <w:rsid w:val="00CC54C4"/>
    <w:rsid w:val="00CC5584"/>
    <w:rsid w:val="00CC574F"/>
    <w:rsid w:val="00CC57ED"/>
    <w:rsid w:val="00CC5B65"/>
    <w:rsid w:val="00CC5D3E"/>
    <w:rsid w:val="00CC5D6C"/>
    <w:rsid w:val="00CC5DB0"/>
    <w:rsid w:val="00CC5E50"/>
    <w:rsid w:val="00CC6003"/>
    <w:rsid w:val="00CC6060"/>
    <w:rsid w:val="00CC6190"/>
    <w:rsid w:val="00CC6230"/>
    <w:rsid w:val="00CC6244"/>
    <w:rsid w:val="00CC65B4"/>
    <w:rsid w:val="00CC65B7"/>
    <w:rsid w:val="00CC6684"/>
    <w:rsid w:val="00CC6723"/>
    <w:rsid w:val="00CC6979"/>
    <w:rsid w:val="00CC6AAF"/>
    <w:rsid w:val="00CC6BB3"/>
    <w:rsid w:val="00CC6BDE"/>
    <w:rsid w:val="00CC6CB8"/>
    <w:rsid w:val="00CC6E77"/>
    <w:rsid w:val="00CC6F77"/>
    <w:rsid w:val="00CC719F"/>
    <w:rsid w:val="00CC720D"/>
    <w:rsid w:val="00CC77AD"/>
    <w:rsid w:val="00CC77FD"/>
    <w:rsid w:val="00CC78D7"/>
    <w:rsid w:val="00CC79E7"/>
    <w:rsid w:val="00CC7C9C"/>
    <w:rsid w:val="00CC7DFD"/>
    <w:rsid w:val="00CC7E7E"/>
    <w:rsid w:val="00CC7ECD"/>
    <w:rsid w:val="00CC7F37"/>
    <w:rsid w:val="00CD0072"/>
    <w:rsid w:val="00CD021C"/>
    <w:rsid w:val="00CD0270"/>
    <w:rsid w:val="00CD0543"/>
    <w:rsid w:val="00CD055C"/>
    <w:rsid w:val="00CD061F"/>
    <w:rsid w:val="00CD0774"/>
    <w:rsid w:val="00CD0941"/>
    <w:rsid w:val="00CD0A9A"/>
    <w:rsid w:val="00CD119E"/>
    <w:rsid w:val="00CD11B5"/>
    <w:rsid w:val="00CD11F9"/>
    <w:rsid w:val="00CD1818"/>
    <w:rsid w:val="00CD1C1A"/>
    <w:rsid w:val="00CD2100"/>
    <w:rsid w:val="00CD2360"/>
    <w:rsid w:val="00CD243C"/>
    <w:rsid w:val="00CD2472"/>
    <w:rsid w:val="00CD25F0"/>
    <w:rsid w:val="00CD270B"/>
    <w:rsid w:val="00CD2753"/>
    <w:rsid w:val="00CD27F7"/>
    <w:rsid w:val="00CD2C34"/>
    <w:rsid w:val="00CD2C3F"/>
    <w:rsid w:val="00CD2E0B"/>
    <w:rsid w:val="00CD303A"/>
    <w:rsid w:val="00CD34A1"/>
    <w:rsid w:val="00CD3627"/>
    <w:rsid w:val="00CD3644"/>
    <w:rsid w:val="00CD3870"/>
    <w:rsid w:val="00CD38BF"/>
    <w:rsid w:val="00CD3925"/>
    <w:rsid w:val="00CD39C4"/>
    <w:rsid w:val="00CD3A0C"/>
    <w:rsid w:val="00CD3FEF"/>
    <w:rsid w:val="00CD408C"/>
    <w:rsid w:val="00CD430F"/>
    <w:rsid w:val="00CD49F1"/>
    <w:rsid w:val="00CD49F7"/>
    <w:rsid w:val="00CD4B19"/>
    <w:rsid w:val="00CD4C98"/>
    <w:rsid w:val="00CD4CDD"/>
    <w:rsid w:val="00CD4CFA"/>
    <w:rsid w:val="00CD4F90"/>
    <w:rsid w:val="00CD52A0"/>
    <w:rsid w:val="00CD5317"/>
    <w:rsid w:val="00CD55EC"/>
    <w:rsid w:val="00CD57C3"/>
    <w:rsid w:val="00CD5B70"/>
    <w:rsid w:val="00CD5D75"/>
    <w:rsid w:val="00CD6252"/>
    <w:rsid w:val="00CD62B8"/>
    <w:rsid w:val="00CD62EF"/>
    <w:rsid w:val="00CD6310"/>
    <w:rsid w:val="00CD6474"/>
    <w:rsid w:val="00CD65CE"/>
    <w:rsid w:val="00CD665D"/>
    <w:rsid w:val="00CD66B5"/>
    <w:rsid w:val="00CD67AE"/>
    <w:rsid w:val="00CD682A"/>
    <w:rsid w:val="00CD6865"/>
    <w:rsid w:val="00CD68F1"/>
    <w:rsid w:val="00CD6C48"/>
    <w:rsid w:val="00CD6CA0"/>
    <w:rsid w:val="00CD6DA3"/>
    <w:rsid w:val="00CD7347"/>
    <w:rsid w:val="00CD745A"/>
    <w:rsid w:val="00CD7538"/>
    <w:rsid w:val="00CD767B"/>
    <w:rsid w:val="00CD7924"/>
    <w:rsid w:val="00CD794C"/>
    <w:rsid w:val="00CD7D2A"/>
    <w:rsid w:val="00CD7F50"/>
    <w:rsid w:val="00CE0103"/>
    <w:rsid w:val="00CE013C"/>
    <w:rsid w:val="00CE0357"/>
    <w:rsid w:val="00CE035C"/>
    <w:rsid w:val="00CE0467"/>
    <w:rsid w:val="00CE0598"/>
    <w:rsid w:val="00CE06DC"/>
    <w:rsid w:val="00CE0856"/>
    <w:rsid w:val="00CE0862"/>
    <w:rsid w:val="00CE0891"/>
    <w:rsid w:val="00CE0952"/>
    <w:rsid w:val="00CE0AB2"/>
    <w:rsid w:val="00CE0C23"/>
    <w:rsid w:val="00CE0C31"/>
    <w:rsid w:val="00CE0E41"/>
    <w:rsid w:val="00CE0FCE"/>
    <w:rsid w:val="00CE0FDF"/>
    <w:rsid w:val="00CE121F"/>
    <w:rsid w:val="00CE12BC"/>
    <w:rsid w:val="00CE12C4"/>
    <w:rsid w:val="00CE1551"/>
    <w:rsid w:val="00CE17E2"/>
    <w:rsid w:val="00CE1CC9"/>
    <w:rsid w:val="00CE1E78"/>
    <w:rsid w:val="00CE1F1E"/>
    <w:rsid w:val="00CE20E2"/>
    <w:rsid w:val="00CE2305"/>
    <w:rsid w:val="00CE246B"/>
    <w:rsid w:val="00CE27F7"/>
    <w:rsid w:val="00CE2923"/>
    <w:rsid w:val="00CE29A0"/>
    <w:rsid w:val="00CE2A68"/>
    <w:rsid w:val="00CE2B92"/>
    <w:rsid w:val="00CE2D2B"/>
    <w:rsid w:val="00CE309C"/>
    <w:rsid w:val="00CE32E1"/>
    <w:rsid w:val="00CE34BB"/>
    <w:rsid w:val="00CE370F"/>
    <w:rsid w:val="00CE3A08"/>
    <w:rsid w:val="00CE3CD5"/>
    <w:rsid w:val="00CE3CE4"/>
    <w:rsid w:val="00CE3F60"/>
    <w:rsid w:val="00CE3F8D"/>
    <w:rsid w:val="00CE4187"/>
    <w:rsid w:val="00CE4276"/>
    <w:rsid w:val="00CE444D"/>
    <w:rsid w:val="00CE44D4"/>
    <w:rsid w:val="00CE4702"/>
    <w:rsid w:val="00CE47CF"/>
    <w:rsid w:val="00CE48E0"/>
    <w:rsid w:val="00CE4BDC"/>
    <w:rsid w:val="00CE4E37"/>
    <w:rsid w:val="00CE52EA"/>
    <w:rsid w:val="00CE5428"/>
    <w:rsid w:val="00CE54C2"/>
    <w:rsid w:val="00CE5503"/>
    <w:rsid w:val="00CE55AC"/>
    <w:rsid w:val="00CE5896"/>
    <w:rsid w:val="00CE5908"/>
    <w:rsid w:val="00CE5CA3"/>
    <w:rsid w:val="00CE5D20"/>
    <w:rsid w:val="00CE5E4D"/>
    <w:rsid w:val="00CE5EA7"/>
    <w:rsid w:val="00CE6161"/>
    <w:rsid w:val="00CE6241"/>
    <w:rsid w:val="00CE68C9"/>
    <w:rsid w:val="00CE691F"/>
    <w:rsid w:val="00CE6A44"/>
    <w:rsid w:val="00CE6A64"/>
    <w:rsid w:val="00CE6A8A"/>
    <w:rsid w:val="00CE6B29"/>
    <w:rsid w:val="00CE6BE7"/>
    <w:rsid w:val="00CE6C1D"/>
    <w:rsid w:val="00CE6CC2"/>
    <w:rsid w:val="00CE6D36"/>
    <w:rsid w:val="00CE6EF7"/>
    <w:rsid w:val="00CE6F80"/>
    <w:rsid w:val="00CE70A6"/>
    <w:rsid w:val="00CE70E9"/>
    <w:rsid w:val="00CE7175"/>
    <w:rsid w:val="00CE71E6"/>
    <w:rsid w:val="00CE72B5"/>
    <w:rsid w:val="00CE73F6"/>
    <w:rsid w:val="00CE74E5"/>
    <w:rsid w:val="00CE74F5"/>
    <w:rsid w:val="00CE7A7C"/>
    <w:rsid w:val="00CE7B66"/>
    <w:rsid w:val="00CE7F58"/>
    <w:rsid w:val="00CF053E"/>
    <w:rsid w:val="00CF0581"/>
    <w:rsid w:val="00CF0A03"/>
    <w:rsid w:val="00CF0B91"/>
    <w:rsid w:val="00CF10FF"/>
    <w:rsid w:val="00CF1188"/>
    <w:rsid w:val="00CF12EF"/>
    <w:rsid w:val="00CF1435"/>
    <w:rsid w:val="00CF1488"/>
    <w:rsid w:val="00CF14E4"/>
    <w:rsid w:val="00CF1933"/>
    <w:rsid w:val="00CF19DD"/>
    <w:rsid w:val="00CF1D2E"/>
    <w:rsid w:val="00CF1EC1"/>
    <w:rsid w:val="00CF1F2E"/>
    <w:rsid w:val="00CF1FDC"/>
    <w:rsid w:val="00CF201F"/>
    <w:rsid w:val="00CF202B"/>
    <w:rsid w:val="00CF20A4"/>
    <w:rsid w:val="00CF23BD"/>
    <w:rsid w:val="00CF2414"/>
    <w:rsid w:val="00CF26DF"/>
    <w:rsid w:val="00CF28D4"/>
    <w:rsid w:val="00CF2A6B"/>
    <w:rsid w:val="00CF2C12"/>
    <w:rsid w:val="00CF2C85"/>
    <w:rsid w:val="00CF2E09"/>
    <w:rsid w:val="00CF2F3A"/>
    <w:rsid w:val="00CF2FAD"/>
    <w:rsid w:val="00CF3691"/>
    <w:rsid w:val="00CF3800"/>
    <w:rsid w:val="00CF3899"/>
    <w:rsid w:val="00CF3A53"/>
    <w:rsid w:val="00CF3B7C"/>
    <w:rsid w:val="00CF3CFC"/>
    <w:rsid w:val="00CF3D08"/>
    <w:rsid w:val="00CF3F0D"/>
    <w:rsid w:val="00CF4094"/>
    <w:rsid w:val="00CF40BE"/>
    <w:rsid w:val="00CF41F0"/>
    <w:rsid w:val="00CF453B"/>
    <w:rsid w:val="00CF4644"/>
    <w:rsid w:val="00CF48EC"/>
    <w:rsid w:val="00CF48ED"/>
    <w:rsid w:val="00CF491A"/>
    <w:rsid w:val="00CF4940"/>
    <w:rsid w:val="00CF4A3D"/>
    <w:rsid w:val="00CF4A62"/>
    <w:rsid w:val="00CF4C3E"/>
    <w:rsid w:val="00CF4DDE"/>
    <w:rsid w:val="00CF5142"/>
    <w:rsid w:val="00CF52D2"/>
    <w:rsid w:val="00CF54FD"/>
    <w:rsid w:val="00CF550A"/>
    <w:rsid w:val="00CF5666"/>
    <w:rsid w:val="00CF59A9"/>
    <w:rsid w:val="00CF5A95"/>
    <w:rsid w:val="00CF5C90"/>
    <w:rsid w:val="00CF6034"/>
    <w:rsid w:val="00CF65C2"/>
    <w:rsid w:val="00CF6B7B"/>
    <w:rsid w:val="00CF6C75"/>
    <w:rsid w:val="00CF6CC5"/>
    <w:rsid w:val="00CF6DCC"/>
    <w:rsid w:val="00CF6F07"/>
    <w:rsid w:val="00CF7156"/>
    <w:rsid w:val="00CF725B"/>
    <w:rsid w:val="00CF7372"/>
    <w:rsid w:val="00CF75C6"/>
    <w:rsid w:val="00CF76DC"/>
    <w:rsid w:val="00CF7A14"/>
    <w:rsid w:val="00CF7CA4"/>
    <w:rsid w:val="00CF7F00"/>
    <w:rsid w:val="00D00009"/>
    <w:rsid w:val="00D0050B"/>
    <w:rsid w:val="00D0057A"/>
    <w:rsid w:val="00D00724"/>
    <w:rsid w:val="00D00912"/>
    <w:rsid w:val="00D00B01"/>
    <w:rsid w:val="00D00B91"/>
    <w:rsid w:val="00D00BBA"/>
    <w:rsid w:val="00D00E68"/>
    <w:rsid w:val="00D00FD3"/>
    <w:rsid w:val="00D0100B"/>
    <w:rsid w:val="00D011D8"/>
    <w:rsid w:val="00D0139B"/>
    <w:rsid w:val="00D014D7"/>
    <w:rsid w:val="00D0150B"/>
    <w:rsid w:val="00D015FC"/>
    <w:rsid w:val="00D01753"/>
    <w:rsid w:val="00D019EE"/>
    <w:rsid w:val="00D01B3A"/>
    <w:rsid w:val="00D01CB7"/>
    <w:rsid w:val="00D02031"/>
    <w:rsid w:val="00D02057"/>
    <w:rsid w:val="00D02380"/>
    <w:rsid w:val="00D0248D"/>
    <w:rsid w:val="00D0250F"/>
    <w:rsid w:val="00D02654"/>
    <w:rsid w:val="00D028B6"/>
    <w:rsid w:val="00D02B3B"/>
    <w:rsid w:val="00D02CB7"/>
    <w:rsid w:val="00D02ECE"/>
    <w:rsid w:val="00D0303E"/>
    <w:rsid w:val="00D0307D"/>
    <w:rsid w:val="00D0329A"/>
    <w:rsid w:val="00D03450"/>
    <w:rsid w:val="00D03548"/>
    <w:rsid w:val="00D0393A"/>
    <w:rsid w:val="00D03AEB"/>
    <w:rsid w:val="00D03BA6"/>
    <w:rsid w:val="00D03CD0"/>
    <w:rsid w:val="00D0410C"/>
    <w:rsid w:val="00D041B2"/>
    <w:rsid w:val="00D04267"/>
    <w:rsid w:val="00D04505"/>
    <w:rsid w:val="00D0459D"/>
    <w:rsid w:val="00D0477F"/>
    <w:rsid w:val="00D0479D"/>
    <w:rsid w:val="00D047DA"/>
    <w:rsid w:val="00D048CF"/>
    <w:rsid w:val="00D049E8"/>
    <w:rsid w:val="00D04A3A"/>
    <w:rsid w:val="00D04ACF"/>
    <w:rsid w:val="00D04C59"/>
    <w:rsid w:val="00D04C64"/>
    <w:rsid w:val="00D04C76"/>
    <w:rsid w:val="00D0500E"/>
    <w:rsid w:val="00D057C9"/>
    <w:rsid w:val="00D059AC"/>
    <w:rsid w:val="00D05A7C"/>
    <w:rsid w:val="00D05AC6"/>
    <w:rsid w:val="00D05BF1"/>
    <w:rsid w:val="00D05D9F"/>
    <w:rsid w:val="00D05FE7"/>
    <w:rsid w:val="00D06003"/>
    <w:rsid w:val="00D06068"/>
    <w:rsid w:val="00D060C6"/>
    <w:rsid w:val="00D0618F"/>
    <w:rsid w:val="00D063B5"/>
    <w:rsid w:val="00D063D3"/>
    <w:rsid w:val="00D064B9"/>
    <w:rsid w:val="00D064F1"/>
    <w:rsid w:val="00D065C6"/>
    <w:rsid w:val="00D0668E"/>
    <w:rsid w:val="00D06695"/>
    <w:rsid w:val="00D067AF"/>
    <w:rsid w:val="00D06901"/>
    <w:rsid w:val="00D06B9C"/>
    <w:rsid w:val="00D07073"/>
    <w:rsid w:val="00D070FF"/>
    <w:rsid w:val="00D0717E"/>
    <w:rsid w:val="00D074A6"/>
    <w:rsid w:val="00D074B1"/>
    <w:rsid w:val="00D074D6"/>
    <w:rsid w:val="00D07917"/>
    <w:rsid w:val="00D07D2B"/>
    <w:rsid w:val="00D07FE3"/>
    <w:rsid w:val="00D10018"/>
    <w:rsid w:val="00D102B6"/>
    <w:rsid w:val="00D107FF"/>
    <w:rsid w:val="00D10825"/>
    <w:rsid w:val="00D10853"/>
    <w:rsid w:val="00D1093D"/>
    <w:rsid w:val="00D10A58"/>
    <w:rsid w:val="00D10A7A"/>
    <w:rsid w:val="00D10F52"/>
    <w:rsid w:val="00D10FA9"/>
    <w:rsid w:val="00D11017"/>
    <w:rsid w:val="00D11297"/>
    <w:rsid w:val="00D11733"/>
    <w:rsid w:val="00D11925"/>
    <w:rsid w:val="00D119A9"/>
    <w:rsid w:val="00D11A5A"/>
    <w:rsid w:val="00D11BF0"/>
    <w:rsid w:val="00D11D6E"/>
    <w:rsid w:val="00D11DAA"/>
    <w:rsid w:val="00D1229C"/>
    <w:rsid w:val="00D12367"/>
    <w:rsid w:val="00D12469"/>
    <w:rsid w:val="00D124D9"/>
    <w:rsid w:val="00D1286A"/>
    <w:rsid w:val="00D12B0E"/>
    <w:rsid w:val="00D12C23"/>
    <w:rsid w:val="00D12C6D"/>
    <w:rsid w:val="00D12D71"/>
    <w:rsid w:val="00D12DFB"/>
    <w:rsid w:val="00D12E02"/>
    <w:rsid w:val="00D13122"/>
    <w:rsid w:val="00D131F6"/>
    <w:rsid w:val="00D13396"/>
    <w:rsid w:val="00D134B9"/>
    <w:rsid w:val="00D135B4"/>
    <w:rsid w:val="00D1361C"/>
    <w:rsid w:val="00D137D0"/>
    <w:rsid w:val="00D137F3"/>
    <w:rsid w:val="00D13870"/>
    <w:rsid w:val="00D138F3"/>
    <w:rsid w:val="00D139F7"/>
    <w:rsid w:val="00D13A11"/>
    <w:rsid w:val="00D13D9F"/>
    <w:rsid w:val="00D13EC1"/>
    <w:rsid w:val="00D13FB6"/>
    <w:rsid w:val="00D1434A"/>
    <w:rsid w:val="00D14369"/>
    <w:rsid w:val="00D144E4"/>
    <w:rsid w:val="00D1461B"/>
    <w:rsid w:val="00D146C4"/>
    <w:rsid w:val="00D14767"/>
    <w:rsid w:val="00D14A3D"/>
    <w:rsid w:val="00D14CA3"/>
    <w:rsid w:val="00D14D17"/>
    <w:rsid w:val="00D14E34"/>
    <w:rsid w:val="00D14EB2"/>
    <w:rsid w:val="00D153CD"/>
    <w:rsid w:val="00D15465"/>
    <w:rsid w:val="00D154E6"/>
    <w:rsid w:val="00D15796"/>
    <w:rsid w:val="00D157C3"/>
    <w:rsid w:val="00D15894"/>
    <w:rsid w:val="00D15A03"/>
    <w:rsid w:val="00D16030"/>
    <w:rsid w:val="00D16070"/>
    <w:rsid w:val="00D1662E"/>
    <w:rsid w:val="00D16652"/>
    <w:rsid w:val="00D16691"/>
    <w:rsid w:val="00D16764"/>
    <w:rsid w:val="00D16886"/>
    <w:rsid w:val="00D16AEA"/>
    <w:rsid w:val="00D16C3F"/>
    <w:rsid w:val="00D16CA7"/>
    <w:rsid w:val="00D16EBC"/>
    <w:rsid w:val="00D16F08"/>
    <w:rsid w:val="00D1702F"/>
    <w:rsid w:val="00D173A3"/>
    <w:rsid w:val="00D17C54"/>
    <w:rsid w:val="00D17C89"/>
    <w:rsid w:val="00D17E1B"/>
    <w:rsid w:val="00D17EB9"/>
    <w:rsid w:val="00D20053"/>
    <w:rsid w:val="00D2008C"/>
    <w:rsid w:val="00D204EF"/>
    <w:rsid w:val="00D204F8"/>
    <w:rsid w:val="00D20562"/>
    <w:rsid w:val="00D205CB"/>
    <w:rsid w:val="00D205F3"/>
    <w:rsid w:val="00D20A4E"/>
    <w:rsid w:val="00D20F86"/>
    <w:rsid w:val="00D21170"/>
    <w:rsid w:val="00D212DB"/>
    <w:rsid w:val="00D2150C"/>
    <w:rsid w:val="00D2184F"/>
    <w:rsid w:val="00D21851"/>
    <w:rsid w:val="00D2188E"/>
    <w:rsid w:val="00D218D5"/>
    <w:rsid w:val="00D21A09"/>
    <w:rsid w:val="00D21E45"/>
    <w:rsid w:val="00D21E55"/>
    <w:rsid w:val="00D2201E"/>
    <w:rsid w:val="00D220B2"/>
    <w:rsid w:val="00D222E1"/>
    <w:rsid w:val="00D223BB"/>
    <w:rsid w:val="00D22431"/>
    <w:rsid w:val="00D2254D"/>
    <w:rsid w:val="00D22760"/>
    <w:rsid w:val="00D227B9"/>
    <w:rsid w:val="00D2297E"/>
    <w:rsid w:val="00D22A74"/>
    <w:rsid w:val="00D22EA5"/>
    <w:rsid w:val="00D22F48"/>
    <w:rsid w:val="00D22FDC"/>
    <w:rsid w:val="00D23088"/>
    <w:rsid w:val="00D23152"/>
    <w:rsid w:val="00D23491"/>
    <w:rsid w:val="00D23532"/>
    <w:rsid w:val="00D23667"/>
    <w:rsid w:val="00D2373A"/>
    <w:rsid w:val="00D2379D"/>
    <w:rsid w:val="00D237CB"/>
    <w:rsid w:val="00D23870"/>
    <w:rsid w:val="00D23D27"/>
    <w:rsid w:val="00D23DA4"/>
    <w:rsid w:val="00D23E90"/>
    <w:rsid w:val="00D240BC"/>
    <w:rsid w:val="00D242D7"/>
    <w:rsid w:val="00D24371"/>
    <w:rsid w:val="00D2439C"/>
    <w:rsid w:val="00D246E3"/>
    <w:rsid w:val="00D248BB"/>
    <w:rsid w:val="00D24AB3"/>
    <w:rsid w:val="00D24B16"/>
    <w:rsid w:val="00D24B78"/>
    <w:rsid w:val="00D24F6D"/>
    <w:rsid w:val="00D2503D"/>
    <w:rsid w:val="00D254E0"/>
    <w:rsid w:val="00D255CE"/>
    <w:rsid w:val="00D25816"/>
    <w:rsid w:val="00D2582B"/>
    <w:rsid w:val="00D25B3A"/>
    <w:rsid w:val="00D25BBC"/>
    <w:rsid w:val="00D25C91"/>
    <w:rsid w:val="00D25D76"/>
    <w:rsid w:val="00D26085"/>
    <w:rsid w:val="00D261CB"/>
    <w:rsid w:val="00D26308"/>
    <w:rsid w:val="00D2668B"/>
    <w:rsid w:val="00D26783"/>
    <w:rsid w:val="00D26CCB"/>
    <w:rsid w:val="00D26FA2"/>
    <w:rsid w:val="00D2715C"/>
    <w:rsid w:val="00D271B2"/>
    <w:rsid w:val="00D27233"/>
    <w:rsid w:val="00D273BF"/>
    <w:rsid w:val="00D276E1"/>
    <w:rsid w:val="00D277C7"/>
    <w:rsid w:val="00D279F1"/>
    <w:rsid w:val="00D27A16"/>
    <w:rsid w:val="00D27D3A"/>
    <w:rsid w:val="00D27E2A"/>
    <w:rsid w:val="00D27E60"/>
    <w:rsid w:val="00D27EEE"/>
    <w:rsid w:val="00D3002D"/>
    <w:rsid w:val="00D302F8"/>
    <w:rsid w:val="00D305B6"/>
    <w:rsid w:val="00D305BF"/>
    <w:rsid w:val="00D3073A"/>
    <w:rsid w:val="00D30791"/>
    <w:rsid w:val="00D308E2"/>
    <w:rsid w:val="00D309C0"/>
    <w:rsid w:val="00D30F67"/>
    <w:rsid w:val="00D311AD"/>
    <w:rsid w:val="00D311AF"/>
    <w:rsid w:val="00D3146F"/>
    <w:rsid w:val="00D3179A"/>
    <w:rsid w:val="00D31909"/>
    <w:rsid w:val="00D3195C"/>
    <w:rsid w:val="00D31A2C"/>
    <w:rsid w:val="00D31A5F"/>
    <w:rsid w:val="00D31B3D"/>
    <w:rsid w:val="00D31E39"/>
    <w:rsid w:val="00D31EF4"/>
    <w:rsid w:val="00D3217A"/>
    <w:rsid w:val="00D322C3"/>
    <w:rsid w:val="00D327BE"/>
    <w:rsid w:val="00D327E8"/>
    <w:rsid w:val="00D328F5"/>
    <w:rsid w:val="00D32B4B"/>
    <w:rsid w:val="00D32D85"/>
    <w:rsid w:val="00D32F77"/>
    <w:rsid w:val="00D32FEA"/>
    <w:rsid w:val="00D32FF7"/>
    <w:rsid w:val="00D330D9"/>
    <w:rsid w:val="00D333B9"/>
    <w:rsid w:val="00D333C9"/>
    <w:rsid w:val="00D335BC"/>
    <w:rsid w:val="00D3367A"/>
    <w:rsid w:val="00D337F7"/>
    <w:rsid w:val="00D33BBC"/>
    <w:rsid w:val="00D33BC5"/>
    <w:rsid w:val="00D33CF7"/>
    <w:rsid w:val="00D33FE6"/>
    <w:rsid w:val="00D340F9"/>
    <w:rsid w:val="00D34113"/>
    <w:rsid w:val="00D34185"/>
    <w:rsid w:val="00D34191"/>
    <w:rsid w:val="00D341CF"/>
    <w:rsid w:val="00D34289"/>
    <w:rsid w:val="00D34406"/>
    <w:rsid w:val="00D344A5"/>
    <w:rsid w:val="00D34712"/>
    <w:rsid w:val="00D3486C"/>
    <w:rsid w:val="00D34BF4"/>
    <w:rsid w:val="00D34DAA"/>
    <w:rsid w:val="00D34E5F"/>
    <w:rsid w:val="00D35021"/>
    <w:rsid w:val="00D3509F"/>
    <w:rsid w:val="00D3516D"/>
    <w:rsid w:val="00D3524E"/>
    <w:rsid w:val="00D3536A"/>
    <w:rsid w:val="00D3555F"/>
    <w:rsid w:val="00D3559F"/>
    <w:rsid w:val="00D35685"/>
    <w:rsid w:val="00D356F5"/>
    <w:rsid w:val="00D35820"/>
    <w:rsid w:val="00D35895"/>
    <w:rsid w:val="00D35B78"/>
    <w:rsid w:val="00D35BEE"/>
    <w:rsid w:val="00D35C8A"/>
    <w:rsid w:val="00D35E7B"/>
    <w:rsid w:val="00D35F84"/>
    <w:rsid w:val="00D3624D"/>
    <w:rsid w:val="00D3630A"/>
    <w:rsid w:val="00D3658C"/>
    <w:rsid w:val="00D3669A"/>
    <w:rsid w:val="00D36712"/>
    <w:rsid w:val="00D3676C"/>
    <w:rsid w:val="00D369A5"/>
    <w:rsid w:val="00D36AE3"/>
    <w:rsid w:val="00D36C06"/>
    <w:rsid w:val="00D36F89"/>
    <w:rsid w:val="00D3705F"/>
    <w:rsid w:val="00D370D6"/>
    <w:rsid w:val="00D370EB"/>
    <w:rsid w:val="00D37137"/>
    <w:rsid w:val="00D372C0"/>
    <w:rsid w:val="00D37555"/>
    <w:rsid w:val="00D37719"/>
    <w:rsid w:val="00D378B9"/>
    <w:rsid w:val="00D379A7"/>
    <w:rsid w:val="00D37AF2"/>
    <w:rsid w:val="00D37B3C"/>
    <w:rsid w:val="00D37F05"/>
    <w:rsid w:val="00D402EE"/>
    <w:rsid w:val="00D40415"/>
    <w:rsid w:val="00D404AD"/>
    <w:rsid w:val="00D40781"/>
    <w:rsid w:val="00D40921"/>
    <w:rsid w:val="00D40992"/>
    <w:rsid w:val="00D40BF5"/>
    <w:rsid w:val="00D40C92"/>
    <w:rsid w:val="00D40D57"/>
    <w:rsid w:val="00D40FF4"/>
    <w:rsid w:val="00D4177B"/>
    <w:rsid w:val="00D41833"/>
    <w:rsid w:val="00D41C2A"/>
    <w:rsid w:val="00D41D41"/>
    <w:rsid w:val="00D4203F"/>
    <w:rsid w:val="00D420B0"/>
    <w:rsid w:val="00D42118"/>
    <w:rsid w:val="00D422A6"/>
    <w:rsid w:val="00D422D1"/>
    <w:rsid w:val="00D422FD"/>
    <w:rsid w:val="00D42351"/>
    <w:rsid w:val="00D42508"/>
    <w:rsid w:val="00D427A2"/>
    <w:rsid w:val="00D42938"/>
    <w:rsid w:val="00D42960"/>
    <w:rsid w:val="00D42EB8"/>
    <w:rsid w:val="00D42F45"/>
    <w:rsid w:val="00D42FEA"/>
    <w:rsid w:val="00D42FF9"/>
    <w:rsid w:val="00D43333"/>
    <w:rsid w:val="00D4340F"/>
    <w:rsid w:val="00D43477"/>
    <w:rsid w:val="00D435E3"/>
    <w:rsid w:val="00D43ADC"/>
    <w:rsid w:val="00D43E33"/>
    <w:rsid w:val="00D43ED4"/>
    <w:rsid w:val="00D43EF6"/>
    <w:rsid w:val="00D43F2D"/>
    <w:rsid w:val="00D43FCB"/>
    <w:rsid w:val="00D44066"/>
    <w:rsid w:val="00D442A6"/>
    <w:rsid w:val="00D44371"/>
    <w:rsid w:val="00D448A4"/>
    <w:rsid w:val="00D4492F"/>
    <w:rsid w:val="00D44965"/>
    <w:rsid w:val="00D44B8C"/>
    <w:rsid w:val="00D44FA1"/>
    <w:rsid w:val="00D45030"/>
    <w:rsid w:val="00D45360"/>
    <w:rsid w:val="00D45754"/>
    <w:rsid w:val="00D457CE"/>
    <w:rsid w:val="00D45A04"/>
    <w:rsid w:val="00D45F89"/>
    <w:rsid w:val="00D46202"/>
    <w:rsid w:val="00D4660A"/>
    <w:rsid w:val="00D46669"/>
    <w:rsid w:val="00D467CC"/>
    <w:rsid w:val="00D46937"/>
    <w:rsid w:val="00D469E6"/>
    <w:rsid w:val="00D46A50"/>
    <w:rsid w:val="00D46D7A"/>
    <w:rsid w:val="00D46E0C"/>
    <w:rsid w:val="00D46E4F"/>
    <w:rsid w:val="00D46E7D"/>
    <w:rsid w:val="00D46EEE"/>
    <w:rsid w:val="00D46FE6"/>
    <w:rsid w:val="00D46FF9"/>
    <w:rsid w:val="00D4721C"/>
    <w:rsid w:val="00D4722C"/>
    <w:rsid w:val="00D47425"/>
    <w:rsid w:val="00D474FF"/>
    <w:rsid w:val="00D475E7"/>
    <w:rsid w:val="00D47604"/>
    <w:rsid w:val="00D47778"/>
    <w:rsid w:val="00D47944"/>
    <w:rsid w:val="00D47AF3"/>
    <w:rsid w:val="00D47B5D"/>
    <w:rsid w:val="00D47C51"/>
    <w:rsid w:val="00D47D81"/>
    <w:rsid w:val="00D47E39"/>
    <w:rsid w:val="00D5026A"/>
    <w:rsid w:val="00D502FC"/>
    <w:rsid w:val="00D50570"/>
    <w:rsid w:val="00D5057D"/>
    <w:rsid w:val="00D50829"/>
    <w:rsid w:val="00D50844"/>
    <w:rsid w:val="00D508B5"/>
    <w:rsid w:val="00D50B12"/>
    <w:rsid w:val="00D50B13"/>
    <w:rsid w:val="00D50BAB"/>
    <w:rsid w:val="00D50CBF"/>
    <w:rsid w:val="00D50D7A"/>
    <w:rsid w:val="00D50F7C"/>
    <w:rsid w:val="00D510C1"/>
    <w:rsid w:val="00D513BB"/>
    <w:rsid w:val="00D51989"/>
    <w:rsid w:val="00D51A82"/>
    <w:rsid w:val="00D51ADA"/>
    <w:rsid w:val="00D51AFA"/>
    <w:rsid w:val="00D51C09"/>
    <w:rsid w:val="00D51DBB"/>
    <w:rsid w:val="00D51E55"/>
    <w:rsid w:val="00D51FED"/>
    <w:rsid w:val="00D52148"/>
    <w:rsid w:val="00D521E2"/>
    <w:rsid w:val="00D5233B"/>
    <w:rsid w:val="00D5242B"/>
    <w:rsid w:val="00D52447"/>
    <w:rsid w:val="00D5255E"/>
    <w:rsid w:val="00D52C19"/>
    <w:rsid w:val="00D52DDD"/>
    <w:rsid w:val="00D52E47"/>
    <w:rsid w:val="00D52EB0"/>
    <w:rsid w:val="00D52F72"/>
    <w:rsid w:val="00D530BA"/>
    <w:rsid w:val="00D5323D"/>
    <w:rsid w:val="00D532DB"/>
    <w:rsid w:val="00D533D4"/>
    <w:rsid w:val="00D53479"/>
    <w:rsid w:val="00D535AD"/>
    <w:rsid w:val="00D537B3"/>
    <w:rsid w:val="00D539E3"/>
    <w:rsid w:val="00D53AD4"/>
    <w:rsid w:val="00D53C77"/>
    <w:rsid w:val="00D53CC4"/>
    <w:rsid w:val="00D53D48"/>
    <w:rsid w:val="00D5410B"/>
    <w:rsid w:val="00D54185"/>
    <w:rsid w:val="00D54330"/>
    <w:rsid w:val="00D543D1"/>
    <w:rsid w:val="00D543D5"/>
    <w:rsid w:val="00D54685"/>
    <w:rsid w:val="00D54AC0"/>
    <w:rsid w:val="00D54C2A"/>
    <w:rsid w:val="00D54C37"/>
    <w:rsid w:val="00D54C49"/>
    <w:rsid w:val="00D54CB4"/>
    <w:rsid w:val="00D5505C"/>
    <w:rsid w:val="00D555AB"/>
    <w:rsid w:val="00D556B2"/>
    <w:rsid w:val="00D557AA"/>
    <w:rsid w:val="00D557C8"/>
    <w:rsid w:val="00D5583D"/>
    <w:rsid w:val="00D55897"/>
    <w:rsid w:val="00D559E0"/>
    <w:rsid w:val="00D55AA0"/>
    <w:rsid w:val="00D55AD5"/>
    <w:rsid w:val="00D55B53"/>
    <w:rsid w:val="00D55DFC"/>
    <w:rsid w:val="00D561CD"/>
    <w:rsid w:val="00D562DD"/>
    <w:rsid w:val="00D563AC"/>
    <w:rsid w:val="00D56524"/>
    <w:rsid w:val="00D56582"/>
    <w:rsid w:val="00D566B5"/>
    <w:rsid w:val="00D56728"/>
    <w:rsid w:val="00D56742"/>
    <w:rsid w:val="00D5688E"/>
    <w:rsid w:val="00D5697B"/>
    <w:rsid w:val="00D56995"/>
    <w:rsid w:val="00D56BF6"/>
    <w:rsid w:val="00D574D3"/>
    <w:rsid w:val="00D57521"/>
    <w:rsid w:val="00D5792B"/>
    <w:rsid w:val="00D579CA"/>
    <w:rsid w:val="00D57A8A"/>
    <w:rsid w:val="00D57AD2"/>
    <w:rsid w:val="00D57C02"/>
    <w:rsid w:val="00D600E0"/>
    <w:rsid w:val="00D60199"/>
    <w:rsid w:val="00D602F4"/>
    <w:rsid w:val="00D604AF"/>
    <w:rsid w:val="00D60856"/>
    <w:rsid w:val="00D60CD4"/>
    <w:rsid w:val="00D60D63"/>
    <w:rsid w:val="00D60E97"/>
    <w:rsid w:val="00D61526"/>
    <w:rsid w:val="00D6153E"/>
    <w:rsid w:val="00D61744"/>
    <w:rsid w:val="00D617D0"/>
    <w:rsid w:val="00D6184C"/>
    <w:rsid w:val="00D61C4D"/>
    <w:rsid w:val="00D61EE2"/>
    <w:rsid w:val="00D62119"/>
    <w:rsid w:val="00D6229B"/>
    <w:rsid w:val="00D622E5"/>
    <w:rsid w:val="00D6250E"/>
    <w:rsid w:val="00D62547"/>
    <w:rsid w:val="00D62552"/>
    <w:rsid w:val="00D626A3"/>
    <w:rsid w:val="00D6294C"/>
    <w:rsid w:val="00D629E8"/>
    <w:rsid w:val="00D62AEB"/>
    <w:rsid w:val="00D62DDC"/>
    <w:rsid w:val="00D62F47"/>
    <w:rsid w:val="00D630C7"/>
    <w:rsid w:val="00D63102"/>
    <w:rsid w:val="00D63295"/>
    <w:rsid w:val="00D63373"/>
    <w:rsid w:val="00D635E5"/>
    <w:rsid w:val="00D6365C"/>
    <w:rsid w:val="00D637D9"/>
    <w:rsid w:val="00D63834"/>
    <w:rsid w:val="00D63907"/>
    <w:rsid w:val="00D63954"/>
    <w:rsid w:val="00D63D7E"/>
    <w:rsid w:val="00D63E14"/>
    <w:rsid w:val="00D63E6A"/>
    <w:rsid w:val="00D63FF5"/>
    <w:rsid w:val="00D64002"/>
    <w:rsid w:val="00D64038"/>
    <w:rsid w:val="00D641A8"/>
    <w:rsid w:val="00D641DB"/>
    <w:rsid w:val="00D642BD"/>
    <w:rsid w:val="00D64678"/>
    <w:rsid w:val="00D646D6"/>
    <w:rsid w:val="00D64AA5"/>
    <w:rsid w:val="00D64B2E"/>
    <w:rsid w:val="00D64B9C"/>
    <w:rsid w:val="00D64E79"/>
    <w:rsid w:val="00D64F45"/>
    <w:rsid w:val="00D651CD"/>
    <w:rsid w:val="00D651E4"/>
    <w:rsid w:val="00D653DF"/>
    <w:rsid w:val="00D6555F"/>
    <w:rsid w:val="00D65814"/>
    <w:rsid w:val="00D65908"/>
    <w:rsid w:val="00D65944"/>
    <w:rsid w:val="00D65969"/>
    <w:rsid w:val="00D659A4"/>
    <w:rsid w:val="00D65ABF"/>
    <w:rsid w:val="00D65D6E"/>
    <w:rsid w:val="00D660D0"/>
    <w:rsid w:val="00D66327"/>
    <w:rsid w:val="00D66AEA"/>
    <w:rsid w:val="00D670C3"/>
    <w:rsid w:val="00D67104"/>
    <w:rsid w:val="00D674E4"/>
    <w:rsid w:val="00D675B9"/>
    <w:rsid w:val="00D675D0"/>
    <w:rsid w:val="00D67762"/>
    <w:rsid w:val="00D6778B"/>
    <w:rsid w:val="00D67976"/>
    <w:rsid w:val="00D67A9F"/>
    <w:rsid w:val="00D67E7C"/>
    <w:rsid w:val="00D700A7"/>
    <w:rsid w:val="00D700CE"/>
    <w:rsid w:val="00D70503"/>
    <w:rsid w:val="00D7079A"/>
    <w:rsid w:val="00D707E3"/>
    <w:rsid w:val="00D70A11"/>
    <w:rsid w:val="00D70A47"/>
    <w:rsid w:val="00D70BB0"/>
    <w:rsid w:val="00D70DD9"/>
    <w:rsid w:val="00D70F39"/>
    <w:rsid w:val="00D713CA"/>
    <w:rsid w:val="00D714B1"/>
    <w:rsid w:val="00D714CF"/>
    <w:rsid w:val="00D715D7"/>
    <w:rsid w:val="00D71ACE"/>
    <w:rsid w:val="00D71BC9"/>
    <w:rsid w:val="00D71C48"/>
    <w:rsid w:val="00D71DD3"/>
    <w:rsid w:val="00D71E4A"/>
    <w:rsid w:val="00D71E7D"/>
    <w:rsid w:val="00D71EE1"/>
    <w:rsid w:val="00D71EF4"/>
    <w:rsid w:val="00D71FF3"/>
    <w:rsid w:val="00D726A3"/>
    <w:rsid w:val="00D726F7"/>
    <w:rsid w:val="00D728D1"/>
    <w:rsid w:val="00D72BED"/>
    <w:rsid w:val="00D72CE3"/>
    <w:rsid w:val="00D73238"/>
    <w:rsid w:val="00D73246"/>
    <w:rsid w:val="00D73273"/>
    <w:rsid w:val="00D732AD"/>
    <w:rsid w:val="00D7332C"/>
    <w:rsid w:val="00D73888"/>
    <w:rsid w:val="00D73A7D"/>
    <w:rsid w:val="00D73AB9"/>
    <w:rsid w:val="00D73E77"/>
    <w:rsid w:val="00D73F68"/>
    <w:rsid w:val="00D73F8C"/>
    <w:rsid w:val="00D74206"/>
    <w:rsid w:val="00D742A2"/>
    <w:rsid w:val="00D742E6"/>
    <w:rsid w:val="00D7433F"/>
    <w:rsid w:val="00D74360"/>
    <w:rsid w:val="00D74546"/>
    <w:rsid w:val="00D745C6"/>
    <w:rsid w:val="00D74988"/>
    <w:rsid w:val="00D74A25"/>
    <w:rsid w:val="00D74D03"/>
    <w:rsid w:val="00D74D59"/>
    <w:rsid w:val="00D74DE3"/>
    <w:rsid w:val="00D75286"/>
    <w:rsid w:val="00D758B7"/>
    <w:rsid w:val="00D75942"/>
    <w:rsid w:val="00D75A22"/>
    <w:rsid w:val="00D75AC1"/>
    <w:rsid w:val="00D75BC1"/>
    <w:rsid w:val="00D75D07"/>
    <w:rsid w:val="00D75E21"/>
    <w:rsid w:val="00D760C6"/>
    <w:rsid w:val="00D760F3"/>
    <w:rsid w:val="00D761A4"/>
    <w:rsid w:val="00D76401"/>
    <w:rsid w:val="00D765DA"/>
    <w:rsid w:val="00D76A0F"/>
    <w:rsid w:val="00D76D10"/>
    <w:rsid w:val="00D76FC0"/>
    <w:rsid w:val="00D77124"/>
    <w:rsid w:val="00D7731D"/>
    <w:rsid w:val="00D773A3"/>
    <w:rsid w:val="00D77471"/>
    <w:rsid w:val="00D775A5"/>
    <w:rsid w:val="00D775BD"/>
    <w:rsid w:val="00D775EF"/>
    <w:rsid w:val="00D775F3"/>
    <w:rsid w:val="00D777EA"/>
    <w:rsid w:val="00D77B45"/>
    <w:rsid w:val="00D77CBC"/>
    <w:rsid w:val="00D77D48"/>
    <w:rsid w:val="00D77DCA"/>
    <w:rsid w:val="00D801C2"/>
    <w:rsid w:val="00D803E9"/>
    <w:rsid w:val="00D8046B"/>
    <w:rsid w:val="00D804D5"/>
    <w:rsid w:val="00D80792"/>
    <w:rsid w:val="00D807C0"/>
    <w:rsid w:val="00D808D9"/>
    <w:rsid w:val="00D80B1B"/>
    <w:rsid w:val="00D80BD2"/>
    <w:rsid w:val="00D80C59"/>
    <w:rsid w:val="00D80E56"/>
    <w:rsid w:val="00D80EEB"/>
    <w:rsid w:val="00D810DD"/>
    <w:rsid w:val="00D81113"/>
    <w:rsid w:val="00D812E0"/>
    <w:rsid w:val="00D81446"/>
    <w:rsid w:val="00D8152D"/>
    <w:rsid w:val="00D815D2"/>
    <w:rsid w:val="00D8162C"/>
    <w:rsid w:val="00D8186C"/>
    <w:rsid w:val="00D81A4B"/>
    <w:rsid w:val="00D81C25"/>
    <w:rsid w:val="00D81CF9"/>
    <w:rsid w:val="00D81D63"/>
    <w:rsid w:val="00D81D66"/>
    <w:rsid w:val="00D820DC"/>
    <w:rsid w:val="00D8211D"/>
    <w:rsid w:val="00D823F0"/>
    <w:rsid w:val="00D82772"/>
    <w:rsid w:val="00D82A8C"/>
    <w:rsid w:val="00D82AE0"/>
    <w:rsid w:val="00D82F9F"/>
    <w:rsid w:val="00D8303A"/>
    <w:rsid w:val="00D833EE"/>
    <w:rsid w:val="00D8341C"/>
    <w:rsid w:val="00D83495"/>
    <w:rsid w:val="00D835B2"/>
    <w:rsid w:val="00D8365F"/>
    <w:rsid w:val="00D83871"/>
    <w:rsid w:val="00D839D1"/>
    <w:rsid w:val="00D83CD9"/>
    <w:rsid w:val="00D83CE2"/>
    <w:rsid w:val="00D8402A"/>
    <w:rsid w:val="00D8405E"/>
    <w:rsid w:val="00D84212"/>
    <w:rsid w:val="00D84230"/>
    <w:rsid w:val="00D84558"/>
    <w:rsid w:val="00D84650"/>
    <w:rsid w:val="00D8483C"/>
    <w:rsid w:val="00D8498C"/>
    <w:rsid w:val="00D84A49"/>
    <w:rsid w:val="00D84DAB"/>
    <w:rsid w:val="00D85214"/>
    <w:rsid w:val="00D8527B"/>
    <w:rsid w:val="00D8533C"/>
    <w:rsid w:val="00D853BA"/>
    <w:rsid w:val="00D8545F"/>
    <w:rsid w:val="00D8583A"/>
    <w:rsid w:val="00D85869"/>
    <w:rsid w:val="00D85A30"/>
    <w:rsid w:val="00D85BC3"/>
    <w:rsid w:val="00D85DAB"/>
    <w:rsid w:val="00D85F4C"/>
    <w:rsid w:val="00D86044"/>
    <w:rsid w:val="00D86124"/>
    <w:rsid w:val="00D861A8"/>
    <w:rsid w:val="00D86526"/>
    <w:rsid w:val="00D865E2"/>
    <w:rsid w:val="00D86A35"/>
    <w:rsid w:val="00D86B1C"/>
    <w:rsid w:val="00D86BFF"/>
    <w:rsid w:val="00D86C9A"/>
    <w:rsid w:val="00D871A3"/>
    <w:rsid w:val="00D87289"/>
    <w:rsid w:val="00D90008"/>
    <w:rsid w:val="00D903CE"/>
    <w:rsid w:val="00D908A0"/>
    <w:rsid w:val="00D9094B"/>
    <w:rsid w:val="00D909F6"/>
    <w:rsid w:val="00D90C10"/>
    <w:rsid w:val="00D90DF3"/>
    <w:rsid w:val="00D91079"/>
    <w:rsid w:val="00D911BF"/>
    <w:rsid w:val="00D911CB"/>
    <w:rsid w:val="00D912FB"/>
    <w:rsid w:val="00D917EB"/>
    <w:rsid w:val="00D91B9A"/>
    <w:rsid w:val="00D91DFD"/>
    <w:rsid w:val="00D91E4C"/>
    <w:rsid w:val="00D921BC"/>
    <w:rsid w:val="00D924E8"/>
    <w:rsid w:val="00D9264F"/>
    <w:rsid w:val="00D926AC"/>
    <w:rsid w:val="00D926B1"/>
    <w:rsid w:val="00D92934"/>
    <w:rsid w:val="00D92AAA"/>
    <w:rsid w:val="00D92B9C"/>
    <w:rsid w:val="00D92BD1"/>
    <w:rsid w:val="00D92D24"/>
    <w:rsid w:val="00D93029"/>
    <w:rsid w:val="00D93353"/>
    <w:rsid w:val="00D93373"/>
    <w:rsid w:val="00D93404"/>
    <w:rsid w:val="00D93450"/>
    <w:rsid w:val="00D9345A"/>
    <w:rsid w:val="00D934A2"/>
    <w:rsid w:val="00D93590"/>
    <w:rsid w:val="00D935A1"/>
    <w:rsid w:val="00D935BD"/>
    <w:rsid w:val="00D936FE"/>
    <w:rsid w:val="00D93BFB"/>
    <w:rsid w:val="00D93DD9"/>
    <w:rsid w:val="00D93E14"/>
    <w:rsid w:val="00D93E1D"/>
    <w:rsid w:val="00D93E81"/>
    <w:rsid w:val="00D93EEC"/>
    <w:rsid w:val="00D94195"/>
    <w:rsid w:val="00D943F0"/>
    <w:rsid w:val="00D94648"/>
    <w:rsid w:val="00D9481B"/>
    <w:rsid w:val="00D949DC"/>
    <w:rsid w:val="00D94A6C"/>
    <w:rsid w:val="00D94B30"/>
    <w:rsid w:val="00D94B69"/>
    <w:rsid w:val="00D94C2C"/>
    <w:rsid w:val="00D94C58"/>
    <w:rsid w:val="00D94D6E"/>
    <w:rsid w:val="00D94DEC"/>
    <w:rsid w:val="00D94ECF"/>
    <w:rsid w:val="00D9508F"/>
    <w:rsid w:val="00D952A8"/>
    <w:rsid w:val="00D957A2"/>
    <w:rsid w:val="00D9583E"/>
    <w:rsid w:val="00D95877"/>
    <w:rsid w:val="00D9597D"/>
    <w:rsid w:val="00D95BC6"/>
    <w:rsid w:val="00D95C36"/>
    <w:rsid w:val="00D95EE4"/>
    <w:rsid w:val="00D95F96"/>
    <w:rsid w:val="00D9605E"/>
    <w:rsid w:val="00D962AA"/>
    <w:rsid w:val="00D96D13"/>
    <w:rsid w:val="00D9734C"/>
    <w:rsid w:val="00D97400"/>
    <w:rsid w:val="00D97454"/>
    <w:rsid w:val="00D97558"/>
    <w:rsid w:val="00D97750"/>
    <w:rsid w:val="00D977FA"/>
    <w:rsid w:val="00D9798F"/>
    <w:rsid w:val="00D97AE8"/>
    <w:rsid w:val="00D97DE5"/>
    <w:rsid w:val="00D97E16"/>
    <w:rsid w:val="00DA003A"/>
    <w:rsid w:val="00DA0122"/>
    <w:rsid w:val="00DA0163"/>
    <w:rsid w:val="00DA0228"/>
    <w:rsid w:val="00DA038D"/>
    <w:rsid w:val="00DA0788"/>
    <w:rsid w:val="00DA09EA"/>
    <w:rsid w:val="00DA0B23"/>
    <w:rsid w:val="00DA0C01"/>
    <w:rsid w:val="00DA0DB4"/>
    <w:rsid w:val="00DA0EE8"/>
    <w:rsid w:val="00DA0EED"/>
    <w:rsid w:val="00DA1140"/>
    <w:rsid w:val="00DA14B3"/>
    <w:rsid w:val="00DA1535"/>
    <w:rsid w:val="00DA16E4"/>
    <w:rsid w:val="00DA174F"/>
    <w:rsid w:val="00DA17B3"/>
    <w:rsid w:val="00DA1818"/>
    <w:rsid w:val="00DA1A22"/>
    <w:rsid w:val="00DA1CB6"/>
    <w:rsid w:val="00DA1D29"/>
    <w:rsid w:val="00DA1F38"/>
    <w:rsid w:val="00DA1FE6"/>
    <w:rsid w:val="00DA209F"/>
    <w:rsid w:val="00DA20D2"/>
    <w:rsid w:val="00DA220D"/>
    <w:rsid w:val="00DA2352"/>
    <w:rsid w:val="00DA24CB"/>
    <w:rsid w:val="00DA2A5E"/>
    <w:rsid w:val="00DA2CBF"/>
    <w:rsid w:val="00DA2D8A"/>
    <w:rsid w:val="00DA2EFF"/>
    <w:rsid w:val="00DA3207"/>
    <w:rsid w:val="00DA3348"/>
    <w:rsid w:val="00DA36A1"/>
    <w:rsid w:val="00DA36F0"/>
    <w:rsid w:val="00DA371E"/>
    <w:rsid w:val="00DA390F"/>
    <w:rsid w:val="00DA396B"/>
    <w:rsid w:val="00DA3B3E"/>
    <w:rsid w:val="00DA3B96"/>
    <w:rsid w:val="00DA3E9C"/>
    <w:rsid w:val="00DA41B4"/>
    <w:rsid w:val="00DA4224"/>
    <w:rsid w:val="00DA42EA"/>
    <w:rsid w:val="00DA440D"/>
    <w:rsid w:val="00DA4601"/>
    <w:rsid w:val="00DA46FE"/>
    <w:rsid w:val="00DA48CE"/>
    <w:rsid w:val="00DA4A5A"/>
    <w:rsid w:val="00DA4B0C"/>
    <w:rsid w:val="00DA507C"/>
    <w:rsid w:val="00DA5536"/>
    <w:rsid w:val="00DA55F6"/>
    <w:rsid w:val="00DA561C"/>
    <w:rsid w:val="00DA56BD"/>
    <w:rsid w:val="00DA57BA"/>
    <w:rsid w:val="00DA595F"/>
    <w:rsid w:val="00DA5B4F"/>
    <w:rsid w:val="00DA5CED"/>
    <w:rsid w:val="00DA5E1B"/>
    <w:rsid w:val="00DA5EB6"/>
    <w:rsid w:val="00DA6054"/>
    <w:rsid w:val="00DA6335"/>
    <w:rsid w:val="00DA645A"/>
    <w:rsid w:val="00DA650F"/>
    <w:rsid w:val="00DA66C6"/>
    <w:rsid w:val="00DA6819"/>
    <w:rsid w:val="00DA6992"/>
    <w:rsid w:val="00DA6B24"/>
    <w:rsid w:val="00DA6EC3"/>
    <w:rsid w:val="00DA7299"/>
    <w:rsid w:val="00DA7477"/>
    <w:rsid w:val="00DA76F7"/>
    <w:rsid w:val="00DA779A"/>
    <w:rsid w:val="00DA7957"/>
    <w:rsid w:val="00DA7C02"/>
    <w:rsid w:val="00DA7CD8"/>
    <w:rsid w:val="00DA7E93"/>
    <w:rsid w:val="00DA7FC6"/>
    <w:rsid w:val="00DB011B"/>
    <w:rsid w:val="00DB0429"/>
    <w:rsid w:val="00DB05DC"/>
    <w:rsid w:val="00DB06CE"/>
    <w:rsid w:val="00DB06EA"/>
    <w:rsid w:val="00DB07D2"/>
    <w:rsid w:val="00DB0A2F"/>
    <w:rsid w:val="00DB0BE1"/>
    <w:rsid w:val="00DB0C50"/>
    <w:rsid w:val="00DB0CC4"/>
    <w:rsid w:val="00DB0D65"/>
    <w:rsid w:val="00DB0D9A"/>
    <w:rsid w:val="00DB0EFA"/>
    <w:rsid w:val="00DB10F1"/>
    <w:rsid w:val="00DB132D"/>
    <w:rsid w:val="00DB169A"/>
    <w:rsid w:val="00DB1779"/>
    <w:rsid w:val="00DB1924"/>
    <w:rsid w:val="00DB1CF0"/>
    <w:rsid w:val="00DB1EA1"/>
    <w:rsid w:val="00DB2337"/>
    <w:rsid w:val="00DB2854"/>
    <w:rsid w:val="00DB292A"/>
    <w:rsid w:val="00DB2BCC"/>
    <w:rsid w:val="00DB2D17"/>
    <w:rsid w:val="00DB2D45"/>
    <w:rsid w:val="00DB2FE8"/>
    <w:rsid w:val="00DB31F9"/>
    <w:rsid w:val="00DB32C0"/>
    <w:rsid w:val="00DB3434"/>
    <w:rsid w:val="00DB34A0"/>
    <w:rsid w:val="00DB35DC"/>
    <w:rsid w:val="00DB3A16"/>
    <w:rsid w:val="00DB3C19"/>
    <w:rsid w:val="00DB3E3C"/>
    <w:rsid w:val="00DB3E5D"/>
    <w:rsid w:val="00DB3FBD"/>
    <w:rsid w:val="00DB412F"/>
    <w:rsid w:val="00DB4208"/>
    <w:rsid w:val="00DB442E"/>
    <w:rsid w:val="00DB4442"/>
    <w:rsid w:val="00DB44D3"/>
    <w:rsid w:val="00DB45A7"/>
    <w:rsid w:val="00DB45B0"/>
    <w:rsid w:val="00DB46CB"/>
    <w:rsid w:val="00DB48DF"/>
    <w:rsid w:val="00DB4C44"/>
    <w:rsid w:val="00DB51C2"/>
    <w:rsid w:val="00DB5228"/>
    <w:rsid w:val="00DB5385"/>
    <w:rsid w:val="00DB546B"/>
    <w:rsid w:val="00DB5767"/>
    <w:rsid w:val="00DB5864"/>
    <w:rsid w:val="00DB5CD2"/>
    <w:rsid w:val="00DB5ECE"/>
    <w:rsid w:val="00DB605B"/>
    <w:rsid w:val="00DB608B"/>
    <w:rsid w:val="00DB6313"/>
    <w:rsid w:val="00DB638D"/>
    <w:rsid w:val="00DB68BF"/>
    <w:rsid w:val="00DB69A7"/>
    <w:rsid w:val="00DB69B6"/>
    <w:rsid w:val="00DB6C25"/>
    <w:rsid w:val="00DB6C38"/>
    <w:rsid w:val="00DB702D"/>
    <w:rsid w:val="00DB70E2"/>
    <w:rsid w:val="00DB74BE"/>
    <w:rsid w:val="00DB750B"/>
    <w:rsid w:val="00DB76A5"/>
    <w:rsid w:val="00DB76E5"/>
    <w:rsid w:val="00DB7765"/>
    <w:rsid w:val="00DB784D"/>
    <w:rsid w:val="00DB7888"/>
    <w:rsid w:val="00DB7B6F"/>
    <w:rsid w:val="00DB7DDC"/>
    <w:rsid w:val="00DC0652"/>
    <w:rsid w:val="00DC075C"/>
    <w:rsid w:val="00DC09B6"/>
    <w:rsid w:val="00DC0B76"/>
    <w:rsid w:val="00DC0D87"/>
    <w:rsid w:val="00DC0DE2"/>
    <w:rsid w:val="00DC1097"/>
    <w:rsid w:val="00DC1171"/>
    <w:rsid w:val="00DC143A"/>
    <w:rsid w:val="00DC168E"/>
    <w:rsid w:val="00DC19F6"/>
    <w:rsid w:val="00DC1D71"/>
    <w:rsid w:val="00DC1ED9"/>
    <w:rsid w:val="00DC1FA9"/>
    <w:rsid w:val="00DC1FAB"/>
    <w:rsid w:val="00DC2050"/>
    <w:rsid w:val="00DC21F5"/>
    <w:rsid w:val="00DC223C"/>
    <w:rsid w:val="00DC267A"/>
    <w:rsid w:val="00DC2747"/>
    <w:rsid w:val="00DC296F"/>
    <w:rsid w:val="00DC2BB1"/>
    <w:rsid w:val="00DC2EBE"/>
    <w:rsid w:val="00DC3104"/>
    <w:rsid w:val="00DC31B0"/>
    <w:rsid w:val="00DC3226"/>
    <w:rsid w:val="00DC3338"/>
    <w:rsid w:val="00DC3370"/>
    <w:rsid w:val="00DC3499"/>
    <w:rsid w:val="00DC349E"/>
    <w:rsid w:val="00DC36A1"/>
    <w:rsid w:val="00DC39B0"/>
    <w:rsid w:val="00DC3A6D"/>
    <w:rsid w:val="00DC3B06"/>
    <w:rsid w:val="00DC3FEC"/>
    <w:rsid w:val="00DC4036"/>
    <w:rsid w:val="00DC43C7"/>
    <w:rsid w:val="00DC44C2"/>
    <w:rsid w:val="00DC4909"/>
    <w:rsid w:val="00DC4A02"/>
    <w:rsid w:val="00DC4C23"/>
    <w:rsid w:val="00DC4D7E"/>
    <w:rsid w:val="00DC4EC1"/>
    <w:rsid w:val="00DC50E0"/>
    <w:rsid w:val="00DC51AF"/>
    <w:rsid w:val="00DC53EC"/>
    <w:rsid w:val="00DC5C67"/>
    <w:rsid w:val="00DC610C"/>
    <w:rsid w:val="00DC616C"/>
    <w:rsid w:val="00DC6479"/>
    <w:rsid w:val="00DC6497"/>
    <w:rsid w:val="00DC650D"/>
    <w:rsid w:val="00DC667C"/>
    <w:rsid w:val="00DC68D4"/>
    <w:rsid w:val="00DC68D6"/>
    <w:rsid w:val="00DC68F5"/>
    <w:rsid w:val="00DC6BA4"/>
    <w:rsid w:val="00DC6BF1"/>
    <w:rsid w:val="00DC6D45"/>
    <w:rsid w:val="00DC6DBF"/>
    <w:rsid w:val="00DC6DC5"/>
    <w:rsid w:val="00DC784F"/>
    <w:rsid w:val="00DC7AE4"/>
    <w:rsid w:val="00DC7D60"/>
    <w:rsid w:val="00DC7FF2"/>
    <w:rsid w:val="00DD0025"/>
    <w:rsid w:val="00DD019A"/>
    <w:rsid w:val="00DD01F8"/>
    <w:rsid w:val="00DD0625"/>
    <w:rsid w:val="00DD09EA"/>
    <w:rsid w:val="00DD0B9D"/>
    <w:rsid w:val="00DD0C23"/>
    <w:rsid w:val="00DD10FE"/>
    <w:rsid w:val="00DD1448"/>
    <w:rsid w:val="00DD15DD"/>
    <w:rsid w:val="00DD1887"/>
    <w:rsid w:val="00DD1A55"/>
    <w:rsid w:val="00DD1CBE"/>
    <w:rsid w:val="00DD1DE9"/>
    <w:rsid w:val="00DD1EBC"/>
    <w:rsid w:val="00DD1EF9"/>
    <w:rsid w:val="00DD20F8"/>
    <w:rsid w:val="00DD21E6"/>
    <w:rsid w:val="00DD23EE"/>
    <w:rsid w:val="00DD2488"/>
    <w:rsid w:val="00DD2564"/>
    <w:rsid w:val="00DD27C6"/>
    <w:rsid w:val="00DD2E77"/>
    <w:rsid w:val="00DD2F1D"/>
    <w:rsid w:val="00DD3034"/>
    <w:rsid w:val="00DD30A0"/>
    <w:rsid w:val="00DD30CF"/>
    <w:rsid w:val="00DD321F"/>
    <w:rsid w:val="00DD3229"/>
    <w:rsid w:val="00DD3423"/>
    <w:rsid w:val="00DD344D"/>
    <w:rsid w:val="00DD3918"/>
    <w:rsid w:val="00DD3984"/>
    <w:rsid w:val="00DD3CFE"/>
    <w:rsid w:val="00DD3E0E"/>
    <w:rsid w:val="00DD462B"/>
    <w:rsid w:val="00DD47A6"/>
    <w:rsid w:val="00DD49E5"/>
    <w:rsid w:val="00DD4A74"/>
    <w:rsid w:val="00DD4CEF"/>
    <w:rsid w:val="00DD4ECB"/>
    <w:rsid w:val="00DD4F01"/>
    <w:rsid w:val="00DD4F74"/>
    <w:rsid w:val="00DD5071"/>
    <w:rsid w:val="00DD51FE"/>
    <w:rsid w:val="00DD52F1"/>
    <w:rsid w:val="00DD5524"/>
    <w:rsid w:val="00DD56F9"/>
    <w:rsid w:val="00DD5F34"/>
    <w:rsid w:val="00DD5F63"/>
    <w:rsid w:val="00DD602D"/>
    <w:rsid w:val="00DD6172"/>
    <w:rsid w:val="00DD62E7"/>
    <w:rsid w:val="00DD6471"/>
    <w:rsid w:val="00DD6687"/>
    <w:rsid w:val="00DD67D8"/>
    <w:rsid w:val="00DD68F7"/>
    <w:rsid w:val="00DD695A"/>
    <w:rsid w:val="00DD69B5"/>
    <w:rsid w:val="00DD6AA1"/>
    <w:rsid w:val="00DD6F93"/>
    <w:rsid w:val="00DD70A8"/>
    <w:rsid w:val="00DD7188"/>
    <w:rsid w:val="00DD71EC"/>
    <w:rsid w:val="00DD7278"/>
    <w:rsid w:val="00DD72A1"/>
    <w:rsid w:val="00DD76A5"/>
    <w:rsid w:val="00DD76E6"/>
    <w:rsid w:val="00DD77C8"/>
    <w:rsid w:val="00DD7A16"/>
    <w:rsid w:val="00DD7AC8"/>
    <w:rsid w:val="00DD7B9C"/>
    <w:rsid w:val="00DE029D"/>
    <w:rsid w:val="00DE0470"/>
    <w:rsid w:val="00DE0485"/>
    <w:rsid w:val="00DE07E9"/>
    <w:rsid w:val="00DE08E4"/>
    <w:rsid w:val="00DE0BB5"/>
    <w:rsid w:val="00DE0C39"/>
    <w:rsid w:val="00DE0F09"/>
    <w:rsid w:val="00DE0FC7"/>
    <w:rsid w:val="00DE11C3"/>
    <w:rsid w:val="00DE14B1"/>
    <w:rsid w:val="00DE1584"/>
    <w:rsid w:val="00DE19A5"/>
    <w:rsid w:val="00DE1B63"/>
    <w:rsid w:val="00DE1BA3"/>
    <w:rsid w:val="00DE1FA2"/>
    <w:rsid w:val="00DE21A0"/>
    <w:rsid w:val="00DE22F0"/>
    <w:rsid w:val="00DE287D"/>
    <w:rsid w:val="00DE2A44"/>
    <w:rsid w:val="00DE2B41"/>
    <w:rsid w:val="00DE2D0C"/>
    <w:rsid w:val="00DE2E62"/>
    <w:rsid w:val="00DE2F78"/>
    <w:rsid w:val="00DE3143"/>
    <w:rsid w:val="00DE3352"/>
    <w:rsid w:val="00DE33A3"/>
    <w:rsid w:val="00DE347F"/>
    <w:rsid w:val="00DE36D7"/>
    <w:rsid w:val="00DE393A"/>
    <w:rsid w:val="00DE3ADD"/>
    <w:rsid w:val="00DE3DBF"/>
    <w:rsid w:val="00DE4425"/>
    <w:rsid w:val="00DE446B"/>
    <w:rsid w:val="00DE463B"/>
    <w:rsid w:val="00DE4712"/>
    <w:rsid w:val="00DE47E1"/>
    <w:rsid w:val="00DE4CE5"/>
    <w:rsid w:val="00DE4EAB"/>
    <w:rsid w:val="00DE4FB8"/>
    <w:rsid w:val="00DE512D"/>
    <w:rsid w:val="00DE53B0"/>
    <w:rsid w:val="00DE53EF"/>
    <w:rsid w:val="00DE5446"/>
    <w:rsid w:val="00DE5593"/>
    <w:rsid w:val="00DE564B"/>
    <w:rsid w:val="00DE5657"/>
    <w:rsid w:val="00DE56C2"/>
    <w:rsid w:val="00DE58E7"/>
    <w:rsid w:val="00DE5987"/>
    <w:rsid w:val="00DE5C2B"/>
    <w:rsid w:val="00DE5D4D"/>
    <w:rsid w:val="00DE5D91"/>
    <w:rsid w:val="00DE5E03"/>
    <w:rsid w:val="00DE5EA8"/>
    <w:rsid w:val="00DE5FD3"/>
    <w:rsid w:val="00DE60AA"/>
    <w:rsid w:val="00DE630B"/>
    <w:rsid w:val="00DE6336"/>
    <w:rsid w:val="00DE63F7"/>
    <w:rsid w:val="00DE6490"/>
    <w:rsid w:val="00DE64FB"/>
    <w:rsid w:val="00DE64FD"/>
    <w:rsid w:val="00DE682F"/>
    <w:rsid w:val="00DE68D2"/>
    <w:rsid w:val="00DE68D8"/>
    <w:rsid w:val="00DE68EA"/>
    <w:rsid w:val="00DE6B74"/>
    <w:rsid w:val="00DE6BAD"/>
    <w:rsid w:val="00DE6C1B"/>
    <w:rsid w:val="00DE6D75"/>
    <w:rsid w:val="00DE6E3A"/>
    <w:rsid w:val="00DE6EF8"/>
    <w:rsid w:val="00DE70CC"/>
    <w:rsid w:val="00DE728A"/>
    <w:rsid w:val="00DE743F"/>
    <w:rsid w:val="00DE7734"/>
    <w:rsid w:val="00DE79CB"/>
    <w:rsid w:val="00DE7C1E"/>
    <w:rsid w:val="00DE7EBC"/>
    <w:rsid w:val="00DE7EDC"/>
    <w:rsid w:val="00DE7F37"/>
    <w:rsid w:val="00DE7FAD"/>
    <w:rsid w:val="00DF004D"/>
    <w:rsid w:val="00DF00BB"/>
    <w:rsid w:val="00DF0238"/>
    <w:rsid w:val="00DF0507"/>
    <w:rsid w:val="00DF0889"/>
    <w:rsid w:val="00DF0935"/>
    <w:rsid w:val="00DF0FC3"/>
    <w:rsid w:val="00DF1137"/>
    <w:rsid w:val="00DF11DB"/>
    <w:rsid w:val="00DF13AF"/>
    <w:rsid w:val="00DF14CA"/>
    <w:rsid w:val="00DF150D"/>
    <w:rsid w:val="00DF181A"/>
    <w:rsid w:val="00DF1AB7"/>
    <w:rsid w:val="00DF1B00"/>
    <w:rsid w:val="00DF1C05"/>
    <w:rsid w:val="00DF1DEA"/>
    <w:rsid w:val="00DF1EDB"/>
    <w:rsid w:val="00DF1FF5"/>
    <w:rsid w:val="00DF20CE"/>
    <w:rsid w:val="00DF22B2"/>
    <w:rsid w:val="00DF259D"/>
    <w:rsid w:val="00DF26F0"/>
    <w:rsid w:val="00DF28E1"/>
    <w:rsid w:val="00DF2D29"/>
    <w:rsid w:val="00DF2DA8"/>
    <w:rsid w:val="00DF2E9C"/>
    <w:rsid w:val="00DF3186"/>
    <w:rsid w:val="00DF33EC"/>
    <w:rsid w:val="00DF36C6"/>
    <w:rsid w:val="00DF3701"/>
    <w:rsid w:val="00DF3712"/>
    <w:rsid w:val="00DF38AA"/>
    <w:rsid w:val="00DF3E19"/>
    <w:rsid w:val="00DF3EDB"/>
    <w:rsid w:val="00DF401B"/>
    <w:rsid w:val="00DF404A"/>
    <w:rsid w:val="00DF4282"/>
    <w:rsid w:val="00DF4369"/>
    <w:rsid w:val="00DF4438"/>
    <w:rsid w:val="00DF4502"/>
    <w:rsid w:val="00DF4B84"/>
    <w:rsid w:val="00DF4C80"/>
    <w:rsid w:val="00DF4CC0"/>
    <w:rsid w:val="00DF4FE2"/>
    <w:rsid w:val="00DF50A1"/>
    <w:rsid w:val="00DF52D2"/>
    <w:rsid w:val="00DF5353"/>
    <w:rsid w:val="00DF5826"/>
    <w:rsid w:val="00DF59B2"/>
    <w:rsid w:val="00DF5BE4"/>
    <w:rsid w:val="00DF6080"/>
    <w:rsid w:val="00DF61A1"/>
    <w:rsid w:val="00DF663A"/>
    <w:rsid w:val="00DF6723"/>
    <w:rsid w:val="00DF6748"/>
    <w:rsid w:val="00DF6CF7"/>
    <w:rsid w:val="00DF6EAC"/>
    <w:rsid w:val="00DF7333"/>
    <w:rsid w:val="00DF772D"/>
    <w:rsid w:val="00DF77E8"/>
    <w:rsid w:val="00DF7986"/>
    <w:rsid w:val="00DF7B04"/>
    <w:rsid w:val="00DF7C79"/>
    <w:rsid w:val="00DF7F31"/>
    <w:rsid w:val="00DF7F4C"/>
    <w:rsid w:val="00DF7F83"/>
    <w:rsid w:val="00E00148"/>
    <w:rsid w:val="00E00837"/>
    <w:rsid w:val="00E00899"/>
    <w:rsid w:val="00E00D74"/>
    <w:rsid w:val="00E00FC4"/>
    <w:rsid w:val="00E01177"/>
    <w:rsid w:val="00E014DB"/>
    <w:rsid w:val="00E014E2"/>
    <w:rsid w:val="00E016E5"/>
    <w:rsid w:val="00E01E19"/>
    <w:rsid w:val="00E01E4C"/>
    <w:rsid w:val="00E01EFB"/>
    <w:rsid w:val="00E02059"/>
    <w:rsid w:val="00E02184"/>
    <w:rsid w:val="00E022FB"/>
    <w:rsid w:val="00E0297E"/>
    <w:rsid w:val="00E02AC1"/>
    <w:rsid w:val="00E02D41"/>
    <w:rsid w:val="00E03433"/>
    <w:rsid w:val="00E03647"/>
    <w:rsid w:val="00E03857"/>
    <w:rsid w:val="00E038BE"/>
    <w:rsid w:val="00E03917"/>
    <w:rsid w:val="00E03D9F"/>
    <w:rsid w:val="00E03F7B"/>
    <w:rsid w:val="00E03FB3"/>
    <w:rsid w:val="00E042AD"/>
    <w:rsid w:val="00E0478F"/>
    <w:rsid w:val="00E049E0"/>
    <w:rsid w:val="00E04AF6"/>
    <w:rsid w:val="00E04CEF"/>
    <w:rsid w:val="00E04CF1"/>
    <w:rsid w:val="00E05088"/>
    <w:rsid w:val="00E0512F"/>
    <w:rsid w:val="00E053BF"/>
    <w:rsid w:val="00E05596"/>
    <w:rsid w:val="00E05652"/>
    <w:rsid w:val="00E05A7A"/>
    <w:rsid w:val="00E05B34"/>
    <w:rsid w:val="00E05E1E"/>
    <w:rsid w:val="00E05E28"/>
    <w:rsid w:val="00E0603F"/>
    <w:rsid w:val="00E0604D"/>
    <w:rsid w:val="00E0615B"/>
    <w:rsid w:val="00E06264"/>
    <w:rsid w:val="00E062E2"/>
    <w:rsid w:val="00E06365"/>
    <w:rsid w:val="00E065D2"/>
    <w:rsid w:val="00E065DC"/>
    <w:rsid w:val="00E066C4"/>
    <w:rsid w:val="00E06946"/>
    <w:rsid w:val="00E06A33"/>
    <w:rsid w:val="00E06B13"/>
    <w:rsid w:val="00E070A9"/>
    <w:rsid w:val="00E070CF"/>
    <w:rsid w:val="00E070F8"/>
    <w:rsid w:val="00E07A03"/>
    <w:rsid w:val="00E07A0F"/>
    <w:rsid w:val="00E07A7A"/>
    <w:rsid w:val="00E07C88"/>
    <w:rsid w:val="00E07D19"/>
    <w:rsid w:val="00E07D5A"/>
    <w:rsid w:val="00E07DCF"/>
    <w:rsid w:val="00E07E36"/>
    <w:rsid w:val="00E07E83"/>
    <w:rsid w:val="00E07F9B"/>
    <w:rsid w:val="00E1007E"/>
    <w:rsid w:val="00E10195"/>
    <w:rsid w:val="00E101C7"/>
    <w:rsid w:val="00E101EF"/>
    <w:rsid w:val="00E103DD"/>
    <w:rsid w:val="00E10B52"/>
    <w:rsid w:val="00E10BA1"/>
    <w:rsid w:val="00E10C59"/>
    <w:rsid w:val="00E10F1F"/>
    <w:rsid w:val="00E11219"/>
    <w:rsid w:val="00E11286"/>
    <w:rsid w:val="00E112FA"/>
    <w:rsid w:val="00E114C2"/>
    <w:rsid w:val="00E114EE"/>
    <w:rsid w:val="00E11E73"/>
    <w:rsid w:val="00E11E8F"/>
    <w:rsid w:val="00E11EBD"/>
    <w:rsid w:val="00E120E8"/>
    <w:rsid w:val="00E1219E"/>
    <w:rsid w:val="00E121C7"/>
    <w:rsid w:val="00E121DE"/>
    <w:rsid w:val="00E12393"/>
    <w:rsid w:val="00E12604"/>
    <w:rsid w:val="00E1280F"/>
    <w:rsid w:val="00E12943"/>
    <w:rsid w:val="00E12A27"/>
    <w:rsid w:val="00E12A8C"/>
    <w:rsid w:val="00E12D4A"/>
    <w:rsid w:val="00E12DE6"/>
    <w:rsid w:val="00E1307A"/>
    <w:rsid w:val="00E13162"/>
    <w:rsid w:val="00E13352"/>
    <w:rsid w:val="00E13826"/>
    <w:rsid w:val="00E138EE"/>
    <w:rsid w:val="00E13A25"/>
    <w:rsid w:val="00E13B09"/>
    <w:rsid w:val="00E13D4A"/>
    <w:rsid w:val="00E13E4A"/>
    <w:rsid w:val="00E13FBE"/>
    <w:rsid w:val="00E141F0"/>
    <w:rsid w:val="00E14202"/>
    <w:rsid w:val="00E1467E"/>
    <w:rsid w:val="00E14A02"/>
    <w:rsid w:val="00E14B97"/>
    <w:rsid w:val="00E14BBA"/>
    <w:rsid w:val="00E14BD6"/>
    <w:rsid w:val="00E14EFC"/>
    <w:rsid w:val="00E15134"/>
    <w:rsid w:val="00E15674"/>
    <w:rsid w:val="00E156DB"/>
    <w:rsid w:val="00E15AFE"/>
    <w:rsid w:val="00E15DA7"/>
    <w:rsid w:val="00E16080"/>
    <w:rsid w:val="00E16183"/>
    <w:rsid w:val="00E16188"/>
    <w:rsid w:val="00E16195"/>
    <w:rsid w:val="00E16268"/>
    <w:rsid w:val="00E1638F"/>
    <w:rsid w:val="00E1640E"/>
    <w:rsid w:val="00E16822"/>
    <w:rsid w:val="00E16953"/>
    <w:rsid w:val="00E16E74"/>
    <w:rsid w:val="00E16F2A"/>
    <w:rsid w:val="00E170F0"/>
    <w:rsid w:val="00E17332"/>
    <w:rsid w:val="00E1769E"/>
    <w:rsid w:val="00E1783B"/>
    <w:rsid w:val="00E17916"/>
    <w:rsid w:val="00E179FC"/>
    <w:rsid w:val="00E17B4F"/>
    <w:rsid w:val="00E17C64"/>
    <w:rsid w:val="00E17EB6"/>
    <w:rsid w:val="00E200CA"/>
    <w:rsid w:val="00E202E9"/>
    <w:rsid w:val="00E2038C"/>
    <w:rsid w:val="00E20509"/>
    <w:rsid w:val="00E20A81"/>
    <w:rsid w:val="00E20B8F"/>
    <w:rsid w:val="00E20D17"/>
    <w:rsid w:val="00E20DF0"/>
    <w:rsid w:val="00E2107C"/>
    <w:rsid w:val="00E21098"/>
    <w:rsid w:val="00E2110E"/>
    <w:rsid w:val="00E2118D"/>
    <w:rsid w:val="00E21F29"/>
    <w:rsid w:val="00E220A8"/>
    <w:rsid w:val="00E22253"/>
    <w:rsid w:val="00E22683"/>
    <w:rsid w:val="00E22780"/>
    <w:rsid w:val="00E22C61"/>
    <w:rsid w:val="00E230EC"/>
    <w:rsid w:val="00E230F5"/>
    <w:rsid w:val="00E23108"/>
    <w:rsid w:val="00E232F7"/>
    <w:rsid w:val="00E2386F"/>
    <w:rsid w:val="00E2389A"/>
    <w:rsid w:val="00E23AAE"/>
    <w:rsid w:val="00E23D94"/>
    <w:rsid w:val="00E23EE4"/>
    <w:rsid w:val="00E23F50"/>
    <w:rsid w:val="00E2428B"/>
    <w:rsid w:val="00E2431A"/>
    <w:rsid w:val="00E247B4"/>
    <w:rsid w:val="00E247F6"/>
    <w:rsid w:val="00E24891"/>
    <w:rsid w:val="00E24DDD"/>
    <w:rsid w:val="00E24EF1"/>
    <w:rsid w:val="00E25034"/>
    <w:rsid w:val="00E25193"/>
    <w:rsid w:val="00E25386"/>
    <w:rsid w:val="00E253C7"/>
    <w:rsid w:val="00E25548"/>
    <w:rsid w:val="00E255ED"/>
    <w:rsid w:val="00E258B7"/>
    <w:rsid w:val="00E259D5"/>
    <w:rsid w:val="00E25A45"/>
    <w:rsid w:val="00E25B53"/>
    <w:rsid w:val="00E25B97"/>
    <w:rsid w:val="00E25FE2"/>
    <w:rsid w:val="00E263BC"/>
    <w:rsid w:val="00E266B8"/>
    <w:rsid w:val="00E2672E"/>
    <w:rsid w:val="00E267D4"/>
    <w:rsid w:val="00E26925"/>
    <w:rsid w:val="00E26ADC"/>
    <w:rsid w:val="00E26E74"/>
    <w:rsid w:val="00E26FAC"/>
    <w:rsid w:val="00E27037"/>
    <w:rsid w:val="00E27074"/>
    <w:rsid w:val="00E2726D"/>
    <w:rsid w:val="00E27347"/>
    <w:rsid w:val="00E27453"/>
    <w:rsid w:val="00E274E1"/>
    <w:rsid w:val="00E27558"/>
    <w:rsid w:val="00E275CB"/>
    <w:rsid w:val="00E276CA"/>
    <w:rsid w:val="00E2786A"/>
    <w:rsid w:val="00E278C2"/>
    <w:rsid w:val="00E279A2"/>
    <w:rsid w:val="00E27AD5"/>
    <w:rsid w:val="00E27B0B"/>
    <w:rsid w:val="00E27BA1"/>
    <w:rsid w:val="00E27FF0"/>
    <w:rsid w:val="00E30052"/>
    <w:rsid w:val="00E301CD"/>
    <w:rsid w:val="00E30960"/>
    <w:rsid w:val="00E30BA1"/>
    <w:rsid w:val="00E30BCF"/>
    <w:rsid w:val="00E30C78"/>
    <w:rsid w:val="00E30DB7"/>
    <w:rsid w:val="00E311D5"/>
    <w:rsid w:val="00E3123A"/>
    <w:rsid w:val="00E31599"/>
    <w:rsid w:val="00E315CF"/>
    <w:rsid w:val="00E317A4"/>
    <w:rsid w:val="00E31B26"/>
    <w:rsid w:val="00E31B33"/>
    <w:rsid w:val="00E31B7A"/>
    <w:rsid w:val="00E31F50"/>
    <w:rsid w:val="00E32318"/>
    <w:rsid w:val="00E3232D"/>
    <w:rsid w:val="00E3234C"/>
    <w:rsid w:val="00E324FA"/>
    <w:rsid w:val="00E325E7"/>
    <w:rsid w:val="00E3299B"/>
    <w:rsid w:val="00E32A99"/>
    <w:rsid w:val="00E32ABD"/>
    <w:rsid w:val="00E3311A"/>
    <w:rsid w:val="00E3328A"/>
    <w:rsid w:val="00E33295"/>
    <w:rsid w:val="00E333AE"/>
    <w:rsid w:val="00E335A2"/>
    <w:rsid w:val="00E336E3"/>
    <w:rsid w:val="00E33B83"/>
    <w:rsid w:val="00E33D33"/>
    <w:rsid w:val="00E340C2"/>
    <w:rsid w:val="00E34326"/>
    <w:rsid w:val="00E34814"/>
    <w:rsid w:val="00E34847"/>
    <w:rsid w:val="00E3489A"/>
    <w:rsid w:val="00E34CFA"/>
    <w:rsid w:val="00E34D0B"/>
    <w:rsid w:val="00E34D35"/>
    <w:rsid w:val="00E34E00"/>
    <w:rsid w:val="00E35551"/>
    <w:rsid w:val="00E356DA"/>
    <w:rsid w:val="00E35711"/>
    <w:rsid w:val="00E357D1"/>
    <w:rsid w:val="00E35BB7"/>
    <w:rsid w:val="00E35CAF"/>
    <w:rsid w:val="00E35E49"/>
    <w:rsid w:val="00E35E4F"/>
    <w:rsid w:val="00E35E8C"/>
    <w:rsid w:val="00E36133"/>
    <w:rsid w:val="00E364CB"/>
    <w:rsid w:val="00E3661E"/>
    <w:rsid w:val="00E36639"/>
    <w:rsid w:val="00E368F6"/>
    <w:rsid w:val="00E36910"/>
    <w:rsid w:val="00E369A8"/>
    <w:rsid w:val="00E36BCB"/>
    <w:rsid w:val="00E36BFF"/>
    <w:rsid w:val="00E36C28"/>
    <w:rsid w:val="00E36D98"/>
    <w:rsid w:val="00E36E0B"/>
    <w:rsid w:val="00E36E1A"/>
    <w:rsid w:val="00E36E81"/>
    <w:rsid w:val="00E37137"/>
    <w:rsid w:val="00E3732D"/>
    <w:rsid w:val="00E37662"/>
    <w:rsid w:val="00E3774F"/>
    <w:rsid w:val="00E377A7"/>
    <w:rsid w:val="00E37872"/>
    <w:rsid w:val="00E37C2C"/>
    <w:rsid w:val="00E37DDB"/>
    <w:rsid w:val="00E37E3A"/>
    <w:rsid w:val="00E401B8"/>
    <w:rsid w:val="00E401D7"/>
    <w:rsid w:val="00E40400"/>
    <w:rsid w:val="00E40449"/>
    <w:rsid w:val="00E408C5"/>
    <w:rsid w:val="00E409AA"/>
    <w:rsid w:val="00E40C35"/>
    <w:rsid w:val="00E41377"/>
    <w:rsid w:val="00E41398"/>
    <w:rsid w:val="00E41453"/>
    <w:rsid w:val="00E416A2"/>
    <w:rsid w:val="00E416A6"/>
    <w:rsid w:val="00E41718"/>
    <w:rsid w:val="00E41AE6"/>
    <w:rsid w:val="00E41D1A"/>
    <w:rsid w:val="00E41E52"/>
    <w:rsid w:val="00E41E6A"/>
    <w:rsid w:val="00E41FDE"/>
    <w:rsid w:val="00E42160"/>
    <w:rsid w:val="00E4235A"/>
    <w:rsid w:val="00E4253F"/>
    <w:rsid w:val="00E42558"/>
    <w:rsid w:val="00E4257E"/>
    <w:rsid w:val="00E42705"/>
    <w:rsid w:val="00E42757"/>
    <w:rsid w:val="00E42841"/>
    <w:rsid w:val="00E428CB"/>
    <w:rsid w:val="00E42B70"/>
    <w:rsid w:val="00E42BBA"/>
    <w:rsid w:val="00E42D58"/>
    <w:rsid w:val="00E42F4B"/>
    <w:rsid w:val="00E42FAB"/>
    <w:rsid w:val="00E43131"/>
    <w:rsid w:val="00E4316E"/>
    <w:rsid w:val="00E43227"/>
    <w:rsid w:val="00E43CE8"/>
    <w:rsid w:val="00E442C4"/>
    <w:rsid w:val="00E44548"/>
    <w:rsid w:val="00E44BB5"/>
    <w:rsid w:val="00E44C42"/>
    <w:rsid w:val="00E450BF"/>
    <w:rsid w:val="00E453E2"/>
    <w:rsid w:val="00E454CF"/>
    <w:rsid w:val="00E45560"/>
    <w:rsid w:val="00E455B3"/>
    <w:rsid w:val="00E455EC"/>
    <w:rsid w:val="00E455F2"/>
    <w:rsid w:val="00E4564F"/>
    <w:rsid w:val="00E456F5"/>
    <w:rsid w:val="00E45739"/>
    <w:rsid w:val="00E458AB"/>
    <w:rsid w:val="00E459EA"/>
    <w:rsid w:val="00E45AE7"/>
    <w:rsid w:val="00E45CC0"/>
    <w:rsid w:val="00E4609F"/>
    <w:rsid w:val="00E4620D"/>
    <w:rsid w:val="00E4687D"/>
    <w:rsid w:val="00E46A11"/>
    <w:rsid w:val="00E46A7F"/>
    <w:rsid w:val="00E46CF3"/>
    <w:rsid w:val="00E4730A"/>
    <w:rsid w:val="00E47514"/>
    <w:rsid w:val="00E4761F"/>
    <w:rsid w:val="00E4767E"/>
    <w:rsid w:val="00E4790F"/>
    <w:rsid w:val="00E47AD1"/>
    <w:rsid w:val="00E47C8A"/>
    <w:rsid w:val="00E47D21"/>
    <w:rsid w:val="00E50175"/>
    <w:rsid w:val="00E504A3"/>
    <w:rsid w:val="00E50778"/>
    <w:rsid w:val="00E508C1"/>
    <w:rsid w:val="00E50A41"/>
    <w:rsid w:val="00E50A74"/>
    <w:rsid w:val="00E50A7E"/>
    <w:rsid w:val="00E50B55"/>
    <w:rsid w:val="00E50EB0"/>
    <w:rsid w:val="00E50F6F"/>
    <w:rsid w:val="00E510E8"/>
    <w:rsid w:val="00E51280"/>
    <w:rsid w:val="00E5136C"/>
    <w:rsid w:val="00E51377"/>
    <w:rsid w:val="00E5138F"/>
    <w:rsid w:val="00E518C3"/>
    <w:rsid w:val="00E51980"/>
    <w:rsid w:val="00E519AA"/>
    <w:rsid w:val="00E51C6A"/>
    <w:rsid w:val="00E51CF3"/>
    <w:rsid w:val="00E51EBE"/>
    <w:rsid w:val="00E51F68"/>
    <w:rsid w:val="00E51FA2"/>
    <w:rsid w:val="00E5222F"/>
    <w:rsid w:val="00E524E0"/>
    <w:rsid w:val="00E52628"/>
    <w:rsid w:val="00E52B2D"/>
    <w:rsid w:val="00E52BB4"/>
    <w:rsid w:val="00E52C56"/>
    <w:rsid w:val="00E52D45"/>
    <w:rsid w:val="00E535D4"/>
    <w:rsid w:val="00E5361C"/>
    <w:rsid w:val="00E537A9"/>
    <w:rsid w:val="00E538C3"/>
    <w:rsid w:val="00E53AE1"/>
    <w:rsid w:val="00E53CB5"/>
    <w:rsid w:val="00E53D04"/>
    <w:rsid w:val="00E53E3C"/>
    <w:rsid w:val="00E53FFF"/>
    <w:rsid w:val="00E54214"/>
    <w:rsid w:val="00E54381"/>
    <w:rsid w:val="00E5438A"/>
    <w:rsid w:val="00E543D7"/>
    <w:rsid w:val="00E5441E"/>
    <w:rsid w:val="00E544BD"/>
    <w:rsid w:val="00E54797"/>
    <w:rsid w:val="00E547E2"/>
    <w:rsid w:val="00E5485D"/>
    <w:rsid w:val="00E54937"/>
    <w:rsid w:val="00E549CF"/>
    <w:rsid w:val="00E54AC2"/>
    <w:rsid w:val="00E54C57"/>
    <w:rsid w:val="00E54DD9"/>
    <w:rsid w:val="00E54EAA"/>
    <w:rsid w:val="00E54EDE"/>
    <w:rsid w:val="00E54F34"/>
    <w:rsid w:val="00E554D2"/>
    <w:rsid w:val="00E5558A"/>
    <w:rsid w:val="00E5577B"/>
    <w:rsid w:val="00E55859"/>
    <w:rsid w:val="00E558E9"/>
    <w:rsid w:val="00E55A5D"/>
    <w:rsid w:val="00E55A8B"/>
    <w:rsid w:val="00E55BFA"/>
    <w:rsid w:val="00E55D50"/>
    <w:rsid w:val="00E55F97"/>
    <w:rsid w:val="00E560C3"/>
    <w:rsid w:val="00E561FC"/>
    <w:rsid w:val="00E562EF"/>
    <w:rsid w:val="00E56509"/>
    <w:rsid w:val="00E56559"/>
    <w:rsid w:val="00E56592"/>
    <w:rsid w:val="00E56649"/>
    <w:rsid w:val="00E56749"/>
    <w:rsid w:val="00E56775"/>
    <w:rsid w:val="00E5695A"/>
    <w:rsid w:val="00E56AF4"/>
    <w:rsid w:val="00E56CA1"/>
    <w:rsid w:val="00E57017"/>
    <w:rsid w:val="00E5705A"/>
    <w:rsid w:val="00E571D9"/>
    <w:rsid w:val="00E57502"/>
    <w:rsid w:val="00E575BF"/>
    <w:rsid w:val="00E579AB"/>
    <w:rsid w:val="00E579AE"/>
    <w:rsid w:val="00E57AB6"/>
    <w:rsid w:val="00E57BC4"/>
    <w:rsid w:val="00E57EE3"/>
    <w:rsid w:val="00E6020C"/>
    <w:rsid w:val="00E602BF"/>
    <w:rsid w:val="00E60427"/>
    <w:rsid w:val="00E60638"/>
    <w:rsid w:val="00E6089E"/>
    <w:rsid w:val="00E60AE1"/>
    <w:rsid w:val="00E60B34"/>
    <w:rsid w:val="00E60F7B"/>
    <w:rsid w:val="00E611CB"/>
    <w:rsid w:val="00E611F3"/>
    <w:rsid w:val="00E61251"/>
    <w:rsid w:val="00E615C1"/>
    <w:rsid w:val="00E61ED4"/>
    <w:rsid w:val="00E62056"/>
    <w:rsid w:val="00E62257"/>
    <w:rsid w:val="00E62576"/>
    <w:rsid w:val="00E626FE"/>
    <w:rsid w:val="00E6296E"/>
    <w:rsid w:val="00E629D8"/>
    <w:rsid w:val="00E62E23"/>
    <w:rsid w:val="00E62F5A"/>
    <w:rsid w:val="00E63054"/>
    <w:rsid w:val="00E630DF"/>
    <w:rsid w:val="00E632BC"/>
    <w:rsid w:val="00E632EA"/>
    <w:rsid w:val="00E63328"/>
    <w:rsid w:val="00E6358D"/>
    <w:rsid w:val="00E635BC"/>
    <w:rsid w:val="00E636BA"/>
    <w:rsid w:val="00E636BF"/>
    <w:rsid w:val="00E636CA"/>
    <w:rsid w:val="00E638D8"/>
    <w:rsid w:val="00E639BC"/>
    <w:rsid w:val="00E63B10"/>
    <w:rsid w:val="00E63DE1"/>
    <w:rsid w:val="00E640A1"/>
    <w:rsid w:val="00E64261"/>
    <w:rsid w:val="00E642D8"/>
    <w:rsid w:val="00E642EA"/>
    <w:rsid w:val="00E64305"/>
    <w:rsid w:val="00E6453D"/>
    <w:rsid w:val="00E64BAC"/>
    <w:rsid w:val="00E64EA9"/>
    <w:rsid w:val="00E65220"/>
    <w:rsid w:val="00E6523B"/>
    <w:rsid w:val="00E65478"/>
    <w:rsid w:val="00E654CA"/>
    <w:rsid w:val="00E656E8"/>
    <w:rsid w:val="00E658B1"/>
    <w:rsid w:val="00E658E2"/>
    <w:rsid w:val="00E65C1D"/>
    <w:rsid w:val="00E65FF4"/>
    <w:rsid w:val="00E66011"/>
    <w:rsid w:val="00E66114"/>
    <w:rsid w:val="00E66354"/>
    <w:rsid w:val="00E66374"/>
    <w:rsid w:val="00E6639F"/>
    <w:rsid w:val="00E6668F"/>
    <w:rsid w:val="00E66779"/>
    <w:rsid w:val="00E66829"/>
    <w:rsid w:val="00E668D1"/>
    <w:rsid w:val="00E6693E"/>
    <w:rsid w:val="00E66970"/>
    <w:rsid w:val="00E66B4D"/>
    <w:rsid w:val="00E66FE2"/>
    <w:rsid w:val="00E67158"/>
    <w:rsid w:val="00E67159"/>
    <w:rsid w:val="00E6740C"/>
    <w:rsid w:val="00E67607"/>
    <w:rsid w:val="00E677BE"/>
    <w:rsid w:val="00E67C92"/>
    <w:rsid w:val="00E67D26"/>
    <w:rsid w:val="00E70014"/>
    <w:rsid w:val="00E700E8"/>
    <w:rsid w:val="00E702D7"/>
    <w:rsid w:val="00E703DD"/>
    <w:rsid w:val="00E70597"/>
    <w:rsid w:val="00E7059C"/>
    <w:rsid w:val="00E709E5"/>
    <w:rsid w:val="00E70B27"/>
    <w:rsid w:val="00E70ECB"/>
    <w:rsid w:val="00E711D4"/>
    <w:rsid w:val="00E7124C"/>
    <w:rsid w:val="00E712CE"/>
    <w:rsid w:val="00E7187B"/>
    <w:rsid w:val="00E71AC8"/>
    <w:rsid w:val="00E71DF9"/>
    <w:rsid w:val="00E71E6F"/>
    <w:rsid w:val="00E720C0"/>
    <w:rsid w:val="00E72136"/>
    <w:rsid w:val="00E723E8"/>
    <w:rsid w:val="00E7257D"/>
    <w:rsid w:val="00E7269A"/>
    <w:rsid w:val="00E7270A"/>
    <w:rsid w:val="00E7286F"/>
    <w:rsid w:val="00E728D3"/>
    <w:rsid w:val="00E729B5"/>
    <w:rsid w:val="00E729F4"/>
    <w:rsid w:val="00E72B2F"/>
    <w:rsid w:val="00E72B94"/>
    <w:rsid w:val="00E72FBC"/>
    <w:rsid w:val="00E731D5"/>
    <w:rsid w:val="00E733FD"/>
    <w:rsid w:val="00E73437"/>
    <w:rsid w:val="00E73524"/>
    <w:rsid w:val="00E736F4"/>
    <w:rsid w:val="00E73B8E"/>
    <w:rsid w:val="00E73BE3"/>
    <w:rsid w:val="00E73C65"/>
    <w:rsid w:val="00E73D3F"/>
    <w:rsid w:val="00E73DD4"/>
    <w:rsid w:val="00E73E3F"/>
    <w:rsid w:val="00E73FC2"/>
    <w:rsid w:val="00E7419D"/>
    <w:rsid w:val="00E744A3"/>
    <w:rsid w:val="00E74573"/>
    <w:rsid w:val="00E746C3"/>
    <w:rsid w:val="00E746CD"/>
    <w:rsid w:val="00E747EE"/>
    <w:rsid w:val="00E748C4"/>
    <w:rsid w:val="00E7495C"/>
    <w:rsid w:val="00E74AD1"/>
    <w:rsid w:val="00E74D89"/>
    <w:rsid w:val="00E74E01"/>
    <w:rsid w:val="00E74E41"/>
    <w:rsid w:val="00E74F59"/>
    <w:rsid w:val="00E74FF4"/>
    <w:rsid w:val="00E75358"/>
    <w:rsid w:val="00E75437"/>
    <w:rsid w:val="00E7561A"/>
    <w:rsid w:val="00E75902"/>
    <w:rsid w:val="00E75B13"/>
    <w:rsid w:val="00E75C08"/>
    <w:rsid w:val="00E75D5F"/>
    <w:rsid w:val="00E75E31"/>
    <w:rsid w:val="00E75FCE"/>
    <w:rsid w:val="00E7626A"/>
    <w:rsid w:val="00E76501"/>
    <w:rsid w:val="00E76762"/>
    <w:rsid w:val="00E76B5F"/>
    <w:rsid w:val="00E76D1C"/>
    <w:rsid w:val="00E76E17"/>
    <w:rsid w:val="00E76E89"/>
    <w:rsid w:val="00E76E98"/>
    <w:rsid w:val="00E76EAD"/>
    <w:rsid w:val="00E76F12"/>
    <w:rsid w:val="00E76FE8"/>
    <w:rsid w:val="00E76FFD"/>
    <w:rsid w:val="00E77192"/>
    <w:rsid w:val="00E771C5"/>
    <w:rsid w:val="00E7734F"/>
    <w:rsid w:val="00E7741D"/>
    <w:rsid w:val="00E77442"/>
    <w:rsid w:val="00E7790D"/>
    <w:rsid w:val="00E7798D"/>
    <w:rsid w:val="00E77AF9"/>
    <w:rsid w:val="00E77C66"/>
    <w:rsid w:val="00E77EFE"/>
    <w:rsid w:val="00E803FE"/>
    <w:rsid w:val="00E8083E"/>
    <w:rsid w:val="00E809CB"/>
    <w:rsid w:val="00E809D3"/>
    <w:rsid w:val="00E80AD2"/>
    <w:rsid w:val="00E80B26"/>
    <w:rsid w:val="00E80C1E"/>
    <w:rsid w:val="00E80F43"/>
    <w:rsid w:val="00E810BE"/>
    <w:rsid w:val="00E81251"/>
    <w:rsid w:val="00E81287"/>
    <w:rsid w:val="00E812E7"/>
    <w:rsid w:val="00E81590"/>
    <w:rsid w:val="00E8173D"/>
    <w:rsid w:val="00E817F7"/>
    <w:rsid w:val="00E818EB"/>
    <w:rsid w:val="00E819D1"/>
    <w:rsid w:val="00E81C60"/>
    <w:rsid w:val="00E81D20"/>
    <w:rsid w:val="00E81D83"/>
    <w:rsid w:val="00E81F17"/>
    <w:rsid w:val="00E81F3F"/>
    <w:rsid w:val="00E82118"/>
    <w:rsid w:val="00E822CF"/>
    <w:rsid w:val="00E82442"/>
    <w:rsid w:val="00E8247F"/>
    <w:rsid w:val="00E82B03"/>
    <w:rsid w:val="00E82CAF"/>
    <w:rsid w:val="00E82D03"/>
    <w:rsid w:val="00E82D66"/>
    <w:rsid w:val="00E82D77"/>
    <w:rsid w:val="00E82EF6"/>
    <w:rsid w:val="00E8327D"/>
    <w:rsid w:val="00E835ED"/>
    <w:rsid w:val="00E83757"/>
    <w:rsid w:val="00E838FA"/>
    <w:rsid w:val="00E83916"/>
    <w:rsid w:val="00E83920"/>
    <w:rsid w:val="00E83956"/>
    <w:rsid w:val="00E8395B"/>
    <w:rsid w:val="00E839D8"/>
    <w:rsid w:val="00E83C33"/>
    <w:rsid w:val="00E83CA3"/>
    <w:rsid w:val="00E83D0B"/>
    <w:rsid w:val="00E83D79"/>
    <w:rsid w:val="00E83E8E"/>
    <w:rsid w:val="00E83F47"/>
    <w:rsid w:val="00E84292"/>
    <w:rsid w:val="00E84414"/>
    <w:rsid w:val="00E8453B"/>
    <w:rsid w:val="00E845A5"/>
    <w:rsid w:val="00E8476D"/>
    <w:rsid w:val="00E849F9"/>
    <w:rsid w:val="00E849FD"/>
    <w:rsid w:val="00E84BA1"/>
    <w:rsid w:val="00E84CAB"/>
    <w:rsid w:val="00E8505D"/>
    <w:rsid w:val="00E85084"/>
    <w:rsid w:val="00E85108"/>
    <w:rsid w:val="00E8521F"/>
    <w:rsid w:val="00E8541D"/>
    <w:rsid w:val="00E8545F"/>
    <w:rsid w:val="00E855A9"/>
    <w:rsid w:val="00E8569B"/>
    <w:rsid w:val="00E8593A"/>
    <w:rsid w:val="00E85A99"/>
    <w:rsid w:val="00E85ABE"/>
    <w:rsid w:val="00E85C1B"/>
    <w:rsid w:val="00E85DDD"/>
    <w:rsid w:val="00E86267"/>
    <w:rsid w:val="00E86480"/>
    <w:rsid w:val="00E86566"/>
    <w:rsid w:val="00E866ED"/>
    <w:rsid w:val="00E86786"/>
    <w:rsid w:val="00E867CC"/>
    <w:rsid w:val="00E8680C"/>
    <w:rsid w:val="00E86D40"/>
    <w:rsid w:val="00E86EDE"/>
    <w:rsid w:val="00E86F06"/>
    <w:rsid w:val="00E870BD"/>
    <w:rsid w:val="00E87137"/>
    <w:rsid w:val="00E87195"/>
    <w:rsid w:val="00E872CA"/>
    <w:rsid w:val="00E872CD"/>
    <w:rsid w:val="00E872DB"/>
    <w:rsid w:val="00E8752F"/>
    <w:rsid w:val="00E87633"/>
    <w:rsid w:val="00E8783D"/>
    <w:rsid w:val="00E87856"/>
    <w:rsid w:val="00E8796E"/>
    <w:rsid w:val="00E87A71"/>
    <w:rsid w:val="00E87BE7"/>
    <w:rsid w:val="00E87C8D"/>
    <w:rsid w:val="00E9007E"/>
    <w:rsid w:val="00E900E1"/>
    <w:rsid w:val="00E903B1"/>
    <w:rsid w:val="00E905EA"/>
    <w:rsid w:val="00E906C0"/>
    <w:rsid w:val="00E9123A"/>
    <w:rsid w:val="00E9142C"/>
    <w:rsid w:val="00E91509"/>
    <w:rsid w:val="00E917F0"/>
    <w:rsid w:val="00E91869"/>
    <w:rsid w:val="00E91A60"/>
    <w:rsid w:val="00E91B1E"/>
    <w:rsid w:val="00E91C93"/>
    <w:rsid w:val="00E92184"/>
    <w:rsid w:val="00E927B6"/>
    <w:rsid w:val="00E92958"/>
    <w:rsid w:val="00E92C8F"/>
    <w:rsid w:val="00E93158"/>
    <w:rsid w:val="00E932B4"/>
    <w:rsid w:val="00E932B7"/>
    <w:rsid w:val="00E935FD"/>
    <w:rsid w:val="00E93619"/>
    <w:rsid w:val="00E939C6"/>
    <w:rsid w:val="00E939FC"/>
    <w:rsid w:val="00E93C00"/>
    <w:rsid w:val="00E93C17"/>
    <w:rsid w:val="00E93C6A"/>
    <w:rsid w:val="00E9407D"/>
    <w:rsid w:val="00E940BC"/>
    <w:rsid w:val="00E940DC"/>
    <w:rsid w:val="00E94202"/>
    <w:rsid w:val="00E9444F"/>
    <w:rsid w:val="00E944E3"/>
    <w:rsid w:val="00E945F3"/>
    <w:rsid w:val="00E94747"/>
    <w:rsid w:val="00E94ABC"/>
    <w:rsid w:val="00E94CBE"/>
    <w:rsid w:val="00E95076"/>
    <w:rsid w:val="00E950A8"/>
    <w:rsid w:val="00E95154"/>
    <w:rsid w:val="00E95264"/>
    <w:rsid w:val="00E954A0"/>
    <w:rsid w:val="00E954B6"/>
    <w:rsid w:val="00E9567C"/>
    <w:rsid w:val="00E9575E"/>
    <w:rsid w:val="00E95D4A"/>
    <w:rsid w:val="00E95FA4"/>
    <w:rsid w:val="00E95FCF"/>
    <w:rsid w:val="00E95FEF"/>
    <w:rsid w:val="00E960D0"/>
    <w:rsid w:val="00E960F4"/>
    <w:rsid w:val="00E96225"/>
    <w:rsid w:val="00E96374"/>
    <w:rsid w:val="00E9638D"/>
    <w:rsid w:val="00E96660"/>
    <w:rsid w:val="00E969FA"/>
    <w:rsid w:val="00E96D20"/>
    <w:rsid w:val="00E96DAB"/>
    <w:rsid w:val="00E96E7B"/>
    <w:rsid w:val="00E96F75"/>
    <w:rsid w:val="00E971D6"/>
    <w:rsid w:val="00E975B8"/>
    <w:rsid w:val="00E97613"/>
    <w:rsid w:val="00E97784"/>
    <w:rsid w:val="00E97803"/>
    <w:rsid w:val="00E97831"/>
    <w:rsid w:val="00E97E74"/>
    <w:rsid w:val="00E97E83"/>
    <w:rsid w:val="00E97F58"/>
    <w:rsid w:val="00E97F5A"/>
    <w:rsid w:val="00EA028C"/>
    <w:rsid w:val="00EA0345"/>
    <w:rsid w:val="00EA05FB"/>
    <w:rsid w:val="00EA06B9"/>
    <w:rsid w:val="00EA0723"/>
    <w:rsid w:val="00EA074A"/>
    <w:rsid w:val="00EA0A8A"/>
    <w:rsid w:val="00EA0D61"/>
    <w:rsid w:val="00EA0EF7"/>
    <w:rsid w:val="00EA124A"/>
    <w:rsid w:val="00EA14C5"/>
    <w:rsid w:val="00EA15BD"/>
    <w:rsid w:val="00EA1624"/>
    <w:rsid w:val="00EA19BC"/>
    <w:rsid w:val="00EA1A9D"/>
    <w:rsid w:val="00EA1CD9"/>
    <w:rsid w:val="00EA1DCC"/>
    <w:rsid w:val="00EA1E58"/>
    <w:rsid w:val="00EA1E61"/>
    <w:rsid w:val="00EA1FBC"/>
    <w:rsid w:val="00EA20A5"/>
    <w:rsid w:val="00EA238C"/>
    <w:rsid w:val="00EA238E"/>
    <w:rsid w:val="00EA2622"/>
    <w:rsid w:val="00EA26EC"/>
    <w:rsid w:val="00EA2A1D"/>
    <w:rsid w:val="00EA2B19"/>
    <w:rsid w:val="00EA3214"/>
    <w:rsid w:val="00EA3229"/>
    <w:rsid w:val="00EA326C"/>
    <w:rsid w:val="00EA33F9"/>
    <w:rsid w:val="00EA37D5"/>
    <w:rsid w:val="00EA3CF8"/>
    <w:rsid w:val="00EA3EB8"/>
    <w:rsid w:val="00EA4076"/>
    <w:rsid w:val="00EA40BB"/>
    <w:rsid w:val="00EA411A"/>
    <w:rsid w:val="00EA4124"/>
    <w:rsid w:val="00EA41E7"/>
    <w:rsid w:val="00EA430B"/>
    <w:rsid w:val="00EA4736"/>
    <w:rsid w:val="00EA4778"/>
    <w:rsid w:val="00EA4C81"/>
    <w:rsid w:val="00EA4CB7"/>
    <w:rsid w:val="00EA4F96"/>
    <w:rsid w:val="00EA50A8"/>
    <w:rsid w:val="00EA530E"/>
    <w:rsid w:val="00EA5332"/>
    <w:rsid w:val="00EA5A34"/>
    <w:rsid w:val="00EA5B91"/>
    <w:rsid w:val="00EA5CAA"/>
    <w:rsid w:val="00EA5E3F"/>
    <w:rsid w:val="00EA6002"/>
    <w:rsid w:val="00EA6552"/>
    <w:rsid w:val="00EA669E"/>
    <w:rsid w:val="00EA6918"/>
    <w:rsid w:val="00EA69D2"/>
    <w:rsid w:val="00EA6AE0"/>
    <w:rsid w:val="00EA6B84"/>
    <w:rsid w:val="00EA6CAB"/>
    <w:rsid w:val="00EA6D8E"/>
    <w:rsid w:val="00EA7076"/>
    <w:rsid w:val="00EA7189"/>
    <w:rsid w:val="00EA71FB"/>
    <w:rsid w:val="00EA7339"/>
    <w:rsid w:val="00EA7372"/>
    <w:rsid w:val="00EA747E"/>
    <w:rsid w:val="00EA74CC"/>
    <w:rsid w:val="00EA758C"/>
    <w:rsid w:val="00EA7699"/>
    <w:rsid w:val="00EA7979"/>
    <w:rsid w:val="00EA7A81"/>
    <w:rsid w:val="00EB007E"/>
    <w:rsid w:val="00EB0220"/>
    <w:rsid w:val="00EB044E"/>
    <w:rsid w:val="00EB05CC"/>
    <w:rsid w:val="00EB0842"/>
    <w:rsid w:val="00EB08A4"/>
    <w:rsid w:val="00EB0A02"/>
    <w:rsid w:val="00EB0AC2"/>
    <w:rsid w:val="00EB0C29"/>
    <w:rsid w:val="00EB1203"/>
    <w:rsid w:val="00EB138F"/>
    <w:rsid w:val="00EB18FD"/>
    <w:rsid w:val="00EB19F8"/>
    <w:rsid w:val="00EB1A95"/>
    <w:rsid w:val="00EB1FD6"/>
    <w:rsid w:val="00EB208F"/>
    <w:rsid w:val="00EB214D"/>
    <w:rsid w:val="00EB23F3"/>
    <w:rsid w:val="00EB248A"/>
    <w:rsid w:val="00EB27CF"/>
    <w:rsid w:val="00EB27E5"/>
    <w:rsid w:val="00EB2B39"/>
    <w:rsid w:val="00EB2D5A"/>
    <w:rsid w:val="00EB3088"/>
    <w:rsid w:val="00EB329F"/>
    <w:rsid w:val="00EB32B6"/>
    <w:rsid w:val="00EB33F5"/>
    <w:rsid w:val="00EB3446"/>
    <w:rsid w:val="00EB36CE"/>
    <w:rsid w:val="00EB3BE2"/>
    <w:rsid w:val="00EB3E0A"/>
    <w:rsid w:val="00EB412B"/>
    <w:rsid w:val="00EB4585"/>
    <w:rsid w:val="00EB45E2"/>
    <w:rsid w:val="00EB497F"/>
    <w:rsid w:val="00EB4ED4"/>
    <w:rsid w:val="00EB5181"/>
    <w:rsid w:val="00EB51BE"/>
    <w:rsid w:val="00EB5264"/>
    <w:rsid w:val="00EB52CD"/>
    <w:rsid w:val="00EB554E"/>
    <w:rsid w:val="00EB599A"/>
    <w:rsid w:val="00EB5A34"/>
    <w:rsid w:val="00EB5A87"/>
    <w:rsid w:val="00EB5B67"/>
    <w:rsid w:val="00EB5CB5"/>
    <w:rsid w:val="00EB5CF3"/>
    <w:rsid w:val="00EB5E5D"/>
    <w:rsid w:val="00EB6213"/>
    <w:rsid w:val="00EB6235"/>
    <w:rsid w:val="00EB65B6"/>
    <w:rsid w:val="00EB6636"/>
    <w:rsid w:val="00EB6B71"/>
    <w:rsid w:val="00EB6C77"/>
    <w:rsid w:val="00EB7184"/>
    <w:rsid w:val="00EB722E"/>
    <w:rsid w:val="00EB788E"/>
    <w:rsid w:val="00EB7930"/>
    <w:rsid w:val="00EB7A03"/>
    <w:rsid w:val="00EB7A8E"/>
    <w:rsid w:val="00EB7D3E"/>
    <w:rsid w:val="00EB7E7E"/>
    <w:rsid w:val="00EC0568"/>
    <w:rsid w:val="00EC06FF"/>
    <w:rsid w:val="00EC096A"/>
    <w:rsid w:val="00EC0A0F"/>
    <w:rsid w:val="00EC0AE6"/>
    <w:rsid w:val="00EC0B3A"/>
    <w:rsid w:val="00EC0D1E"/>
    <w:rsid w:val="00EC0DFB"/>
    <w:rsid w:val="00EC0EF8"/>
    <w:rsid w:val="00EC1152"/>
    <w:rsid w:val="00EC13DC"/>
    <w:rsid w:val="00EC15D1"/>
    <w:rsid w:val="00EC15E1"/>
    <w:rsid w:val="00EC16E4"/>
    <w:rsid w:val="00EC17D5"/>
    <w:rsid w:val="00EC19D4"/>
    <w:rsid w:val="00EC19F8"/>
    <w:rsid w:val="00EC1AE1"/>
    <w:rsid w:val="00EC1AFC"/>
    <w:rsid w:val="00EC1F05"/>
    <w:rsid w:val="00EC1FCF"/>
    <w:rsid w:val="00EC24A2"/>
    <w:rsid w:val="00EC2545"/>
    <w:rsid w:val="00EC2648"/>
    <w:rsid w:val="00EC2A5B"/>
    <w:rsid w:val="00EC2B90"/>
    <w:rsid w:val="00EC2C34"/>
    <w:rsid w:val="00EC2CAA"/>
    <w:rsid w:val="00EC2D34"/>
    <w:rsid w:val="00EC2EEE"/>
    <w:rsid w:val="00EC320A"/>
    <w:rsid w:val="00EC377B"/>
    <w:rsid w:val="00EC3950"/>
    <w:rsid w:val="00EC39BD"/>
    <w:rsid w:val="00EC3A1C"/>
    <w:rsid w:val="00EC3AFD"/>
    <w:rsid w:val="00EC3B08"/>
    <w:rsid w:val="00EC3F6E"/>
    <w:rsid w:val="00EC408D"/>
    <w:rsid w:val="00EC40AB"/>
    <w:rsid w:val="00EC43E9"/>
    <w:rsid w:val="00EC443A"/>
    <w:rsid w:val="00EC461A"/>
    <w:rsid w:val="00EC4628"/>
    <w:rsid w:val="00EC4859"/>
    <w:rsid w:val="00EC495D"/>
    <w:rsid w:val="00EC4AAF"/>
    <w:rsid w:val="00EC4C3F"/>
    <w:rsid w:val="00EC4E5E"/>
    <w:rsid w:val="00EC507B"/>
    <w:rsid w:val="00EC529A"/>
    <w:rsid w:val="00EC5327"/>
    <w:rsid w:val="00EC5330"/>
    <w:rsid w:val="00EC5492"/>
    <w:rsid w:val="00EC55FD"/>
    <w:rsid w:val="00EC5908"/>
    <w:rsid w:val="00EC5921"/>
    <w:rsid w:val="00EC5AA4"/>
    <w:rsid w:val="00EC5CA4"/>
    <w:rsid w:val="00EC5D73"/>
    <w:rsid w:val="00EC5F08"/>
    <w:rsid w:val="00EC5FA6"/>
    <w:rsid w:val="00EC615E"/>
    <w:rsid w:val="00EC6294"/>
    <w:rsid w:val="00EC6589"/>
    <w:rsid w:val="00EC6711"/>
    <w:rsid w:val="00EC6839"/>
    <w:rsid w:val="00EC68E6"/>
    <w:rsid w:val="00EC68F3"/>
    <w:rsid w:val="00EC6907"/>
    <w:rsid w:val="00EC704B"/>
    <w:rsid w:val="00EC7227"/>
    <w:rsid w:val="00EC7A6A"/>
    <w:rsid w:val="00EC7B6F"/>
    <w:rsid w:val="00EC7CAC"/>
    <w:rsid w:val="00EC7D16"/>
    <w:rsid w:val="00EC7D51"/>
    <w:rsid w:val="00EC7EC6"/>
    <w:rsid w:val="00ED004E"/>
    <w:rsid w:val="00ED00DC"/>
    <w:rsid w:val="00ED0311"/>
    <w:rsid w:val="00ED0933"/>
    <w:rsid w:val="00ED0AE0"/>
    <w:rsid w:val="00ED0B3A"/>
    <w:rsid w:val="00ED0D9E"/>
    <w:rsid w:val="00ED0ED6"/>
    <w:rsid w:val="00ED0FA1"/>
    <w:rsid w:val="00ED10F0"/>
    <w:rsid w:val="00ED1226"/>
    <w:rsid w:val="00ED123E"/>
    <w:rsid w:val="00ED1488"/>
    <w:rsid w:val="00ED150D"/>
    <w:rsid w:val="00ED15DD"/>
    <w:rsid w:val="00ED1ACC"/>
    <w:rsid w:val="00ED1B5D"/>
    <w:rsid w:val="00ED1DE7"/>
    <w:rsid w:val="00ED20B9"/>
    <w:rsid w:val="00ED22F8"/>
    <w:rsid w:val="00ED236A"/>
    <w:rsid w:val="00ED25EE"/>
    <w:rsid w:val="00ED26E2"/>
    <w:rsid w:val="00ED2A9A"/>
    <w:rsid w:val="00ED2B2F"/>
    <w:rsid w:val="00ED2B92"/>
    <w:rsid w:val="00ED2CCF"/>
    <w:rsid w:val="00ED2CD0"/>
    <w:rsid w:val="00ED2DC0"/>
    <w:rsid w:val="00ED2FAE"/>
    <w:rsid w:val="00ED2FEF"/>
    <w:rsid w:val="00ED31AC"/>
    <w:rsid w:val="00ED323E"/>
    <w:rsid w:val="00ED33CF"/>
    <w:rsid w:val="00ED34A6"/>
    <w:rsid w:val="00ED355A"/>
    <w:rsid w:val="00ED3571"/>
    <w:rsid w:val="00ED388A"/>
    <w:rsid w:val="00ED3CFC"/>
    <w:rsid w:val="00ED3EEF"/>
    <w:rsid w:val="00ED4022"/>
    <w:rsid w:val="00ED4026"/>
    <w:rsid w:val="00ED4151"/>
    <w:rsid w:val="00ED418B"/>
    <w:rsid w:val="00ED41EE"/>
    <w:rsid w:val="00ED430C"/>
    <w:rsid w:val="00ED437A"/>
    <w:rsid w:val="00ED438E"/>
    <w:rsid w:val="00ED4A56"/>
    <w:rsid w:val="00ED4BED"/>
    <w:rsid w:val="00ED4CDF"/>
    <w:rsid w:val="00ED4D4A"/>
    <w:rsid w:val="00ED4E8D"/>
    <w:rsid w:val="00ED4E9E"/>
    <w:rsid w:val="00ED509F"/>
    <w:rsid w:val="00ED54F3"/>
    <w:rsid w:val="00ED5510"/>
    <w:rsid w:val="00ED5528"/>
    <w:rsid w:val="00ED562C"/>
    <w:rsid w:val="00ED562F"/>
    <w:rsid w:val="00ED5700"/>
    <w:rsid w:val="00ED58BA"/>
    <w:rsid w:val="00ED5A15"/>
    <w:rsid w:val="00ED5B9D"/>
    <w:rsid w:val="00ED5D52"/>
    <w:rsid w:val="00ED5E1A"/>
    <w:rsid w:val="00ED5E49"/>
    <w:rsid w:val="00ED5F29"/>
    <w:rsid w:val="00ED5F5A"/>
    <w:rsid w:val="00ED5F9E"/>
    <w:rsid w:val="00ED5FE0"/>
    <w:rsid w:val="00ED603E"/>
    <w:rsid w:val="00ED60CC"/>
    <w:rsid w:val="00ED6198"/>
    <w:rsid w:val="00ED61EA"/>
    <w:rsid w:val="00ED641A"/>
    <w:rsid w:val="00ED65D9"/>
    <w:rsid w:val="00ED6996"/>
    <w:rsid w:val="00ED71AF"/>
    <w:rsid w:val="00ED73B8"/>
    <w:rsid w:val="00ED7424"/>
    <w:rsid w:val="00ED77BE"/>
    <w:rsid w:val="00ED7CE3"/>
    <w:rsid w:val="00ED7D07"/>
    <w:rsid w:val="00ED7EB1"/>
    <w:rsid w:val="00ED7F9B"/>
    <w:rsid w:val="00EE0289"/>
    <w:rsid w:val="00EE0365"/>
    <w:rsid w:val="00EE0504"/>
    <w:rsid w:val="00EE050D"/>
    <w:rsid w:val="00EE0CED"/>
    <w:rsid w:val="00EE126D"/>
    <w:rsid w:val="00EE1333"/>
    <w:rsid w:val="00EE135F"/>
    <w:rsid w:val="00EE1A2B"/>
    <w:rsid w:val="00EE1A58"/>
    <w:rsid w:val="00EE1A9F"/>
    <w:rsid w:val="00EE1F69"/>
    <w:rsid w:val="00EE20D1"/>
    <w:rsid w:val="00EE2285"/>
    <w:rsid w:val="00EE2326"/>
    <w:rsid w:val="00EE23C0"/>
    <w:rsid w:val="00EE241A"/>
    <w:rsid w:val="00EE244B"/>
    <w:rsid w:val="00EE2500"/>
    <w:rsid w:val="00EE260D"/>
    <w:rsid w:val="00EE2673"/>
    <w:rsid w:val="00EE26E8"/>
    <w:rsid w:val="00EE2A7F"/>
    <w:rsid w:val="00EE2C88"/>
    <w:rsid w:val="00EE2DE5"/>
    <w:rsid w:val="00EE34C4"/>
    <w:rsid w:val="00EE3507"/>
    <w:rsid w:val="00EE368F"/>
    <w:rsid w:val="00EE3D04"/>
    <w:rsid w:val="00EE3E03"/>
    <w:rsid w:val="00EE441B"/>
    <w:rsid w:val="00EE4884"/>
    <w:rsid w:val="00EE4A3A"/>
    <w:rsid w:val="00EE4B0F"/>
    <w:rsid w:val="00EE4B42"/>
    <w:rsid w:val="00EE4CF3"/>
    <w:rsid w:val="00EE4ECD"/>
    <w:rsid w:val="00EE501E"/>
    <w:rsid w:val="00EE52CB"/>
    <w:rsid w:val="00EE5492"/>
    <w:rsid w:val="00EE55A2"/>
    <w:rsid w:val="00EE561D"/>
    <w:rsid w:val="00EE593D"/>
    <w:rsid w:val="00EE5A63"/>
    <w:rsid w:val="00EE5D94"/>
    <w:rsid w:val="00EE61AC"/>
    <w:rsid w:val="00EE6227"/>
    <w:rsid w:val="00EE639C"/>
    <w:rsid w:val="00EE662C"/>
    <w:rsid w:val="00EE69BA"/>
    <w:rsid w:val="00EE6A8E"/>
    <w:rsid w:val="00EE6B3E"/>
    <w:rsid w:val="00EE6B6E"/>
    <w:rsid w:val="00EE6BD9"/>
    <w:rsid w:val="00EE6DCD"/>
    <w:rsid w:val="00EE710A"/>
    <w:rsid w:val="00EE71C4"/>
    <w:rsid w:val="00EE72BC"/>
    <w:rsid w:val="00EE73EA"/>
    <w:rsid w:val="00EE7443"/>
    <w:rsid w:val="00EE744E"/>
    <w:rsid w:val="00EE76B9"/>
    <w:rsid w:val="00EE77D9"/>
    <w:rsid w:val="00EE78A7"/>
    <w:rsid w:val="00EE7B3F"/>
    <w:rsid w:val="00EE7F97"/>
    <w:rsid w:val="00EF0118"/>
    <w:rsid w:val="00EF0271"/>
    <w:rsid w:val="00EF04DE"/>
    <w:rsid w:val="00EF0613"/>
    <w:rsid w:val="00EF0633"/>
    <w:rsid w:val="00EF0705"/>
    <w:rsid w:val="00EF08E9"/>
    <w:rsid w:val="00EF0BBF"/>
    <w:rsid w:val="00EF0DA8"/>
    <w:rsid w:val="00EF0FA3"/>
    <w:rsid w:val="00EF10CD"/>
    <w:rsid w:val="00EF133A"/>
    <w:rsid w:val="00EF192B"/>
    <w:rsid w:val="00EF1AE3"/>
    <w:rsid w:val="00EF1B76"/>
    <w:rsid w:val="00EF1CBA"/>
    <w:rsid w:val="00EF1D96"/>
    <w:rsid w:val="00EF1DCB"/>
    <w:rsid w:val="00EF1EE7"/>
    <w:rsid w:val="00EF2541"/>
    <w:rsid w:val="00EF2546"/>
    <w:rsid w:val="00EF2588"/>
    <w:rsid w:val="00EF259A"/>
    <w:rsid w:val="00EF25D9"/>
    <w:rsid w:val="00EF2689"/>
    <w:rsid w:val="00EF29CD"/>
    <w:rsid w:val="00EF2AE2"/>
    <w:rsid w:val="00EF2B46"/>
    <w:rsid w:val="00EF2D2E"/>
    <w:rsid w:val="00EF30BB"/>
    <w:rsid w:val="00EF3117"/>
    <w:rsid w:val="00EF3385"/>
    <w:rsid w:val="00EF3464"/>
    <w:rsid w:val="00EF34C2"/>
    <w:rsid w:val="00EF356F"/>
    <w:rsid w:val="00EF35AB"/>
    <w:rsid w:val="00EF35D2"/>
    <w:rsid w:val="00EF375B"/>
    <w:rsid w:val="00EF377A"/>
    <w:rsid w:val="00EF3B74"/>
    <w:rsid w:val="00EF3BE5"/>
    <w:rsid w:val="00EF3C6A"/>
    <w:rsid w:val="00EF3D09"/>
    <w:rsid w:val="00EF3E72"/>
    <w:rsid w:val="00EF3F52"/>
    <w:rsid w:val="00EF42EC"/>
    <w:rsid w:val="00EF456E"/>
    <w:rsid w:val="00EF45B7"/>
    <w:rsid w:val="00EF4997"/>
    <w:rsid w:val="00EF4AA8"/>
    <w:rsid w:val="00EF4D28"/>
    <w:rsid w:val="00EF4F1A"/>
    <w:rsid w:val="00EF5112"/>
    <w:rsid w:val="00EF53C1"/>
    <w:rsid w:val="00EF5807"/>
    <w:rsid w:val="00EF58E2"/>
    <w:rsid w:val="00EF5A7A"/>
    <w:rsid w:val="00EF5B1A"/>
    <w:rsid w:val="00EF5CCA"/>
    <w:rsid w:val="00EF5DD4"/>
    <w:rsid w:val="00EF5E15"/>
    <w:rsid w:val="00EF64CC"/>
    <w:rsid w:val="00EF6554"/>
    <w:rsid w:val="00EF6600"/>
    <w:rsid w:val="00EF68C9"/>
    <w:rsid w:val="00EF6AF3"/>
    <w:rsid w:val="00EF7060"/>
    <w:rsid w:val="00EF7072"/>
    <w:rsid w:val="00EF719B"/>
    <w:rsid w:val="00EF71A5"/>
    <w:rsid w:val="00EF71BF"/>
    <w:rsid w:val="00EF72F4"/>
    <w:rsid w:val="00EF7379"/>
    <w:rsid w:val="00EF759F"/>
    <w:rsid w:val="00EF7619"/>
    <w:rsid w:val="00EF77EE"/>
    <w:rsid w:val="00EF7A63"/>
    <w:rsid w:val="00EF7D83"/>
    <w:rsid w:val="00EF7EC9"/>
    <w:rsid w:val="00EF7F46"/>
    <w:rsid w:val="00EF7F7F"/>
    <w:rsid w:val="00F0018A"/>
    <w:rsid w:val="00F00600"/>
    <w:rsid w:val="00F006DB"/>
    <w:rsid w:val="00F009A8"/>
    <w:rsid w:val="00F00A57"/>
    <w:rsid w:val="00F00B64"/>
    <w:rsid w:val="00F00C32"/>
    <w:rsid w:val="00F00D04"/>
    <w:rsid w:val="00F01063"/>
    <w:rsid w:val="00F01172"/>
    <w:rsid w:val="00F01177"/>
    <w:rsid w:val="00F0132A"/>
    <w:rsid w:val="00F01454"/>
    <w:rsid w:val="00F01484"/>
    <w:rsid w:val="00F01950"/>
    <w:rsid w:val="00F01BDB"/>
    <w:rsid w:val="00F02299"/>
    <w:rsid w:val="00F02639"/>
    <w:rsid w:val="00F027FE"/>
    <w:rsid w:val="00F02850"/>
    <w:rsid w:val="00F02B2E"/>
    <w:rsid w:val="00F02C60"/>
    <w:rsid w:val="00F02EC7"/>
    <w:rsid w:val="00F02FF1"/>
    <w:rsid w:val="00F030D4"/>
    <w:rsid w:val="00F030F8"/>
    <w:rsid w:val="00F0372C"/>
    <w:rsid w:val="00F03D49"/>
    <w:rsid w:val="00F03D55"/>
    <w:rsid w:val="00F0412A"/>
    <w:rsid w:val="00F041C1"/>
    <w:rsid w:val="00F041E2"/>
    <w:rsid w:val="00F04392"/>
    <w:rsid w:val="00F04439"/>
    <w:rsid w:val="00F04851"/>
    <w:rsid w:val="00F04873"/>
    <w:rsid w:val="00F04AF0"/>
    <w:rsid w:val="00F04B78"/>
    <w:rsid w:val="00F04D5D"/>
    <w:rsid w:val="00F04D60"/>
    <w:rsid w:val="00F04DAD"/>
    <w:rsid w:val="00F04E57"/>
    <w:rsid w:val="00F04EA2"/>
    <w:rsid w:val="00F04EAE"/>
    <w:rsid w:val="00F050E8"/>
    <w:rsid w:val="00F0549B"/>
    <w:rsid w:val="00F05580"/>
    <w:rsid w:val="00F05723"/>
    <w:rsid w:val="00F05C76"/>
    <w:rsid w:val="00F05D7B"/>
    <w:rsid w:val="00F05E7E"/>
    <w:rsid w:val="00F06010"/>
    <w:rsid w:val="00F061E5"/>
    <w:rsid w:val="00F064F2"/>
    <w:rsid w:val="00F066D5"/>
    <w:rsid w:val="00F068BC"/>
    <w:rsid w:val="00F06BA6"/>
    <w:rsid w:val="00F06CB6"/>
    <w:rsid w:val="00F06D69"/>
    <w:rsid w:val="00F06E35"/>
    <w:rsid w:val="00F06ED9"/>
    <w:rsid w:val="00F07279"/>
    <w:rsid w:val="00F0733D"/>
    <w:rsid w:val="00F0765E"/>
    <w:rsid w:val="00F078AA"/>
    <w:rsid w:val="00F07C5D"/>
    <w:rsid w:val="00F07F9E"/>
    <w:rsid w:val="00F07FCF"/>
    <w:rsid w:val="00F100B3"/>
    <w:rsid w:val="00F1036B"/>
    <w:rsid w:val="00F1037C"/>
    <w:rsid w:val="00F103C1"/>
    <w:rsid w:val="00F1049F"/>
    <w:rsid w:val="00F1080F"/>
    <w:rsid w:val="00F10D50"/>
    <w:rsid w:val="00F10D60"/>
    <w:rsid w:val="00F11128"/>
    <w:rsid w:val="00F111D4"/>
    <w:rsid w:val="00F11404"/>
    <w:rsid w:val="00F115BE"/>
    <w:rsid w:val="00F118C1"/>
    <w:rsid w:val="00F11AB9"/>
    <w:rsid w:val="00F11B03"/>
    <w:rsid w:val="00F1239A"/>
    <w:rsid w:val="00F1258B"/>
    <w:rsid w:val="00F12621"/>
    <w:rsid w:val="00F128AA"/>
    <w:rsid w:val="00F12A01"/>
    <w:rsid w:val="00F12B23"/>
    <w:rsid w:val="00F12D3F"/>
    <w:rsid w:val="00F13237"/>
    <w:rsid w:val="00F132EE"/>
    <w:rsid w:val="00F132FB"/>
    <w:rsid w:val="00F137F7"/>
    <w:rsid w:val="00F13CB9"/>
    <w:rsid w:val="00F13D8A"/>
    <w:rsid w:val="00F13DAA"/>
    <w:rsid w:val="00F140B5"/>
    <w:rsid w:val="00F14216"/>
    <w:rsid w:val="00F143A8"/>
    <w:rsid w:val="00F14550"/>
    <w:rsid w:val="00F14743"/>
    <w:rsid w:val="00F14923"/>
    <w:rsid w:val="00F14C2D"/>
    <w:rsid w:val="00F14D0C"/>
    <w:rsid w:val="00F151DE"/>
    <w:rsid w:val="00F1526B"/>
    <w:rsid w:val="00F15718"/>
    <w:rsid w:val="00F15894"/>
    <w:rsid w:val="00F15D37"/>
    <w:rsid w:val="00F15E59"/>
    <w:rsid w:val="00F15FAA"/>
    <w:rsid w:val="00F162DD"/>
    <w:rsid w:val="00F168D4"/>
    <w:rsid w:val="00F16932"/>
    <w:rsid w:val="00F16ADA"/>
    <w:rsid w:val="00F16DB0"/>
    <w:rsid w:val="00F16E8B"/>
    <w:rsid w:val="00F17009"/>
    <w:rsid w:val="00F1707B"/>
    <w:rsid w:val="00F17898"/>
    <w:rsid w:val="00F17991"/>
    <w:rsid w:val="00F17AA7"/>
    <w:rsid w:val="00F17B25"/>
    <w:rsid w:val="00F17B48"/>
    <w:rsid w:val="00F17E52"/>
    <w:rsid w:val="00F17F55"/>
    <w:rsid w:val="00F201E4"/>
    <w:rsid w:val="00F20279"/>
    <w:rsid w:val="00F2045C"/>
    <w:rsid w:val="00F205F4"/>
    <w:rsid w:val="00F207E2"/>
    <w:rsid w:val="00F208FA"/>
    <w:rsid w:val="00F20CA4"/>
    <w:rsid w:val="00F20FFB"/>
    <w:rsid w:val="00F21109"/>
    <w:rsid w:val="00F211B0"/>
    <w:rsid w:val="00F21354"/>
    <w:rsid w:val="00F21788"/>
    <w:rsid w:val="00F2199B"/>
    <w:rsid w:val="00F21CD8"/>
    <w:rsid w:val="00F22072"/>
    <w:rsid w:val="00F222A7"/>
    <w:rsid w:val="00F223E1"/>
    <w:rsid w:val="00F226BB"/>
    <w:rsid w:val="00F22854"/>
    <w:rsid w:val="00F22A87"/>
    <w:rsid w:val="00F22A93"/>
    <w:rsid w:val="00F22B28"/>
    <w:rsid w:val="00F22DB6"/>
    <w:rsid w:val="00F22EDE"/>
    <w:rsid w:val="00F2313E"/>
    <w:rsid w:val="00F2327C"/>
    <w:rsid w:val="00F233B3"/>
    <w:rsid w:val="00F233B6"/>
    <w:rsid w:val="00F23415"/>
    <w:rsid w:val="00F2395B"/>
    <w:rsid w:val="00F23B1D"/>
    <w:rsid w:val="00F23F6C"/>
    <w:rsid w:val="00F240D7"/>
    <w:rsid w:val="00F2426B"/>
    <w:rsid w:val="00F24395"/>
    <w:rsid w:val="00F243B9"/>
    <w:rsid w:val="00F243BE"/>
    <w:rsid w:val="00F24710"/>
    <w:rsid w:val="00F248F9"/>
    <w:rsid w:val="00F24943"/>
    <w:rsid w:val="00F24991"/>
    <w:rsid w:val="00F24B68"/>
    <w:rsid w:val="00F24C69"/>
    <w:rsid w:val="00F24C6B"/>
    <w:rsid w:val="00F24D86"/>
    <w:rsid w:val="00F24EBB"/>
    <w:rsid w:val="00F25552"/>
    <w:rsid w:val="00F255BC"/>
    <w:rsid w:val="00F258FF"/>
    <w:rsid w:val="00F25BBA"/>
    <w:rsid w:val="00F25E37"/>
    <w:rsid w:val="00F25FB5"/>
    <w:rsid w:val="00F2610D"/>
    <w:rsid w:val="00F2614B"/>
    <w:rsid w:val="00F261D3"/>
    <w:rsid w:val="00F26202"/>
    <w:rsid w:val="00F26232"/>
    <w:rsid w:val="00F26562"/>
    <w:rsid w:val="00F265AC"/>
    <w:rsid w:val="00F26821"/>
    <w:rsid w:val="00F26852"/>
    <w:rsid w:val="00F269E6"/>
    <w:rsid w:val="00F26BDE"/>
    <w:rsid w:val="00F26DA5"/>
    <w:rsid w:val="00F26E54"/>
    <w:rsid w:val="00F2700D"/>
    <w:rsid w:val="00F277A7"/>
    <w:rsid w:val="00F27B24"/>
    <w:rsid w:val="00F27BB2"/>
    <w:rsid w:val="00F27CBD"/>
    <w:rsid w:val="00F27CF1"/>
    <w:rsid w:val="00F27D80"/>
    <w:rsid w:val="00F27DB1"/>
    <w:rsid w:val="00F3032E"/>
    <w:rsid w:val="00F30391"/>
    <w:rsid w:val="00F304EA"/>
    <w:rsid w:val="00F307BC"/>
    <w:rsid w:val="00F30C59"/>
    <w:rsid w:val="00F30CE7"/>
    <w:rsid w:val="00F30D28"/>
    <w:rsid w:val="00F312DF"/>
    <w:rsid w:val="00F31303"/>
    <w:rsid w:val="00F31630"/>
    <w:rsid w:val="00F316C8"/>
    <w:rsid w:val="00F31A72"/>
    <w:rsid w:val="00F31A97"/>
    <w:rsid w:val="00F31EE4"/>
    <w:rsid w:val="00F31F6C"/>
    <w:rsid w:val="00F31FB8"/>
    <w:rsid w:val="00F3207F"/>
    <w:rsid w:val="00F3223D"/>
    <w:rsid w:val="00F323A0"/>
    <w:rsid w:val="00F324AD"/>
    <w:rsid w:val="00F324C4"/>
    <w:rsid w:val="00F32610"/>
    <w:rsid w:val="00F329E1"/>
    <w:rsid w:val="00F32BC8"/>
    <w:rsid w:val="00F32DF4"/>
    <w:rsid w:val="00F32EA2"/>
    <w:rsid w:val="00F32EE0"/>
    <w:rsid w:val="00F33282"/>
    <w:rsid w:val="00F334D2"/>
    <w:rsid w:val="00F336B4"/>
    <w:rsid w:val="00F33846"/>
    <w:rsid w:val="00F33849"/>
    <w:rsid w:val="00F33AB7"/>
    <w:rsid w:val="00F33E29"/>
    <w:rsid w:val="00F33E65"/>
    <w:rsid w:val="00F34002"/>
    <w:rsid w:val="00F3400E"/>
    <w:rsid w:val="00F340DC"/>
    <w:rsid w:val="00F340EF"/>
    <w:rsid w:val="00F34200"/>
    <w:rsid w:val="00F3451E"/>
    <w:rsid w:val="00F34804"/>
    <w:rsid w:val="00F348B9"/>
    <w:rsid w:val="00F348F6"/>
    <w:rsid w:val="00F34AB8"/>
    <w:rsid w:val="00F34BD4"/>
    <w:rsid w:val="00F34D3E"/>
    <w:rsid w:val="00F351E9"/>
    <w:rsid w:val="00F35280"/>
    <w:rsid w:val="00F3539C"/>
    <w:rsid w:val="00F35412"/>
    <w:rsid w:val="00F35581"/>
    <w:rsid w:val="00F3589A"/>
    <w:rsid w:val="00F35A8B"/>
    <w:rsid w:val="00F35B62"/>
    <w:rsid w:val="00F35CFC"/>
    <w:rsid w:val="00F35D88"/>
    <w:rsid w:val="00F35E92"/>
    <w:rsid w:val="00F35F90"/>
    <w:rsid w:val="00F361B6"/>
    <w:rsid w:val="00F3639C"/>
    <w:rsid w:val="00F363CE"/>
    <w:rsid w:val="00F36426"/>
    <w:rsid w:val="00F3642F"/>
    <w:rsid w:val="00F364A1"/>
    <w:rsid w:val="00F365C1"/>
    <w:rsid w:val="00F36658"/>
    <w:rsid w:val="00F367CB"/>
    <w:rsid w:val="00F367F3"/>
    <w:rsid w:val="00F36968"/>
    <w:rsid w:val="00F369B8"/>
    <w:rsid w:val="00F36C0C"/>
    <w:rsid w:val="00F36CE3"/>
    <w:rsid w:val="00F3710D"/>
    <w:rsid w:val="00F371E8"/>
    <w:rsid w:val="00F3738B"/>
    <w:rsid w:val="00F37471"/>
    <w:rsid w:val="00F37674"/>
    <w:rsid w:val="00F37BF1"/>
    <w:rsid w:val="00F37C37"/>
    <w:rsid w:val="00F400A9"/>
    <w:rsid w:val="00F402F6"/>
    <w:rsid w:val="00F40457"/>
    <w:rsid w:val="00F4050E"/>
    <w:rsid w:val="00F4057E"/>
    <w:rsid w:val="00F4064F"/>
    <w:rsid w:val="00F40675"/>
    <w:rsid w:val="00F4071B"/>
    <w:rsid w:val="00F40874"/>
    <w:rsid w:val="00F40987"/>
    <w:rsid w:val="00F409CF"/>
    <w:rsid w:val="00F40ADF"/>
    <w:rsid w:val="00F40DE2"/>
    <w:rsid w:val="00F40E53"/>
    <w:rsid w:val="00F4155C"/>
    <w:rsid w:val="00F4161A"/>
    <w:rsid w:val="00F41697"/>
    <w:rsid w:val="00F41746"/>
    <w:rsid w:val="00F41AB2"/>
    <w:rsid w:val="00F41D0F"/>
    <w:rsid w:val="00F41FE1"/>
    <w:rsid w:val="00F421CA"/>
    <w:rsid w:val="00F42260"/>
    <w:rsid w:val="00F42263"/>
    <w:rsid w:val="00F423A3"/>
    <w:rsid w:val="00F425A5"/>
    <w:rsid w:val="00F4291C"/>
    <w:rsid w:val="00F42939"/>
    <w:rsid w:val="00F4294F"/>
    <w:rsid w:val="00F429FF"/>
    <w:rsid w:val="00F42CEF"/>
    <w:rsid w:val="00F42D8A"/>
    <w:rsid w:val="00F4309E"/>
    <w:rsid w:val="00F430C8"/>
    <w:rsid w:val="00F430CB"/>
    <w:rsid w:val="00F432B4"/>
    <w:rsid w:val="00F43350"/>
    <w:rsid w:val="00F43612"/>
    <w:rsid w:val="00F4362B"/>
    <w:rsid w:val="00F43853"/>
    <w:rsid w:val="00F43DD8"/>
    <w:rsid w:val="00F43E67"/>
    <w:rsid w:val="00F4407E"/>
    <w:rsid w:val="00F441C3"/>
    <w:rsid w:val="00F44352"/>
    <w:rsid w:val="00F44614"/>
    <w:rsid w:val="00F4490C"/>
    <w:rsid w:val="00F44923"/>
    <w:rsid w:val="00F44BE4"/>
    <w:rsid w:val="00F44D61"/>
    <w:rsid w:val="00F44FBE"/>
    <w:rsid w:val="00F45133"/>
    <w:rsid w:val="00F4515E"/>
    <w:rsid w:val="00F452DD"/>
    <w:rsid w:val="00F45347"/>
    <w:rsid w:val="00F4549E"/>
    <w:rsid w:val="00F45682"/>
    <w:rsid w:val="00F456CB"/>
    <w:rsid w:val="00F456F4"/>
    <w:rsid w:val="00F4570E"/>
    <w:rsid w:val="00F45714"/>
    <w:rsid w:val="00F4586A"/>
    <w:rsid w:val="00F45A03"/>
    <w:rsid w:val="00F45A56"/>
    <w:rsid w:val="00F45AEA"/>
    <w:rsid w:val="00F45D21"/>
    <w:rsid w:val="00F45E21"/>
    <w:rsid w:val="00F45E45"/>
    <w:rsid w:val="00F45E70"/>
    <w:rsid w:val="00F45E95"/>
    <w:rsid w:val="00F45E9F"/>
    <w:rsid w:val="00F460BC"/>
    <w:rsid w:val="00F460CB"/>
    <w:rsid w:val="00F46330"/>
    <w:rsid w:val="00F467DD"/>
    <w:rsid w:val="00F46A2F"/>
    <w:rsid w:val="00F46B67"/>
    <w:rsid w:val="00F46C44"/>
    <w:rsid w:val="00F46DFF"/>
    <w:rsid w:val="00F46E23"/>
    <w:rsid w:val="00F46E94"/>
    <w:rsid w:val="00F46E9A"/>
    <w:rsid w:val="00F473BD"/>
    <w:rsid w:val="00F4763B"/>
    <w:rsid w:val="00F47641"/>
    <w:rsid w:val="00F476B0"/>
    <w:rsid w:val="00F47872"/>
    <w:rsid w:val="00F47916"/>
    <w:rsid w:val="00F4792E"/>
    <w:rsid w:val="00F47A0C"/>
    <w:rsid w:val="00F47A18"/>
    <w:rsid w:val="00F47A1F"/>
    <w:rsid w:val="00F47B71"/>
    <w:rsid w:val="00F47B8A"/>
    <w:rsid w:val="00F47C3B"/>
    <w:rsid w:val="00F47D98"/>
    <w:rsid w:val="00F50341"/>
    <w:rsid w:val="00F503B8"/>
    <w:rsid w:val="00F50713"/>
    <w:rsid w:val="00F50842"/>
    <w:rsid w:val="00F50AB4"/>
    <w:rsid w:val="00F50C9B"/>
    <w:rsid w:val="00F50D8E"/>
    <w:rsid w:val="00F50FCE"/>
    <w:rsid w:val="00F51410"/>
    <w:rsid w:val="00F51744"/>
    <w:rsid w:val="00F51790"/>
    <w:rsid w:val="00F51793"/>
    <w:rsid w:val="00F51A35"/>
    <w:rsid w:val="00F51A58"/>
    <w:rsid w:val="00F51AA7"/>
    <w:rsid w:val="00F51B65"/>
    <w:rsid w:val="00F51C00"/>
    <w:rsid w:val="00F51CD6"/>
    <w:rsid w:val="00F51D76"/>
    <w:rsid w:val="00F51E1A"/>
    <w:rsid w:val="00F51F3B"/>
    <w:rsid w:val="00F52043"/>
    <w:rsid w:val="00F5213D"/>
    <w:rsid w:val="00F523C4"/>
    <w:rsid w:val="00F52486"/>
    <w:rsid w:val="00F527F0"/>
    <w:rsid w:val="00F5298A"/>
    <w:rsid w:val="00F529A9"/>
    <w:rsid w:val="00F53004"/>
    <w:rsid w:val="00F5305F"/>
    <w:rsid w:val="00F531E1"/>
    <w:rsid w:val="00F53229"/>
    <w:rsid w:val="00F5334F"/>
    <w:rsid w:val="00F5349A"/>
    <w:rsid w:val="00F534CB"/>
    <w:rsid w:val="00F536D3"/>
    <w:rsid w:val="00F539DB"/>
    <w:rsid w:val="00F53A5B"/>
    <w:rsid w:val="00F53C5A"/>
    <w:rsid w:val="00F53F82"/>
    <w:rsid w:val="00F53FE7"/>
    <w:rsid w:val="00F5426F"/>
    <w:rsid w:val="00F5427C"/>
    <w:rsid w:val="00F5435B"/>
    <w:rsid w:val="00F543C0"/>
    <w:rsid w:val="00F544D4"/>
    <w:rsid w:val="00F547B8"/>
    <w:rsid w:val="00F549BF"/>
    <w:rsid w:val="00F54AE1"/>
    <w:rsid w:val="00F54B77"/>
    <w:rsid w:val="00F54C02"/>
    <w:rsid w:val="00F54D4E"/>
    <w:rsid w:val="00F54D69"/>
    <w:rsid w:val="00F54EEC"/>
    <w:rsid w:val="00F551D4"/>
    <w:rsid w:val="00F55452"/>
    <w:rsid w:val="00F555CA"/>
    <w:rsid w:val="00F55805"/>
    <w:rsid w:val="00F55DA7"/>
    <w:rsid w:val="00F55E86"/>
    <w:rsid w:val="00F5611A"/>
    <w:rsid w:val="00F5624E"/>
    <w:rsid w:val="00F562BE"/>
    <w:rsid w:val="00F56324"/>
    <w:rsid w:val="00F56471"/>
    <w:rsid w:val="00F56677"/>
    <w:rsid w:val="00F56997"/>
    <w:rsid w:val="00F56A41"/>
    <w:rsid w:val="00F56AEA"/>
    <w:rsid w:val="00F56D2B"/>
    <w:rsid w:val="00F56DA5"/>
    <w:rsid w:val="00F56DC5"/>
    <w:rsid w:val="00F57001"/>
    <w:rsid w:val="00F5700C"/>
    <w:rsid w:val="00F57092"/>
    <w:rsid w:val="00F570A5"/>
    <w:rsid w:val="00F5711E"/>
    <w:rsid w:val="00F57266"/>
    <w:rsid w:val="00F572A4"/>
    <w:rsid w:val="00F57317"/>
    <w:rsid w:val="00F5735A"/>
    <w:rsid w:val="00F576D0"/>
    <w:rsid w:val="00F576FA"/>
    <w:rsid w:val="00F57B2D"/>
    <w:rsid w:val="00F57C35"/>
    <w:rsid w:val="00F57D0F"/>
    <w:rsid w:val="00F60093"/>
    <w:rsid w:val="00F605C3"/>
    <w:rsid w:val="00F6061B"/>
    <w:rsid w:val="00F607A5"/>
    <w:rsid w:val="00F6091D"/>
    <w:rsid w:val="00F60D3E"/>
    <w:rsid w:val="00F60E37"/>
    <w:rsid w:val="00F60F2C"/>
    <w:rsid w:val="00F6129A"/>
    <w:rsid w:val="00F61601"/>
    <w:rsid w:val="00F61660"/>
    <w:rsid w:val="00F61722"/>
    <w:rsid w:val="00F61BE1"/>
    <w:rsid w:val="00F61D71"/>
    <w:rsid w:val="00F61E4E"/>
    <w:rsid w:val="00F61E51"/>
    <w:rsid w:val="00F61FB1"/>
    <w:rsid w:val="00F620B7"/>
    <w:rsid w:val="00F62244"/>
    <w:rsid w:val="00F622FC"/>
    <w:rsid w:val="00F624ED"/>
    <w:rsid w:val="00F62649"/>
    <w:rsid w:val="00F62691"/>
    <w:rsid w:val="00F6274F"/>
    <w:rsid w:val="00F62A81"/>
    <w:rsid w:val="00F62E24"/>
    <w:rsid w:val="00F630A7"/>
    <w:rsid w:val="00F63405"/>
    <w:rsid w:val="00F63463"/>
    <w:rsid w:val="00F6382E"/>
    <w:rsid w:val="00F638A7"/>
    <w:rsid w:val="00F6394B"/>
    <w:rsid w:val="00F63AE5"/>
    <w:rsid w:val="00F63B46"/>
    <w:rsid w:val="00F63E16"/>
    <w:rsid w:val="00F63E64"/>
    <w:rsid w:val="00F63EFE"/>
    <w:rsid w:val="00F64457"/>
    <w:rsid w:val="00F64612"/>
    <w:rsid w:val="00F646CA"/>
    <w:rsid w:val="00F6498C"/>
    <w:rsid w:val="00F64F26"/>
    <w:rsid w:val="00F64F57"/>
    <w:rsid w:val="00F65016"/>
    <w:rsid w:val="00F65075"/>
    <w:rsid w:val="00F650E2"/>
    <w:rsid w:val="00F6514A"/>
    <w:rsid w:val="00F6559D"/>
    <w:rsid w:val="00F656CA"/>
    <w:rsid w:val="00F65877"/>
    <w:rsid w:val="00F658A8"/>
    <w:rsid w:val="00F65B09"/>
    <w:rsid w:val="00F65B1B"/>
    <w:rsid w:val="00F65DB6"/>
    <w:rsid w:val="00F65DF3"/>
    <w:rsid w:val="00F65F3C"/>
    <w:rsid w:val="00F66104"/>
    <w:rsid w:val="00F66108"/>
    <w:rsid w:val="00F6612E"/>
    <w:rsid w:val="00F661D2"/>
    <w:rsid w:val="00F66411"/>
    <w:rsid w:val="00F664C8"/>
    <w:rsid w:val="00F666DF"/>
    <w:rsid w:val="00F667E7"/>
    <w:rsid w:val="00F66818"/>
    <w:rsid w:val="00F66C25"/>
    <w:rsid w:val="00F66CCE"/>
    <w:rsid w:val="00F66E4A"/>
    <w:rsid w:val="00F673B0"/>
    <w:rsid w:val="00F673E5"/>
    <w:rsid w:val="00F674E8"/>
    <w:rsid w:val="00F67A15"/>
    <w:rsid w:val="00F67E05"/>
    <w:rsid w:val="00F67E70"/>
    <w:rsid w:val="00F67E99"/>
    <w:rsid w:val="00F67F13"/>
    <w:rsid w:val="00F70282"/>
    <w:rsid w:val="00F702CC"/>
    <w:rsid w:val="00F703B2"/>
    <w:rsid w:val="00F703D1"/>
    <w:rsid w:val="00F705D6"/>
    <w:rsid w:val="00F706F3"/>
    <w:rsid w:val="00F708F9"/>
    <w:rsid w:val="00F70B44"/>
    <w:rsid w:val="00F70D65"/>
    <w:rsid w:val="00F70E41"/>
    <w:rsid w:val="00F7101E"/>
    <w:rsid w:val="00F713A2"/>
    <w:rsid w:val="00F714C3"/>
    <w:rsid w:val="00F7172C"/>
    <w:rsid w:val="00F7176D"/>
    <w:rsid w:val="00F71C12"/>
    <w:rsid w:val="00F71C17"/>
    <w:rsid w:val="00F71FE0"/>
    <w:rsid w:val="00F72205"/>
    <w:rsid w:val="00F72382"/>
    <w:rsid w:val="00F723F3"/>
    <w:rsid w:val="00F72515"/>
    <w:rsid w:val="00F72935"/>
    <w:rsid w:val="00F7295F"/>
    <w:rsid w:val="00F72B51"/>
    <w:rsid w:val="00F72C15"/>
    <w:rsid w:val="00F72C77"/>
    <w:rsid w:val="00F72D6F"/>
    <w:rsid w:val="00F73001"/>
    <w:rsid w:val="00F730D3"/>
    <w:rsid w:val="00F731A1"/>
    <w:rsid w:val="00F73404"/>
    <w:rsid w:val="00F7357F"/>
    <w:rsid w:val="00F73B9F"/>
    <w:rsid w:val="00F73C1E"/>
    <w:rsid w:val="00F73C9A"/>
    <w:rsid w:val="00F73D10"/>
    <w:rsid w:val="00F73F19"/>
    <w:rsid w:val="00F740E1"/>
    <w:rsid w:val="00F741A0"/>
    <w:rsid w:val="00F7430D"/>
    <w:rsid w:val="00F74460"/>
    <w:rsid w:val="00F746A2"/>
    <w:rsid w:val="00F7472A"/>
    <w:rsid w:val="00F74793"/>
    <w:rsid w:val="00F74ADB"/>
    <w:rsid w:val="00F74AF3"/>
    <w:rsid w:val="00F74B8E"/>
    <w:rsid w:val="00F74D4C"/>
    <w:rsid w:val="00F74D4E"/>
    <w:rsid w:val="00F74F56"/>
    <w:rsid w:val="00F74F59"/>
    <w:rsid w:val="00F75089"/>
    <w:rsid w:val="00F7534C"/>
    <w:rsid w:val="00F75451"/>
    <w:rsid w:val="00F755A2"/>
    <w:rsid w:val="00F75742"/>
    <w:rsid w:val="00F75F25"/>
    <w:rsid w:val="00F75FE9"/>
    <w:rsid w:val="00F761B4"/>
    <w:rsid w:val="00F762F7"/>
    <w:rsid w:val="00F7639D"/>
    <w:rsid w:val="00F763FD"/>
    <w:rsid w:val="00F76479"/>
    <w:rsid w:val="00F7670C"/>
    <w:rsid w:val="00F76871"/>
    <w:rsid w:val="00F76957"/>
    <w:rsid w:val="00F76D30"/>
    <w:rsid w:val="00F76EF5"/>
    <w:rsid w:val="00F76F9E"/>
    <w:rsid w:val="00F77194"/>
    <w:rsid w:val="00F77411"/>
    <w:rsid w:val="00F7775E"/>
    <w:rsid w:val="00F777B8"/>
    <w:rsid w:val="00F777DA"/>
    <w:rsid w:val="00F777FA"/>
    <w:rsid w:val="00F77DED"/>
    <w:rsid w:val="00F803BB"/>
    <w:rsid w:val="00F807FE"/>
    <w:rsid w:val="00F8081D"/>
    <w:rsid w:val="00F80D2D"/>
    <w:rsid w:val="00F80D3E"/>
    <w:rsid w:val="00F80D5C"/>
    <w:rsid w:val="00F80F21"/>
    <w:rsid w:val="00F81240"/>
    <w:rsid w:val="00F81282"/>
    <w:rsid w:val="00F81361"/>
    <w:rsid w:val="00F8136E"/>
    <w:rsid w:val="00F8163B"/>
    <w:rsid w:val="00F819B1"/>
    <w:rsid w:val="00F819C3"/>
    <w:rsid w:val="00F81AE8"/>
    <w:rsid w:val="00F81BE4"/>
    <w:rsid w:val="00F81D8B"/>
    <w:rsid w:val="00F81DC3"/>
    <w:rsid w:val="00F81DED"/>
    <w:rsid w:val="00F81F22"/>
    <w:rsid w:val="00F81FA4"/>
    <w:rsid w:val="00F81FC8"/>
    <w:rsid w:val="00F820AE"/>
    <w:rsid w:val="00F82447"/>
    <w:rsid w:val="00F825BE"/>
    <w:rsid w:val="00F8274D"/>
    <w:rsid w:val="00F8288C"/>
    <w:rsid w:val="00F82A2C"/>
    <w:rsid w:val="00F82C24"/>
    <w:rsid w:val="00F82E04"/>
    <w:rsid w:val="00F83099"/>
    <w:rsid w:val="00F831A5"/>
    <w:rsid w:val="00F83291"/>
    <w:rsid w:val="00F83AC2"/>
    <w:rsid w:val="00F83DAF"/>
    <w:rsid w:val="00F83F12"/>
    <w:rsid w:val="00F83F80"/>
    <w:rsid w:val="00F8408A"/>
    <w:rsid w:val="00F8425C"/>
    <w:rsid w:val="00F842B1"/>
    <w:rsid w:val="00F845BF"/>
    <w:rsid w:val="00F8486B"/>
    <w:rsid w:val="00F84DA8"/>
    <w:rsid w:val="00F84F00"/>
    <w:rsid w:val="00F8516E"/>
    <w:rsid w:val="00F85200"/>
    <w:rsid w:val="00F85288"/>
    <w:rsid w:val="00F85621"/>
    <w:rsid w:val="00F85920"/>
    <w:rsid w:val="00F85B90"/>
    <w:rsid w:val="00F85B94"/>
    <w:rsid w:val="00F85C9C"/>
    <w:rsid w:val="00F85DC3"/>
    <w:rsid w:val="00F86204"/>
    <w:rsid w:val="00F8681B"/>
    <w:rsid w:val="00F86A4D"/>
    <w:rsid w:val="00F86B45"/>
    <w:rsid w:val="00F86BE5"/>
    <w:rsid w:val="00F86C30"/>
    <w:rsid w:val="00F8702B"/>
    <w:rsid w:val="00F87370"/>
    <w:rsid w:val="00F87A21"/>
    <w:rsid w:val="00F87A68"/>
    <w:rsid w:val="00F87AC4"/>
    <w:rsid w:val="00F87DCC"/>
    <w:rsid w:val="00F87EE7"/>
    <w:rsid w:val="00F87FF0"/>
    <w:rsid w:val="00F900D3"/>
    <w:rsid w:val="00F903F6"/>
    <w:rsid w:val="00F905F5"/>
    <w:rsid w:val="00F907A7"/>
    <w:rsid w:val="00F90849"/>
    <w:rsid w:val="00F9097D"/>
    <w:rsid w:val="00F90BCE"/>
    <w:rsid w:val="00F90F7C"/>
    <w:rsid w:val="00F9125B"/>
    <w:rsid w:val="00F91288"/>
    <w:rsid w:val="00F912E0"/>
    <w:rsid w:val="00F9156A"/>
    <w:rsid w:val="00F91773"/>
    <w:rsid w:val="00F91868"/>
    <w:rsid w:val="00F91F57"/>
    <w:rsid w:val="00F91F73"/>
    <w:rsid w:val="00F91FDB"/>
    <w:rsid w:val="00F92302"/>
    <w:rsid w:val="00F92783"/>
    <w:rsid w:val="00F92CA1"/>
    <w:rsid w:val="00F92F0F"/>
    <w:rsid w:val="00F92F3E"/>
    <w:rsid w:val="00F92FEE"/>
    <w:rsid w:val="00F9369C"/>
    <w:rsid w:val="00F93739"/>
    <w:rsid w:val="00F938C9"/>
    <w:rsid w:val="00F939B2"/>
    <w:rsid w:val="00F93BAE"/>
    <w:rsid w:val="00F93C98"/>
    <w:rsid w:val="00F93EA6"/>
    <w:rsid w:val="00F93F69"/>
    <w:rsid w:val="00F93FBE"/>
    <w:rsid w:val="00F940E6"/>
    <w:rsid w:val="00F9443F"/>
    <w:rsid w:val="00F944FA"/>
    <w:rsid w:val="00F94504"/>
    <w:rsid w:val="00F94902"/>
    <w:rsid w:val="00F94ACC"/>
    <w:rsid w:val="00F94F10"/>
    <w:rsid w:val="00F94F24"/>
    <w:rsid w:val="00F94F39"/>
    <w:rsid w:val="00F950A9"/>
    <w:rsid w:val="00F950CF"/>
    <w:rsid w:val="00F955D2"/>
    <w:rsid w:val="00F956BA"/>
    <w:rsid w:val="00F95A7F"/>
    <w:rsid w:val="00F95A9C"/>
    <w:rsid w:val="00F95AF9"/>
    <w:rsid w:val="00F95B8D"/>
    <w:rsid w:val="00F960BC"/>
    <w:rsid w:val="00F96143"/>
    <w:rsid w:val="00F962F2"/>
    <w:rsid w:val="00F963CE"/>
    <w:rsid w:val="00F96406"/>
    <w:rsid w:val="00F96471"/>
    <w:rsid w:val="00F9676C"/>
    <w:rsid w:val="00F96868"/>
    <w:rsid w:val="00F96C13"/>
    <w:rsid w:val="00F96E80"/>
    <w:rsid w:val="00F96FDA"/>
    <w:rsid w:val="00F9702F"/>
    <w:rsid w:val="00F97445"/>
    <w:rsid w:val="00F975E8"/>
    <w:rsid w:val="00F976BD"/>
    <w:rsid w:val="00F97A01"/>
    <w:rsid w:val="00FA010D"/>
    <w:rsid w:val="00FA0137"/>
    <w:rsid w:val="00FA0223"/>
    <w:rsid w:val="00FA045F"/>
    <w:rsid w:val="00FA0520"/>
    <w:rsid w:val="00FA052F"/>
    <w:rsid w:val="00FA05A5"/>
    <w:rsid w:val="00FA069C"/>
    <w:rsid w:val="00FA073F"/>
    <w:rsid w:val="00FA077B"/>
    <w:rsid w:val="00FA0794"/>
    <w:rsid w:val="00FA0998"/>
    <w:rsid w:val="00FA09FD"/>
    <w:rsid w:val="00FA0C70"/>
    <w:rsid w:val="00FA0CE7"/>
    <w:rsid w:val="00FA0E61"/>
    <w:rsid w:val="00FA1388"/>
    <w:rsid w:val="00FA150D"/>
    <w:rsid w:val="00FA1547"/>
    <w:rsid w:val="00FA1B57"/>
    <w:rsid w:val="00FA1EB9"/>
    <w:rsid w:val="00FA1FE7"/>
    <w:rsid w:val="00FA2086"/>
    <w:rsid w:val="00FA20EA"/>
    <w:rsid w:val="00FA2123"/>
    <w:rsid w:val="00FA2135"/>
    <w:rsid w:val="00FA22AA"/>
    <w:rsid w:val="00FA22CF"/>
    <w:rsid w:val="00FA23A1"/>
    <w:rsid w:val="00FA2448"/>
    <w:rsid w:val="00FA244C"/>
    <w:rsid w:val="00FA24D9"/>
    <w:rsid w:val="00FA24FA"/>
    <w:rsid w:val="00FA25A4"/>
    <w:rsid w:val="00FA26D5"/>
    <w:rsid w:val="00FA2CD2"/>
    <w:rsid w:val="00FA33C3"/>
    <w:rsid w:val="00FA33C5"/>
    <w:rsid w:val="00FA3423"/>
    <w:rsid w:val="00FA3447"/>
    <w:rsid w:val="00FA394E"/>
    <w:rsid w:val="00FA39B7"/>
    <w:rsid w:val="00FA3AE9"/>
    <w:rsid w:val="00FA3BDD"/>
    <w:rsid w:val="00FA3C62"/>
    <w:rsid w:val="00FA3E4E"/>
    <w:rsid w:val="00FA3F17"/>
    <w:rsid w:val="00FA3F44"/>
    <w:rsid w:val="00FA40DE"/>
    <w:rsid w:val="00FA4AD4"/>
    <w:rsid w:val="00FA4BC2"/>
    <w:rsid w:val="00FA4D65"/>
    <w:rsid w:val="00FA562A"/>
    <w:rsid w:val="00FA57C8"/>
    <w:rsid w:val="00FA5AFC"/>
    <w:rsid w:val="00FA5B5B"/>
    <w:rsid w:val="00FA5BA6"/>
    <w:rsid w:val="00FA5DA9"/>
    <w:rsid w:val="00FA5DC4"/>
    <w:rsid w:val="00FA5DD6"/>
    <w:rsid w:val="00FA5F46"/>
    <w:rsid w:val="00FA6190"/>
    <w:rsid w:val="00FA6234"/>
    <w:rsid w:val="00FA62B4"/>
    <w:rsid w:val="00FA6603"/>
    <w:rsid w:val="00FA6830"/>
    <w:rsid w:val="00FA688F"/>
    <w:rsid w:val="00FA6CE1"/>
    <w:rsid w:val="00FA6F53"/>
    <w:rsid w:val="00FA6FF7"/>
    <w:rsid w:val="00FA71DD"/>
    <w:rsid w:val="00FA7A62"/>
    <w:rsid w:val="00FA7AA1"/>
    <w:rsid w:val="00FA7B0F"/>
    <w:rsid w:val="00FA7B1C"/>
    <w:rsid w:val="00FA7CDE"/>
    <w:rsid w:val="00FA7D3D"/>
    <w:rsid w:val="00FB01F8"/>
    <w:rsid w:val="00FB05B0"/>
    <w:rsid w:val="00FB0829"/>
    <w:rsid w:val="00FB0906"/>
    <w:rsid w:val="00FB0967"/>
    <w:rsid w:val="00FB0AC9"/>
    <w:rsid w:val="00FB0F45"/>
    <w:rsid w:val="00FB0F89"/>
    <w:rsid w:val="00FB11BF"/>
    <w:rsid w:val="00FB1417"/>
    <w:rsid w:val="00FB14D6"/>
    <w:rsid w:val="00FB1760"/>
    <w:rsid w:val="00FB183B"/>
    <w:rsid w:val="00FB1BCD"/>
    <w:rsid w:val="00FB204C"/>
    <w:rsid w:val="00FB255F"/>
    <w:rsid w:val="00FB25CB"/>
    <w:rsid w:val="00FB271D"/>
    <w:rsid w:val="00FB280A"/>
    <w:rsid w:val="00FB284B"/>
    <w:rsid w:val="00FB2943"/>
    <w:rsid w:val="00FB2BD1"/>
    <w:rsid w:val="00FB2C6F"/>
    <w:rsid w:val="00FB2C80"/>
    <w:rsid w:val="00FB2CB7"/>
    <w:rsid w:val="00FB2CF8"/>
    <w:rsid w:val="00FB2D43"/>
    <w:rsid w:val="00FB3069"/>
    <w:rsid w:val="00FB307A"/>
    <w:rsid w:val="00FB30AF"/>
    <w:rsid w:val="00FB356B"/>
    <w:rsid w:val="00FB3592"/>
    <w:rsid w:val="00FB36C2"/>
    <w:rsid w:val="00FB38D6"/>
    <w:rsid w:val="00FB3AD3"/>
    <w:rsid w:val="00FB3C9D"/>
    <w:rsid w:val="00FB3CFB"/>
    <w:rsid w:val="00FB3D05"/>
    <w:rsid w:val="00FB40A5"/>
    <w:rsid w:val="00FB43D1"/>
    <w:rsid w:val="00FB43F3"/>
    <w:rsid w:val="00FB4405"/>
    <w:rsid w:val="00FB47CE"/>
    <w:rsid w:val="00FB4A23"/>
    <w:rsid w:val="00FB4BE3"/>
    <w:rsid w:val="00FB5064"/>
    <w:rsid w:val="00FB5115"/>
    <w:rsid w:val="00FB514A"/>
    <w:rsid w:val="00FB5161"/>
    <w:rsid w:val="00FB53B5"/>
    <w:rsid w:val="00FB5493"/>
    <w:rsid w:val="00FB54A6"/>
    <w:rsid w:val="00FB54E7"/>
    <w:rsid w:val="00FB5AC1"/>
    <w:rsid w:val="00FB5D21"/>
    <w:rsid w:val="00FB5DFD"/>
    <w:rsid w:val="00FB5E66"/>
    <w:rsid w:val="00FB65E6"/>
    <w:rsid w:val="00FB6635"/>
    <w:rsid w:val="00FB66E5"/>
    <w:rsid w:val="00FB6760"/>
    <w:rsid w:val="00FB6796"/>
    <w:rsid w:val="00FB68D1"/>
    <w:rsid w:val="00FB69DA"/>
    <w:rsid w:val="00FB6B2A"/>
    <w:rsid w:val="00FB6F95"/>
    <w:rsid w:val="00FB705F"/>
    <w:rsid w:val="00FB70BE"/>
    <w:rsid w:val="00FB72CD"/>
    <w:rsid w:val="00FB7451"/>
    <w:rsid w:val="00FB76ED"/>
    <w:rsid w:val="00FB7715"/>
    <w:rsid w:val="00FB7888"/>
    <w:rsid w:val="00FB797B"/>
    <w:rsid w:val="00FB7B23"/>
    <w:rsid w:val="00FB7C30"/>
    <w:rsid w:val="00FB7E6F"/>
    <w:rsid w:val="00FB7F9F"/>
    <w:rsid w:val="00FC05B0"/>
    <w:rsid w:val="00FC07F7"/>
    <w:rsid w:val="00FC08B5"/>
    <w:rsid w:val="00FC0AC5"/>
    <w:rsid w:val="00FC0BC1"/>
    <w:rsid w:val="00FC0BC6"/>
    <w:rsid w:val="00FC0D85"/>
    <w:rsid w:val="00FC0E52"/>
    <w:rsid w:val="00FC114D"/>
    <w:rsid w:val="00FC124D"/>
    <w:rsid w:val="00FC1365"/>
    <w:rsid w:val="00FC139F"/>
    <w:rsid w:val="00FC1547"/>
    <w:rsid w:val="00FC155E"/>
    <w:rsid w:val="00FC1579"/>
    <w:rsid w:val="00FC1770"/>
    <w:rsid w:val="00FC1781"/>
    <w:rsid w:val="00FC1914"/>
    <w:rsid w:val="00FC1B2F"/>
    <w:rsid w:val="00FC24E7"/>
    <w:rsid w:val="00FC26D9"/>
    <w:rsid w:val="00FC2856"/>
    <w:rsid w:val="00FC2A03"/>
    <w:rsid w:val="00FC2B2F"/>
    <w:rsid w:val="00FC2E1F"/>
    <w:rsid w:val="00FC2E59"/>
    <w:rsid w:val="00FC2F0B"/>
    <w:rsid w:val="00FC3102"/>
    <w:rsid w:val="00FC336F"/>
    <w:rsid w:val="00FC3578"/>
    <w:rsid w:val="00FC3A14"/>
    <w:rsid w:val="00FC3BB8"/>
    <w:rsid w:val="00FC4230"/>
    <w:rsid w:val="00FC443C"/>
    <w:rsid w:val="00FC449F"/>
    <w:rsid w:val="00FC46C9"/>
    <w:rsid w:val="00FC498B"/>
    <w:rsid w:val="00FC4A58"/>
    <w:rsid w:val="00FC4A94"/>
    <w:rsid w:val="00FC4C8F"/>
    <w:rsid w:val="00FC5054"/>
    <w:rsid w:val="00FC5263"/>
    <w:rsid w:val="00FC5441"/>
    <w:rsid w:val="00FC56C0"/>
    <w:rsid w:val="00FC5785"/>
    <w:rsid w:val="00FC5817"/>
    <w:rsid w:val="00FC58B9"/>
    <w:rsid w:val="00FC5A9D"/>
    <w:rsid w:val="00FC5B6C"/>
    <w:rsid w:val="00FC5EFB"/>
    <w:rsid w:val="00FC5F06"/>
    <w:rsid w:val="00FC60D2"/>
    <w:rsid w:val="00FC6118"/>
    <w:rsid w:val="00FC6178"/>
    <w:rsid w:val="00FC641F"/>
    <w:rsid w:val="00FC6435"/>
    <w:rsid w:val="00FC67B4"/>
    <w:rsid w:val="00FC6E71"/>
    <w:rsid w:val="00FC712C"/>
    <w:rsid w:val="00FC768B"/>
    <w:rsid w:val="00FC77B4"/>
    <w:rsid w:val="00FC7A00"/>
    <w:rsid w:val="00FC7A86"/>
    <w:rsid w:val="00FC7ACA"/>
    <w:rsid w:val="00FC7D90"/>
    <w:rsid w:val="00FC7DFD"/>
    <w:rsid w:val="00FC7E83"/>
    <w:rsid w:val="00FD0141"/>
    <w:rsid w:val="00FD0226"/>
    <w:rsid w:val="00FD0357"/>
    <w:rsid w:val="00FD03BC"/>
    <w:rsid w:val="00FD040B"/>
    <w:rsid w:val="00FD0566"/>
    <w:rsid w:val="00FD0642"/>
    <w:rsid w:val="00FD06B3"/>
    <w:rsid w:val="00FD07A2"/>
    <w:rsid w:val="00FD0871"/>
    <w:rsid w:val="00FD0D03"/>
    <w:rsid w:val="00FD0E69"/>
    <w:rsid w:val="00FD0FC6"/>
    <w:rsid w:val="00FD13AB"/>
    <w:rsid w:val="00FD141C"/>
    <w:rsid w:val="00FD1430"/>
    <w:rsid w:val="00FD177A"/>
    <w:rsid w:val="00FD1A04"/>
    <w:rsid w:val="00FD1C74"/>
    <w:rsid w:val="00FD1D4B"/>
    <w:rsid w:val="00FD1DBF"/>
    <w:rsid w:val="00FD1FE1"/>
    <w:rsid w:val="00FD2135"/>
    <w:rsid w:val="00FD222E"/>
    <w:rsid w:val="00FD22C3"/>
    <w:rsid w:val="00FD2300"/>
    <w:rsid w:val="00FD2415"/>
    <w:rsid w:val="00FD2472"/>
    <w:rsid w:val="00FD2635"/>
    <w:rsid w:val="00FD271D"/>
    <w:rsid w:val="00FD2BFE"/>
    <w:rsid w:val="00FD2C9E"/>
    <w:rsid w:val="00FD2E0B"/>
    <w:rsid w:val="00FD315E"/>
    <w:rsid w:val="00FD3202"/>
    <w:rsid w:val="00FD3275"/>
    <w:rsid w:val="00FD36A1"/>
    <w:rsid w:val="00FD3B34"/>
    <w:rsid w:val="00FD3D1C"/>
    <w:rsid w:val="00FD3D95"/>
    <w:rsid w:val="00FD3E46"/>
    <w:rsid w:val="00FD41D8"/>
    <w:rsid w:val="00FD42CD"/>
    <w:rsid w:val="00FD4328"/>
    <w:rsid w:val="00FD48F8"/>
    <w:rsid w:val="00FD4B74"/>
    <w:rsid w:val="00FD4BC2"/>
    <w:rsid w:val="00FD4EAB"/>
    <w:rsid w:val="00FD4F21"/>
    <w:rsid w:val="00FD50D7"/>
    <w:rsid w:val="00FD5176"/>
    <w:rsid w:val="00FD5208"/>
    <w:rsid w:val="00FD5278"/>
    <w:rsid w:val="00FD52AD"/>
    <w:rsid w:val="00FD536E"/>
    <w:rsid w:val="00FD53A9"/>
    <w:rsid w:val="00FD54BB"/>
    <w:rsid w:val="00FD55A9"/>
    <w:rsid w:val="00FD55D6"/>
    <w:rsid w:val="00FD5707"/>
    <w:rsid w:val="00FD5811"/>
    <w:rsid w:val="00FD59BB"/>
    <w:rsid w:val="00FD5AD8"/>
    <w:rsid w:val="00FD5BFB"/>
    <w:rsid w:val="00FD5CA0"/>
    <w:rsid w:val="00FD5D63"/>
    <w:rsid w:val="00FD62C1"/>
    <w:rsid w:val="00FD62F4"/>
    <w:rsid w:val="00FD663F"/>
    <w:rsid w:val="00FD666C"/>
    <w:rsid w:val="00FD6921"/>
    <w:rsid w:val="00FD6BFB"/>
    <w:rsid w:val="00FD6D19"/>
    <w:rsid w:val="00FD6D3E"/>
    <w:rsid w:val="00FD6DB2"/>
    <w:rsid w:val="00FD6DC3"/>
    <w:rsid w:val="00FD6FF8"/>
    <w:rsid w:val="00FD73E8"/>
    <w:rsid w:val="00FD7565"/>
    <w:rsid w:val="00FD7597"/>
    <w:rsid w:val="00FD79BC"/>
    <w:rsid w:val="00FD7A48"/>
    <w:rsid w:val="00FD7CE0"/>
    <w:rsid w:val="00FD7D6E"/>
    <w:rsid w:val="00FD7EFD"/>
    <w:rsid w:val="00FE0007"/>
    <w:rsid w:val="00FE00CF"/>
    <w:rsid w:val="00FE00EA"/>
    <w:rsid w:val="00FE0100"/>
    <w:rsid w:val="00FE018C"/>
    <w:rsid w:val="00FE01FF"/>
    <w:rsid w:val="00FE0475"/>
    <w:rsid w:val="00FE04AB"/>
    <w:rsid w:val="00FE0570"/>
    <w:rsid w:val="00FE05DD"/>
    <w:rsid w:val="00FE0A8E"/>
    <w:rsid w:val="00FE0C11"/>
    <w:rsid w:val="00FE10BD"/>
    <w:rsid w:val="00FE14D2"/>
    <w:rsid w:val="00FE15AF"/>
    <w:rsid w:val="00FE15B4"/>
    <w:rsid w:val="00FE16F2"/>
    <w:rsid w:val="00FE17C0"/>
    <w:rsid w:val="00FE17CC"/>
    <w:rsid w:val="00FE18BA"/>
    <w:rsid w:val="00FE18D7"/>
    <w:rsid w:val="00FE1A19"/>
    <w:rsid w:val="00FE1B94"/>
    <w:rsid w:val="00FE1BFE"/>
    <w:rsid w:val="00FE1DB7"/>
    <w:rsid w:val="00FE26C8"/>
    <w:rsid w:val="00FE289F"/>
    <w:rsid w:val="00FE292C"/>
    <w:rsid w:val="00FE2931"/>
    <w:rsid w:val="00FE2DA8"/>
    <w:rsid w:val="00FE2DBF"/>
    <w:rsid w:val="00FE319E"/>
    <w:rsid w:val="00FE3514"/>
    <w:rsid w:val="00FE3602"/>
    <w:rsid w:val="00FE38A4"/>
    <w:rsid w:val="00FE39C6"/>
    <w:rsid w:val="00FE3B1A"/>
    <w:rsid w:val="00FE41D3"/>
    <w:rsid w:val="00FE4303"/>
    <w:rsid w:val="00FE4393"/>
    <w:rsid w:val="00FE442B"/>
    <w:rsid w:val="00FE45FA"/>
    <w:rsid w:val="00FE46B8"/>
    <w:rsid w:val="00FE478B"/>
    <w:rsid w:val="00FE4891"/>
    <w:rsid w:val="00FE4896"/>
    <w:rsid w:val="00FE4993"/>
    <w:rsid w:val="00FE4A69"/>
    <w:rsid w:val="00FE4B8E"/>
    <w:rsid w:val="00FE4BAE"/>
    <w:rsid w:val="00FE4BC9"/>
    <w:rsid w:val="00FE4D2B"/>
    <w:rsid w:val="00FE5032"/>
    <w:rsid w:val="00FE5043"/>
    <w:rsid w:val="00FE5245"/>
    <w:rsid w:val="00FE587E"/>
    <w:rsid w:val="00FE58D4"/>
    <w:rsid w:val="00FE5AC8"/>
    <w:rsid w:val="00FE5AF0"/>
    <w:rsid w:val="00FE5BC0"/>
    <w:rsid w:val="00FE5C9B"/>
    <w:rsid w:val="00FE5EC2"/>
    <w:rsid w:val="00FE60A1"/>
    <w:rsid w:val="00FE60CB"/>
    <w:rsid w:val="00FE6108"/>
    <w:rsid w:val="00FE6148"/>
    <w:rsid w:val="00FE6590"/>
    <w:rsid w:val="00FE66E9"/>
    <w:rsid w:val="00FE6815"/>
    <w:rsid w:val="00FE69DA"/>
    <w:rsid w:val="00FE6CED"/>
    <w:rsid w:val="00FE6EDC"/>
    <w:rsid w:val="00FE71EE"/>
    <w:rsid w:val="00FE72BD"/>
    <w:rsid w:val="00FE7398"/>
    <w:rsid w:val="00FE74F4"/>
    <w:rsid w:val="00FE7A92"/>
    <w:rsid w:val="00FE7DDB"/>
    <w:rsid w:val="00FF02D4"/>
    <w:rsid w:val="00FF085C"/>
    <w:rsid w:val="00FF0A40"/>
    <w:rsid w:val="00FF0A43"/>
    <w:rsid w:val="00FF0CEE"/>
    <w:rsid w:val="00FF0E1E"/>
    <w:rsid w:val="00FF0E4A"/>
    <w:rsid w:val="00FF0E70"/>
    <w:rsid w:val="00FF0F39"/>
    <w:rsid w:val="00FF1133"/>
    <w:rsid w:val="00FF12D0"/>
    <w:rsid w:val="00FF138E"/>
    <w:rsid w:val="00FF1848"/>
    <w:rsid w:val="00FF18E4"/>
    <w:rsid w:val="00FF19FD"/>
    <w:rsid w:val="00FF1A41"/>
    <w:rsid w:val="00FF1BBB"/>
    <w:rsid w:val="00FF1C2C"/>
    <w:rsid w:val="00FF1F62"/>
    <w:rsid w:val="00FF2030"/>
    <w:rsid w:val="00FF228A"/>
    <w:rsid w:val="00FF24BC"/>
    <w:rsid w:val="00FF253E"/>
    <w:rsid w:val="00FF261D"/>
    <w:rsid w:val="00FF2886"/>
    <w:rsid w:val="00FF2B4B"/>
    <w:rsid w:val="00FF2BAA"/>
    <w:rsid w:val="00FF2BB4"/>
    <w:rsid w:val="00FF319D"/>
    <w:rsid w:val="00FF31FD"/>
    <w:rsid w:val="00FF3294"/>
    <w:rsid w:val="00FF329F"/>
    <w:rsid w:val="00FF32BA"/>
    <w:rsid w:val="00FF3327"/>
    <w:rsid w:val="00FF3517"/>
    <w:rsid w:val="00FF3536"/>
    <w:rsid w:val="00FF35C2"/>
    <w:rsid w:val="00FF3670"/>
    <w:rsid w:val="00FF3AAC"/>
    <w:rsid w:val="00FF3F75"/>
    <w:rsid w:val="00FF4238"/>
    <w:rsid w:val="00FF42A9"/>
    <w:rsid w:val="00FF4306"/>
    <w:rsid w:val="00FF4636"/>
    <w:rsid w:val="00FF465B"/>
    <w:rsid w:val="00FF46E3"/>
    <w:rsid w:val="00FF48CD"/>
    <w:rsid w:val="00FF48DD"/>
    <w:rsid w:val="00FF49D6"/>
    <w:rsid w:val="00FF4A60"/>
    <w:rsid w:val="00FF4ACD"/>
    <w:rsid w:val="00FF4BE7"/>
    <w:rsid w:val="00FF4E09"/>
    <w:rsid w:val="00FF5470"/>
    <w:rsid w:val="00FF5482"/>
    <w:rsid w:val="00FF54D7"/>
    <w:rsid w:val="00FF54E7"/>
    <w:rsid w:val="00FF56A9"/>
    <w:rsid w:val="00FF578C"/>
    <w:rsid w:val="00FF5994"/>
    <w:rsid w:val="00FF59CE"/>
    <w:rsid w:val="00FF5DA6"/>
    <w:rsid w:val="00FF5F02"/>
    <w:rsid w:val="00FF61D6"/>
    <w:rsid w:val="00FF654D"/>
    <w:rsid w:val="00FF67B5"/>
    <w:rsid w:val="00FF6B5D"/>
    <w:rsid w:val="00FF6C1D"/>
    <w:rsid w:val="00FF6E50"/>
    <w:rsid w:val="00FF6EBB"/>
    <w:rsid w:val="00FF710D"/>
    <w:rsid w:val="00FF72EA"/>
    <w:rsid w:val="00FF7410"/>
    <w:rsid w:val="00FF7584"/>
    <w:rsid w:val="00FF7692"/>
    <w:rsid w:val="00FF784A"/>
    <w:rsid w:val="00FF7894"/>
    <w:rsid w:val="00FF7B43"/>
    <w:rsid w:val="00FF7C5E"/>
    <w:rsid w:val="00FF7D5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38" fillcolor="none [3200]" strokecolor="none [3212]">
      <v:fill color="none [3200]"/>
      <v:stroke color="none [3212]" weight="0"/>
      <v:shadow type="perspective" color="none [1601]" opacity=".5" offset="1pt" offset2="-1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nhideWhenUsed="0" w:qFormat="1"/>
    <w:lsdException w:name="heading 6" w:semiHidden="0" w:uiPriority="0" w:unhideWhenUsed="0" w:qFormat="1"/>
    <w:lsdException w:name="heading 7" w:locked="0" w:semiHidden="0" w:uiPriority="0" w:unhideWhenUsed="0" w:qFormat="1"/>
    <w:lsdException w:name="heading 8" w:semiHidden="0" w:uiPriority="0" w:unhideWhenUsed="0" w:qFormat="1"/>
    <w:lsdException w:name="heading 9" w:semiHidden="0" w:uiPriority="0" w:unhideWhenUsed="0" w:qFormat="1"/>
    <w:lsdException w:name="index 1" w:locked="0"/>
    <w:lsdException w:name="index 2" w:locked="0" w:uiPriority="0"/>
    <w:lsdException w:name="index 3" w:locked="0" w:uiPriority="0"/>
    <w:lsdException w:name="index 4" w:locked="0" w:uiPriority="0"/>
    <w:lsdException w:name="index 5" w:locked="0" w:uiPriority="0"/>
    <w:lsdException w:name="index 6" w:locked="0" w:uiPriority="0"/>
    <w:lsdException w:name="index 7" w:locked="0" w:uiPriority="0"/>
    <w:lsdException w:name="index 8" w:locked="0" w:uiPriority="0"/>
    <w:lsdException w:name="index 9" w:locked="0" w:uiPriority="0"/>
    <w:lsdException w:name="toc 1" w:locked="0" w:uiPriority="39"/>
    <w:lsdException w:name="toc 2" w:locked="0" w:uiPriority="39"/>
    <w:lsdException w:name="toc 3" w:locked="0"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annotation text" w:locked="0" w:uiPriority="0"/>
    <w:lsdException w:name="header" w:locked="0"/>
    <w:lsdException w:name="footer" w:locked="0" w:qFormat="1"/>
    <w:lsdException w:name="index heading" w:locked="0" w:uiPriority="0"/>
    <w:lsdException w:name="caption" w:locked="0" w:uiPriority="0" w:unhideWhenUsed="0" w:qFormat="1"/>
    <w:lsdException w:name="table of figures" w:locked="0"/>
    <w:lsdException w:name="annotation reference" w:locked="0"/>
    <w:lsdException w:name="page number" w:semiHidden="0" w:unhideWhenUsed="0"/>
    <w:lsdException w:name="endnote reference" w:locked="0"/>
    <w:lsdException w:name="endnote text" w:locked="0" w:uiPriority="0"/>
    <w:lsdException w:name="toa heading" w:locked="0" w:uiPriority="0"/>
    <w:lsdException w:name="List Number" w:uiPriority="0" w:qFormat="1"/>
    <w:lsdException w:name="Title" w:semiHidden="0" w:uiPriority="0" w:unhideWhenUsed="0" w:qFormat="1"/>
    <w:lsdException w:name="Default Paragraph Font" w:locked="0" w:uiPriority="1"/>
    <w:lsdException w:name="Subtitle" w:semiHidden="0" w:uiPriority="0" w:unhideWhenUsed="0"/>
    <w:lsdException w:name="Hyperlink" w:locked="0"/>
    <w:lsdException w:name="Strong" w:semiHidden="0" w:uiPriority="0" w:unhideWhenUsed="0"/>
    <w:lsdException w:name="Emphasis" w:semiHidden="0" w:uiPriority="0" w:unhideWhenUsed="0" w:qFormat="1"/>
    <w:lsdException w:name="Plain Text" w:locked="0" w:uiPriority="0"/>
    <w:lsdException w:name="HTML Top of Form" w:locked="0"/>
    <w:lsdException w:name="HTML Bottom of Form" w:locked="0"/>
    <w:lsdException w:name="Normal (Web)" w:locked="0"/>
    <w:lsdException w:name="Normal Table" w:locked="0"/>
    <w:lsdException w:name="annotation subject" w:locked="0" w:uiPriority="0"/>
    <w:lsdException w:name="No List" w:locked="0"/>
    <w:lsdException w:name="Table Simple 1" w:locked="0" w:uiPriority="0"/>
    <w:lsdException w:name="Balloon Text" w:locked="0"/>
    <w:lsdException w:name="Table Grid" w:locked="0" w:semiHidden="0" w:uiPriority="0" w:unhideWhenUsed="0"/>
    <w:lsdException w:name="Placeholder Text" w:locked="0"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0" w:unhideWhenUsed="0"/>
    <w:lsdException w:name="List Paragraph" w:semiHidden="0" w:unhideWhenUsed="0" w:qFormat="1"/>
    <w:lsdException w:name="Quote" w:locked="0"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normal)"/>
    <w:qFormat/>
    <w:rsid w:val="00314A3B"/>
    <w:pPr>
      <w:spacing w:after="220" w:line="280" w:lineRule="atLeast"/>
    </w:pPr>
    <w:rPr>
      <w:rFonts w:ascii="Times New Roman" w:hAnsi="Times New Roman"/>
      <w:sz w:val="22"/>
      <w:lang w:val="en-GB" w:eastAsia="en-US"/>
    </w:rPr>
  </w:style>
  <w:style w:type="paragraph" w:styleId="Heading1">
    <w:name w:val="heading 1"/>
    <w:basedOn w:val="Normal"/>
    <w:next w:val="Normal"/>
    <w:link w:val="Heading1Char"/>
    <w:qFormat/>
    <w:rsid w:val="00EB65B6"/>
    <w:pPr>
      <w:keepNext/>
      <w:numPr>
        <w:numId w:val="7"/>
      </w:numPr>
      <w:spacing w:after="300" w:line="240" w:lineRule="auto"/>
      <w:outlineLvl w:val="0"/>
    </w:pPr>
    <w:rPr>
      <w:rFonts w:ascii="Tahoma" w:hAnsi="Tahoma"/>
      <w:b/>
      <w:color w:val="000033"/>
      <w:kern w:val="28"/>
      <w:sz w:val="40"/>
    </w:rPr>
  </w:style>
  <w:style w:type="paragraph" w:styleId="Heading2">
    <w:name w:val="heading 2"/>
    <w:basedOn w:val="Normal"/>
    <w:next w:val="Normal"/>
    <w:link w:val="Heading2Char"/>
    <w:autoRedefine/>
    <w:qFormat/>
    <w:rsid w:val="00FC3BB8"/>
    <w:pPr>
      <w:keepNext/>
      <w:numPr>
        <w:ilvl w:val="1"/>
        <w:numId w:val="7"/>
      </w:numPr>
      <w:spacing w:before="480" w:after="240" w:line="240" w:lineRule="auto"/>
      <w:ind w:left="720"/>
      <w:outlineLvl w:val="1"/>
    </w:pPr>
    <w:rPr>
      <w:rFonts w:ascii="Arial" w:hAnsi="Arial" w:cs="Arial"/>
      <w:b/>
      <w:color w:val="000033"/>
      <w:sz w:val="26"/>
      <w:szCs w:val="22"/>
    </w:rPr>
  </w:style>
  <w:style w:type="paragraph" w:styleId="Heading3">
    <w:name w:val="heading 3"/>
    <w:basedOn w:val="Normal"/>
    <w:next w:val="Normal"/>
    <w:link w:val="Heading3Char"/>
    <w:autoRedefine/>
    <w:qFormat/>
    <w:rsid w:val="00101ADB"/>
    <w:pPr>
      <w:keepNext/>
      <w:numPr>
        <w:ilvl w:val="2"/>
        <w:numId w:val="7"/>
      </w:numPr>
      <w:spacing w:before="240" w:after="240" w:line="240" w:lineRule="auto"/>
      <w:outlineLvl w:val="2"/>
    </w:pPr>
    <w:rPr>
      <w:rFonts w:ascii="Arial" w:hAnsi="Arial" w:cs="Arial"/>
      <w:b/>
      <w:color w:val="000033"/>
    </w:rPr>
  </w:style>
  <w:style w:type="paragraph" w:styleId="Heading4">
    <w:name w:val="heading 4"/>
    <w:basedOn w:val="Normal"/>
    <w:next w:val="Normal"/>
    <w:link w:val="Heading4Char"/>
    <w:qFormat/>
    <w:rsid w:val="002E7DBF"/>
    <w:pPr>
      <w:keepNext/>
      <w:spacing w:after="120" w:line="240" w:lineRule="auto"/>
      <w:outlineLvl w:val="3"/>
    </w:pPr>
    <w:rPr>
      <w:b/>
      <w:sz w:val="24"/>
    </w:rPr>
  </w:style>
  <w:style w:type="paragraph" w:styleId="Heading5">
    <w:name w:val="heading 5"/>
    <w:basedOn w:val="Normal"/>
    <w:next w:val="Normal"/>
    <w:link w:val="Heading5Char"/>
    <w:uiPriority w:val="99"/>
    <w:qFormat/>
    <w:locked/>
    <w:rsid w:val="00924F40"/>
    <w:pPr>
      <w:keepNext/>
      <w:spacing w:before="60" w:after="60" w:line="240" w:lineRule="auto"/>
      <w:outlineLvl w:val="4"/>
    </w:pPr>
    <w:rPr>
      <w:i/>
      <w:sz w:val="24"/>
    </w:rPr>
  </w:style>
  <w:style w:type="paragraph" w:styleId="Heading6">
    <w:name w:val="heading 6"/>
    <w:basedOn w:val="Normal"/>
    <w:next w:val="Normal"/>
    <w:link w:val="Heading6Char"/>
    <w:semiHidden/>
    <w:qFormat/>
    <w:locked/>
    <w:rsid w:val="00924F40"/>
    <w:pPr>
      <w:spacing w:before="240" w:after="60" w:line="240" w:lineRule="auto"/>
      <w:outlineLvl w:val="5"/>
    </w:pPr>
    <w:rPr>
      <w:bCs/>
      <w:i/>
      <w:color w:val="7F7F7F" w:themeColor="text1" w:themeTint="80"/>
      <w:szCs w:val="22"/>
    </w:rPr>
  </w:style>
  <w:style w:type="paragraph" w:styleId="Heading7">
    <w:name w:val="heading 7"/>
    <w:aliases w:val="Appendix"/>
    <w:basedOn w:val="Normal"/>
    <w:next w:val="Normal"/>
    <w:link w:val="Heading7Char"/>
    <w:semiHidden/>
    <w:qFormat/>
    <w:locked/>
    <w:rsid w:val="00924F40"/>
    <w:pPr>
      <w:spacing w:before="240" w:after="60" w:line="240" w:lineRule="auto"/>
      <w:outlineLvl w:val="6"/>
    </w:pPr>
    <w:rPr>
      <w:b/>
      <w:sz w:val="24"/>
      <w:szCs w:val="24"/>
      <w:lang w:val="en-AU" w:eastAsia="en-AU"/>
    </w:rPr>
  </w:style>
  <w:style w:type="paragraph" w:styleId="Heading8">
    <w:name w:val="heading 8"/>
    <w:basedOn w:val="Normal"/>
    <w:next w:val="Normal"/>
    <w:link w:val="Heading8Char"/>
    <w:semiHidden/>
    <w:qFormat/>
    <w:locked/>
    <w:rsid w:val="00924F40"/>
    <w:pPr>
      <w:spacing w:before="240" w:after="60"/>
      <w:outlineLvl w:val="7"/>
    </w:pPr>
    <w:rPr>
      <w:rFonts w:ascii="Arial" w:hAnsi="Arial"/>
      <w:i/>
      <w:sz w:val="20"/>
      <w:lang w:val="en-AU" w:eastAsia="en-AU"/>
    </w:rPr>
  </w:style>
  <w:style w:type="paragraph" w:styleId="Heading9">
    <w:name w:val="heading 9"/>
    <w:basedOn w:val="Normal"/>
    <w:next w:val="Normal"/>
    <w:link w:val="Heading9Char"/>
    <w:semiHidden/>
    <w:qFormat/>
    <w:locked/>
    <w:rsid w:val="00924F40"/>
    <w:pPr>
      <w:spacing w:before="240" w:after="60"/>
      <w:outlineLvl w:val="8"/>
    </w:pPr>
    <w:rPr>
      <w:rFonts w:ascii="Arial" w:hAnsi="Arial"/>
      <w:b/>
      <w:i/>
      <w:sz w:val="18"/>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EB65B6"/>
    <w:rPr>
      <w:rFonts w:ascii="Tahoma" w:hAnsi="Tahoma"/>
      <w:b/>
      <w:color w:val="000033"/>
      <w:kern w:val="28"/>
      <w:sz w:val="40"/>
      <w:lang w:val="en-GB" w:eastAsia="en-US"/>
    </w:rPr>
  </w:style>
  <w:style w:type="character" w:customStyle="1" w:styleId="Heading2Char">
    <w:name w:val="Heading 2 Char"/>
    <w:link w:val="Heading2"/>
    <w:locked/>
    <w:rsid w:val="00FC3BB8"/>
    <w:rPr>
      <w:rFonts w:ascii="Arial" w:hAnsi="Arial" w:cs="Arial"/>
      <w:b/>
      <w:color w:val="000033"/>
      <w:sz w:val="26"/>
      <w:szCs w:val="22"/>
      <w:lang w:val="en-GB" w:eastAsia="en-US"/>
    </w:rPr>
  </w:style>
  <w:style w:type="character" w:customStyle="1" w:styleId="Heading3Char">
    <w:name w:val="Heading 3 Char"/>
    <w:link w:val="Heading3"/>
    <w:locked/>
    <w:rsid w:val="00101ADB"/>
    <w:rPr>
      <w:rFonts w:ascii="Arial" w:hAnsi="Arial" w:cs="Arial"/>
      <w:b/>
      <w:color w:val="000033"/>
      <w:sz w:val="22"/>
      <w:lang w:val="en-GB" w:eastAsia="en-US"/>
    </w:rPr>
  </w:style>
  <w:style w:type="character" w:customStyle="1" w:styleId="Heading4Char">
    <w:name w:val="Heading 4 Char"/>
    <w:link w:val="Heading4"/>
    <w:locked/>
    <w:rsid w:val="002E7DBF"/>
    <w:rPr>
      <w:rFonts w:ascii="Times New Roman" w:hAnsi="Times New Roman"/>
      <w:b/>
      <w:sz w:val="24"/>
      <w:lang w:val="en-GB" w:eastAsia="en-US"/>
    </w:rPr>
  </w:style>
  <w:style w:type="character" w:customStyle="1" w:styleId="Heading5Char">
    <w:name w:val="Heading 5 Char"/>
    <w:link w:val="Heading5"/>
    <w:uiPriority w:val="99"/>
    <w:locked/>
    <w:rsid w:val="009852DB"/>
    <w:rPr>
      <w:rFonts w:ascii="Times New Roman" w:hAnsi="Times New Roman"/>
      <w:i/>
      <w:sz w:val="24"/>
      <w:lang w:val="en-GB" w:eastAsia="en-US"/>
    </w:rPr>
  </w:style>
  <w:style w:type="character" w:customStyle="1" w:styleId="Heading6Char">
    <w:name w:val="Heading 6 Char"/>
    <w:link w:val="Heading6"/>
    <w:semiHidden/>
    <w:locked/>
    <w:rsid w:val="009852DB"/>
    <w:rPr>
      <w:rFonts w:ascii="Times New Roman" w:hAnsi="Times New Roman"/>
      <w:bCs/>
      <w:i/>
      <w:color w:val="7F7F7F" w:themeColor="text1" w:themeTint="80"/>
      <w:sz w:val="22"/>
      <w:szCs w:val="22"/>
      <w:lang w:val="en-GB" w:eastAsia="en-US"/>
    </w:rPr>
  </w:style>
  <w:style w:type="character" w:customStyle="1" w:styleId="Heading7Char">
    <w:name w:val="Heading 7 Char"/>
    <w:aliases w:val="Appendix Char"/>
    <w:link w:val="Heading7"/>
    <w:semiHidden/>
    <w:locked/>
    <w:rsid w:val="009852DB"/>
    <w:rPr>
      <w:rFonts w:ascii="Times New Roman" w:hAnsi="Times New Roman"/>
      <w:b/>
      <w:sz w:val="24"/>
      <w:szCs w:val="24"/>
    </w:rPr>
  </w:style>
  <w:style w:type="character" w:customStyle="1" w:styleId="Heading8Char">
    <w:name w:val="Heading 8 Char"/>
    <w:link w:val="Heading8"/>
    <w:semiHidden/>
    <w:locked/>
    <w:rsid w:val="009852DB"/>
    <w:rPr>
      <w:rFonts w:ascii="Arial" w:hAnsi="Arial"/>
      <w:i/>
    </w:rPr>
  </w:style>
  <w:style w:type="character" w:customStyle="1" w:styleId="Heading9Char">
    <w:name w:val="Heading 9 Char"/>
    <w:link w:val="Heading9"/>
    <w:semiHidden/>
    <w:locked/>
    <w:rsid w:val="009852DB"/>
    <w:rPr>
      <w:rFonts w:ascii="Arial" w:hAnsi="Arial"/>
      <w:b/>
      <w:i/>
      <w:sz w:val="18"/>
    </w:rPr>
  </w:style>
  <w:style w:type="paragraph" w:customStyle="1" w:styleId="FigureName">
    <w:name w:val="Figure Name"/>
    <w:basedOn w:val="TableName"/>
    <w:next w:val="Normal"/>
    <w:qFormat/>
    <w:rsid w:val="00F7639D"/>
  </w:style>
  <w:style w:type="paragraph" w:customStyle="1" w:styleId="TableName">
    <w:name w:val="Table Name"/>
    <w:basedOn w:val="TableTextLeft"/>
    <w:link w:val="TableNameChar"/>
    <w:qFormat/>
    <w:rsid w:val="00F7639D"/>
    <w:pPr>
      <w:spacing w:before="120" w:after="120"/>
      <w:ind w:left="1080" w:hanging="1080"/>
    </w:pPr>
    <w:rPr>
      <w:b/>
      <w:sz w:val="20"/>
    </w:rPr>
  </w:style>
  <w:style w:type="paragraph" w:customStyle="1" w:styleId="TableTextLeft">
    <w:name w:val="Table Text Left"/>
    <w:uiPriority w:val="99"/>
    <w:qFormat/>
    <w:rsid w:val="008A6CA2"/>
    <w:pPr>
      <w:spacing w:before="40" w:after="40"/>
    </w:pPr>
    <w:rPr>
      <w:rFonts w:ascii="Arial Narrow" w:hAnsi="Arial Narrow"/>
      <w:sz w:val="18"/>
      <w:lang w:val="en-GB" w:eastAsia="en-US"/>
    </w:rPr>
  </w:style>
  <w:style w:type="character" w:customStyle="1" w:styleId="TableNameChar">
    <w:name w:val="Table Name Char"/>
    <w:link w:val="TableName"/>
    <w:locked/>
    <w:rsid w:val="008D7FA3"/>
    <w:rPr>
      <w:rFonts w:ascii="Arial Narrow" w:hAnsi="Arial Narrow" w:cs="Times New Roman"/>
      <w:b/>
    </w:rPr>
  </w:style>
  <w:style w:type="paragraph" w:styleId="Footer">
    <w:name w:val="footer"/>
    <w:aliases w:val="Footer (page number)"/>
    <w:basedOn w:val="Normal"/>
    <w:link w:val="FooterChar"/>
    <w:uiPriority w:val="99"/>
    <w:qFormat/>
    <w:rsid w:val="00280AFD"/>
    <w:pPr>
      <w:tabs>
        <w:tab w:val="right" w:pos="8732"/>
      </w:tabs>
      <w:spacing w:after="0" w:line="240" w:lineRule="atLeast"/>
    </w:pPr>
    <w:rPr>
      <w:i/>
      <w:color w:val="808080"/>
      <w:sz w:val="18"/>
    </w:rPr>
  </w:style>
  <w:style w:type="character" w:customStyle="1" w:styleId="FooterChar">
    <w:name w:val="Footer Char"/>
    <w:aliases w:val="Footer (page number) Char"/>
    <w:link w:val="Footer"/>
    <w:uiPriority w:val="99"/>
    <w:locked/>
    <w:rsid w:val="00280AFD"/>
    <w:rPr>
      <w:rFonts w:ascii="Times New Roman" w:hAnsi="Times New Roman"/>
      <w:i/>
      <w:color w:val="808080"/>
      <w:sz w:val="18"/>
      <w:lang w:val="en-GB" w:eastAsia="en-US"/>
    </w:rPr>
  </w:style>
  <w:style w:type="paragraph" w:customStyle="1" w:styleId="HeadingAppendix1">
    <w:name w:val="Heading Appendix 1"/>
    <w:basedOn w:val="Heading1"/>
    <w:qFormat/>
    <w:rsid w:val="000A4D58"/>
    <w:pPr>
      <w:numPr>
        <w:numId w:val="6"/>
      </w:numPr>
      <w:tabs>
        <w:tab w:val="left" w:pos="2693"/>
      </w:tabs>
    </w:pPr>
  </w:style>
  <w:style w:type="paragraph" w:styleId="FootnoteText">
    <w:name w:val="footnote text"/>
    <w:aliases w:val="Footnote,(NECG) Footnote Text,Footnote Text Char2,(NECG) Footnote Text Char,Footnote Text Char1 Char1"/>
    <w:basedOn w:val="Normal"/>
    <w:link w:val="FootnoteTextChar"/>
    <w:uiPriority w:val="99"/>
    <w:qFormat/>
    <w:rsid w:val="00847798"/>
    <w:pPr>
      <w:overflowPunct w:val="0"/>
      <w:autoSpaceDE w:val="0"/>
      <w:autoSpaceDN w:val="0"/>
      <w:adjustRightInd w:val="0"/>
      <w:spacing w:after="120" w:line="240" w:lineRule="auto"/>
      <w:textAlignment w:val="baseline"/>
    </w:pPr>
    <w:rPr>
      <w:sz w:val="18"/>
      <w:szCs w:val="18"/>
      <w:lang w:val="en-AU"/>
    </w:rPr>
  </w:style>
  <w:style w:type="character" w:customStyle="1" w:styleId="FootnoteTextChar">
    <w:name w:val="Footnote Text Char"/>
    <w:aliases w:val="Footnote Char,(NECG) Footnote Text Char1,Footnote Text Char2 Char,(NECG) Footnote Text Char Char,Footnote Text Char1 Char1 Char"/>
    <w:link w:val="FootnoteText"/>
    <w:uiPriority w:val="99"/>
    <w:locked/>
    <w:rsid w:val="00847798"/>
    <w:rPr>
      <w:rFonts w:ascii="Times New Roman" w:hAnsi="Times New Roman"/>
      <w:sz w:val="18"/>
      <w:szCs w:val="18"/>
      <w:lang w:eastAsia="en-US"/>
    </w:rPr>
  </w:style>
  <w:style w:type="paragraph" w:styleId="TableofFigures">
    <w:name w:val="table of figures"/>
    <w:basedOn w:val="Normal"/>
    <w:next w:val="Normal"/>
    <w:uiPriority w:val="99"/>
    <w:rsid w:val="00874740"/>
    <w:pPr>
      <w:tabs>
        <w:tab w:val="left" w:pos="1418"/>
        <w:tab w:val="right" w:pos="7655"/>
      </w:tabs>
      <w:ind w:left="1418" w:right="1418" w:hanging="1418"/>
    </w:pPr>
    <w:rPr>
      <w:noProof/>
    </w:rPr>
  </w:style>
  <w:style w:type="paragraph" w:styleId="TOC3">
    <w:name w:val="toc 3"/>
    <w:basedOn w:val="TOC2"/>
    <w:next w:val="Normal"/>
    <w:autoRedefine/>
    <w:uiPriority w:val="39"/>
    <w:rsid w:val="00F7639D"/>
    <w:pPr>
      <w:tabs>
        <w:tab w:val="left" w:pos="1800"/>
      </w:tabs>
      <w:ind w:left="1800"/>
    </w:pPr>
  </w:style>
  <w:style w:type="paragraph" w:styleId="TOC2">
    <w:name w:val="toc 2"/>
    <w:basedOn w:val="TOC1"/>
    <w:next w:val="Normal"/>
    <w:uiPriority w:val="39"/>
    <w:rsid w:val="00F7639D"/>
    <w:pPr>
      <w:tabs>
        <w:tab w:val="clear" w:pos="360"/>
        <w:tab w:val="left" w:pos="1080"/>
      </w:tabs>
      <w:spacing w:before="60" w:after="0"/>
      <w:ind w:left="1080" w:hanging="720"/>
    </w:pPr>
    <w:rPr>
      <w:b w:val="0"/>
    </w:rPr>
  </w:style>
  <w:style w:type="paragraph" w:styleId="TOC1">
    <w:name w:val="toc 1"/>
    <w:basedOn w:val="Normal"/>
    <w:next w:val="Normal"/>
    <w:uiPriority w:val="39"/>
    <w:rsid w:val="00CF6CC5"/>
    <w:pPr>
      <w:tabs>
        <w:tab w:val="left" w:pos="360"/>
        <w:tab w:val="right" w:pos="7655"/>
      </w:tabs>
      <w:spacing w:before="360" w:after="60" w:line="240" w:lineRule="auto"/>
      <w:ind w:left="357" w:right="1134" w:hanging="357"/>
    </w:pPr>
    <w:rPr>
      <w:b/>
      <w:noProof/>
      <w:szCs w:val="40"/>
    </w:rPr>
  </w:style>
  <w:style w:type="paragraph" w:styleId="Quote">
    <w:name w:val="Quote"/>
    <w:basedOn w:val="Normal"/>
    <w:link w:val="QuoteChar"/>
    <w:qFormat/>
    <w:rsid w:val="00924F40"/>
    <w:pPr>
      <w:spacing w:line="240" w:lineRule="atLeast"/>
      <w:ind w:left="360" w:right="360"/>
    </w:pPr>
    <w:rPr>
      <w:sz w:val="20"/>
      <w:lang w:val="en-AU" w:eastAsia="en-AU"/>
    </w:rPr>
  </w:style>
  <w:style w:type="character" w:customStyle="1" w:styleId="QuoteChar">
    <w:name w:val="Quote Char"/>
    <w:link w:val="Quote"/>
    <w:locked/>
    <w:rsid w:val="00924F40"/>
    <w:rPr>
      <w:rFonts w:ascii="Times New Roman" w:hAnsi="Times New Roman" w:cs="Times New Roman"/>
    </w:rPr>
  </w:style>
  <w:style w:type="paragraph" w:customStyle="1" w:styleId="Bullet">
    <w:name w:val="Bullet"/>
    <w:basedOn w:val="Normal"/>
    <w:link w:val="BulletChar"/>
    <w:qFormat/>
    <w:rsid w:val="008B275E"/>
    <w:pPr>
      <w:numPr>
        <w:numId w:val="1"/>
      </w:numPr>
      <w:spacing w:after="100"/>
    </w:pPr>
  </w:style>
  <w:style w:type="character" w:customStyle="1" w:styleId="BulletChar">
    <w:name w:val="Bullet Char"/>
    <w:link w:val="Bullet"/>
    <w:uiPriority w:val="99"/>
    <w:locked/>
    <w:rsid w:val="008B275E"/>
    <w:rPr>
      <w:rFonts w:ascii="Times New Roman" w:hAnsi="Times New Roman"/>
      <w:sz w:val="22"/>
      <w:lang w:val="en-GB" w:eastAsia="en-US"/>
    </w:rPr>
  </w:style>
  <w:style w:type="paragraph" w:customStyle="1" w:styleId="Heading1a">
    <w:name w:val="Heading 1a"/>
    <w:basedOn w:val="Heading1"/>
    <w:rsid w:val="000A4D58"/>
    <w:pPr>
      <w:numPr>
        <w:numId w:val="0"/>
      </w:numPr>
    </w:pPr>
    <w:rPr>
      <w:lang w:val="en-AU"/>
    </w:rPr>
  </w:style>
  <w:style w:type="paragraph" w:customStyle="1" w:styleId="TableHeadingLeft">
    <w:name w:val="Table Heading Left"/>
    <w:basedOn w:val="TableTextLeft"/>
    <w:uiPriority w:val="99"/>
    <w:rsid w:val="0025119B"/>
    <w:rPr>
      <w:b/>
    </w:rPr>
  </w:style>
  <w:style w:type="paragraph" w:customStyle="1" w:styleId="TableNotes">
    <w:name w:val="Table Notes"/>
    <w:basedOn w:val="TableTextLeft"/>
    <w:rsid w:val="00F7639D"/>
    <w:pPr>
      <w:keepLines/>
      <w:spacing w:before="60" w:after="0"/>
    </w:pPr>
    <w:rPr>
      <w:sz w:val="16"/>
    </w:rPr>
  </w:style>
  <w:style w:type="paragraph" w:customStyle="1" w:styleId="BulletLast">
    <w:name w:val="Bullet Last"/>
    <w:basedOn w:val="Normal"/>
    <w:qFormat/>
    <w:rsid w:val="008B275E"/>
    <w:pPr>
      <w:numPr>
        <w:numId w:val="5"/>
      </w:numPr>
      <w:ind w:left="681" w:hanging="397"/>
    </w:pPr>
  </w:style>
  <w:style w:type="paragraph" w:customStyle="1" w:styleId="TableBullet">
    <w:name w:val="Table Bullet"/>
    <w:basedOn w:val="TableTextLeft"/>
    <w:uiPriority w:val="99"/>
    <w:rsid w:val="00F7639D"/>
    <w:pPr>
      <w:numPr>
        <w:numId w:val="2"/>
      </w:numPr>
      <w:tabs>
        <w:tab w:val="left" w:pos="216"/>
      </w:tabs>
    </w:pPr>
  </w:style>
  <w:style w:type="paragraph" w:customStyle="1" w:styleId="TableNotesHanging">
    <w:name w:val="Table Notes Hanging"/>
    <w:basedOn w:val="TableNotes"/>
    <w:uiPriority w:val="99"/>
    <w:rsid w:val="00857C3E"/>
    <w:pPr>
      <w:ind w:left="737" w:hanging="737"/>
    </w:pPr>
  </w:style>
  <w:style w:type="character" w:styleId="Hyperlink">
    <w:name w:val="Hyperlink"/>
    <w:uiPriority w:val="99"/>
    <w:rsid w:val="00F7639D"/>
    <w:rPr>
      <w:rFonts w:ascii="Times New Roman" w:hAnsi="Times New Roman" w:cs="Times New Roman"/>
      <w:color w:val="000000"/>
      <w:sz w:val="22"/>
      <w:u w:val="none"/>
    </w:rPr>
  </w:style>
  <w:style w:type="paragraph" w:customStyle="1" w:styleId="TableNotesHangingLast">
    <w:name w:val="Table Notes Hanging Last"/>
    <w:basedOn w:val="TableNotesHanging"/>
    <w:uiPriority w:val="99"/>
    <w:rsid w:val="00857C3E"/>
    <w:pPr>
      <w:spacing w:after="320"/>
    </w:pPr>
  </w:style>
  <w:style w:type="paragraph" w:customStyle="1" w:styleId="TableNotesLast">
    <w:name w:val="Table Notes Last"/>
    <w:basedOn w:val="TableNotes"/>
    <w:rsid w:val="00F7639D"/>
    <w:pPr>
      <w:spacing w:after="320"/>
    </w:pPr>
  </w:style>
  <w:style w:type="paragraph" w:styleId="CommentText">
    <w:name w:val="annotation text"/>
    <w:basedOn w:val="Normal"/>
    <w:link w:val="CommentTextChar"/>
    <w:semiHidden/>
    <w:locked/>
    <w:rsid w:val="00474ECC"/>
    <w:rPr>
      <w:sz w:val="24"/>
      <w:szCs w:val="24"/>
    </w:rPr>
  </w:style>
  <w:style w:type="character" w:customStyle="1" w:styleId="CommentTextChar">
    <w:name w:val="Comment Text Char"/>
    <w:link w:val="CommentText"/>
    <w:semiHidden/>
    <w:locked/>
    <w:rsid w:val="00474ECC"/>
    <w:rPr>
      <w:rFonts w:ascii="Times New Roman" w:hAnsi="Times New Roman" w:cs="Times New Roman"/>
      <w:sz w:val="24"/>
      <w:szCs w:val="24"/>
    </w:rPr>
  </w:style>
  <w:style w:type="paragraph" w:styleId="CommentSubject">
    <w:name w:val="annotation subject"/>
    <w:basedOn w:val="CommentText"/>
    <w:next w:val="CommentText"/>
    <w:link w:val="CommentSubjectChar"/>
    <w:semiHidden/>
    <w:locked/>
    <w:rsid w:val="00474ECC"/>
    <w:rPr>
      <w:sz w:val="22"/>
      <w:szCs w:val="20"/>
    </w:rPr>
  </w:style>
  <w:style w:type="character" w:customStyle="1" w:styleId="CommentSubjectChar">
    <w:name w:val="Comment Subject Char"/>
    <w:basedOn w:val="CommentTextChar"/>
    <w:link w:val="CommentSubject"/>
    <w:semiHidden/>
    <w:locked/>
    <w:rsid w:val="00474ECC"/>
    <w:rPr>
      <w:rFonts w:ascii="Times New Roman" w:hAnsi="Times New Roman" w:cs="Times New Roman"/>
      <w:sz w:val="24"/>
      <w:szCs w:val="24"/>
    </w:rPr>
  </w:style>
  <w:style w:type="paragraph" w:styleId="EndnoteText">
    <w:name w:val="endnote text"/>
    <w:basedOn w:val="Normal"/>
    <w:link w:val="EndnoteTextChar"/>
    <w:semiHidden/>
    <w:locked/>
    <w:rsid w:val="00474ECC"/>
    <w:rPr>
      <w:sz w:val="20"/>
    </w:rPr>
  </w:style>
  <w:style w:type="character" w:customStyle="1" w:styleId="EndnoteTextChar">
    <w:name w:val="Endnote Text Char"/>
    <w:link w:val="EndnoteText"/>
    <w:semiHidden/>
    <w:locked/>
    <w:rsid w:val="00474ECC"/>
    <w:rPr>
      <w:rFonts w:ascii="Times New Roman" w:hAnsi="Times New Roman" w:cs="Times New Roman"/>
    </w:rPr>
  </w:style>
  <w:style w:type="paragraph" w:styleId="Index1">
    <w:name w:val="index 1"/>
    <w:basedOn w:val="Normal"/>
    <w:next w:val="Normal"/>
    <w:autoRedefine/>
    <w:uiPriority w:val="99"/>
    <w:semiHidden/>
    <w:locked/>
    <w:rsid w:val="00474ECC"/>
    <w:pPr>
      <w:ind w:left="220" w:hanging="220"/>
    </w:pPr>
  </w:style>
  <w:style w:type="paragraph" w:styleId="Index2">
    <w:name w:val="index 2"/>
    <w:basedOn w:val="Normal"/>
    <w:next w:val="Normal"/>
    <w:autoRedefine/>
    <w:semiHidden/>
    <w:locked/>
    <w:rsid w:val="00474ECC"/>
    <w:pPr>
      <w:ind w:left="440" w:hanging="220"/>
    </w:pPr>
  </w:style>
  <w:style w:type="paragraph" w:styleId="Index3">
    <w:name w:val="index 3"/>
    <w:basedOn w:val="Normal"/>
    <w:next w:val="Normal"/>
    <w:autoRedefine/>
    <w:semiHidden/>
    <w:locked/>
    <w:rsid w:val="00474ECC"/>
    <w:pPr>
      <w:ind w:left="660" w:hanging="220"/>
    </w:pPr>
  </w:style>
  <w:style w:type="paragraph" w:styleId="Index4">
    <w:name w:val="index 4"/>
    <w:basedOn w:val="Normal"/>
    <w:next w:val="Normal"/>
    <w:autoRedefine/>
    <w:semiHidden/>
    <w:locked/>
    <w:rsid w:val="00474ECC"/>
    <w:pPr>
      <w:ind w:left="880" w:hanging="220"/>
    </w:pPr>
  </w:style>
  <w:style w:type="paragraph" w:styleId="Index5">
    <w:name w:val="index 5"/>
    <w:basedOn w:val="Normal"/>
    <w:next w:val="Normal"/>
    <w:autoRedefine/>
    <w:semiHidden/>
    <w:locked/>
    <w:rsid w:val="00474ECC"/>
    <w:pPr>
      <w:ind w:left="1100" w:hanging="220"/>
    </w:pPr>
  </w:style>
  <w:style w:type="paragraph" w:styleId="Index6">
    <w:name w:val="index 6"/>
    <w:basedOn w:val="Normal"/>
    <w:next w:val="Normal"/>
    <w:autoRedefine/>
    <w:semiHidden/>
    <w:locked/>
    <w:rsid w:val="00474ECC"/>
    <w:pPr>
      <w:ind w:left="1320" w:hanging="220"/>
    </w:pPr>
  </w:style>
  <w:style w:type="paragraph" w:styleId="Index7">
    <w:name w:val="index 7"/>
    <w:basedOn w:val="Normal"/>
    <w:next w:val="Normal"/>
    <w:autoRedefine/>
    <w:semiHidden/>
    <w:locked/>
    <w:rsid w:val="00474ECC"/>
    <w:pPr>
      <w:ind w:left="1540" w:hanging="220"/>
    </w:pPr>
  </w:style>
  <w:style w:type="paragraph" w:styleId="Index8">
    <w:name w:val="index 8"/>
    <w:basedOn w:val="Normal"/>
    <w:next w:val="Normal"/>
    <w:autoRedefine/>
    <w:semiHidden/>
    <w:locked/>
    <w:rsid w:val="00474ECC"/>
    <w:pPr>
      <w:ind w:left="1760" w:hanging="220"/>
    </w:pPr>
  </w:style>
  <w:style w:type="paragraph" w:styleId="Index9">
    <w:name w:val="index 9"/>
    <w:basedOn w:val="Normal"/>
    <w:next w:val="Normal"/>
    <w:autoRedefine/>
    <w:semiHidden/>
    <w:locked/>
    <w:rsid w:val="00474ECC"/>
    <w:pPr>
      <w:ind w:left="1980" w:hanging="220"/>
    </w:pPr>
  </w:style>
  <w:style w:type="paragraph" w:styleId="IndexHeading">
    <w:name w:val="index heading"/>
    <w:basedOn w:val="Normal"/>
    <w:next w:val="Index1"/>
    <w:semiHidden/>
    <w:locked/>
    <w:rsid w:val="00474ECC"/>
    <w:rPr>
      <w:rFonts w:ascii="Arial" w:hAnsi="Arial" w:cs="Arial"/>
      <w:b/>
      <w:bCs/>
    </w:rPr>
  </w:style>
  <w:style w:type="paragraph" w:styleId="Caption">
    <w:name w:val="caption"/>
    <w:basedOn w:val="Normal"/>
    <w:next w:val="Normal"/>
    <w:semiHidden/>
    <w:qFormat/>
    <w:locked/>
    <w:rsid w:val="00C768A3"/>
    <w:pPr>
      <w:spacing w:after="200" w:line="240" w:lineRule="auto"/>
    </w:pPr>
    <w:rPr>
      <w:b/>
      <w:bCs/>
      <w:color w:val="4F81BD" w:themeColor="accent1"/>
      <w:sz w:val="18"/>
      <w:szCs w:val="18"/>
    </w:rPr>
  </w:style>
  <w:style w:type="paragraph" w:styleId="TOAHeading">
    <w:name w:val="toa heading"/>
    <w:basedOn w:val="Normal"/>
    <w:next w:val="Normal"/>
    <w:semiHidden/>
    <w:locked/>
    <w:rsid w:val="00474ECC"/>
    <w:pPr>
      <w:spacing w:before="120"/>
    </w:pPr>
    <w:rPr>
      <w:rFonts w:ascii="Arial" w:hAnsi="Arial" w:cs="Arial"/>
      <w:b/>
      <w:bCs/>
      <w:sz w:val="24"/>
      <w:szCs w:val="24"/>
    </w:rPr>
  </w:style>
  <w:style w:type="paragraph" w:customStyle="1" w:styleId="QuoteBullet">
    <w:name w:val="Quote Bullet"/>
    <w:basedOn w:val="Quote"/>
    <w:uiPriority w:val="99"/>
    <w:qFormat/>
    <w:rsid w:val="00F7639D"/>
    <w:pPr>
      <w:numPr>
        <w:numId w:val="3"/>
      </w:numPr>
      <w:ind w:left="714" w:right="357" w:hanging="357"/>
    </w:pPr>
  </w:style>
  <w:style w:type="paragraph" w:customStyle="1" w:styleId="References">
    <w:name w:val="References"/>
    <w:basedOn w:val="Normal"/>
    <w:qFormat/>
    <w:rsid w:val="00F24C6B"/>
    <w:pPr>
      <w:ind w:left="567" w:hanging="567"/>
    </w:pPr>
    <w:rPr>
      <w:szCs w:val="24"/>
    </w:rPr>
  </w:style>
  <w:style w:type="table" w:styleId="TableGrid">
    <w:name w:val="Table Grid"/>
    <w:basedOn w:val="TableNormal"/>
    <w:locked/>
    <w:rsid w:val="00474ECC"/>
    <w:pPr>
      <w:spacing w:after="220" w:line="280" w:lineRule="atLeast"/>
    </w:pPr>
    <w:rPr>
      <w:rFonts w:ascii="Times New Roman" w:eastAsia="SimSu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semiHidden/>
    <w:rsid w:val="00474ECC"/>
    <w:rPr>
      <w:rFonts w:ascii="Times New Roman" w:eastAsia="SimSun" w:hAnsi="Times New Roman"/>
      <w:sz w:val="22"/>
      <w:lang w:val="en-GB" w:eastAsia="en-US"/>
    </w:rPr>
  </w:style>
  <w:style w:type="table" w:customStyle="1" w:styleId="Style1">
    <w:name w:val="Style1"/>
    <w:locked/>
    <w:rsid w:val="00474ECC"/>
    <w:rPr>
      <w:rFonts w:ascii="Arial Narrow" w:eastAsia="SimSun" w:hAnsi="Arial Narrow"/>
      <w:sz w:val="18"/>
    </w:rPr>
    <w:tblPr>
      <w:tblInd w:w="0" w:type="dxa"/>
      <w:tblBorders>
        <w:top w:val="single" w:sz="8" w:space="0" w:color="333399"/>
        <w:bottom w:val="single" w:sz="8" w:space="0" w:color="333399"/>
      </w:tblBorders>
      <w:tblCellMar>
        <w:top w:w="0" w:type="dxa"/>
        <w:left w:w="108" w:type="dxa"/>
        <w:bottom w:w="0" w:type="dxa"/>
        <w:right w:w="108" w:type="dxa"/>
      </w:tblCellMar>
    </w:tblPr>
  </w:style>
  <w:style w:type="paragraph" w:styleId="PlainText">
    <w:name w:val="Plain Text"/>
    <w:basedOn w:val="Normal"/>
    <w:link w:val="PlainTextChar"/>
    <w:semiHidden/>
    <w:locked/>
    <w:rsid w:val="00474ECC"/>
    <w:rPr>
      <w:rFonts w:ascii="Consolas" w:hAnsi="Consolas"/>
      <w:sz w:val="21"/>
      <w:szCs w:val="21"/>
    </w:rPr>
  </w:style>
  <w:style w:type="character" w:customStyle="1" w:styleId="PlainTextChar">
    <w:name w:val="Plain Text Char"/>
    <w:link w:val="PlainText"/>
    <w:semiHidden/>
    <w:locked/>
    <w:rsid w:val="00474ECC"/>
    <w:rPr>
      <w:rFonts w:ascii="Consolas" w:hAnsi="Consolas" w:cs="Times New Roman"/>
      <w:sz w:val="21"/>
      <w:szCs w:val="21"/>
    </w:rPr>
  </w:style>
  <w:style w:type="table" w:customStyle="1" w:styleId="icrctable">
    <w:name w:val="icrc table"/>
    <w:basedOn w:val="TableSimple1"/>
    <w:locked/>
    <w:rsid w:val="00F7639D"/>
    <w:rPr>
      <w:rFonts w:ascii="Arial Narrow" w:hAnsi="Arial Narrow"/>
      <w:sz w:val="18"/>
      <w:lang w:val="en-US" w:eastAsia="en-US"/>
    </w:rPr>
    <w:tblPr>
      <w:tblInd w:w="0" w:type="dxa"/>
      <w:tblBorders>
        <w:top w:val="single" w:sz="8" w:space="0" w:color="333399"/>
        <w:bottom w:val="single" w:sz="8" w:space="0" w:color="333399"/>
      </w:tblBorders>
      <w:tblCellMar>
        <w:top w:w="0" w:type="dxa"/>
        <w:left w:w="108" w:type="dxa"/>
        <w:bottom w:w="0" w:type="dxa"/>
        <w:right w:w="108" w:type="dxa"/>
      </w:tblCellMar>
    </w:tblPr>
    <w:tblStylePr w:type="firstRow">
      <w:rPr>
        <w:rFonts w:cs="Times New Roman"/>
      </w:rPr>
      <w:tblPr/>
      <w:tcPr>
        <w:tcBorders>
          <w:bottom w:val="single" w:sz="4" w:space="0" w:color="333399"/>
          <w:tl2br w:val="none" w:sz="0" w:space="0" w:color="auto"/>
          <w:tr2bl w:val="none" w:sz="0" w:space="0" w:color="auto"/>
        </w:tcBorders>
        <w:shd w:val="clear" w:color="auto" w:fill="auto"/>
      </w:tcPr>
    </w:tblStylePr>
    <w:tblStylePr w:type="lastRow">
      <w:rPr>
        <w:rFonts w:cs="Times New Roman"/>
      </w:rPr>
      <w:tblPr/>
      <w:tcPr>
        <w:tcBorders>
          <w:top w:val="single" w:sz="4" w:space="0" w:color="333399"/>
          <w:tl2br w:val="none" w:sz="0" w:space="0" w:color="auto"/>
          <w:tr2bl w:val="none" w:sz="0" w:space="0" w:color="auto"/>
        </w:tcBorders>
        <w:shd w:val="clear" w:color="auto" w:fill="auto"/>
      </w:tcPr>
    </w:tblStylePr>
  </w:style>
  <w:style w:type="table" w:styleId="TableSimple1">
    <w:name w:val="Table Simple 1"/>
    <w:basedOn w:val="TableNormal"/>
    <w:locked/>
    <w:rsid w:val="00F7639D"/>
    <w:pPr>
      <w:spacing w:after="220" w:line="280" w:lineRule="atLeast"/>
    </w:pPr>
    <w:rPr>
      <w:rFonts w:ascii="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Headerodd">
    <w:name w:val="Header (odd)"/>
    <w:basedOn w:val="Normal"/>
    <w:rsid w:val="006D6B12"/>
    <w:pPr>
      <w:spacing w:after="0"/>
      <w:jc w:val="right"/>
    </w:pPr>
    <w:rPr>
      <w:i/>
      <w:color w:val="808080"/>
      <w:sz w:val="18"/>
      <w:szCs w:val="18"/>
    </w:rPr>
  </w:style>
  <w:style w:type="paragraph" w:customStyle="1" w:styleId="Headereven">
    <w:name w:val="Header (even)"/>
    <w:basedOn w:val="Headerodd"/>
    <w:rsid w:val="006D6B12"/>
    <w:pPr>
      <w:jc w:val="left"/>
    </w:pPr>
  </w:style>
  <w:style w:type="table" w:customStyle="1" w:styleId="ICRC">
    <w:name w:val="ICRC"/>
    <w:locked/>
    <w:rsid w:val="00474ECC"/>
    <w:rPr>
      <w:rFonts w:ascii="Arial Narrow" w:hAnsi="Arial Narrow"/>
      <w:sz w:val="18"/>
    </w:rPr>
    <w:tblPr>
      <w:tblInd w:w="0" w:type="dxa"/>
      <w:tblBorders>
        <w:bottom w:val="single" w:sz="12" w:space="0" w:color="333399"/>
      </w:tblBorders>
      <w:tblCellMar>
        <w:top w:w="0" w:type="dxa"/>
        <w:left w:w="108" w:type="dxa"/>
        <w:bottom w:w="0" w:type="dxa"/>
        <w:right w:w="108" w:type="dxa"/>
      </w:tblCellMar>
    </w:tblPr>
  </w:style>
  <w:style w:type="paragraph" w:customStyle="1" w:styleId="FigureText">
    <w:name w:val="Figure Text"/>
    <w:basedOn w:val="Normal"/>
    <w:qFormat/>
    <w:rsid w:val="00F7639D"/>
    <w:pPr>
      <w:spacing w:after="0" w:line="240" w:lineRule="auto"/>
    </w:pPr>
    <w:rPr>
      <w:rFonts w:ascii="Arial" w:hAnsi="Arial"/>
      <w:sz w:val="16"/>
    </w:rPr>
  </w:style>
  <w:style w:type="character" w:styleId="EndnoteReference">
    <w:name w:val="endnote reference"/>
    <w:uiPriority w:val="99"/>
    <w:semiHidden/>
    <w:unhideWhenUsed/>
    <w:locked/>
    <w:rsid w:val="001609AB"/>
    <w:rPr>
      <w:vertAlign w:val="superscript"/>
    </w:rPr>
  </w:style>
  <w:style w:type="paragraph" w:styleId="BalloonText">
    <w:name w:val="Balloon Text"/>
    <w:basedOn w:val="Normal"/>
    <w:link w:val="BalloonTextChar"/>
    <w:uiPriority w:val="99"/>
    <w:semiHidden/>
    <w:unhideWhenUsed/>
    <w:locked/>
    <w:rsid w:val="005F11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114B"/>
    <w:rPr>
      <w:rFonts w:ascii="Tahoma" w:hAnsi="Tahoma" w:cs="Tahoma"/>
      <w:sz w:val="16"/>
      <w:szCs w:val="16"/>
      <w:lang w:val="en-GB" w:eastAsia="en-US"/>
    </w:rPr>
  </w:style>
  <w:style w:type="character" w:styleId="CommentReference">
    <w:name w:val="annotation reference"/>
    <w:basedOn w:val="DefaultParagraphFont"/>
    <w:uiPriority w:val="99"/>
    <w:semiHidden/>
    <w:unhideWhenUsed/>
    <w:locked/>
    <w:rsid w:val="0031462D"/>
    <w:rPr>
      <w:sz w:val="16"/>
      <w:szCs w:val="16"/>
    </w:rPr>
  </w:style>
  <w:style w:type="character" w:styleId="PlaceholderText">
    <w:name w:val="Placeholder Text"/>
    <w:basedOn w:val="DefaultParagraphFont"/>
    <w:uiPriority w:val="99"/>
    <w:semiHidden/>
    <w:locked/>
    <w:rsid w:val="0074389C"/>
    <w:rPr>
      <w:color w:val="808080"/>
    </w:rPr>
  </w:style>
  <w:style w:type="paragraph" w:customStyle="1" w:styleId="HeadingPart">
    <w:name w:val="Heading Part"/>
    <w:basedOn w:val="Heading1"/>
    <w:qFormat/>
    <w:rsid w:val="000A4D58"/>
    <w:pPr>
      <w:numPr>
        <w:numId w:val="4"/>
      </w:numPr>
      <w:tabs>
        <w:tab w:val="left" w:pos="1843"/>
      </w:tabs>
    </w:pPr>
  </w:style>
  <w:style w:type="character" w:styleId="FootnoteReference">
    <w:name w:val="footnote reference"/>
    <w:aliases w:val="(NECG) Footnote Reference"/>
    <w:basedOn w:val="DefaultParagraphFont"/>
    <w:uiPriority w:val="99"/>
    <w:unhideWhenUsed/>
    <w:rsid w:val="00FE0570"/>
    <w:rPr>
      <w:vertAlign w:val="superscript"/>
    </w:rPr>
  </w:style>
  <w:style w:type="character" w:customStyle="1" w:styleId="Italic">
    <w:name w:val="Italic"/>
    <w:basedOn w:val="DefaultParagraphFont"/>
    <w:uiPriority w:val="1"/>
    <w:qFormat/>
    <w:rsid w:val="00F24C6B"/>
    <w:rPr>
      <w:i/>
    </w:rPr>
  </w:style>
  <w:style w:type="character" w:customStyle="1" w:styleId="HighlightYellow">
    <w:name w:val="Highlight Yellow"/>
    <w:basedOn w:val="DefaultParagraphFont"/>
    <w:uiPriority w:val="1"/>
    <w:qFormat/>
    <w:rsid w:val="00A75C51"/>
    <w:rPr>
      <w:sz w:val="22"/>
      <w:szCs w:val="24"/>
      <w:bdr w:val="none" w:sz="0" w:space="0" w:color="auto"/>
      <w:shd w:val="clear" w:color="auto" w:fill="FFFF00"/>
    </w:rPr>
  </w:style>
  <w:style w:type="character" w:customStyle="1" w:styleId="HighlightGreen">
    <w:name w:val="Highlight Green"/>
    <w:basedOn w:val="HighlightYellow"/>
    <w:uiPriority w:val="1"/>
    <w:qFormat/>
    <w:rsid w:val="00FF5F02"/>
    <w:rPr>
      <w:sz w:val="22"/>
      <w:szCs w:val="24"/>
      <w:bdr w:val="none" w:sz="0" w:space="0" w:color="auto"/>
      <w:shd w:val="clear" w:color="auto" w:fill="92D050"/>
    </w:rPr>
  </w:style>
  <w:style w:type="character" w:customStyle="1" w:styleId="HighlightBlue">
    <w:name w:val="Highlight Blue"/>
    <w:basedOn w:val="HighlightGreen"/>
    <w:uiPriority w:val="1"/>
    <w:qFormat/>
    <w:rsid w:val="00FF5F02"/>
    <w:rPr>
      <w:sz w:val="22"/>
      <w:szCs w:val="24"/>
      <w:bdr w:val="none" w:sz="0" w:space="0" w:color="auto"/>
      <w:shd w:val="clear" w:color="auto" w:fill="00B0F0"/>
    </w:rPr>
  </w:style>
  <w:style w:type="character" w:customStyle="1" w:styleId="Bold">
    <w:name w:val="Bold"/>
    <w:basedOn w:val="DefaultParagraphFont"/>
    <w:qFormat/>
    <w:rsid w:val="00FB72CD"/>
    <w:rPr>
      <w:rFonts w:eastAsia="SimSun"/>
      <w:b/>
      <w:lang w:val="en-AU"/>
    </w:rPr>
  </w:style>
  <w:style w:type="paragraph" w:customStyle="1" w:styleId="Heading50">
    <w:name w:val="Heading 5^"/>
    <w:basedOn w:val="Heading5"/>
    <w:link w:val="Heading5Char0"/>
    <w:qFormat/>
    <w:rsid w:val="001822C4"/>
    <w:pPr>
      <w:spacing w:before="0" w:after="120"/>
    </w:pPr>
    <w:rPr>
      <w:szCs w:val="24"/>
      <w:lang w:val="en-AU"/>
    </w:rPr>
  </w:style>
  <w:style w:type="character" w:customStyle="1" w:styleId="Heading5Char0">
    <w:name w:val="Heading 5^ Char"/>
    <w:basedOn w:val="Heading5Char"/>
    <w:link w:val="Heading50"/>
    <w:rsid w:val="001822C4"/>
    <w:rPr>
      <w:rFonts w:ascii="Times New Roman" w:hAnsi="Times New Roman"/>
      <w:i/>
      <w:sz w:val="24"/>
      <w:szCs w:val="24"/>
      <w:lang w:val="en-GB" w:eastAsia="en-US"/>
    </w:rPr>
  </w:style>
  <w:style w:type="paragraph" w:customStyle="1" w:styleId="QuoteListnumber">
    <w:name w:val="Quote List (number)"/>
    <w:basedOn w:val="Normal"/>
    <w:rsid w:val="005566BA"/>
    <w:rPr>
      <w:sz w:val="20"/>
    </w:rPr>
  </w:style>
  <w:style w:type="paragraph" w:customStyle="1" w:styleId="TableHeadingRight">
    <w:name w:val="Table Heading Right"/>
    <w:basedOn w:val="TableHeadingLeft"/>
    <w:qFormat/>
    <w:rsid w:val="00280AFD"/>
    <w:pPr>
      <w:jc w:val="right"/>
    </w:pPr>
  </w:style>
  <w:style w:type="paragraph" w:customStyle="1" w:styleId="TableTextRight">
    <w:name w:val="Table Text Right"/>
    <w:basedOn w:val="TableTextLeft"/>
    <w:qFormat/>
    <w:rsid w:val="008A6CA2"/>
    <w:pPr>
      <w:jc w:val="right"/>
    </w:pPr>
  </w:style>
  <w:style w:type="paragraph" w:customStyle="1" w:styleId="HeadingAppendix2">
    <w:name w:val="Heading Appendix 2"/>
    <w:basedOn w:val="Heading2"/>
    <w:qFormat/>
    <w:rsid w:val="00D42FF9"/>
    <w:pPr>
      <w:numPr>
        <w:numId w:val="6"/>
      </w:numPr>
    </w:pPr>
  </w:style>
  <w:style w:type="paragraph" w:customStyle="1" w:styleId="HeadingAppendix3">
    <w:name w:val="Heading Appendix 3"/>
    <w:basedOn w:val="Heading3"/>
    <w:qFormat/>
    <w:rsid w:val="00D42FF9"/>
    <w:pPr>
      <w:numPr>
        <w:numId w:val="6"/>
      </w:numPr>
    </w:pPr>
  </w:style>
  <w:style w:type="paragraph" w:styleId="DocumentMap">
    <w:name w:val="Document Map"/>
    <w:basedOn w:val="Normal"/>
    <w:link w:val="DocumentMapChar"/>
    <w:uiPriority w:val="99"/>
    <w:semiHidden/>
    <w:unhideWhenUsed/>
    <w:locked/>
    <w:rsid w:val="00E258B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258B7"/>
    <w:rPr>
      <w:rFonts w:ascii="Tahoma" w:hAnsi="Tahoma" w:cs="Tahoma"/>
      <w:sz w:val="16"/>
      <w:szCs w:val="16"/>
      <w:lang w:val="en-GB" w:eastAsia="en-US"/>
    </w:rPr>
  </w:style>
  <w:style w:type="paragraph" w:customStyle="1" w:styleId="QuoteListletter">
    <w:name w:val="Quote List (letter)"/>
    <w:basedOn w:val="QuoteListnumber"/>
    <w:qFormat/>
    <w:rsid w:val="005566BA"/>
    <w:pPr>
      <w:numPr>
        <w:ilvl w:val="1"/>
      </w:numPr>
    </w:pPr>
  </w:style>
  <w:style w:type="character" w:styleId="Emphasis">
    <w:name w:val="Emphasis"/>
    <w:basedOn w:val="DefaultParagraphFont"/>
    <w:qFormat/>
    <w:locked/>
    <w:rsid w:val="00F4763B"/>
    <w:rPr>
      <w:i/>
      <w:iCs/>
    </w:rPr>
  </w:style>
  <w:style w:type="paragraph" w:customStyle="1" w:styleId="Equation">
    <w:name w:val="Equation"/>
    <w:basedOn w:val="EquationVariables"/>
    <w:uiPriority w:val="99"/>
    <w:qFormat/>
    <w:rsid w:val="00F7295F"/>
    <w:pPr>
      <w:tabs>
        <w:tab w:val="clear" w:pos="1985"/>
      </w:tabs>
      <w:ind w:left="1418" w:firstLine="0"/>
    </w:pPr>
  </w:style>
  <w:style w:type="paragraph" w:customStyle="1" w:styleId="EquationVariables">
    <w:name w:val="Equation Variables"/>
    <w:basedOn w:val="Normal"/>
    <w:qFormat/>
    <w:rsid w:val="00F7295F"/>
    <w:pPr>
      <w:tabs>
        <w:tab w:val="left" w:pos="1985"/>
      </w:tabs>
      <w:ind w:left="2552" w:hanging="1134"/>
    </w:pPr>
  </w:style>
  <w:style w:type="paragraph" w:customStyle="1" w:styleId="HeadingAppendix">
    <w:name w:val="Heading Appendix"/>
    <w:basedOn w:val="Heading1"/>
    <w:uiPriority w:val="99"/>
    <w:locked/>
    <w:rsid w:val="006E1C49"/>
    <w:pPr>
      <w:numPr>
        <w:numId w:val="0"/>
      </w:numPr>
      <w:tabs>
        <w:tab w:val="left" w:pos="2693"/>
      </w:tabs>
      <w:ind w:left="2693" w:hanging="2693"/>
    </w:pPr>
  </w:style>
  <w:style w:type="paragraph" w:customStyle="1" w:styleId="Bodybulletintro">
    <w:name w:val="Body (bullet intro)"/>
    <w:basedOn w:val="Normal"/>
    <w:qFormat/>
    <w:rsid w:val="00C47CD1"/>
    <w:pPr>
      <w:keepNext/>
      <w:spacing w:after="100"/>
    </w:pPr>
  </w:style>
  <w:style w:type="paragraph" w:customStyle="1" w:styleId="Bodytableoutro">
    <w:name w:val="Body (table outro)"/>
    <w:basedOn w:val="Normal"/>
    <w:qFormat/>
    <w:rsid w:val="00814952"/>
    <w:pPr>
      <w:spacing w:before="220"/>
    </w:pPr>
  </w:style>
  <w:style w:type="paragraph" w:customStyle="1" w:styleId="TableTextLeftIndent">
    <w:name w:val="Table Text Left Indent"/>
    <w:basedOn w:val="TableTextLeft"/>
    <w:qFormat/>
    <w:rsid w:val="008A6CA2"/>
    <w:pPr>
      <w:ind w:left="170"/>
    </w:pPr>
    <w:rPr>
      <w:lang w:val="en-AU" w:eastAsia="en-AU"/>
    </w:rPr>
  </w:style>
  <w:style w:type="paragraph" w:customStyle="1" w:styleId="ToRName">
    <w:name w:val="ToR Name"/>
    <w:basedOn w:val="Normal"/>
    <w:uiPriority w:val="99"/>
    <w:rsid w:val="001A0127"/>
    <w:pPr>
      <w:tabs>
        <w:tab w:val="left" w:pos="2400"/>
        <w:tab w:val="left" w:pos="2880"/>
      </w:tabs>
      <w:spacing w:before="1220" w:after="100" w:line="240" w:lineRule="auto"/>
    </w:pPr>
    <w:rPr>
      <w:rFonts w:ascii="Arial" w:eastAsia="Times New Roman" w:hAnsi="Arial"/>
      <w:b/>
      <w:sz w:val="40"/>
      <w:lang w:val="en-AU"/>
    </w:rPr>
  </w:style>
  <w:style w:type="paragraph" w:customStyle="1" w:styleId="ToRCoverActs">
    <w:name w:val="ToR Cover Acts"/>
    <w:basedOn w:val="Normal"/>
    <w:uiPriority w:val="99"/>
    <w:rsid w:val="001A0127"/>
    <w:pPr>
      <w:tabs>
        <w:tab w:val="left" w:pos="2600"/>
      </w:tabs>
      <w:spacing w:before="200" w:after="60" w:line="240" w:lineRule="auto"/>
      <w:jc w:val="both"/>
    </w:pPr>
    <w:rPr>
      <w:rFonts w:ascii="Arial" w:eastAsia="Times New Roman" w:hAnsi="Arial"/>
      <w:b/>
      <w:sz w:val="24"/>
      <w:lang w:val="en-AU"/>
    </w:rPr>
  </w:style>
  <w:style w:type="paragraph" w:customStyle="1" w:styleId="CoverReport">
    <w:name w:val="Cover Report"/>
    <w:basedOn w:val="Normal"/>
    <w:qFormat/>
    <w:rsid w:val="00287869"/>
    <w:pPr>
      <w:spacing w:after="80"/>
      <w:ind w:left="142" w:right="98"/>
      <w:jc w:val="right"/>
    </w:pPr>
    <w:rPr>
      <w:rFonts w:ascii="Arial" w:hAnsi="Arial"/>
      <w:bCs/>
      <w:sz w:val="36"/>
      <w:szCs w:val="36"/>
      <w:lang w:val="en-AU"/>
    </w:rPr>
  </w:style>
  <w:style w:type="paragraph" w:customStyle="1" w:styleId="CoverInquiry">
    <w:name w:val="Cover Inquiry"/>
    <w:basedOn w:val="Normal"/>
    <w:qFormat/>
    <w:rsid w:val="00287869"/>
    <w:pPr>
      <w:ind w:left="142" w:right="98"/>
      <w:jc w:val="right"/>
    </w:pPr>
    <w:rPr>
      <w:rFonts w:ascii="Arial" w:hAnsi="Arial" w:cs="Arial"/>
      <w:b/>
      <w:color w:val="000033"/>
      <w:sz w:val="48"/>
      <w:szCs w:val="48"/>
    </w:rPr>
  </w:style>
  <w:style w:type="paragraph" w:customStyle="1" w:styleId="CoverReportNumMonth">
    <w:name w:val="Cover ReportNum &amp; Month"/>
    <w:basedOn w:val="Normal"/>
    <w:qFormat/>
    <w:rsid w:val="00287869"/>
    <w:pPr>
      <w:ind w:left="142" w:right="98"/>
      <w:jc w:val="right"/>
    </w:pPr>
    <w:rPr>
      <w:rFonts w:ascii="Arial" w:hAnsi="Arial"/>
      <w:b/>
      <w:sz w:val="24"/>
      <w:lang w:val="en-AU"/>
    </w:rPr>
  </w:style>
  <w:style w:type="character" w:customStyle="1" w:styleId="charBoldItals">
    <w:name w:val="charBoldItals"/>
    <w:basedOn w:val="DefaultParagraphFont"/>
    <w:uiPriority w:val="99"/>
    <w:rsid w:val="00DC784F"/>
    <w:rPr>
      <w:rFonts w:cs="Times New Roman"/>
      <w:b/>
      <w:bCs/>
      <w:i/>
      <w:iCs/>
    </w:rPr>
  </w:style>
  <w:style w:type="paragraph" w:customStyle="1" w:styleId="Apara">
    <w:name w:val="A para"/>
    <w:basedOn w:val="Normal"/>
    <w:uiPriority w:val="99"/>
    <w:rsid w:val="00DC784F"/>
    <w:pPr>
      <w:tabs>
        <w:tab w:val="right" w:pos="1400"/>
        <w:tab w:val="left" w:pos="1600"/>
      </w:tabs>
      <w:spacing w:before="80" w:after="60" w:line="240" w:lineRule="auto"/>
      <w:ind w:left="1600" w:hanging="1600"/>
      <w:jc w:val="both"/>
      <w:outlineLvl w:val="6"/>
    </w:pPr>
    <w:rPr>
      <w:rFonts w:eastAsia="Times New Roman"/>
      <w:sz w:val="24"/>
      <w:lang w:val="en-AU"/>
    </w:rPr>
  </w:style>
  <w:style w:type="paragraph" w:customStyle="1" w:styleId="AH5Sec">
    <w:name w:val="A H5 Sec"/>
    <w:basedOn w:val="Normal"/>
    <w:next w:val="Normal"/>
    <w:uiPriority w:val="99"/>
    <w:rsid w:val="00DC784F"/>
    <w:pPr>
      <w:keepNext/>
      <w:tabs>
        <w:tab w:val="left" w:pos="1100"/>
      </w:tabs>
      <w:spacing w:before="180" w:after="60" w:line="240" w:lineRule="auto"/>
      <w:ind w:left="1100" w:hanging="1100"/>
      <w:outlineLvl w:val="4"/>
    </w:pPr>
    <w:rPr>
      <w:rFonts w:ascii="Arial" w:eastAsia="Times New Roman" w:hAnsi="Arial"/>
      <w:b/>
      <w:sz w:val="24"/>
      <w:lang w:val="en-AU"/>
    </w:rPr>
  </w:style>
  <w:style w:type="paragraph" w:customStyle="1" w:styleId="Amain">
    <w:name w:val="A main"/>
    <w:basedOn w:val="Normal"/>
    <w:uiPriority w:val="99"/>
    <w:rsid w:val="00DC784F"/>
    <w:pPr>
      <w:tabs>
        <w:tab w:val="right" w:pos="900"/>
        <w:tab w:val="left" w:pos="1100"/>
      </w:tabs>
      <w:spacing w:before="80" w:after="60" w:line="240" w:lineRule="auto"/>
      <w:ind w:left="1100" w:hanging="1100"/>
      <w:jc w:val="both"/>
      <w:outlineLvl w:val="5"/>
    </w:pPr>
    <w:rPr>
      <w:rFonts w:eastAsia="Times New Roman"/>
      <w:sz w:val="24"/>
      <w:lang w:val="en-AU"/>
    </w:rPr>
  </w:style>
  <w:style w:type="paragraph" w:customStyle="1" w:styleId="aNote">
    <w:name w:val="aNote"/>
    <w:basedOn w:val="Normal"/>
    <w:uiPriority w:val="99"/>
    <w:rsid w:val="00DC784F"/>
    <w:pPr>
      <w:spacing w:before="80" w:after="60" w:line="240" w:lineRule="auto"/>
      <w:ind w:left="1900" w:hanging="800"/>
      <w:jc w:val="both"/>
    </w:pPr>
    <w:rPr>
      <w:rFonts w:eastAsia="Times New Roman"/>
      <w:sz w:val="20"/>
      <w:lang w:val="en-AU"/>
    </w:rPr>
  </w:style>
  <w:style w:type="character" w:customStyle="1" w:styleId="CharSectNo">
    <w:name w:val="CharSectNo"/>
    <w:basedOn w:val="DefaultParagraphFont"/>
    <w:uiPriority w:val="99"/>
    <w:rsid w:val="00DC784F"/>
    <w:rPr>
      <w:rFonts w:cs="Times New Roman"/>
    </w:rPr>
  </w:style>
  <w:style w:type="paragraph" w:styleId="ListParagraph">
    <w:name w:val="List Paragraph"/>
    <w:basedOn w:val="Normal"/>
    <w:uiPriority w:val="99"/>
    <w:qFormat/>
    <w:locked/>
    <w:rsid w:val="00DC784F"/>
    <w:pPr>
      <w:spacing w:after="200" w:line="276" w:lineRule="auto"/>
      <w:ind w:left="720"/>
      <w:contextualSpacing/>
    </w:pPr>
    <w:rPr>
      <w:rFonts w:eastAsia="PMingLiU"/>
      <w:szCs w:val="22"/>
      <w:lang w:eastAsia="zh-TW"/>
    </w:rPr>
  </w:style>
  <w:style w:type="paragraph" w:styleId="Header">
    <w:name w:val="header"/>
    <w:aliases w:val="Even header (essay title)"/>
    <w:basedOn w:val="Normal"/>
    <w:link w:val="HeaderChar"/>
    <w:uiPriority w:val="99"/>
    <w:unhideWhenUsed/>
    <w:rsid w:val="00E2786A"/>
    <w:pPr>
      <w:tabs>
        <w:tab w:val="center" w:pos="4513"/>
        <w:tab w:val="right" w:pos="9026"/>
      </w:tabs>
      <w:spacing w:after="0" w:line="240" w:lineRule="auto"/>
    </w:pPr>
  </w:style>
  <w:style w:type="character" w:customStyle="1" w:styleId="HeaderChar">
    <w:name w:val="Header Char"/>
    <w:aliases w:val="Even header (essay title) Char"/>
    <w:basedOn w:val="DefaultParagraphFont"/>
    <w:link w:val="Header"/>
    <w:uiPriority w:val="99"/>
    <w:rsid w:val="00E2786A"/>
    <w:rPr>
      <w:rFonts w:ascii="Times New Roman" w:hAnsi="Times New Roman"/>
      <w:sz w:val="22"/>
      <w:lang w:val="en-GB" w:eastAsia="en-US"/>
    </w:rPr>
  </w:style>
  <w:style w:type="character" w:styleId="HTMLCite">
    <w:name w:val="HTML Cite"/>
    <w:basedOn w:val="DefaultParagraphFont"/>
    <w:uiPriority w:val="99"/>
    <w:semiHidden/>
    <w:unhideWhenUsed/>
    <w:locked/>
    <w:rsid w:val="00542849"/>
    <w:rPr>
      <w:i/>
      <w:iCs/>
    </w:rPr>
  </w:style>
  <w:style w:type="paragraph" w:styleId="NormalWeb">
    <w:name w:val="Normal (Web)"/>
    <w:basedOn w:val="Normal"/>
    <w:uiPriority w:val="99"/>
    <w:semiHidden/>
    <w:unhideWhenUsed/>
    <w:rsid w:val="004C5B61"/>
    <w:pPr>
      <w:spacing w:before="100" w:beforeAutospacing="1" w:after="100" w:afterAutospacing="1" w:line="240" w:lineRule="auto"/>
    </w:pPr>
    <w:rPr>
      <w:rFonts w:eastAsiaTheme="minorEastAsia"/>
      <w:sz w:val="24"/>
      <w:szCs w:val="24"/>
      <w:lang w:val="en-AU" w:eastAsia="en-AU"/>
    </w:rPr>
  </w:style>
  <w:style w:type="paragraph" w:customStyle="1" w:styleId="Billname">
    <w:name w:val="Billname"/>
    <w:basedOn w:val="Normal"/>
    <w:rsid w:val="00E96374"/>
    <w:pPr>
      <w:tabs>
        <w:tab w:val="left" w:pos="2400"/>
        <w:tab w:val="left" w:pos="2880"/>
      </w:tabs>
      <w:spacing w:before="1220" w:after="100" w:line="240" w:lineRule="auto"/>
    </w:pPr>
    <w:rPr>
      <w:rFonts w:ascii="Arial" w:eastAsia="Times New Roman" w:hAnsi="Arial"/>
      <w:b/>
      <w:sz w:val="40"/>
      <w:lang w:val="en-AU"/>
    </w:rPr>
  </w:style>
  <w:style w:type="paragraph" w:customStyle="1" w:styleId="N-line3">
    <w:name w:val="N-line3"/>
    <w:basedOn w:val="Normal"/>
    <w:next w:val="Normal"/>
    <w:rsid w:val="00E96374"/>
    <w:pPr>
      <w:pBdr>
        <w:bottom w:val="single" w:sz="12" w:space="1" w:color="auto"/>
      </w:pBdr>
      <w:spacing w:after="0" w:line="240" w:lineRule="auto"/>
      <w:jc w:val="both"/>
    </w:pPr>
    <w:rPr>
      <w:rFonts w:eastAsia="Times New Roman"/>
      <w:sz w:val="24"/>
      <w:lang w:val="en-AU"/>
    </w:rPr>
  </w:style>
  <w:style w:type="paragraph" w:customStyle="1" w:styleId="madeunder">
    <w:name w:val="made under"/>
    <w:basedOn w:val="Normal"/>
    <w:rsid w:val="00E96374"/>
    <w:pPr>
      <w:spacing w:before="180" w:after="60" w:line="240" w:lineRule="auto"/>
      <w:jc w:val="both"/>
    </w:pPr>
    <w:rPr>
      <w:rFonts w:eastAsia="Times New Roman"/>
      <w:sz w:val="24"/>
      <w:lang w:val="en-AU"/>
    </w:rPr>
  </w:style>
  <w:style w:type="paragraph" w:customStyle="1" w:styleId="CoverActName">
    <w:name w:val="CoverActName"/>
    <w:basedOn w:val="Normal"/>
    <w:rsid w:val="00E96374"/>
    <w:pPr>
      <w:tabs>
        <w:tab w:val="left" w:pos="2600"/>
      </w:tabs>
      <w:spacing w:before="200" w:after="60" w:line="240" w:lineRule="auto"/>
      <w:jc w:val="both"/>
    </w:pPr>
    <w:rPr>
      <w:rFonts w:ascii="Arial" w:eastAsia="Times New Roman" w:hAnsi="Arial"/>
      <w:b/>
      <w:sz w:val="24"/>
      <w:lang w:val="en-AU"/>
    </w:rPr>
  </w:style>
  <w:style w:type="paragraph" w:styleId="TOCHeading">
    <w:name w:val="TOC Heading"/>
    <w:basedOn w:val="Heading1"/>
    <w:next w:val="Normal"/>
    <w:uiPriority w:val="39"/>
    <w:semiHidden/>
    <w:unhideWhenUsed/>
    <w:qFormat/>
    <w:locked/>
    <w:rsid w:val="006477A0"/>
    <w:pPr>
      <w:keepLines/>
      <w:numPr>
        <w:numId w:val="0"/>
      </w:numPr>
      <w:spacing w:before="480" w:after="0" w:line="276" w:lineRule="auto"/>
      <w:outlineLvl w:val="9"/>
    </w:pPr>
    <w:rPr>
      <w:rFonts w:asciiTheme="majorHAnsi" w:eastAsiaTheme="majorEastAsia" w:hAnsiTheme="majorHAnsi" w:cstheme="majorBidi"/>
      <w:bCs/>
      <w:color w:val="365F91" w:themeColor="accent1" w:themeShade="BF"/>
      <w:kern w:val="0"/>
      <w:sz w:val="28"/>
      <w:szCs w:val="28"/>
      <w:lang w:val="en-US"/>
    </w:rPr>
  </w:style>
  <w:style w:type="paragraph" w:styleId="TOC4">
    <w:name w:val="toc 4"/>
    <w:basedOn w:val="Normal"/>
    <w:next w:val="Normal"/>
    <w:autoRedefine/>
    <w:uiPriority w:val="39"/>
    <w:unhideWhenUsed/>
    <w:locked/>
    <w:rsid w:val="006477A0"/>
    <w:pPr>
      <w:spacing w:after="100" w:line="276" w:lineRule="auto"/>
      <w:ind w:left="660"/>
    </w:pPr>
    <w:rPr>
      <w:rFonts w:asciiTheme="minorHAnsi" w:eastAsiaTheme="minorEastAsia" w:hAnsiTheme="minorHAnsi" w:cstheme="minorBidi"/>
      <w:szCs w:val="22"/>
      <w:lang w:val="en-AU" w:eastAsia="en-AU"/>
    </w:rPr>
  </w:style>
  <w:style w:type="paragraph" w:styleId="TOC5">
    <w:name w:val="toc 5"/>
    <w:basedOn w:val="Normal"/>
    <w:next w:val="Normal"/>
    <w:autoRedefine/>
    <w:uiPriority w:val="39"/>
    <w:unhideWhenUsed/>
    <w:locked/>
    <w:rsid w:val="006477A0"/>
    <w:pPr>
      <w:spacing w:after="100" w:line="276" w:lineRule="auto"/>
      <w:ind w:left="880"/>
    </w:pPr>
    <w:rPr>
      <w:rFonts w:asciiTheme="minorHAnsi" w:eastAsiaTheme="minorEastAsia" w:hAnsiTheme="minorHAnsi" w:cstheme="minorBidi"/>
      <w:szCs w:val="22"/>
      <w:lang w:val="en-AU" w:eastAsia="en-AU"/>
    </w:rPr>
  </w:style>
  <w:style w:type="paragraph" w:styleId="TOC6">
    <w:name w:val="toc 6"/>
    <w:basedOn w:val="Normal"/>
    <w:next w:val="Normal"/>
    <w:autoRedefine/>
    <w:uiPriority w:val="39"/>
    <w:unhideWhenUsed/>
    <w:locked/>
    <w:rsid w:val="006477A0"/>
    <w:pPr>
      <w:spacing w:after="100" w:line="276" w:lineRule="auto"/>
      <w:ind w:left="1100"/>
    </w:pPr>
    <w:rPr>
      <w:rFonts w:asciiTheme="minorHAnsi" w:eastAsiaTheme="minorEastAsia" w:hAnsiTheme="minorHAnsi" w:cstheme="minorBidi"/>
      <w:szCs w:val="22"/>
      <w:lang w:val="en-AU" w:eastAsia="en-AU"/>
    </w:rPr>
  </w:style>
  <w:style w:type="paragraph" w:styleId="TOC7">
    <w:name w:val="toc 7"/>
    <w:basedOn w:val="Normal"/>
    <w:next w:val="Normal"/>
    <w:autoRedefine/>
    <w:uiPriority w:val="39"/>
    <w:unhideWhenUsed/>
    <w:locked/>
    <w:rsid w:val="006477A0"/>
    <w:pPr>
      <w:spacing w:after="100" w:line="276" w:lineRule="auto"/>
      <w:ind w:left="1320"/>
    </w:pPr>
    <w:rPr>
      <w:rFonts w:asciiTheme="minorHAnsi" w:eastAsiaTheme="minorEastAsia" w:hAnsiTheme="minorHAnsi" w:cstheme="minorBidi"/>
      <w:szCs w:val="22"/>
      <w:lang w:val="en-AU" w:eastAsia="en-AU"/>
    </w:rPr>
  </w:style>
  <w:style w:type="paragraph" w:styleId="TOC8">
    <w:name w:val="toc 8"/>
    <w:basedOn w:val="Normal"/>
    <w:next w:val="Normal"/>
    <w:autoRedefine/>
    <w:uiPriority w:val="39"/>
    <w:unhideWhenUsed/>
    <w:locked/>
    <w:rsid w:val="006477A0"/>
    <w:pPr>
      <w:spacing w:after="100" w:line="276" w:lineRule="auto"/>
      <w:ind w:left="1540"/>
    </w:pPr>
    <w:rPr>
      <w:rFonts w:asciiTheme="minorHAnsi" w:eastAsiaTheme="minorEastAsia" w:hAnsiTheme="minorHAnsi" w:cstheme="minorBidi"/>
      <w:szCs w:val="22"/>
      <w:lang w:val="en-AU" w:eastAsia="en-AU"/>
    </w:rPr>
  </w:style>
  <w:style w:type="paragraph" w:styleId="TOC9">
    <w:name w:val="toc 9"/>
    <w:basedOn w:val="Normal"/>
    <w:next w:val="Normal"/>
    <w:autoRedefine/>
    <w:uiPriority w:val="39"/>
    <w:unhideWhenUsed/>
    <w:locked/>
    <w:rsid w:val="006477A0"/>
    <w:pPr>
      <w:spacing w:after="100" w:line="276" w:lineRule="auto"/>
      <w:ind w:left="1760"/>
    </w:pPr>
    <w:rPr>
      <w:rFonts w:asciiTheme="minorHAnsi" w:eastAsiaTheme="minorEastAsia" w:hAnsiTheme="minorHAnsi" w:cstheme="minorBidi"/>
      <w:szCs w:val="22"/>
      <w:lang w:val="en-AU" w:eastAsia="en-AU"/>
    </w:rPr>
  </w:style>
  <w:style w:type="character" w:styleId="Strong">
    <w:name w:val="Strong"/>
    <w:basedOn w:val="DefaultParagraphFont"/>
    <w:locked/>
    <w:rsid w:val="00FC0BC1"/>
    <w:rPr>
      <w:b/>
      <w:bCs/>
    </w:rPr>
  </w:style>
  <w:style w:type="paragraph" w:styleId="BodyText">
    <w:name w:val="Body Text"/>
    <w:basedOn w:val="Normal"/>
    <w:link w:val="BodyTextChar"/>
    <w:uiPriority w:val="99"/>
    <w:semiHidden/>
    <w:unhideWhenUsed/>
    <w:locked/>
    <w:rsid w:val="009F7536"/>
    <w:pPr>
      <w:spacing w:after="120"/>
    </w:pPr>
  </w:style>
  <w:style w:type="character" w:customStyle="1" w:styleId="BodyTextChar">
    <w:name w:val="Body Text Char"/>
    <w:basedOn w:val="DefaultParagraphFont"/>
    <w:link w:val="BodyText"/>
    <w:uiPriority w:val="99"/>
    <w:semiHidden/>
    <w:rsid w:val="009F7536"/>
    <w:rPr>
      <w:rFonts w:ascii="Times New Roman" w:hAnsi="Times New Roman"/>
      <w:sz w:val="22"/>
      <w:lang w:val="en-GB" w:eastAsia="en-US"/>
    </w:rPr>
  </w:style>
  <w:style w:type="character" w:styleId="FollowedHyperlink">
    <w:name w:val="FollowedHyperlink"/>
    <w:basedOn w:val="DefaultParagraphFont"/>
    <w:uiPriority w:val="99"/>
    <w:semiHidden/>
    <w:unhideWhenUsed/>
    <w:locked/>
    <w:rsid w:val="00DD695A"/>
    <w:rPr>
      <w:color w:val="800080" w:themeColor="followedHyperlink"/>
      <w:u w:val="single"/>
    </w:rPr>
  </w:style>
  <w:style w:type="paragraph" w:customStyle="1" w:styleId="Heading2a">
    <w:name w:val="Heading 2a"/>
    <w:basedOn w:val="Heading2"/>
    <w:next w:val="BodyText"/>
    <w:qFormat/>
    <w:rsid w:val="006A781F"/>
    <w:pPr>
      <w:numPr>
        <w:ilvl w:val="0"/>
        <w:numId w:val="0"/>
      </w:numPr>
    </w:pPr>
  </w:style>
  <w:style w:type="paragraph" w:customStyle="1" w:styleId="Heading3a">
    <w:name w:val="Heading 3a"/>
    <w:basedOn w:val="Heading3"/>
    <w:next w:val="BodyText"/>
    <w:qFormat/>
    <w:rsid w:val="006A781F"/>
    <w:pPr>
      <w:numPr>
        <w:ilvl w:val="0"/>
        <w:numId w:val="0"/>
      </w:numPr>
    </w:pPr>
  </w:style>
  <w:style w:type="paragraph" w:styleId="Title">
    <w:name w:val="Title"/>
    <w:basedOn w:val="Normal"/>
    <w:next w:val="Normal"/>
    <w:link w:val="TitleChar"/>
    <w:qFormat/>
    <w:locked/>
    <w:rsid w:val="00091A4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rsid w:val="00091A4A"/>
    <w:rPr>
      <w:rFonts w:eastAsia="Times New Roman"/>
      <w:color w:val="17365D"/>
      <w:spacing w:val="5"/>
      <w:kern w:val="28"/>
      <w:sz w:val="52"/>
      <w:szCs w:val="52"/>
      <w:lang w:val="en-GB" w:eastAsia="en-US"/>
    </w:rPr>
  </w:style>
  <w:style w:type="paragraph" w:customStyle="1" w:styleId="Epigraph">
    <w:name w:val="Epigraph"/>
    <w:basedOn w:val="Normal"/>
    <w:next w:val="Normal"/>
    <w:qFormat/>
    <w:locked/>
    <w:rsid w:val="00091A4A"/>
    <w:rPr>
      <w:i/>
    </w:rPr>
  </w:style>
  <w:style w:type="paragraph" w:customStyle="1" w:styleId="Oddheaderauthorname">
    <w:name w:val="Odd header (author name)"/>
    <w:basedOn w:val="Header"/>
    <w:qFormat/>
    <w:locked/>
    <w:rsid w:val="00091A4A"/>
    <w:pPr>
      <w:jc w:val="right"/>
    </w:pPr>
  </w:style>
  <w:style w:type="paragraph" w:customStyle="1" w:styleId="Tabletext">
    <w:name w:val="Table text"/>
    <w:locked/>
    <w:rsid w:val="00091A4A"/>
    <w:pPr>
      <w:spacing w:before="60" w:after="60" w:line="240" w:lineRule="exact"/>
    </w:pPr>
    <w:rPr>
      <w:rFonts w:ascii="Arial" w:eastAsia="Calibri" w:hAnsi="Arial"/>
      <w:szCs w:val="22"/>
      <w:lang w:val="en-GB" w:eastAsia="en-US"/>
    </w:rPr>
  </w:style>
  <w:style w:type="paragraph" w:customStyle="1" w:styleId="Boxtext">
    <w:name w:val="Box text"/>
    <w:basedOn w:val="Normal"/>
    <w:next w:val="Normal"/>
    <w:qFormat/>
    <w:locked/>
    <w:rsid w:val="00091A4A"/>
    <w:pPr>
      <w:shd w:val="pct10" w:color="auto" w:fill="auto"/>
    </w:pPr>
    <w:rPr>
      <w:sz w:val="20"/>
    </w:rPr>
  </w:style>
  <w:style w:type="paragraph" w:styleId="ListNumber">
    <w:name w:val="List Number"/>
    <w:basedOn w:val="Normal"/>
    <w:qFormat/>
    <w:locked/>
    <w:rsid w:val="00091A4A"/>
    <w:pPr>
      <w:numPr>
        <w:numId w:val="9"/>
      </w:numPr>
      <w:contextualSpacing/>
    </w:pPr>
  </w:style>
  <w:style w:type="paragraph" w:customStyle="1" w:styleId="LetteredList">
    <w:name w:val="Lettered List"/>
    <w:basedOn w:val="Bullet"/>
    <w:qFormat/>
    <w:rsid w:val="009A7020"/>
    <w:pPr>
      <w:numPr>
        <w:numId w:val="10"/>
      </w:numPr>
    </w:pPr>
  </w:style>
  <w:style w:type="paragraph" w:customStyle="1" w:styleId="Bulletintro">
    <w:name w:val="Bullet intro"/>
    <w:basedOn w:val="Normal"/>
    <w:qFormat/>
    <w:rsid w:val="00E4257E"/>
    <w:pPr>
      <w:keepNext/>
      <w:spacing w:after="100"/>
    </w:pPr>
  </w:style>
  <w:style w:type="paragraph" w:styleId="BodyTextIndent">
    <w:name w:val="Body Text Indent"/>
    <w:basedOn w:val="Normal"/>
    <w:link w:val="BodyTextIndentChar"/>
    <w:uiPriority w:val="99"/>
    <w:semiHidden/>
    <w:unhideWhenUsed/>
    <w:locked/>
    <w:rsid w:val="0000019F"/>
    <w:pPr>
      <w:spacing w:after="120"/>
      <w:ind w:left="283"/>
    </w:pPr>
  </w:style>
  <w:style w:type="character" w:customStyle="1" w:styleId="BodyTextIndentChar">
    <w:name w:val="Body Text Indent Char"/>
    <w:basedOn w:val="DefaultParagraphFont"/>
    <w:link w:val="BodyTextIndent"/>
    <w:uiPriority w:val="99"/>
    <w:semiHidden/>
    <w:rsid w:val="0000019F"/>
    <w:rPr>
      <w:rFonts w:ascii="Times New Roman" w:hAnsi="Times New Roman"/>
      <w:sz w:val="22"/>
      <w:lang w:val="en-GB" w:eastAsia="en-US"/>
    </w:rPr>
  </w:style>
  <w:style w:type="paragraph" w:customStyle="1" w:styleId="Default">
    <w:name w:val="Default"/>
    <w:rsid w:val="00D04C76"/>
    <w:pPr>
      <w:autoSpaceDE w:val="0"/>
      <w:autoSpaceDN w:val="0"/>
      <w:adjustRightInd w:val="0"/>
    </w:pPr>
    <w:rPr>
      <w:rFonts w:ascii="Times New Roman" w:hAnsi="Times New Roman"/>
      <w:color w:val="000000"/>
      <w:sz w:val="24"/>
      <w:szCs w:val="24"/>
    </w:rPr>
  </w:style>
  <w:style w:type="paragraph" w:styleId="ListBullet">
    <w:name w:val="List Bullet"/>
    <w:basedOn w:val="Normal"/>
    <w:uiPriority w:val="99"/>
    <w:semiHidden/>
    <w:unhideWhenUsed/>
    <w:locked/>
    <w:rsid w:val="009948AA"/>
    <w:pPr>
      <w:numPr>
        <w:numId w:val="23"/>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nhideWhenUsed="0" w:qFormat="1"/>
    <w:lsdException w:name="heading 6" w:semiHidden="0" w:uiPriority="0" w:unhideWhenUsed="0" w:qFormat="1"/>
    <w:lsdException w:name="heading 7" w:locked="0" w:semiHidden="0" w:uiPriority="0" w:unhideWhenUsed="0" w:qFormat="1"/>
    <w:lsdException w:name="heading 8" w:semiHidden="0" w:uiPriority="0" w:unhideWhenUsed="0" w:qFormat="1"/>
    <w:lsdException w:name="heading 9" w:semiHidden="0" w:uiPriority="0" w:unhideWhenUsed="0" w:qFormat="1"/>
    <w:lsdException w:name="index 1" w:locked="0"/>
    <w:lsdException w:name="index 2" w:locked="0" w:uiPriority="0"/>
    <w:lsdException w:name="index 3" w:locked="0" w:uiPriority="0"/>
    <w:lsdException w:name="index 4" w:locked="0" w:uiPriority="0"/>
    <w:lsdException w:name="index 5" w:locked="0" w:uiPriority="0"/>
    <w:lsdException w:name="index 6" w:locked="0" w:uiPriority="0"/>
    <w:lsdException w:name="index 7" w:locked="0" w:uiPriority="0"/>
    <w:lsdException w:name="index 8" w:locked="0" w:uiPriority="0"/>
    <w:lsdException w:name="index 9" w:locked="0" w:uiPriority="0"/>
    <w:lsdException w:name="toc 1" w:locked="0" w:uiPriority="39"/>
    <w:lsdException w:name="toc 2" w:locked="0" w:uiPriority="39"/>
    <w:lsdException w:name="toc 3" w:locked="0"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annotation text" w:locked="0" w:uiPriority="0"/>
    <w:lsdException w:name="header" w:locked="0"/>
    <w:lsdException w:name="footer" w:locked="0" w:qFormat="1"/>
    <w:lsdException w:name="index heading" w:locked="0" w:uiPriority="0"/>
    <w:lsdException w:name="caption" w:locked="0" w:uiPriority="0" w:unhideWhenUsed="0" w:qFormat="1"/>
    <w:lsdException w:name="table of figures" w:locked="0"/>
    <w:lsdException w:name="annotation reference" w:locked="0"/>
    <w:lsdException w:name="page number" w:semiHidden="0" w:unhideWhenUsed="0"/>
    <w:lsdException w:name="endnote reference" w:locked="0"/>
    <w:lsdException w:name="endnote text" w:locked="0" w:uiPriority="0"/>
    <w:lsdException w:name="toa heading" w:locked="0" w:uiPriority="0"/>
    <w:lsdException w:name="List Number" w:uiPriority="0" w:qFormat="1"/>
    <w:lsdException w:name="Title" w:semiHidden="0" w:uiPriority="0" w:unhideWhenUsed="0" w:qFormat="1"/>
    <w:lsdException w:name="Default Paragraph Font" w:locked="0" w:uiPriority="1"/>
    <w:lsdException w:name="Subtitle" w:semiHidden="0" w:uiPriority="0" w:unhideWhenUsed="0"/>
    <w:lsdException w:name="Hyperlink" w:locked="0"/>
    <w:lsdException w:name="Strong" w:semiHidden="0" w:uiPriority="0" w:unhideWhenUsed="0"/>
    <w:lsdException w:name="Emphasis" w:semiHidden="0" w:uiPriority="0" w:unhideWhenUsed="0" w:qFormat="1"/>
    <w:lsdException w:name="Plain Text" w:locked="0" w:uiPriority="0"/>
    <w:lsdException w:name="HTML Top of Form" w:locked="0"/>
    <w:lsdException w:name="HTML Bottom of Form" w:locked="0"/>
    <w:lsdException w:name="Normal (Web)" w:locked="0"/>
    <w:lsdException w:name="Normal Table" w:locked="0"/>
    <w:lsdException w:name="annotation subject" w:locked="0" w:uiPriority="0"/>
    <w:lsdException w:name="No List" w:locked="0"/>
    <w:lsdException w:name="Table Simple 1" w:locked="0" w:uiPriority="0"/>
    <w:lsdException w:name="Balloon Text" w:locked="0"/>
    <w:lsdException w:name="Table Grid" w:locked="0" w:semiHidden="0" w:uiPriority="0" w:unhideWhenUsed="0"/>
    <w:lsdException w:name="Placeholder Text" w:locked="0"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0" w:unhideWhenUsed="0"/>
    <w:lsdException w:name="List Paragraph" w:semiHidden="0" w:unhideWhenUsed="0" w:qFormat="1"/>
    <w:lsdException w:name="Quote" w:locked="0"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normal)"/>
    <w:qFormat/>
    <w:rsid w:val="00314A3B"/>
    <w:pPr>
      <w:spacing w:after="220" w:line="280" w:lineRule="atLeast"/>
    </w:pPr>
    <w:rPr>
      <w:rFonts w:ascii="Times New Roman" w:hAnsi="Times New Roman"/>
      <w:sz w:val="22"/>
      <w:lang w:val="en-GB" w:eastAsia="en-US"/>
    </w:rPr>
  </w:style>
  <w:style w:type="paragraph" w:styleId="Heading1">
    <w:name w:val="heading 1"/>
    <w:basedOn w:val="Normal"/>
    <w:next w:val="Normal"/>
    <w:link w:val="Heading1Char"/>
    <w:qFormat/>
    <w:rsid w:val="00EB65B6"/>
    <w:pPr>
      <w:keepNext/>
      <w:numPr>
        <w:numId w:val="7"/>
      </w:numPr>
      <w:spacing w:after="300" w:line="240" w:lineRule="auto"/>
      <w:outlineLvl w:val="0"/>
    </w:pPr>
    <w:rPr>
      <w:rFonts w:ascii="Tahoma" w:hAnsi="Tahoma"/>
      <w:b/>
      <w:color w:val="000033"/>
      <w:kern w:val="28"/>
      <w:sz w:val="40"/>
    </w:rPr>
  </w:style>
  <w:style w:type="paragraph" w:styleId="Heading2">
    <w:name w:val="heading 2"/>
    <w:basedOn w:val="Normal"/>
    <w:next w:val="Normal"/>
    <w:link w:val="Heading2Char"/>
    <w:autoRedefine/>
    <w:qFormat/>
    <w:rsid w:val="00FC3BB8"/>
    <w:pPr>
      <w:keepNext/>
      <w:numPr>
        <w:ilvl w:val="1"/>
        <w:numId w:val="7"/>
      </w:numPr>
      <w:spacing w:before="480" w:after="240" w:line="240" w:lineRule="auto"/>
      <w:ind w:left="720"/>
      <w:outlineLvl w:val="1"/>
    </w:pPr>
    <w:rPr>
      <w:rFonts w:ascii="Arial" w:hAnsi="Arial" w:cs="Arial"/>
      <w:b/>
      <w:color w:val="000033"/>
      <w:sz w:val="26"/>
      <w:szCs w:val="22"/>
    </w:rPr>
  </w:style>
  <w:style w:type="paragraph" w:styleId="Heading3">
    <w:name w:val="heading 3"/>
    <w:basedOn w:val="Normal"/>
    <w:next w:val="Normal"/>
    <w:link w:val="Heading3Char"/>
    <w:autoRedefine/>
    <w:qFormat/>
    <w:rsid w:val="00101ADB"/>
    <w:pPr>
      <w:keepNext/>
      <w:numPr>
        <w:ilvl w:val="2"/>
        <w:numId w:val="7"/>
      </w:numPr>
      <w:spacing w:before="240" w:after="240" w:line="240" w:lineRule="auto"/>
      <w:outlineLvl w:val="2"/>
    </w:pPr>
    <w:rPr>
      <w:rFonts w:ascii="Arial" w:hAnsi="Arial" w:cs="Arial"/>
      <w:b/>
      <w:color w:val="000033"/>
    </w:rPr>
  </w:style>
  <w:style w:type="paragraph" w:styleId="Heading4">
    <w:name w:val="heading 4"/>
    <w:basedOn w:val="Normal"/>
    <w:next w:val="Normal"/>
    <w:link w:val="Heading4Char"/>
    <w:qFormat/>
    <w:rsid w:val="002E7DBF"/>
    <w:pPr>
      <w:keepNext/>
      <w:spacing w:after="120" w:line="240" w:lineRule="auto"/>
      <w:outlineLvl w:val="3"/>
    </w:pPr>
    <w:rPr>
      <w:b/>
      <w:sz w:val="24"/>
    </w:rPr>
  </w:style>
  <w:style w:type="paragraph" w:styleId="Heading5">
    <w:name w:val="heading 5"/>
    <w:basedOn w:val="Normal"/>
    <w:next w:val="Normal"/>
    <w:link w:val="Heading5Char"/>
    <w:uiPriority w:val="99"/>
    <w:qFormat/>
    <w:locked/>
    <w:rsid w:val="00924F40"/>
    <w:pPr>
      <w:keepNext/>
      <w:spacing w:before="60" w:after="60" w:line="240" w:lineRule="auto"/>
      <w:outlineLvl w:val="4"/>
    </w:pPr>
    <w:rPr>
      <w:i/>
      <w:sz w:val="24"/>
    </w:rPr>
  </w:style>
  <w:style w:type="paragraph" w:styleId="Heading6">
    <w:name w:val="heading 6"/>
    <w:basedOn w:val="Normal"/>
    <w:next w:val="Normal"/>
    <w:link w:val="Heading6Char"/>
    <w:semiHidden/>
    <w:qFormat/>
    <w:locked/>
    <w:rsid w:val="00924F40"/>
    <w:pPr>
      <w:spacing w:before="240" w:after="60" w:line="240" w:lineRule="auto"/>
      <w:outlineLvl w:val="5"/>
    </w:pPr>
    <w:rPr>
      <w:bCs/>
      <w:i/>
      <w:color w:val="7F7F7F" w:themeColor="text1" w:themeTint="80"/>
      <w:szCs w:val="22"/>
    </w:rPr>
  </w:style>
  <w:style w:type="paragraph" w:styleId="Heading7">
    <w:name w:val="heading 7"/>
    <w:aliases w:val="Appendix"/>
    <w:basedOn w:val="Normal"/>
    <w:next w:val="Normal"/>
    <w:link w:val="Heading7Char"/>
    <w:semiHidden/>
    <w:qFormat/>
    <w:locked/>
    <w:rsid w:val="00924F40"/>
    <w:pPr>
      <w:spacing w:before="240" w:after="60" w:line="240" w:lineRule="auto"/>
      <w:outlineLvl w:val="6"/>
    </w:pPr>
    <w:rPr>
      <w:b/>
      <w:sz w:val="24"/>
      <w:szCs w:val="24"/>
      <w:lang w:val="en-AU" w:eastAsia="en-AU"/>
    </w:rPr>
  </w:style>
  <w:style w:type="paragraph" w:styleId="Heading8">
    <w:name w:val="heading 8"/>
    <w:basedOn w:val="Normal"/>
    <w:next w:val="Normal"/>
    <w:link w:val="Heading8Char"/>
    <w:semiHidden/>
    <w:qFormat/>
    <w:locked/>
    <w:rsid w:val="00924F40"/>
    <w:pPr>
      <w:spacing w:before="240" w:after="60"/>
      <w:outlineLvl w:val="7"/>
    </w:pPr>
    <w:rPr>
      <w:rFonts w:ascii="Arial" w:hAnsi="Arial"/>
      <w:i/>
      <w:sz w:val="20"/>
      <w:lang w:val="en-AU" w:eastAsia="en-AU"/>
    </w:rPr>
  </w:style>
  <w:style w:type="paragraph" w:styleId="Heading9">
    <w:name w:val="heading 9"/>
    <w:basedOn w:val="Normal"/>
    <w:next w:val="Normal"/>
    <w:link w:val="Heading9Char"/>
    <w:semiHidden/>
    <w:qFormat/>
    <w:locked/>
    <w:rsid w:val="00924F40"/>
    <w:pPr>
      <w:spacing w:before="240" w:after="60"/>
      <w:outlineLvl w:val="8"/>
    </w:pPr>
    <w:rPr>
      <w:rFonts w:ascii="Arial" w:hAnsi="Arial"/>
      <w:b/>
      <w:i/>
      <w:sz w:val="18"/>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EB65B6"/>
    <w:rPr>
      <w:rFonts w:ascii="Tahoma" w:hAnsi="Tahoma"/>
      <w:b/>
      <w:color w:val="000033"/>
      <w:kern w:val="28"/>
      <w:sz w:val="40"/>
      <w:lang w:val="en-GB" w:eastAsia="en-US"/>
    </w:rPr>
  </w:style>
  <w:style w:type="character" w:customStyle="1" w:styleId="Heading2Char">
    <w:name w:val="Heading 2 Char"/>
    <w:link w:val="Heading2"/>
    <w:locked/>
    <w:rsid w:val="00FC3BB8"/>
    <w:rPr>
      <w:rFonts w:ascii="Arial" w:hAnsi="Arial" w:cs="Arial"/>
      <w:b/>
      <w:color w:val="000033"/>
      <w:sz w:val="26"/>
      <w:szCs w:val="22"/>
      <w:lang w:val="en-GB" w:eastAsia="en-US"/>
    </w:rPr>
  </w:style>
  <w:style w:type="character" w:customStyle="1" w:styleId="Heading3Char">
    <w:name w:val="Heading 3 Char"/>
    <w:link w:val="Heading3"/>
    <w:locked/>
    <w:rsid w:val="00101ADB"/>
    <w:rPr>
      <w:rFonts w:ascii="Arial" w:hAnsi="Arial" w:cs="Arial"/>
      <w:b/>
      <w:color w:val="000033"/>
      <w:sz w:val="22"/>
      <w:lang w:val="en-GB" w:eastAsia="en-US"/>
    </w:rPr>
  </w:style>
  <w:style w:type="character" w:customStyle="1" w:styleId="Heading4Char">
    <w:name w:val="Heading 4 Char"/>
    <w:link w:val="Heading4"/>
    <w:locked/>
    <w:rsid w:val="002E7DBF"/>
    <w:rPr>
      <w:rFonts w:ascii="Times New Roman" w:hAnsi="Times New Roman"/>
      <w:b/>
      <w:sz w:val="24"/>
      <w:lang w:val="en-GB" w:eastAsia="en-US"/>
    </w:rPr>
  </w:style>
  <w:style w:type="character" w:customStyle="1" w:styleId="Heading5Char">
    <w:name w:val="Heading 5 Char"/>
    <w:link w:val="Heading5"/>
    <w:uiPriority w:val="99"/>
    <w:locked/>
    <w:rsid w:val="009852DB"/>
    <w:rPr>
      <w:rFonts w:ascii="Times New Roman" w:hAnsi="Times New Roman"/>
      <w:i/>
      <w:sz w:val="24"/>
      <w:lang w:val="en-GB" w:eastAsia="en-US"/>
    </w:rPr>
  </w:style>
  <w:style w:type="character" w:customStyle="1" w:styleId="Heading6Char">
    <w:name w:val="Heading 6 Char"/>
    <w:link w:val="Heading6"/>
    <w:semiHidden/>
    <w:locked/>
    <w:rsid w:val="009852DB"/>
    <w:rPr>
      <w:rFonts w:ascii="Times New Roman" w:hAnsi="Times New Roman"/>
      <w:bCs/>
      <w:i/>
      <w:color w:val="7F7F7F" w:themeColor="text1" w:themeTint="80"/>
      <w:sz w:val="22"/>
      <w:szCs w:val="22"/>
      <w:lang w:val="en-GB" w:eastAsia="en-US"/>
    </w:rPr>
  </w:style>
  <w:style w:type="character" w:customStyle="1" w:styleId="Heading7Char">
    <w:name w:val="Heading 7 Char"/>
    <w:aliases w:val="Appendix Char"/>
    <w:link w:val="Heading7"/>
    <w:semiHidden/>
    <w:locked/>
    <w:rsid w:val="009852DB"/>
    <w:rPr>
      <w:rFonts w:ascii="Times New Roman" w:hAnsi="Times New Roman"/>
      <w:b/>
      <w:sz w:val="24"/>
      <w:szCs w:val="24"/>
    </w:rPr>
  </w:style>
  <w:style w:type="character" w:customStyle="1" w:styleId="Heading8Char">
    <w:name w:val="Heading 8 Char"/>
    <w:link w:val="Heading8"/>
    <w:semiHidden/>
    <w:locked/>
    <w:rsid w:val="009852DB"/>
    <w:rPr>
      <w:rFonts w:ascii="Arial" w:hAnsi="Arial"/>
      <w:i/>
    </w:rPr>
  </w:style>
  <w:style w:type="character" w:customStyle="1" w:styleId="Heading9Char">
    <w:name w:val="Heading 9 Char"/>
    <w:link w:val="Heading9"/>
    <w:semiHidden/>
    <w:locked/>
    <w:rsid w:val="009852DB"/>
    <w:rPr>
      <w:rFonts w:ascii="Arial" w:hAnsi="Arial"/>
      <w:b/>
      <w:i/>
      <w:sz w:val="18"/>
    </w:rPr>
  </w:style>
  <w:style w:type="paragraph" w:customStyle="1" w:styleId="FigureName">
    <w:name w:val="Figure Name"/>
    <w:basedOn w:val="TableName"/>
    <w:next w:val="Normal"/>
    <w:qFormat/>
    <w:rsid w:val="00F7639D"/>
  </w:style>
  <w:style w:type="paragraph" w:customStyle="1" w:styleId="TableName">
    <w:name w:val="Table Name"/>
    <w:basedOn w:val="TableTextLeft"/>
    <w:link w:val="TableNameChar"/>
    <w:qFormat/>
    <w:rsid w:val="00F7639D"/>
    <w:pPr>
      <w:spacing w:before="120" w:after="120"/>
      <w:ind w:left="1080" w:hanging="1080"/>
    </w:pPr>
    <w:rPr>
      <w:b/>
      <w:sz w:val="20"/>
    </w:rPr>
  </w:style>
  <w:style w:type="paragraph" w:customStyle="1" w:styleId="TableTextLeft">
    <w:name w:val="Table Text Left"/>
    <w:uiPriority w:val="99"/>
    <w:qFormat/>
    <w:rsid w:val="008A6CA2"/>
    <w:pPr>
      <w:spacing w:before="40" w:after="40"/>
    </w:pPr>
    <w:rPr>
      <w:rFonts w:ascii="Arial Narrow" w:hAnsi="Arial Narrow"/>
      <w:sz w:val="18"/>
      <w:lang w:val="en-GB" w:eastAsia="en-US"/>
    </w:rPr>
  </w:style>
  <w:style w:type="character" w:customStyle="1" w:styleId="TableNameChar">
    <w:name w:val="Table Name Char"/>
    <w:link w:val="TableName"/>
    <w:locked/>
    <w:rsid w:val="008D7FA3"/>
    <w:rPr>
      <w:rFonts w:ascii="Arial Narrow" w:hAnsi="Arial Narrow" w:cs="Times New Roman"/>
      <w:b/>
    </w:rPr>
  </w:style>
  <w:style w:type="paragraph" w:styleId="Footer">
    <w:name w:val="footer"/>
    <w:aliases w:val="Footer (page number)"/>
    <w:basedOn w:val="Normal"/>
    <w:link w:val="FooterChar"/>
    <w:uiPriority w:val="99"/>
    <w:qFormat/>
    <w:rsid w:val="00280AFD"/>
    <w:pPr>
      <w:tabs>
        <w:tab w:val="right" w:pos="8732"/>
      </w:tabs>
      <w:spacing w:after="0" w:line="240" w:lineRule="atLeast"/>
    </w:pPr>
    <w:rPr>
      <w:i/>
      <w:color w:val="808080"/>
      <w:sz w:val="18"/>
    </w:rPr>
  </w:style>
  <w:style w:type="character" w:customStyle="1" w:styleId="FooterChar">
    <w:name w:val="Footer Char"/>
    <w:aliases w:val="Footer (page number) Char"/>
    <w:link w:val="Footer"/>
    <w:uiPriority w:val="99"/>
    <w:locked/>
    <w:rsid w:val="00280AFD"/>
    <w:rPr>
      <w:rFonts w:ascii="Times New Roman" w:hAnsi="Times New Roman"/>
      <w:i/>
      <w:color w:val="808080"/>
      <w:sz w:val="18"/>
      <w:lang w:val="en-GB" w:eastAsia="en-US"/>
    </w:rPr>
  </w:style>
  <w:style w:type="paragraph" w:customStyle="1" w:styleId="HeadingAppendix1">
    <w:name w:val="Heading Appendix 1"/>
    <w:basedOn w:val="Heading1"/>
    <w:qFormat/>
    <w:rsid w:val="000A4D58"/>
    <w:pPr>
      <w:numPr>
        <w:numId w:val="6"/>
      </w:numPr>
      <w:tabs>
        <w:tab w:val="left" w:pos="2693"/>
      </w:tabs>
    </w:pPr>
  </w:style>
  <w:style w:type="paragraph" w:styleId="FootnoteText">
    <w:name w:val="footnote text"/>
    <w:aliases w:val="Footnote,(NECG) Footnote Text,Footnote Text Char2,(NECG) Footnote Text Char,Footnote Text Char1 Char1"/>
    <w:basedOn w:val="Normal"/>
    <w:link w:val="FootnoteTextChar"/>
    <w:uiPriority w:val="99"/>
    <w:qFormat/>
    <w:rsid w:val="00847798"/>
    <w:pPr>
      <w:overflowPunct w:val="0"/>
      <w:autoSpaceDE w:val="0"/>
      <w:autoSpaceDN w:val="0"/>
      <w:adjustRightInd w:val="0"/>
      <w:spacing w:after="120" w:line="240" w:lineRule="auto"/>
      <w:textAlignment w:val="baseline"/>
    </w:pPr>
    <w:rPr>
      <w:sz w:val="18"/>
      <w:szCs w:val="18"/>
      <w:lang w:val="en-AU"/>
    </w:rPr>
  </w:style>
  <w:style w:type="character" w:customStyle="1" w:styleId="FootnoteTextChar">
    <w:name w:val="Footnote Text Char"/>
    <w:aliases w:val="Footnote Char,(NECG) Footnote Text Char1,Footnote Text Char2 Char,(NECG) Footnote Text Char Char,Footnote Text Char1 Char1 Char"/>
    <w:link w:val="FootnoteText"/>
    <w:uiPriority w:val="99"/>
    <w:locked/>
    <w:rsid w:val="00847798"/>
    <w:rPr>
      <w:rFonts w:ascii="Times New Roman" w:hAnsi="Times New Roman"/>
      <w:sz w:val="18"/>
      <w:szCs w:val="18"/>
      <w:lang w:eastAsia="en-US"/>
    </w:rPr>
  </w:style>
  <w:style w:type="paragraph" w:styleId="TableofFigures">
    <w:name w:val="table of figures"/>
    <w:basedOn w:val="Normal"/>
    <w:next w:val="Normal"/>
    <w:uiPriority w:val="99"/>
    <w:rsid w:val="00874740"/>
    <w:pPr>
      <w:tabs>
        <w:tab w:val="left" w:pos="1418"/>
        <w:tab w:val="right" w:pos="7655"/>
      </w:tabs>
      <w:ind w:left="1418" w:right="1418" w:hanging="1418"/>
    </w:pPr>
    <w:rPr>
      <w:noProof/>
    </w:rPr>
  </w:style>
  <w:style w:type="paragraph" w:styleId="TOC3">
    <w:name w:val="toc 3"/>
    <w:basedOn w:val="TOC2"/>
    <w:next w:val="Normal"/>
    <w:autoRedefine/>
    <w:uiPriority w:val="39"/>
    <w:rsid w:val="00F7639D"/>
    <w:pPr>
      <w:tabs>
        <w:tab w:val="left" w:pos="1800"/>
      </w:tabs>
      <w:ind w:left="1800"/>
    </w:pPr>
  </w:style>
  <w:style w:type="paragraph" w:styleId="TOC2">
    <w:name w:val="toc 2"/>
    <w:basedOn w:val="TOC1"/>
    <w:next w:val="Normal"/>
    <w:uiPriority w:val="39"/>
    <w:rsid w:val="00F7639D"/>
    <w:pPr>
      <w:tabs>
        <w:tab w:val="clear" w:pos="360"/>
        <w:tab w:val="left" w:pos="1080"/>
      </w:tabs>
      <w:spacing w:before="60" w:after="0"/>
      <w:ind w:left="1080" w:hanging="720"/>
    </w:pPr>
    <w:rPr>
      <w:b w:val="0"/>
    </w:rPr>
  </w:style>
  <w:style w:type="paragraph" w:styleId="TOC1">
    <w:name w:val="toc 1"/>
    <w:basedOn w:val="Normal"/>
    <w:next w:val="Normal"/>
    <w:uiPriority w:val="39"/>
    <w:rsid w:val="00CF6CC5"/>
    <w:pPr>
      <w:tabs>
        <w:tab w:val="left" w:pos="360"/>
        <w:tab w:val="right" w:pos="7655"/>
      </w:tabs>
      <w:spacing w:before="360" w:after="60" w:line="240" w:lineRule="auto"/>
      <w:ind w:left="357" w:right="1134" w:hanging="357"/>
    </w:pPr>
    <w:rPr>
      <w:b/>
      <w:noProof/>
      <w:szCs w:val="40"/>
    </w:rPr>
  </w:style>
  <w:style w:type="paragraph" w:styleId="Quote">
    <w:name w:val="Quote"/>
    <w:basedOn w:val="Normal"/>
    <w:link w:val="QuoteChar"/>
    <w:qFormat/>
    <w:rsid w:val="00924F40"/>
    <w:pPr>
      <w:spacing w:line="240" w:lineRule="atLeast"/>
      <w:ind w:left="360" w:right="360"/>
    </w:pPr>
    <w:rPr>
      <w:sz w:val="20"/>
      <w:lang w:val="en-AU" w:eastAsia="en-AU"/>
    </w:rPr>
  </w:style>
  <w:style w:type="character" w:customStyle="1" w:styleId="QuoteChar">
    <w:name w:val="Quote Char"/>
    <w:link w:val="Quote"/>
    <w:locked/>
    <w:rsid w:val="00924F40"/>
    <w:rPr>
      <w:rFonts w:ascii="Times New Roman" w:hAnsi="Times New Roman" w:cs="Times New Roman"/>
    </w:rPr>
  </w:style>
  <w:style w:type="paragraph" w:customStyle="1" w:styleId="Bullet">
    <w:name w:val="Bullet"/>
    <w:basedOn w:val="Normal"/>
    <w:link w:val="BulletChar"/>
    <w:qFormat/>
    <w:rsid w:val="008B275E"/>
    <w:pPr>
      <w:numPr>
        <w:numId w:val="1"/>
      </w:numPr>
      <w:spacing w:after="100"/>
    </w:pPr>
  </w:style>
  <w:style w:type="character" w:customStyle="1" w:styleId="BulletChar">
    <w:name w:val="Bullet Char"/>
    <w:link w:val="Bullet"/>
    <w:uiPriority w:val="99"/>
    <w:locked/>
    <w:rsid w:val="008B275E"/>
    <w:rPr>
      <w:rFonts w:ascii="Times New Roman" w:hAnsi="Times New Roman"/>
      <w:sz w:val="22"/>
      <w:lang w:val="en-GB" w:eastAsia="en-US"/>
    </w:rPr>
  </w:style>
  <w:style w:type="paragraph" w:customStyle="1" w:styleId="Heading1a">
    <w:name w:val="Heading 1a"/>
    <w:basedOn w:val="Heading1"/>
    <w:rsid w:val="000A4D58"/>
    <w:pPr>
      <w:numPr>
        <w:numId w:val="0"/>
      </w:numPr>
    </w:pPr>
    <w:rPr>
      <w:lang w:val="en-AU"/>
    </w:rPr>
  </w:style>
  <w:style w:type="paragraph" w:customStyle="1" w:styleId="TableHeadingLeft">
    <w:name w:val="Table Heading Left"/>
    <w:basedOn w:val="TableTextLeft"/>
    <w:uiPriority w:val="99"/>
    <w:rsid w:val="0025119B"/>
    <w:rPr>
      <w:b/>
    </w:rPr>
  </w:style>
  <w:style w:type="paragraph" w:customStyle="1" w:styleId="TableNotes">
    <w:name w:val="Table Notes"/>
    <w:basedOn w:val="TableTextLeft"/>
    <w:rsid w:val="00F7639D"/>
    <w:pPr>
      <w:keepLines/>
      <w:spacing w:before="60" w:after="0"/>
    </w:pPr>
    <w:rPr>
      <w:sz w:val="16"/>
    </w:rPr>
  </w:style>
  <w:style w:type="paragraph" w:customStyle="1" w:styleId="BulletLast">
    <w:name w:val="Bullet Last"/>
    <w:basedOn w:val="Normal"/>
    <w:qFormat/>
    <w:rsid w:val="008B275E"/>
    <w:pPr>
      <w:numPr>
        <w:numId w:val="5"/>
      </w:numPr>
      <w:ind w:left="681" w:hanging="397"/>
    </w:pPr>
  </w:style>
  <w:style w:type="paragraph" w:customStyle="1" w:styleId="TableBullet">
    <w:name w:val="Table Bullet"/>
    <w:basedOn w:val="TableTextLeft"/>
    <w:uiPriority w:val="99"/>
    <w:rsid w:val="00F7639D"/>
    <w:pPr>
      <w:numPr>
        <w:numId w:val="2"/>
      </w:numPr>
      <w:tabs>
        <w:tab w:val="left" w:pos="216"/>
      </w:tabs>
    </w:pPr>
  </w:style>
  <w:style w:type="paragraph" w:customStyle="1" w:styleId="TableNotesHanging">
    <w:name w:val="Table Notes Hanging"/>
    <w:basedOn w:val="TableNotes"/>
    <w:uiPriority w:val="99"/>
    <w:rsid w:val="00857C3E"/>
    <w:pPr>
      <w:ind w:left="737" w:hanging="737"/>
    </w:pPr>
  </w:style>
  <w:style w:type="character" w:styleId="Hyperlink">
    <w:name w:val="Hyperlink"/>
    <w:uiPriority w:val="99"/>
    <w:rsid w:val="00F7639D"/>
    <w:rPr>
      <w:rFonts w:ascii="Times New Roman" w:hAnsi="Times New Roman" w:cs="Times New Roman"/>
      <w:color w:val="000000"/>
      <w:sz w:val="22"/>
      <w:u w:val="none"/>
    </w:rPr>
  </w:style>
  <w:style w:type="paragraph" w:customStyle="1" w:styleId="TableNotesHangingLast">
    <w:name w:val="Table Notes Hanging Last"/>
    <w:basedOn w:val="TableNotesHanging"/>
    <w:uiPriority w:val="99"/>
    <w:rsid w:val="00857C3E"/>
    <w:pPr>
      <w:spacing w:after="320"/>
    </w:pPr>
  </w:style>
  <w:style w:type="paragraph" w:customStyle="1" w:styleId="TableNotesLast">
    <w:name w:val="Table Notes Last"/>
    <w:basedOn w:val="TableNotes"/>
    <w:rsid w:val="00F7639D"/>
    <w:pPr>
      <w:spacing w:after="320"/>
    </w:pPr>
  </w:style>
  <w:style w:type="paragraph" w:styleId="CommentText">
    <w:name w:val="annotation text"/>
    <w:basedOn w:val="Normal"/>
    <w:link w:val="CommentTextChar"/>
    <w:semiHidden/>
    <w:locked/>
    <w:rsid w:val="00474ECC"/>
    <w:rPr>
      <w:sz w:val="24"/>
      <w:szCs w:val="24"/>
    </w:rPr>
  </w:style>
  <w:style w:type="character" w:customStyle="1" w:styleId="CommentTextChar">
    <w:name w:val="Comment Text Char"/>
    <w:link w:val="CommentText"/>
    <w:semiHidden/>
    <w:locked/>
    <w:rsid w:val="00474ECC"/>
    <w:rPr>
      <w:rFonts w:ascii="Times New Roman" w:hAnsi="Times New Roman" w:cs="Times New Roman"/>
      <w:sz w:val="24"/>
      <w:szCs w:val="24"/>
    </w:rPr>
  </w:style>
  <w:style w:type="paragraph" w:styleId="CommentSubject">
    <w:name w:val="annotation subject"/>
    <w:basedOn w:val="CommentText"/>
    <w:next w:val="CommentText"/>
    <w:link w:val="CommentSubjectChar"/>
    <w:semiHidden/>
    <w:locked/>
    <w:rsid w:val="00474ECC"/>
    <w:rPr>
      <w:sz w:val="22"/>
      <w:szCs w:val="20"/>
    </w:rPr>
  </w:style>
  <w:style w:type="character" w:customStyle="1" w:styleId="CommentSubjectChar">
    <w:name w:val="Comment Subject Char"/>
    <w:basedOn w:val="CommentTextChar"/>
    <w:link w:val="CommentSubject"/>
    <w:semiHidden/>
    <w:locked/>
    <w:rsid w:val="00474ECC"/>
    <w:rPr>
      <w:rFonts w:ascii="Times New Roman" w:hAnsi="Times New Roman" w:cs="Times New Roman"/>
      <w:sz w:val="24"/>
      <w:szCs w:val="24"/>
    </w:rPr>
  </w:style>
  <w:style w:type="paragraph" w:styleId="EndnoteText">
    <w:name w:val="endnote text"/>
    <w:basedOn w:val="Normal"/>
    <w:link w:val="EndnoteTextChar"/>
    <w:semiHidden/>
    <w:locked/>
    <w:rsid w:val="00474ECC"/>
    <w:rPr>
      <w:sz w:val="20"/>
    </w:rPr>
  </w:style>
  <w:style w:type="character" w:customStyle="1" w:styleId="EndnoteTextChar">
    <w:name w:val="Endnote Text Char"/>
    <w:link w:val="EndnoteText"/>
    <w:semiHidden/>
    <w:locked/>
    <w:rsid w:val="00474ECC"/>
    <w:rPr>
      <w:rFonts w:ascii="Times New Roman" w:hAnsi="Times New Roman" w:cs="Times New Roman"/>
    </w:rPr>
  </w:style>
  <w:style w:type="paragraph" w:styleId="Index1">
    <w:name w:val="index 1"/>
    <w:basedOn w:val="Normal"/>
    <w:next w:val="Normal"/>
    <w:autoRedefine/>
    <w:uiPriority w:val="99"/>
    <w:semiHidden/>
    <w:locked/>
    <w:rsid w:val="00474ECC"/>
    <w:pPr>
      <w:ind w:left="220" w:hanging="220"/>
    </w:pPr>
  </w:style>
  <w:style w:type="paragraph" w:styleId="Index2">
    <w:name w:val="index 2"/>
    <w:basedOn w:val="Normal"/>
    <w:next w:val="Normal"/>
    <w:autoRedefine/>
    <w:semiHidden/>
    <w:locked/>
    <w:rsid w:val="00474ECC"/>
    <w:pPr>
      <w:ind w:left="440" w:hanging="220"/>
    </w:pPr>
  </w:style>
  <w:style w:type="paragraph" w:styleId="Index3">
    <w:name w:val="index 3"/>
    <w:basedOn w:val="Normal"/>
    <w:next w:val="Normal"/>
    <w:autoRedefine/>
    <w:semiHidden/>
    <w:locked/>
    <w:rsid w:val="00474ECC"/>
    <w:pPr>
      <w:ind w:left="660" w:hanging="220"/>
    </w:pPr>
  </w:style>
  <w:style w:type="paragraph" w:styleId="Index4">
    <w:name w:val="index 4"/>
    <w:basedOn w:val="Normal"/>
    <w:next w:val="Normal"/>
    <w:autoRedefine/>
    <w:semiHidden/>
    <w:locked/>
    <w:rsid w:val="00474ECC"/>
    <w:pPr>
      <w:ind w:left="880" w:hanging="220"/>
    </w:pPr>
  </w:style>
  <w:style w:type="paragraph" w:styleId="Index5">
    <w:name w:val="index 5"/>
    <w:basedOn w:val="Normal"/>
    <w:next w:val="Normal"/>
    <w:autoRedefine/>
    <w:semiHidden/>
    <w:locked/>
    <w:rsid w:val="00474ECC"/>
    <w:pPr>
      <w:ind w:left="1100" w:hanging="220"/>
    </w:pPr>
  </w:style>
  <w:style w:type="paragraph" w:styleId="Index6">
    <w:name w:val="index 6"/>
    <w:basedOn w:val="Normal"/>
    <w:next w:val="Normal"/>
    <w:autoRedefine/>
    <w:semiHidden/>
    <w:locked/>
    <w:rsid w:val="00474ECC"/>
    <w:pPr>
      <w:ind w:left="1320" w:hanging="220"/>
    </w:pPr>
  </w:style>
  <w:style w:type="paragraph" w:styleId="Index7">
    <w:name w:val="index 7"/>
    <w:basedOn w:val="Normal"/>
    <w:next w:val="Normal"/>
    <w:autoRedefine/>
    <w:semiHidden/>
    <w:locked/>
    <w:rsid w:val="00474ECC"/>
    <w:pPr>
      <w:ind w:left="1540" w:hanging="220"/>
    </w:pPr>
  </w:style>
  <w:style w:type="paragraph" w:styleId="Index8">
    <w:name w:val="index 8"/>
    <w:basedOn w:val="Normal"/>
    <w:next w:val="Normal"/>
    <w:autoRedefine/>
    <w:semiHidden/>
    <w:locked/>
    <w:rsid w:val="00474ECC"/>
    <w:pPr>
      <w:ind w:left="1760" w:hanging="220"/>
    </w:pPr>
  </w:style>
  <w:style w:type="paragraph" w:styleId="Index9">
    <w:name w:val="index 9"/>
    <w:basedOn w:val="Normal"/>
    <w:next w:val="Normal"/>
    <w:autoRedefine/>
    <w:semiHidden/>
    <w:locked/>
    <w:rsid w:val="00474ECC"/>
    <w:pPr>
      <w:ind w:left="1980" w:hanging="220"/>
    </w:pPr>
  </w:style>
  <w:style w:type="paragraph" w:styleId="IndexHeading">
    <w:name w:val="index heading"/>
    <w:basedOn w:val="Normal"/>
    <w:next w:val="Index1"/>
    <w:semiHidden/>
    <w:locked/>
    <w:rsid w:val="00474ECC"/>
    <w:rPr>
      <w:rFonts w:ascii="Arial" w:hAnsi="Arial" w:cs="Arial"/>
      <w:b/>
      <w:bCs/>
    </w:rPr>
  </w:style>
  <w:style w:type="paragraph" w:styleId="Caption">
    <w:name w:val="caption"/>
    <w:basedOn w:val="Normal"/>
    <w:next w:val="Normal"/>
    <w:semiHidden/>
    <w:qFormat/>
    <w:locked/>
    <w:rsid w:val="00C768A3"/>
    <w:pPr>
      <w:spacing w:after="200" w:line="240" w:lineRule="auto"/>
    </w:pPr>
    <w:rPr>
      <w:b/>
      <w:bCs/>
      <w:color w:val="4F81BD" w:themeColor="accent1"/>
      <w:sz w:val="18"/>
      <w:szCs w:val="18"/>
    </w:rPr>
  </w:style>
  <w:style w:type="paragraph" w:styleId="TOAHeading">
    <w:name w:val="toa heading"/>
    <w:basedOn w:val="Normal"/>
    <w:next w:val="Normal"/>
    <w:semiHidden/>
    <w:locked/>
    <w:rsid w:val="00474ECC"/>
    <w:pPr>
      <w:spacing w:before="120"/>
    </w:pPr>
    <w:rPr>
      <w:rFonts w:ascii="Arial" w:hAnsi="Arial" w:cs="Arial"/>
      <w:b/>
      <w:bCs/>
      <w:sz w:val="24"/>
      <w:szCs w:val="24"/>
    </w:rPr>
  </w:style>
  <w:style w:type="paragraph" w:customStyle="1" w:styleId="QuoteBullet">
    <w:name w:val="Quote Bullet"/>
    <w:basedOn w:val="Quote"/>
    <w:uiPriority w:val="99"/>
    <w:qFormat/>
    <w:rsid w:val="00F7639D"/>
    <w:pPr>
      <w:numPr>
        <w:numId w:val="3"/>
      </w:numPr>
      <w:ind w:left="714" w:right="357" w:hanging="357"/>
    </w:pPr>
  </w:style>
  <w:style w:type="paragraph" w:customStyle="1" w:styleId="References">
    <w:name w:val="References"/>
    <w:basedOn w:val="Normal"/>
    <w:qFormat/>
    <w:rsid w:val="00F24C6B"/>
    <w:pPr>
      <w:ind w:left="567" w:hanging="567"/>
    </w:pPr>
    <w:rPr>
      <w:szCs w:val="24"/>
    </w:rPr>
  </w:style>
  <w:style w:type="table" w:styleId="TableGrid">
    <w:name w:val="Table Grid"/>
    <w:basedOn w:val="TableNormal"/>
    <w:locked/>
    <w:rsid w:val="00474ECC"/>
    <w:pPr>
      <w:spacing w:after="220" w:line="280" w:lineRule="atLeast"/>
    </w:pPr>
    <w:rPr>
      <w:rFonts w:ascii="Times New Roman" w:eastAsia="SimSu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474ECC"/>
    <w:rPr>
      <w:rFonts w:ascii="Times New Roman" w:eastAsia="SimSun" w:hAnsi="Times New Roman"/>
      <w:sz w:val="22"/>
      <w:lang w:val="en-GB" w:eastAsia="en-US"/>
    </w:rPr>
  </w:style>
  <w:style w:type="table" w:customStyle="1" w:styleId="Style1">
    <w:name w:val="Style1"/>
    <w:locked/>
    <w:rsid w:val="00474ECC"/>
    <w:rPr>
      <w:rFonts w:ascii="Arial Narrow" w:eastAsia="SimSun" w:hAnsi="Arial Narrow"/>
      <w:sz w:val="18"/>
    </w:rPr>
    <w:tblPr>
      <w:tblInd w:w="0" w:type="dxa"/>
      <w:tblBorders>
        <w:top w:val="single" w:sz="8" w:space="0" w:color="333399"/>
        <w:bottom w:val="single" w:sz="8" w:space="0" w:color="333399"/>
      </w:tblBorders>
      <w:tblCellMar>
        <w:top w:w="0" w:type="dxa"/>
        <w:left w:w="108" w:type="dxa"/>
        <w:bottom w:w="0" w:type="dxa"/>
        <w:right w:w="108" w:type="dxa"/>
      </w:tblCellMar>
    </w:tblPr>
  </w:style>
  <w:style w:type="paragraph" w:styleId="PlainText">
    <w:name w:val="Plain Text"/>
    <w:basedOn w:val="Normal"/>
    <w:link w:val="PlainTextChar"/>
    <w:semiHidden/>
    <w:locked/>
    <w:rsid w:val="00474ECC"/>
    <w:rPr>
      <w:rFonts w:ascii="Consolas" w:hAnsi="Consolas"/>
      <w:sz w:val="21"/>
      <w:szCs w:val="21"/>
    </w:rPr>
  </w:style>
  <w:style w:type="character" w:customStyle="1" w:styleId="PlainTextChar">
    <w:name w:val="Plain Text Char"/>
    <w:link w:val="PlainText"/>
    <w:semiHidden/>
    <w:locked/>
    <w:rsid w:val="00474ECC"/>
    <w:rPr>
      <w:rFonts w:ascii="Consolas" w:hAnsi="Consolas" w:cs="Times New Roman"/>
      <w:sz w:val="21"/>
      <w:szCs w:val="21"/>
    </w:rPr>
  </w:style>
  <w:style w:type="table" w:customStyle="1" w:styleId="icrctable">
    <w:name w:val="icrc table"/>
    <w:basedOn w:val="TableSimple1"/>
    <w:locked/>
    <w:rsid w:val="00F7639D"/>
    <w:rPr>
      <w:rFonts w:ascii="Arial Narrow" w:hAnsi="Arial Narrow"/>
      <w:sz w:val="18"/>
      <w:lang w:val="en-US" w:eastAsia="en-US"/>
    </w:rPr>
    <w:tblPr>
      <w:tblBorders>
        <w:top w:val="single" w:sz="8" w:space="0" w:color="333399"/>
        <w:bottom w:val="single" w:sz="8" w:space="0" w:color="333399"/>
      </w:tblBorders>
    </w:tblPr>
    <w:tblStylePr w:type="firstRow">
      <w:rPr>
        <w:rFonts w:cs="Times New Roman"/>
      </w:rPr>
      <w:tblPr/>
      <w:tcPr>
        <w:tcBorders>
          <w:bottom w:val="single" w:sz="4" w:space="0" w:color="333399"/>
          <w:tl2br w:val="none" w:sz="0" w:space="0" w:color="auto"/>
          <w:tr2bl w:val="none" w:sz="0" w:space="0" w:color="auto"/>
        </w:tcBorders>
        <w:shd w:val="clear" w:color="auto" w:fill="auto"/>
      </w:tcPr>
    </w:tblStylePr>
    <w:tblStylePr w:type="lastRow">
      <w:rPr>
        <w:rFonts w:cs="Times New Roman"/>
      </w:rPr>
      <w:tblPr/>
      <w:tcPr>
        <w:tcBorders>
          <w:top w:val="single" w:sz="4" w:space="0" w:color="333399"/>
          <w:tl2br w:val="none" w:sz="0" w:space="0" w:color="auto"/>
          <w:tr2bl w:val="none" w:sz="0" w:space="0" w:color="auto"/>
        </w:tcBorders>
        <w:shd w:val="clear" w:color="auto" w:fill="auto"/>
      </w:tcPr>
    </w:tblStylePr>
  </w:style>
  <w:style w:type="table" w:styleId="TableSimple1">
    <w:name w:val="Table Simple 1"/>
    <w:basedOn w:val="TableNormal"/>
    <w:locked/>
    <w:rsid w:val="00F7639D"/>
    <w:pPr>
      <w:spacing w:after="220" w:line="280" w:lineRule="atLeast"/>
    </w:pPr>
    <w:rPr>
      <w:rFonts w:ascii="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Headerodd">
    <w:name w:val="Header (odd)"/>
    <w:basedOn w:val="Normal"/>
    <w:rsid w:val="006D6B12"/>
    <w:pPr>
      <w:spacing w:after="0"/>
      <w:jc w:val="right"/>
    </w:pPr>
    <w:rPr>
      <w:i/>
      <w:color w:val="808080"/>
      <w:sz w:val="18"/>
      <w:szCs w:val="18"/>
    </w:rPr>
  </w:style>
  <w:style w:type="paragraph" w:customStyle="1" w:styleId="Headereven">
    <w:name w:val="Header (even)"/>
    <w:basedOn w:val="Headerodd"/>
    <w:rsid w:val="006D6B12"/>
    <w:pPr>
      <w:jc w:val="left"/>
    </w:pPr>
  </w:style>
  <w:style w:type="table" w:customStyle="1" w:styleId="ICRC">
    <w:name w:val="ICRC"/>
    <w:locked/>
    <w:rsid w:val="00474ECC"/>
    <w:rPr>
      <w:rFonts w:ascii="Arial Narrow" w:hAnsi="Arial Narrow"/>
      <w:sz w:val="18"/>
    </w:rPr>
    <w:tblPr>
      <w:tblInd w:w="0" w:type="dxa"/>
      <w:tblBorders>
        <w:bottom w:val="single" w:sz="12" w:space="0" w:color="333399"/>
      </w:tblBorders>
      <w:tblCellMar>
        <w:top w:w="0" w:type="dxa"/>
        <w:left w:w="108" w:type="dxa"/>
        <w:bottom w:w="0" w:type="dxa"/>
        <w:right w:w="108" w:type="dxa"/>
      </w:tblCellMar>
    </w:tblPr>
  </w:style>
  <w:style w:type="paragraph" w:customStyle="1" w:styleId="FigureText">
    <w:name w:val="Figure Text"/>
    <w:basedOn w:val="Normal"/>
    <w:qFormat/>
    <w:rsid w:val="00F7639D"/>
    <w:pPr>
      <w:spacing w:after="0" w:line="240" w:lineRule="auto"/>
    </w:pPr>
    <w:rPr>
      <w:rFonts w:ascii="Arial" w:hAnsi="Arial"/>
      <w:sz w:val="16"/>
    </w:rPr>
  </w:style>
  <w:style w:type="character" w:styleId="EndnoteReference">
    <w:name w:val="endnote reference"/>
    <w:uiPriority w:val="99"/>
    <w:semiHidden/>
    <w:unhideWhenUsed/>
    <w:locked/>
    <w:rsid w:val="001609AB"/>
    <w:rPr>
      <w:vertAlign w:val="superscript"/>
    </w:rPr>
  </w:style>
  <w:style w:type="paragraph" w:styleId="BalloonText">
    <w:name w:val="Balloon Text"/>
    <w:basedOn w:val="Normal"/>
    <w:link w:val="BalloonTextChar"/>
    <w:uiPriority w:val="99"/>
    <w:semiHidden/>
    <w:unhideWhenUsed/>
    <w:locked/>
    <w:rsid w:val="005F11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114B"/>
    <w:rPr>
      <w:rFonts w:ascii="Tahoma" w:hAnsi="Tahoma" w:cs="Tahoma"/>
      <w:sz w:val="16"/>
      <w:szCs w:val="16"/>
      <w:lang w:val="en-GB" w:eastAsia="en-US"/>
    </w:rPr>
  </w:style>
  <w:style w:type="character" w:styleId="CommentReference">
    <w:name w:val="annotation reference"/>
    <w:basedOn w:val="DefaultParagraphFont"/>
    <w:uiPriority w:val="99"/>
    <w:semiHidden/>
    <w:unhideWhenUsed/>
    <w:locked/>
    <w:rsid w:val="0031462D"/>
    <w:rPr>
      <w:sz w:val="16"/>
      <w:szCs w:val="16"/>
    </w:rPr>
  </w:style>
  <w:style w:type="character" w:styleId="PlaceholderText">
    <w:name w:val="Placeholder Text"/>
    <w:basedOn w:val="DefaultParagraphFont"/>
    <w:uiPriority w:val="99"/>
    <w:semiHidden/>
    <w:locked/>
    <w:rsid w:val="0074389C"/>
    <w:rPr>
      <w:color w:val="808080"/>
    </w:rPr>
  </w:style>
  <w:style w:type="paragraph" w:customStyle="1" w:styleId="HeadingPart">
    <w:name w:val="Heading Part"/>
    <w:basedOn w:val="Heading1"/>
    <w:qFormat/>
    <w:rsid w:val="000A4D58"/>
    <w:pPr>
      <w:numPr>
        <w:numId w:val="4"/>
      </w:numPr>
      <w:tabs>
        <w:tab w:val="left" w:pos="1843"/>
      </w:tabs>
    </w:pPr>
  </w:style>
  <w:style w:type="character" w:styleId="FootnoteReference">
    <w:name w:val="footnote reference"/>
    <w:aliases w:val="(NECG) Footnote Reference"/>
    <w:basedOn w:val="DefaultParagraphFont"/>
    <w:uiPriority w:val="99"/>
    <w:unhideWhenUsed/>
    <w:rsid w:val="00FE0570"/>
    <w:rPr>
      <w:vertAlign w:val="superscript"/>
    </w:rPr>
  </w:style>
  <w:style w:type="character" w:customStyle="1" w:styleId="Italic">
    <w:name w:val="Italic"/>
    <w:basedOn w:val="DefaultParagraphFont"/>
    <w:uiPriority w:val="1"/>
    <w:qFormat/>
    <w:rsid w:val="00F24C6B"/>
    <w:rPr>
      <w:i/>
    </w:rPr>
  </w:style>
  <w:style w:type="character" w:customStyle="1" w:styleId="HighlightYellow">
    <w:name w:val="Highlight Yellow"/>
    <w:basedOn w:val="DefaultParagraphFont"/>
    <w:uiPriority w:val="1"/>
    <w:qFormat/>
    <w:rsid w:val="00A75C51"/>
    <w:rPr>
      <w:sz w:val="22"/>
      <w:szCs w:val="24"/>
      <w:bdr w:val="none" w:sz="0" w:space="0" w:color="auto"/>
      <w:shd w:val="clear" w:color="auto" w:fill="FFFF00"/>
    </w:rPr>
  </w:style>
  <w:style w:type="character" w:customStyle="1" w:styleId="HighlightGreen">
    <w:name w:val="Highlight Green"/>
    <w:basedOn w:val="HighlightYellow"/>
    <w:uiPriority w:val="1"/>
    <w:qFormat/>
    <w:rsid w:val="00FF5F02"/>
    <w:rPr>
      <w:sz w:val="22"/>
      <w:szCs w:val="24"/>
      <w:bdr w:val="none" w:sz="0" w:space="0" w:color="auto"/>
      <w:shd w:val="clear" w:color="auto" w:fill="92D050"/>
    </w:rPr>
  </w:style>
  <w:style w:type="character" w:customStyle="1" w:styleId="HighlightBlue">
    <w:name w:val="Highlight Blue"/>
    <w:basedOn w:val="HighlightGreen"/>
    <w:uiPriority w:val="1"/>
    <w:qFormat/>
    <w:rsid w:val="00FF5F02"/>
    <w:rPr>
      <w:sz w:val="22"/>
      <w:szCs w:val="24"/>
      <w:bdr w:val="none" w:sz="0" w:space="0" w:color="auto"/>
      <w:shd w:val="clear" w:color="auto" w:fill="00B0F0"/>
    </w:rPr>
  </w:style>
  <w:style w:type="character" w:customStyle="1" w:styleId="Bold">
    <w:name w:val="Bold"/>
    <w:basedOn w:val="DefaultParagraphFont"/>
    <w:qFormat/>
    <w:rsid w:val="00FB72CD"/>
    <w:rPr>
      <w:rFonts w:eastAsia="SimSun"/>
      <w:b/>
      <w:lang w:val="en-AU"/>
    </w:rPr>
  </w:style>
  <w:style w:type="paragraph" w:customStyle="1" w:styleId="Heading50">
    <w:name w:val="Heading 5^"/>
    <w:basedOn w:val="Heading5"/>
    <w:link w:val="Heading5Char0"/>
    <w:qFormat/>
    <w:rsid w:val="001822C4"/>
    <w:pPr>
      <w:spacing w:before="0" w:after="120"/>
    </w:pPr>
    <w:rPr>
      <w:szCs w:val="24"/>
      <w:lang w:val="en-AU"/>
    </w:rPr>
  </w:style>
  <w:style w:type="character" w:customStyle="1" w:styleId="Heading5Char0">
    <w:name w:val="Heading 5^ Char"/>
    <w:basedOn w:val="Heading5Char"/>
    <w:link w:val="Heading50"/>
    <w:rsid w:val="001822C4"/>
    <w:rPr>
      <w:rFonts w:ascii="Times New Roman" w:hAnsi="Times New Roman"/>
      <w:i/>
      <w:sz w:val="24"/>
      <w:szCs w:val="24"/>
      <w:lang w:val="en-GB" w:eastAsia="en-US"/>
    </w:rPr>
  </w:style>
  <w:style w:type="paragraph" w:customStyle="1" w:styleId="QuoteListnumber">
    <w:name w:val="Quote List (number)"/>
    <w:basedOn w:val="Normal"/>
    <w:rsid w:val="005566BA"/>
    <w:rPr>
      <w:sz w:val="20"/>
    </w:rPr>
  </w:style>
  <w:style w:type="paragraph" w:customStyle="1" w:styleId="TableHeadingRight">
    <w:name w:val="Table Heading Right"/>
    <w:basedOn w:val="TableHeadingLeft"/>
    <w:qFormat/>
    <w:rsid w:val="00280AFD"/>
    <w:pPr>
      <w:jc w:val="right"/>
    </w:pPr>
  </w:style>
  <w:style w:type="paragraph" w:customStyle="1" w:styleId="TableTextRight">
    <w:name w:val="Table Text Right"/>
    <w:basedOn w:val="TableTextLeft"/>
    <w:qFormat/>
    <w:rsid w:val="008A6CA2"/>
    <w:pPr>
      <w:jc w:val="right"/>
    </w:pPr>
  </w:style>
  <w:style w:type="paragraph" w:customStyle="1" w:styleId="HeadingAppendix2">
    <w:name w:val="Heading Appendix 2"/>
    <w:basedOn w:val="Heading2"/>
    <w:qFormat/>
    <w:rsid w:val="00D42FF9"/>
    <w:pPr>
      <w:numPr>
        <w:numId w:val="6"/>
      </w:numPr>
    </w:pPr>
  </w:style>
  <w:style w:type="paragraph" w:customStyle="1" w:styleId="HeadingAppendix3">
    <w:name w:val="Heading Appendix 3"/>
    <w:basedOn w:val="Heading3"/>
    <w:qFormat/>
    <w:rsid w:val="00D42FF9"/>
    <w:pPr>
      <w:numPr>
        <w:numId w:val="6"/>
      </w:numPr>
    </w:pPr>
  </w:style>
  <w:style w:type="paragraph" w:styleId="DocumentMap">
    <w:name w:val="Document Map"/>
    <w:basedOn w:val="Normal"/>
    <w:link w:val="DocumentMapChar"/>
    <w:uiPriority w:val="99"/>
    <w:semiHidden/>
    <w:unhideWhenUsed/>
    <w:locked/>
    <w:rsid w:val="00E258B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258B7"/>
    <w:rPr>
      <w:rFonts w:ascii="Tahoma" w:hAnsi="Tahoma" w:cs="Tahoma"/>
      <w:sz w:val="16"/>
      <w:szCs w:val="16"/>
      <w:lang w:val="en-GB" w:eastAsia="en-US"/>
    </w:rPr>
  </w:style>
  <w:style w:type="paragraph" w:customStyle="1" w:styleId="QuoteListletter">
    <w:name w:val="Quote List (letter)"/>
    <w:basedOn w:val="QuoteListnumber"/>
    <w:qFormat/>
    <w:rsid w:val="005566BA"/>
    <w:pPr>
      <w:numPr>
        <w:ilvl w:val="1"/>
      </w:numPr>
    </w:pPr>
  </w:style>
  <w:style w:type="character" w:styleId="Emphasis">
    <w:name w:val="Emphasis"/>
    <w:basedOn w:val="DefaultParagraphFont"/>
    <w:qFormat/>
    <w:locked/>
    <w:rsid w:val="00F4763B"/>
    <w:rPr>
      <w:i/>
      <w:iCs/>
    </w:rPr>
  </w:style>
  <w:style w:type="paragraph" w:customStyle="1" w:styleId="Equation">
    <w:name w:val="Equation"/>
    <w:basedOn w:val="EquationVariables"/>
    <w:uiPriority w:val="99"/>
    <w:qFormat/>
    <w:rsid w:val="00F7295F"/>
    <w:pPr>
      <w:tabs>
        <w:tab w:val="clear" w:pos="1985"/>
      </w:tabs>
      <w:ind w:left="1418" w:firstLine="0"/>
    </w:pPr>
  </w:style>
  <w:style w:type="paragraph" w:customStyle="1" w:styleId="EquationVariables">
    <w:name w:val="Equation Variables"/>
    <w:basedOn w:val="Normal"/>
    <w:qFormat/>
    <w:rsid w:val="00F7295F"/>
    <w:pPr>
      <w:tabs>
        <w:tab w:val="left" w:pos="1985"/>
      </w:tabs>
      <w:ind w:left="2552" w:hanging="1134"/>
    </w:pPr>
  </w:style>
  <w:style w:type="paragraph" w:customStyle="1" w:styleId="HeadingAppendix">
    <w:name w:val="Heading Appendix"/>
    <w:basedOn w:val="Heading1"/>
    <w:uiPriority w:val="99"/>
    <w:locked/>
    <w:rsid w:val="006E1C49"/>
    <w:pPr>
      <w:numPr>
        <w:numId w:val="0"/>
      </w:numPr>
      <w:tabs>
        <w:tab w:val="left" w:pos="2693"/>
      </w:tabs>
      <w:ind w:left="2693" w:hanging="2693"/>
    </w:pPr>
  </w:style>
  <w:style w:type="paragraph" w:customStyle="1" w:styleId="Bodybulletintro">
    <w:name w:val="Body (bullet intro)"/>
    <w:basedOn w:val="Normal"/>
    <w:qFormat/>
    <w:rsid w:val="00C47CD1"/>
    <w:pPr>
      <w:keepNext/>
      <w:spacing w:after="100"/>
    </w:pPr>
  </w:style>
  <w:style w:type="paragraph" w:customStyle="1" w:styleId="Bodytableoutro">
    <w:name w:val="Body (table outro)"/>
    <w:basedOn w:val="Normal"/>
    <w:qFormat/>
    <w:rsid w:val="00814952"/>
    <w:pPr>
      <w:spacing w:before="220"/>
    </w:pPr>
  </w:style>
  <w:style w:type="paragraph" w:customStyle="1" w:styleId="TableTextLeftIndent">
    <w:name w:val="Table Text Left Indent"/>
    <w:basedOn w:val="TableTextLeft"/>
    <w:qFormat/>
    <w:rsid w:val="008A6CA2"/>
    <w:pPr>
      <w:ind w:left="170"/>
    </w:pPr>
    <w:rPr>
      <w:lang w:val="en-AU" w:eastAsia="en-AU"/>
    </w:rPr>
  </w:style>
  <w:style w:type="paragraph" w:customStyle="1" w:styleId="ToRName">
    <w:name w:val="ToR Name"/>
    <w:basedOn w:val="Normal"/>
    <w:uiPriority w:val="99"/>
    <w:rsid w:val="001A0127"/>
    <w:pPr>
      <w:tabs>
        <w:tab w:val="left" w:pos="2400"/>
        <w:tab w:val="left" w:pos="2880"/>
      </w:tabs>
      <w:spacing w:before="1220" w:after="100" w:line="240" w:lineRule="auto"/>
    </w:pPr>
    <w:rPr>
      <w:rFonts w:ascii="Arial" w:eastAsia="Times New Roman" w:hAnsi="Arial"/>
      <w:b/>
      <w:sz w:val="40"/>
      <w:lang w:val="en-AU"/>
    </w:rPr>
  </w:style>
  <w:style w:type="paragraph" w:customStyle="1" w:styleId="ToRCoverActs">
    <w:name w:val="ToR Cover Acts"/>
    <w:basedOn w:val="Normal"/>
    <w:uiPriority w:val="99"/>
    <w:rsid w:val="001A0127"/>
    <w:pPr>
      <w:tabs>
        <w:tab w:val="left" w:pos="2600"/>
      </w:tabs>
      <w:spacing w:before="200" w:after="60" w:line="240" w:lineRule="auto"/>
      <w:jc w:val="both"/>
    </w:pPr>
    <w:rPr>
      <w:rFonts w:ascii="Arial" w:eastAsia="Times New Roman" w:hAnsi="Arial"/>
      <w:b/>
      <w:sz w:val="24"/>
      <w:lang w:val="en-AU"/>
    </w:rPr>
  </w:style>
  <w:style w:type="paragraph" w:customStyle="1" w:styleId="CoverReport">
    <w:name w:val="Cover Report"/>
    <w:basedOn w:val="Normal"/>
    <w:qFormat/>
    <w:rsid w:val="00287869"/>
    <w:pPr>
      <w:spacing w:after="80"/>
      <w:ind w:left="142" w:right="98"/>
      <w:jc w:val="right"/>
    </w:pPr>
    <w:rPr>
      <w:rFonts w:ascii="Arial" w:hAnsi="Arial"/>
      <w:bCs/>
      <w:sz w:val="36"/>
      <w:szCs w:val="36"/>
      <w:lang w:val="en-AU"/>
    </w:rPr>
  </w:style>
  <w:style w:type="paragraph" w:customStyle="1" w:styleId="CoverInquiry">
    <w:name w:val="Cover Inquiry"/>
    <w:basedOn w:val="Normal"/>
    <w:qFormat/>
    <w:rsid w:val="00287869"/>
    <w:pPr>
      <w:ind w:left="142" w:right="98"/>
      <w:jc w:val="right"/>
    </w:pPr>
    <w:rPr>
      <w:rFonts w:ascii="Arial" w:hAnsi="Arial" w:cs="Arial"/>
      <w:b/>
      <w:color w:val="000033"/>
      <w:sz w:val="48"/>
      <w:szCs w:val="48"/>
    </w:rPr>
  </w:style>
  <w:style w:type="paragraph" w:customStyle="1" w:styleId="CoverReportNumMonth">
    <w:name w:val="Cover ReportNum &amp; Month"/>
    <w:basedOn w:val="Normal"/>
    <w:qFormat/>
    <w:rsid w:val="00287869"/>
    <w:pPr>
      <w:ind w:left="142" w:right="98"/>
      <w:jc w:val="right"/>
    </w:pPr>
    <w:rPr>
      <w:rFonts w:ascii="Arial" w:hAnsi="Arial"/>
      <w:b/>
      <w:sz w:val="24"/>
      <w:lang w:val="en-AU"/>
    </w:rPr>
  </w:style>
  <w:style w:type="character" w:customStyle="1" w:styleId="charBoldItals">
    <w:name w:val="charBoldItals"/>
    <w:basedOn w:val="DefaultParagraphFont"/>
    <w:uiPriority w:val="99"/>
    <w:rsid w:val="00DC784F"/>
    <w:rPr>
      <w:rFonts w:cs="Times New Roman"/>
      <w:b/>
      <w:bCs/>
      <w:i/>
      <w:iCs/>
    </w:rPr>
  </w:style>
  <w:style w:type="paragraph" w:customStyle="1" w:styleId="Apara">
    <w:name w:val="A para"/>
    <w:basedOn w:val="Normal"/>
    <w:uiPriority w:val="99"/>
    <w:rsid w:val="00DC784F"/>
    <w:pPr>
      <w:tabs>
        <w:tab w:val="right" w:pos="1400"/>
        <w:tab w:val="left" w:pos="1600"/>
      </w:tabs>
      <w:spacing w:before="80" w:after="60" w:line="240" w:lineRule="auto"/>
      <w:ind w:left="1600" w:hanging="1600"/>
      <w:jc w:val="both"/>
      <w:outlineLvl w:val="6"/>
    </w:pPr>
    <w:rPr>
      <w:rFonts w:eastAsia="Times New Roman"/>
      <w:sz w:val="24"/>
      <w:lang w:val="en-AU"/>
    </w:rPr>
  </w:style>
  <w:style w:type="paragraph" w:customStyle="1" w:styleId="AH5Sec">
    <w:name w:val="A H5 Sec"/>
    <w:basedOn w:val="Normal"/>
    <w:next w:val="Normal"/>
    <w:uiPriority w:val="99"/>
    <w:rsid w:val="00DC784F"/>
    <w:pPr>
      <w:keepNext/>
      <w:tabs>
        <w:tab w:val="left" w:pos="1100"/>
      </w:tabs>
      <w:spacing w:before="180" w:after="60" w:line="240" w:lineRule="auto"/>
      <w:ind w:left="1100" w:hanging="1100"/>
      <w:outlineLvl w:val="4"/>
    </w:pPr>
    <w:rPr>
      <w:rFonts w:ascii="Arial" w:eastAsia="Times New Roman" w:hAnsi="Arial"/>
      <w:b/>
      <w:sz w:val="24"/>
      <w:lang w:val="en-AU"/>
    </w:rPr>
  </w:style>
  <w:style w:type="paragraph" w:customStyle="1" w:styleId="Amain">
    <w:name w:val="A main"/>
    <w:basedOn w:val="Normal"/>
    <w:uiPriority w:val="99"/>
    <w:rsid w:val="00DC784F"/>
    <w:pPr>
      <w:tabs>
        <w:tab w:val="right" w:pos="900"/>
        <w:tab w:val="left" w:pos="1100"/>
      </w:tabs>
      <w:spacing w:before="80" w:after="60" w:line="240" w:lineRule="auto"/>
      <w:ind w:left="1100" w:hanging="1100"/>
      <w:jc w:val="both"/>
      <w:outlineLvl w:val="5"/>
    </w:pPr>
    <w:rPr>
      <w:rFonts w:eastAsia="Times New Roman"/>
      <w:sz w:val="24"/>
      <w:lang w:val="en-AU"/>
    </w:rPr>
  </w:style>
  <w:style w:type="paragraph" w:customStyle="1" w:styleId="aNote">
    <w:name w:val="aNote"/>
    <w:basedOn w:val="Normal"/>
    <w:uiPriority w:val="99"/>
    <w:rsid w:val="00DC784F"/>
    <w:pPr>
      <w:spacing w:before="80" w:after="60" w:line="240" w:lineRule="auto"/>
      <w:ind w:left="1900" w:hanging="800"/>
      <w:jc w:val="both"/>
    </w:pPr>
    <w:rPr>
      <w:rFonts w:eastAsia="Times New Roman"/>
      <w:sz w:val="20"/>
      <w:lang w:val="en-AU"/>
    </w:rPr>
  </w:style>
  <w:style w:type="character" w:customStyle="1" w:styleId="CharSectNo">
    <w:name w:val="CharSectNo"/>
    <w:basedOn w:val="DefaultParagraphFont"/>
    <w:uiPriority w:val="99"/>
    <w:rsid w:val="00DC784F"/>
    <w:rPr>
      <w:rFonts w:cs="Times New Roman"/>
    </w:rPr>
  </w:style>
  <w:style w:type="paragraph" w:styleId="ListParagraph">
    <w:name w:val="List Paragraph"/>
    <w:basedOn w:val="Normal"/>
    <w:uiPriority w:val="99"/>
    <w:qFormat/>
    <w:locked/>
    <w:rsid w:val="00DC784F"/>
    <w:pPr>
      <w:spacing w:after="200" w:line="276" w:lineRule="auto"/>
      <w:ind w:left="720"/>
      <w:contextualSpacing/>
    </w:pPr>
    <w:rPr>
      <w:rFonts w:eastAsia="PMingLiU"/>
      <w:szCs w:val="22"/>
      <w:lang w:eastAsia="zh-TW"/>
    </w:rPr>
  </w:style>
  <w:style w:type="paragraph" w:styleId="Header">
    <w:name w:val="header"/>
    <w:aliases w:val="Even header (essay title)"/>
    <w:basedOn w:val="Normal"/>
    <w:link w:val="HeaderChar"/>
    <w:uiPriority w:val="99"/>
    <w:unhideWhenUsed/>
    <w:rsid w:val="00E2786A"/>
    <w:pPr>
      <w:tabs>
        <w:tab w:val="center" w:pos="4513"/>
        <w:tab w:val="right" w:pos="9026"/>
      </w:tabs>
      <w:spacing w:after="0" w:line="240" w:lineRule="auto"/>
    </w:pPr>
  </w:style>
  <w:style w:type="character" w:customStyle="1" w:styleId="HeaderChar">
    <w:name w:val="Header Char"/>
    <w:aliases w:val="Even header (essay title) Char"/>
    <w:basedOn w:val="DefaultParagraphFont"/>
    <w:link w:val="Header"/>
    <w:uiPriority w:val="99"/>
    <w:rsid w:val="00E2786A"/>
    <w:rPr>
      <w:rFonts w:ascii="Times New Roman" w:hAnsi="Times New Roman"/>
      <w:sz w:val="22"/>
      <w:lang w:val="en-GB" w:eastAsia="en-US"/>
    </w:rPr>
  </w:style>
  <w:style w:type="character" w:styleId="HTMLCite">
    <w:name w:val="HTML Cite"/>
    <w:basedOn w:val="DefaultParagraphFont"/>
    <w:uiPriority w:val="99"/>
    <w:semiHidden/>
    <w:unhideWhenUsed/>
    <w:locked/>
    <w:rsid w:val="00542849"/>
    <w:rPr>
      <w:i/>
      <w:iCs/>
    </w:rPr>
  </w:style>
  <w:style w:type="paragraph" w:styleId="NormalWeb">
    <w:name w:val="Normal (Web)"/>
    <w:basedOn w:val="Normal"/>
    <w:uiPriority w:val="99"/>
    <w:semiHidden/>
    <w:unhideWhenUsed/>
    <w:rsid w:val="004C5B61"/>
    <w:pPr>
      <w:spacing w:before="100" w:beforeAutospacing="1" w:after="100" w:afterAutospacing="1" w:line="240" w:lineRule="auto"/>
    </w:pPr>
    <w:rPr>
      <w:rFonts w:eastAsiaTheme="minorEastAsia"/>
      <w:sz w:val="24"/>
      <w:szCs w:val="24"/>
      <w:lang w:val="en-AU" w:eastAsia="en-AU"/>
    </w:rPr>
  </w:style>
  <w:style w:type="paragraph" w:customStyle="1" w:styleId="Billname">
    <w:name w:val="Billname"/>
    <w:basedOn w:val="Normal"/>
    <w:rsid w:val="00E96374"/>
    <w:pPr>
      <w:tabs>
        <w:tab w:val="left" w:pos="2400"/>
        <w:tab w:val="left" w:pos="2880"/>
      </w:tabs>
      <w:spacing w:before="1220" w:after="100" w:line="240" w:lineRule="auto"/>
    </w:pPr>
    <w:rPr>
      <w:rFonts w:ascii="Arial" w:eastAsia="Times New Roman" w:hAnsi="Arial"/>
      <w:b/>
      <w:sz w:val="40"/>
      <w:lang w:val="en-AU"/>
    </w:rPr>
  </w:style>
  <w:style w:type="paragraph" w:customStyle="1" w:styleId="N-line3">
    <w:name w:val="N-line3"/>
    <w:basedOn w:val="Normal"/>
    <w:next w:val="Normal"/>
    <w:rsid w:val="00E96374"/>
    <w:pPr>
      <w:pBdr>
        <w:bottom w:val="single" w:sz="12" w:space="1" w:color="auto"/>
      </w:pBdr>
      <w:spacing w:after="0" w:line="240" w:lineRule="auto"/>
      <w:jc w:val="both"/>
    </w:pPr>
    <w:rPr>
      <w:rFonts w:eastAsia="Times New Roman"/>
      <w:sz w:val="24"/>
      <w:lang w:val="en-AU"/>
    </w:rPr>
  </w:style>
  <w:style w:type="paragraph" w:customStyle="1" w:styleId="madeunder">
    <w:name w:val="made under"/>
    <w:basedOn w:val="Normal"/>
    <w:rsid w:val="00E96374"/>
    <w:pPr>
      <w:spacing w:before="180" w:after="60" w:line="240" w:lineRule="auto"/>
      <w:jc w:val="both"/>
    </w:pPr>
    <w:rPr>
      <w:rFonts w:eastAsia="Times New Roman"/>
      <w:sz w:val="24"/>
      <w:lang w:val="en-AU"/>
    </w:rPr>
  </w:style>
  <w:style w:type="paragraph" w:customStyle="1" w:styleId="CoverActName">
    <w:name w:val="CoverActName"/>
    <w:basedOn w:val="Normal"/>
    <w:rsid w:val="00E96374"/>
    <w:pPr>
      <w:tabs>
        <w:tab w:val="left" w:pos="2600"/>
      </w:tabs>
      <w:spacing w:before="200" w:after="60" w:line="240" w:lineRule="auto"/>
      <w:jc w:val="both"/>
    </w:pPr>
    <w:rPr>
      <w:rFonts w:ascii="Arial" w:eastAsia="Times New Roman" w:hAnsi="Arial"/>
      <w:b/>
      <w:sz w:val="24"/>
      <w:lang w:val="en-AU"/>
    </w:rPr>
  </w:style>
  <w:style w:type="paragraph" w:styleId="TOCHeading">
    <w:name w:val="TOC Heading"/>
    <w:basedOn w:val="Heading1"/>
    <w:next w:val="Normal"/>
    <w:uiPriority w:val="39"/>
    <w:semiHidden/>
    <w:unhideWhenUsed/>
    <w:qFormat/>
    <w:locked/>
    <w:rsid w:val="006477A0"/>
    <w:pPr>
      <w:keepLines/>
      <w:numPr>
        <w:numId w:val="0"/>
      </w:numPr>
      <w:spacing w:before="480" w:after="0" w:line="276" w:lineRule="auto"/>
      <w:outlineLvl w:val="9"/>
    </w:pPr>
    <w:rPr>
      <w:rFonts w:asciiTheme="majorHAnsi" w:eastAsiaTheme="majorEastAsia" w:hAnsiTheme="majorHAnsi" w:cstheme="majorBidi"/>
      <w:bCs/>
      <w:color w:val="365F91" w:themeColor="accent1" w:themeShade="BF"/>
      <w:kern w:val="0"/>
      <w:sz w:val="28"/>
      <w:szCs w:val="28"/>
      <w:lang w:val="en-US"/>
    </w:rPr>
  </w:style>
  <w:style w:type="paragraph" w:styleId="TOC4">
    <w:name w:val="toc 4"/>
    <w:basedOn w:val="Normal"/>
    <w:next w:val="Normal"/>
    <w:autoRedefine/>
    <w:uiPriority w:val="39"/>
    <w:unhideWhenUsed/>
    <w:locked/>
    <w:rsid w:val="006477A0"/>
    <w:pPr>
      <w:spacing w:after="100" w:line="276" w:lineRule="auto"/>
      <w:ind w:left="660"/>
    </w:pPr>
    <w:rPr>
      <w:rFonts w:asciiTheme="minorHAnsi" w:eastAsiaTheme="minorEastAsia" w:hAnsiTheme="minorHAnsi" w:cstheme="minorBidi"/>
      <w:szCs w:val="22"/>
      <w:lang w:val="en-AU" w:eastAsia="en-AU"/>
    </w:rPr>
  </w:style>
  <w:style w:type="paragraph" w:styleId="TOC5">
    <w:name w:val="toc 5"/>
    <w:basedOn w:val="Normal"/>
    <w:next w:val="Normal"/>
    <w:autoRedefine/>
    <w:uiPriority w:val="39"/>
    <w:unhideWhenUsed/>
    <w:locked/>
    <w:rsid w:val="006477A0"/>
    <w:pPr>
      <w:spacing w:after="100" w:line="276" w:lineRule="auto"/>
      <w:ind w:left="880"/>
    </w:pPr>
    <w:rPr>
      <w:rFonts w:asciiTheme="minorHAnsi" w:eastAsiaTheme="minorEastAsia" w:hAnsiTheme="minorHAnsi" w:cstheme="minorBidi"/>
      <w:szCs w:val="22"/>
      <w:lang w:val="en-AU" w:eastAsia="en-AU"/>
    </w:rPr>
  </w:style>
  <w:style w:type="paragraph" w:styleId="TOC6">
    <w:name w:val="toc 6"/>
    <w:basedOn w:val="Normal"/>
    <w:next w:val="Normal"/>
    <w:autoRedefine/>
    <w:uiPriority w:val="39"/>
    <w:unhideWhenUsed/>
    <w:locked/>
    <w:rsid w:val="006477A0"/>
    <w:pPr>
      <w:spacing w:after="100" w:line="276" w:lineRule="auto"/>
      <w:ind w:left="1100"/>
    </w:pPr>
    <w:rPr>
      <w:rFonts w:asciiTheme="minorHAnsi" w:eastAsiaTheme="minorEastAsia" w:hAnsiTheme="minorHAnsi" w:cstheme="minorBidi"/>
      <w:szCs w:val="22"/>
      <w:lang w:val="en-AU" w:eastAsia="en-AU"/>
    </w:rPr>
  </w:style>
  <w:style w:type="paragraph" w:styleId="TOC7">
    <w:name w:val="toc 7"/>
    <w:basedOn w:val="Normal"/>
    <w:next w:val="Normal"/>
    <w:autoRedefine/>
    <w:uiPriority w:val="39"/>
    <w:unhideWhenUsed/>
    <w:locked/>
    <w:rsid w:val="006477A0"/>
    <w:pPr>
      <w:spacing w:after="100" w:line="276" w:lineRule="auto"/>
      <w:ind w:left="1320"/>
    </w:pPr>
    <w:rPr>
      <w:rFonts w:asciiTheme="minorHAnsi" w:eastAsiaTheme="minorEastAsia" w:hAnsiTheme="minorHAnsi" w:cstheme="minorBidi"/>
      <w:szCs w:val="22"/>
      <w:lang w:val="en-AU" w:eastAsia="en-AU"/>
    </w:rPr>
  </w:style>
  <w:style w:type="paragraph" w:styleId="TOC8">
    <w:name w:val="toc 8"/>
    <w:basedOn w:val="Normal"/>
    <w:next w:val="Normal"/>
    <w:autoRedefine/>
    <w:uiPriority w:val="39"/>
    <w:unhideWhenUsed/>
    <w:locked/>
    <w:rsid w:val="006477A0"/>
    <w:pPr>
      <w:spacing w:after="100" w:line="276" w:lineRule="auto"/>
      <w:ind w:left="1540"/>
    </w:pPr>
    <w:rPr>
      <w:rFonts w:asciiTheme="minorHAnsi" w:eastAsiaTheme="minorEastAsia" w:hAnsiTheme="minorHAnsi" w:cstheme="minorBidi"/>
      <w:szCs w:val="22"/>
      <w:lang w:val="en-AU" w:eastAsia="en-AU"/>
    </w:rPr>
  </w:style>
  <w:style w:type="paragraph" w:styleId="TOC9">
    <w:name w:val="toc 9"/>
    <w:basedOn w:val="Normal"/>
    <w:next w:val="Normal"/>
    <w:autoRedefine/>
    <w:uiPriority w:val="39"/>
    <w:unhideWhenUsed/>
    <w:locked/>
    <w:rsid w:val="006477A0"/>
    <w:pPr>
      <w:spacing w:after="100" w:line="276" w:lineRule="auto"/>
      <w:ind w:left="1760"/>
    </w:pPr>
    <w:rPr>
      <w:rFonts w:asciiTheme="minorHAnsi" w:eastAsiaTheme="minorEastAsia" w:hAnsiTheme="minorHAnsi" w:cstheme="minorBidi"/>
      <w:szCs w:val="22"/>
      <w:lang w:val="en-AU" w:eastAsia="en-AU"/>
    </w:rPr>
  </w:style>
  <w:style w:type="character" w:styleId="Strong">
    <w:name w:val="Strong"/>
    <w:basedOn w:val="DefaultParagraphFont"/>
    <w:locked/>
    <w:rsid w:val="00FC0BC1"/>
    <w:rPr>
      <w:b/>
      <w:bCs/>
    </w:rPr>
  </w:style>
  <w:style w:type="paragraph" w:styleId="BodyText">
    <w:name w:val="Body Text"/>
    <w:basedOn w:val="Normal"/>
    <w:link w:val="BodyTextChar"/>
    <w:uiPriority w:val="99"/>
    <w:semiHidden/>
    <w:unhideWhenUsed/>
    <w:locked/>
    <w:rsid w:val="009F7536"/>
    <w:pPr>
      <w:spacing w:after="120"/>
    </w:pPr>
  </w:style>
  <w:style w:type="character" w:customStyle="1" w:styleId="BodyTextChar">
    <w:name w:val="Body Text Char"/>
    <w:basedOn w:val="DefaultParagraphFont"/>
    <w:link w:val="BodyText"/>
    <w:uiPriority w:val="99"/>
    <w:semiHidden/>
    <w:rsid w:val="009F7536"/>
    <w:rPr>
      <w:rFonts w:ascii="Times New Roman" w:hAnsi="Times New Roman"/>
      <w:sz w:val="22"/>
      <w:lang w:val="en-GB" w:eastAsia="en-US"/>
    </w:rPr>
  </w:style>
  <w:style w:type="character" w:styleId="FollowedHyperlink">
    <w:name w:val="FollowedHyperlink"/>
    <w:basedOn w:val="DefaultParagraphFont"/>
    <w:uiPriority w:val="99"/>
    <w:semiHidden/>
    <w:unhideWhenUsed/>
    <w:locked/>
    <w:rsid w:val="00DD695A"/>
    <w:rPr>
      <w:color w:val="800080" w:themeColor="followedHyperlink"/>
      <w:u w:val="single"/>
    </w:rPr>
  </w:style>
  <w:style w:type="paragraph" w:customStyle="1" w:styleId="Heading2a">
    <w:name w:val="Heading 2a"/>
    <w:basedOn w:val="Heading2"/>
    <w:next w:val="BodyText"/>
    <w:qFormat/>
    <w:rsid w:val="006A781F"/>
    <w:pPr>
      <w:numPr>
        <w:ilvl w:val="0"/>
        <w:numId w:val="0"/>
      </w:numPr>
    </w:pPr>
  </w:style>
  <w:style w:type="paragraph" w:customStyle="1" w:styleId="Heading3a">
    <w:name w:val="Heading 3a"/>
    <w:basedOn w:val="Heading3"/>
    <w:next w:val="BodyText"/>
    <w:qFormat/>
    <w:rsid w:val="006A781F"/>
    <w:pPr>
      <w:numPr>
        <w:ilvl w:val="0"/>
        <w:numId w:val="0"/>
      </w:numPr>
    </w:pPr>
  </w:style>
  <w:style w:type="paragraph" w:styleId="Title">
    <w:name w:val="Title"/>
    <w:basedOn w:val="Normal"/>
    <w:next w:val="Normal"/>
    <w:link w:val="TitleChar"/>
    <w:qFormat/>
    <w:locked/>
    <w:rsid w:val="00091A4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rsid w:val="00091A4A"/>
    <w:rPr>
      <w:rFonts w:eastAsia="Times New Roman"/>
      <w:color w:val="17365D"/>
      <w:spacing w:val="5"/>
      <w:kern w:val="28"/>
      <w:sz w:val="52"/>
      <w:szCs w:val="52"/>
      <w:lang w:val="en-GB" w:eastAsia="en-US"/>
    </w:rPr>
  </w:style>
  <w:style w:type="paragraph" w:customStyle="1" w:styleId="Epigraph">
    <w:name w:val="Epigraph"/>
    <w:basedOn w:val="Normal"/>
    <w:next w:val="Normal"/>
    <w:qFormat/>
    <w:locked/>
    <w:rsid w:val="00091A4A"/>
    <w:rPr>
      <w:i/>
    </w:rPr>
  </w:style>
  <w:style w:type="paragraph" w:customStyle="1" w:styleId="Oddheaderauthorname">
    <w:name w:val="Odd header (author name)"/>
    <w:basedOn w:val="Header"/>
    <w:qFormat/>
    <w:locked/>
    <w:rsid w:val="00091A4A"/>
    <w:pPr>
      <w:jc w:val="right"/>
    </w:pPr>
  </w:style>
  <w:style w:type="paragraph" w:customStyle="1" w:styleId="Tabletext">
    <w:name w:val="Table text"/>
    <w:locked/>
    <w:rsid w:val="00091A4A"/>
    <w:pPr>
      <w:spacing w:before="60" w:after="60" w:line="240" w:lineRule="exact"/>
    </w:pPr>
    <w:rPr>
      <w:rFonts w:ascii="Arial" w:eastAsia="Calibri" w:hAnsi="Arial"/>
      <w:szCs w:val="22"/>
      <w:lang w:val="en-GB" w:eastAsia="en-US"/>
    </w:rPr>
  </w:style>
  <w:style w:type="paragraph" w:customStyle="1" w:styleId="Boxtext">
    <w:name w:val="Box text"/>
    <w:basedOn w:val="Normal"/>
    <w:next w:val="Normal"/>
    <w:qFormat/>
    <w:locked/>
    <w:rsid w:val="00091A4A"/>
    <w:pPr>
      <w:shd w:val="pct10" w:color="auto" w:fill="auto"/>
    </w:pPr>
    <w:rPr>
      <w:sz w:val="20"/>
    </w:rPr>
  </w:style>
  <w:style w:type="paragraph" w:styleId="ListNumber">
    <w:name w:val="List Number"/>
    <w:basedOn w:val="Normal"/>
    <w:qFormat/>
    <w:locked/>
    <w:rsid w:val="00091A4A"/>
    <w:pPr>
      <w:numPr>
        <w:numId w:val="9"/>
      </w:numPr>
      <w:contextualSpacing/>
    </w:pPr>
  </w:style>
  <w:style w:type="paragraph" w:customStyle="1" w:styleId="LetteredList">
    <w:name w:val="Lettered List"/>
    <w:basedOn w:val="Bullet"/>
    <w:qFormat/>
    <w:rsid w:val="009A7020"/>
    <w:pPr>
      <w:numPr>
        <w:numId w:val="10"/>
      </w:numPr>
    </w:pPr>
  </w:style>
  <w:style w:type="paragraph" w:customStyle="1" w:styleId="Bulletintro">
    <w:name w:val="Bullet intro"/>
    <w:basedOn w:val="Normal"/>
    <w:qFormat/>
    <w:rsid w:val="00E4257E"/>
    <w:pPr>
      <w:keepNext/>
      <w:spacing w:after="100"/>
    </w:pPr>
  </w:style>
  <w:style w:type="paragraph" w:styleId="BodyTextIndent">
    <w:name w:val="Body Text Indent"/>
    <w:basedOn w:val="Normal"/>
    <w:link w:val="BodyTextIndentChar"/>
    <w:uiPriority w:val="99"/>
    <w:semiHidden/>
    <w:unhideWhenUsed/>
    <w:locked/>
    <w:rsid w:val="0000019F"/>
    <w:pPr>
      <w:spacing w:after="120"/>
      <w:ind w:left="283"/>
    </w:pPr>
  </w:style>
  <w:style w:type="character" w:customStyle="1" w:styleId="BodyTextIndentChar">
    <w:name w:val="Body Text Indent Char"/>
    <w:basedOn w:val="DefaultParagraphFont"/>
    <w:link w:val="BodyTextIndent"/>
    <w:uiPriority w:val="99"/>
    <w:semiHidden/>
    <w:rsid w:val="0000019F"/>
    <w:rPr>
      <w:rFonts w:ascii="Times New Roman" w:hAnsi="Times New Roman"/>
      <w:sz w:val="22"/>
      <w:lang w:val="en-GB" w:eastAsia="en-US"/>
    </w:rPr>
  </w:style>
  <w:style w:type="paragraph" w:customStyle="1" w:styleId="Default">
    <w:name w:val="Default"/>
    <w:rsid w:val="00D04C76"/>
    <w:pPr>
      <w:autoSpaceDE w:val="0"/>
      <w:autoSpaceDN w:val="0"/>
      <w:adjustRightInd w:val="0"/>
    </w:pPr>
    <w:rPr>
      <w:rFonts w:ascii="Times New Roman" w:hAnsi="Times New Roman"/>
      <w:color w:val="000000"/>
      <w:sz w:val="24"/>
      <w:szCs w:val="24"/>
    </w:rPr>
  </w:style>
  <w:style w:type="paragraph" w:styleId="ListBullet">
    <w:name w:val="List Bullet"/>
    <w:basedOn w:val="Normal"/>
    <w:uiPriority w:val="99"/>
    <w:semiHidden/>
    <w:unhideWhenUsed/>
    <w:locked/>
    <w:rsid w:val="009948AA"/>
    <w:pPr>
      <w:numPr>
        <w:numId w:val="23"/>
      </w:numPr>
      <w:contextualSpacing/>
    </w:pPr>
  </w:style>
</w:styles>
</file>

<file path=word/webSettings.xml><?xml version="1.0" encoding="utf-8"?>
<w:webSettings xmlns:r="http://schemas.openxmlformats.org/officeDocument/2006/relationships" xmlns:w="http://schemas.openxmlformats.org/wordprocessingml/2006/main">
  <w:divs>
    <w:div w:id="34700683">
      <w:bodyDiv w:val="1"/>
      <w:marLeft w:val="0"/>
      <w:marRight w:val="0"/>
      <w:marTop w:val="0"/>
      <w:marBottom w:val="0"/>
      <w:divBdr>
        <w:top w:val="none" w:sz="0" w:space="0" w:color="auto"/>
        <w:left w:val="none" w:sz="0" w:space="0" w:color="auto"/>
        <w:bottom w:val="none" w:sz="0" w:space="0" w:color="auto"/>
        <w:right w:val="none" w:sz="0" w:space="0" w:color="auto"/>
      </w:divBdr>
    </w:div>
    <w:div w:id="36200897">
      <w:bodyDiv w:val="1"/>
      <w:marLeft w:val="0"/>
      <w:marRight w:val="0"/>
      <w:marTop w:val="0"/>
      <w:marBottom w:val="0"/>
      <w:divBdr>
        <w:top w:val="none" w:sz="0" w:space="0" w:color="auto"/>
        <w:left w:val="none" w:sz="0" w:space="0" w:color="auto"/>
        <w:bottom w:val="none" w:sz="0" w:space="0" w:color="auto"/>
        <w:right w:val="none" w:sz="0" w:space="0" w:color="auto"/>
      </w:divBdr>
    </w:div>
    <w:div w:id="76680751">
      <w:bodyDiv w:val="1"/>
      <w:marLeft w:val="0"/>
      <w:marRight w:val="0"/>
      <w:marTop w:val="0"/>
      <w:marBottom w:val="0"/>
      <w:divBdr>
        <w:top w:val="none" w:sz="0" w:space="0" w:color="auto"/>
        <w:left w:val="none" w:sz="0" w:space="0" w:color="auto"/>
        <w:bottom w:val="none" w:sz="0" w:space="0" w:color="auto"/>
        <w:right w:val="none" w:sz="0" w:space="0" w:color="auto"/>
      </w:divBdr>
    </w:div>
    <w:div w:id="106627916">
      <w:bodyDiv w:val="1"/>
      <w:marLeft w:val="0"/>
      <w:marRight w:val="0"/>
      <w:marTop w:val="0"/>
      <w:marBottom w:val="0"/>
      <w:divBdr>
        <w:top w:val="none" w:sz="0" w:space="0" w:color="auto"/>
        <w:left w:val="none" w:sz="0" w:space="0" w:color="auto"/>
        <w:bottom w:val="none" w:sz="0" w:space="0" w:color="auto"/>
        <w:right w:val="none" w:sz="0" w:space="0" w:color="auto"/>
      </w:divBdr>
    </w:div>
    <w:div w:id="108202664">
      <w:bodyDiv w:val="1"/>
      <w:marLeft w:val="0"/>
      <w:marRight w:val="0"/>
      <w:marTop w:val="0"/>
      <w:marBottom w:val="0"/>
      <w:divBdr>
        <w:top w:val="none" w:sz="0" w:space="0" w:color="auto"/>
        <w:left w:val="none" w:sz="0" w:space="0" w:color="auto"/>
        <w:bottom w:val="none" w:sz="0" w:space="0" w:color="auto"/>
        <w:right w:val="none" w:sz="0" w:space="0" w:color="auto"/>
      </w:divBdr>
    </w:div>
    <w:div w:id="108936832">
      <w:bodyDiv w:val="1"/>
      <w:marLeft w:val="0"/>
      <w:marRight w:val="0"/>
      <w:marTop w:val="0"/>
      <w:marBottom w:val="0"/>
      <w:divBdr>
        <w:top w:val="none" w:sz="0" w:space="0" w:color="auto"/>
        <w:left w:val="none" w:sz="0" w:space="0" w:color="auto"/>
        <w:bottom w:val="none" w:sz="0" w:space="0" w:color="auto"/>
        <w:right w:val="none" w:sz="0" w:space="0" w:color="auto"/>
      </w:divBdr>
    </w:div>
    <w:div w:id="122038974">
      <w:bodyDiv w:val="1"/>
      <w:marLeft w:val="0"/>
      <w:marRight w:val="0"/>
      <w:marTop w:val="0"/>
      <w:marBottom w:val="0"/>
      <w:divBdr>
        <w:top w:val="none" w:sz="0" w:space="0" w:color="auto"/>
        <w:left w:val="none" w:sz="0" w:space="0" w:color="auto"/>
        <w:bottom w:val="none" w:sz="0" w:space="0" w:color="auto"/>
        <w:right w:val="none" w:sz="0" w:space="0" w:color="auto"/>
      </w:divBdr>
    </w:div>
    <w:div w:id="140385871">
      <w:bodyDiv w:val="1"/>
      <w:marLeft w:val="0"/>
      <w:marRight w:val="0"/>
      <w:marTop w:val="0"/>
      <w:marBottom w:val="0"/>
      <w:divBdr>
        <w:top w:val="none" w:sz="0" w:space="0" w:color="auto"/>
        <w:left w:val="none" w:sz="0" w:space="0" w:color="auto"/>
        <w:bottom w:val="none" w:sz="0" w:space="0" w:color="auto"/>
        <w:right w:val="none" w:sz="0" w:space="0" w:color="auto"/>
      </w:divBdr>
    </w:div>
    <w:div w:id="161244282">
      <w:bodyDiv w:val="1"/>
      <w:marLeft w:val="0"/>
      <w:marRight w:val="0"/>
      <w:marTop w:val="0"/>
      <w:marBottom w:val="0"/>
      <w:divBdr>
        <w:top w:val="none" w:sz="0" w:space="0" w:color="auto"/>
        <w:left w:val="none" w:sz="0" w:space="0" w:color="auto"/>
        <w:bottom w:val="none" w:sz="0" w:space="0" w:color="auto"/>
        <w:right w:val="none" w:sz="0" w:space="0" w:color="auto"/>
      </w:divBdr>
    </w:div>
    <w:div w:id="162740996">
      <w:bodyDiv w:val="1"/>
      <w:marLeft w:val="0"/>
      <w:marRight w:val="0"/>
      <w:marTop w:val="0"/>
      <w:marBottom w:val="0"/>
      <w:divBdr>
        <w:top w:val="none" w:sz="0" w:space="0" w:color="auto"/>
        <w:left w:val="none" w:sz="0" w:space="0" w:color="auto"/>
        <w:bottom w:val="none" w:sz="0" w:space="0" w:color="auto"/>
        <w:right w:val="none" w:sz="0" w:space="0" w:color="auto"/>
      </w:divBdr>
    </w:div>
    <w:div w:id="188759178">
      <w:bodyDiv w:val="1"/>
      <w:marLeft w:val="0"/>
      <w:marRight w:val="0"/>
      <w:marTop w:val="0"/>
      <w:marBottom w:val="0"/>
      <w:divBdr>
        <w:top w:val="none" w:sz="0" w:space="0" w:color="auto"/>
        <w:left w:val="none" w:sz="0" w:space="0" w:color="auto"/>
        <w:bottom w:val="none" w:sz="0" w:space="0" w:color="auto"/>
        <w:right w:val="none" w:sz="0" w:space="0" w:color="auto"/>
      </w:divBdr>
    </w:div>
    <w:div w:id="232813655">
      <w:bodyDiv w:val="1"/>
      <w:marLeft w:val="0"/>
      <w:marRight w:val="0"/>
      <w:marTop w:val="0"/>
      <w:marBottom w:val="0"/>
      <w:divBdr>
        <w:top w:val="none" w:sz="0" w:space="0" w:color="auto"/>
        <w:left w:val="none" w:sz="0" w:space="0" w:color="auto"/>
        <w:bottom w:val="none" w:sz="0" w:space="0" w:color="auto"/>
        <w:right w:val="none" w:sz="0" w:space="0" w:color="auto"/>
      </w:divBdr>
    </w:div>
    <w:div w:id="240018996">
      <w:bodyDiv w:val="1"/>
      <w:marLeft w:val="0"/>
      <w:marRight w:val="0"/>
      <w:marTop w:val="0"/>
      <w:marBottom w:val="0"/>
      <w:divBdr>
        <w:top w:val="none" w:sz="0" w:space="0" w:color="auto"/>
        <w:left w:val="none" w:sz="0" w:space="0" w:color="auto"/>
        <w:bottom w:val="none" w:sz="0" w:space="0" w:color="auto"/>
        <w:right w:val="none" w:sz="0" w:space="0" w:color="auto"/>
      </w:divBdr>
    </w:div>
    <w:div w:id="268128040">
      <w:bodyDiv w:val="1"/>
      <w:marLeft w:val="0"/>
      <w:marRight w:val="0"/>
      <w:marTop w:val="0"/>
      <w:marBottom w:val="0"/>
      <w:divBdr>
        <w:top w:val="none" w:sz="0" w:space="0" w:color="auto"/>
        <w:left w:val="none" w:sz="0" w:space="0" w:color="auto"/>
        <w:bottom w:val="none" w:sz="0" w:space="0" w:color="auto"/>
        <w:right w:val="none" w:sz="0" w:space="0" w:color="auto"/>
      </w:divBdr>
    </w:div>
    <w:div w:id="272792016">
      <w:bodyDiv w:val="1"/>
      <w:marLeft w:val="0"/>
      <w:marRight w:val="0"/>
      <w:marTop w:val="0"/>
      <w:marBottom w:val="0"/>
      <w:divBdr>
        <w:top w:val="none" w:sz="0" w:space="0" w:color="auto"/>
        <w:left w:val="none" w:sz="0" w:space="0" w:color="auto"/>
        <w:bottom w:val="none" w:sz="0" w:space="0" w:color="auto"/>
        <w:right w:val="none" w:sz="0" w:space="0" w:color="auto"/>
      </w:divBdr>
    </w:div>
    <w:div w:id="302927545">
      <w:bodyDiv w:val="1"/>
      <w:marLeft w:val="0"/>
      <w:marRight w:val="0"/>
      <w:marTop w:val="0"/>
      <w:marBottom w:val="0"/>
      <w:divBdr>
        <w:top w:val="none" w:sz="0" w:space="0" w:color="auto"/>
        <w:left w:val="none" w:sz="0" w:space="0" w:color="auto"/>
        <w:bottom w:val="none" w:sz="0" w:space="0" w:color="auto"/>
        <w:right w:val="none" w:sz="0" w:space="0" w:color="auto"/>
      </w:divBdr>
      <w:divsChild>
        <w:div w:id="1875147875">
          <w:marLeft w:val="0"/>
          <w:marRight w:val="0"/>
          <w:marTop w:val="0"/>
          <w:marBottom w:val="0"/>
          <w:divBdr>
            <w:top w:val="none" w:sz="0" w:space="0" w:color="auto"/>
            <w:left w:val="none" w:sz="0" w:space="0" w:color="auto"/>
            <w:bottom w:val="none" w:sz="0" w:space="0" w:color="auto"/>
            <w:right w:val="none" w:sz="0" w:space="0" w:color="auto"/>
          </w:divBdr>
          <w:divsChild>
            <w:div w:id="191269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60557">
      <w:bodyDiv w:val="1"/>
      <w:marLeft w:val="0"/>
      <w:marRight w:val="0"/>
      <w:marTop w:val="0"/>
      <w:marBottom w:val="0"/>
      <w:divBdr>
        <w:top w:val="none" w:sz="0" w:space="0" w:color="auto"/>
        <w:left w:val="none" w:sz="0" w:space="0" w:color="auto"/>
        <w:bottom w:val="none" w:sz="0" w:space="0" w:color="auto"/>
        <w:right w:val="none" w:sz="0" w:space="0" w:color="auto"/>
      </w:divBdr>
    </w:div>
    <w:div w:id="321930817">
      <w:bodyDiv w:val="1"/>
      <w:marLeft w:val="0"/>
      <w:marRight w:val="0"/>
      <w:marTop w:val="0"/>
      <w:marBottom w:val="0"/>
      <w:divBdr>
        <w:top w:val="none" w:sz="0" w:space="0" w:color="auto"/>
        <w:left w:val="none" w:sz="0" w:space="0" w:color="auto"/>
        <w:bottom w:val="none" w:sz="0" w:space="0" w:color="auto"/>
        <w:right w:val="none" w:sz="0" w:space="0" w:color="auto"/>
      </w:divBdr>
    </w:div>
    <w:div w:id="323514219">
      <w:bodyDiv w:val="1"/>
      <w:marLeft w:val="0"/>
      <w:marRight w:val="0"/>
      <w:marTop w:val="0"/>
      <w:marBottom w:val="0"/>
      <w:divBdr>
        <w:top w:val="none" w:sz="0" w:space="0" w:color="auto"/>
        <w:left w:val="none" w:sz="0" w:space="0" w:color="auto"/>
        <w:bottom w:val="none" w:sz="0" w:space="0" w:color="auto"/>
        <w:right w:val="none" w:sz="0" w:space="0" w:color="auto"/>
      </w:divBdr>
    </w:div>
    <w:div w:id="331447694">
      <w:bodyDiv w:val="1"/>
      <w:marLeft w:val="0"/>
      <w:marRight w:val="0"/>
      <w:marTop w:val="0"/>
      <w:marBottom w:val="0"/>
      <w:divBdr>
        <w:top w:val="none" w:sz="0" w:space="0" w:color="auto"/>
        <w:left w:val="none" w:sz="0" w:space="0" w:color="auto"/>
        <w:bottom w:val="none" w:sz="0" w:space="0" w:color="auto"/>
        <w:right w:val="none" w:sz="0" w:space="0" w:color="auto"/>
      </w:divBdr>
    </w:div>
    <w:div w:id="333462946">
      <w:bodyDiv w:val="1"/>
      <w:marLeft w:val="0"/>
      <w:marRight w:val="0"/>
      <w:marTop w:val="0"/>
      <w:marBottom w:val="0"/>
      <w:divBdr>
        <w:top w:val="none" w:sz="0" w:space="0" w:color="auto"/>
        <w:left w:val="none" w:sz="0" w:space="0" w:color="auto"/>
        <w:bottom w:val="none" w:sz="0" w:space="0" w:color="auto"/>
        <w:right w:val="none" w:sz="0" w:space="0" w:color="auto"/>
      </w:divBdr>
    </w:div>
    <w:div w:id="337194333">
      <w:bodyDiv w:val="1"/>
      <w:marLeft w:val="0"/>
      <w:marRight w:val="0"/>
      <w:marTop w:val="0"/>
      <w:marBottom w:val="0"/>
      <w:divBdr>
        <w:top w:val="none" w:sz="0" w:space="0" w:color="auto"/>
        <w:left w:val="none" w:sz="0" w:space="0" w:color="auto"/>
        <w:bottom w:val="none" w:sz="0" w:space="0" w:color="auto"/>
        <w:right w:val="none" w:sz="0" w:space="0" w:color="auto"/>
      </w:divBdr>
    </w:div>
    <w:div w:id="337662165">
      <w:bodyDiv w:val="1"/>
      <w:marLeft w:val="0"/>
      <w:marRight w:val="0"/>
      <w:marTop w:val="0"/>
      <w:marBottom w:val="0"/>
      <w:divBdr>
        <w:top w:val="none" w:sz="0" w:space="0" w:color="auto"/>
        <w:left w:val="none" w:sz="0" w:space="0" w:color="auto"/>
        <w:bottom w:val="none" w:sz="0" w:space="0" w:color="auto"/>
        <w:right w:val="none" w:sz="0" w:space="0" w:color="auto"/>
      </w:divBdr>
    </w:div>
    <w:div w:id="339545424">
      <w:bodyDiv w:val="1"/>
      <w:marLeft w:val="0"/>
      <w:marRight w:val="0"/>
      <w:marTop w:val="0"/>
      <w:marBottom w:val="0"/>
      <w:divBdr>
        <w:top w:val="none" w:sz="0" w:space="0" w:color="auto"/>
        <w:left w:val="none" w:sz="0" w:space="0" w:color="auto"/>
        <w:bottom w:val="none" w:sz="0" w:space="0" w:color="auto"/>
        <w:right w:val="none" w:sz="0" w:space="0" w:color="auto"/>
      </w:divBdr>
    </w:div>
    <w:div w:id="352658110">
      <w:bodyDiv w:val="1"/>
      <w:marLeft w:val="0"/>
      <w:marRight w:val="0"/>
      <w:marTop w:val="0"/>
      <w:marBottom w:val="0"/>
      <w:divBdr>
        <w:top w:val="none" w:sz="0" w:space="0" w:color="auto"/>
        <w:left w:val="none" w:sz="0" w:space="0" w:color="auto"/>
        <w:bottom w:val="none" w:sz="0" w:space="0" w:color="auto"/>
        <w:right w:val="none" w:sz="0" w:space="0" w:color="auto"/>
      </w:divBdr>
    </w:div>
    <w:div w:id="362708820">
      <w:bodyDiv w:val="1"/>
      <w:marLeft w:val="0"/>
      <w:marRight w:val="0"/>
      <w:marTop w:val="0"/>
      <w:marBottom w:val="0"/>
      <w:divBdr>
        <w:top w:val="none" w:sz="0" w:space="0" w:color="auto"/>
        <w:left w:val="none" w:sz="0" w:space="0" w:color="auto"/>
        <w:bottom w:val="none" w:sz="0" w:space="0" w:color="auto"/>
        <w:right w:val="none" w:sz="0" w:space="0" w:color="auto"/>
      </w:divBdr>
      <w:divsChild>
        <w:div w:id="946079181">
          <w:marLeft w:val="0"/>
          <w:marRight w:val="0"/>
          <w:marTop w:val="0"/>
          <w:marBottom w:val="0"/>
          <w:divBdr>
            <w:top w:val="none" w:sz="0" w:space="0" w:color="auto"/>
            <w:left w:val="none" w:sz="0" w:space="0" w:color="auto"/>
            <w:bottom w:val="none" w:sz="0" w:space="0" w:color="auto"/>
            <w:right w:val="none" w:sz="0" w:space="0" w:color="auto"/>
          </w:divBdr>
          <w:divsChild>
            <w:div w:id="1527475269">
              <w:marLeft w:val="0"/>
              <w:marRight w:val="0"/>
              <w:marTop w:val="0"/>
              <w:marBottom w:val="0"/>
              <w:divBdr>
                <w:top w:val="none" w:sz="0" w:space="0" w:color="auto"/>
                <w:left w:val="none" w:sz="0" w:space="0" w:color="auto"/>
                <w:bottom w:val="none" w:sz="0" w:space="0" w:color="auto"/>
                <w:right w:val="none" w:sz="0" w:space="0" w:color="auto"/>
              </w:divBdr>
              <w:divsChild>
                <w:div w:id="1272778759">
                  <w:marLeft w:val="0"/>
                  <w:marRight w:val="0"/>
                  <w:marTop w:val="0"/>
                  <w:marBottom w:val="129"/>
                  <w:divBdr>
                    <w:top w:val="none" w:sz="0" w:space="0" w:color="auto"/>
                    <w:left w:val="none" w:sz="0" w:space="0" w:color="auto"/>
                    <w:bottom w:val="none" w:sz="0" w:space="0" w:color="auto"/>
                    <w:right w:val="none" w:sz="0" w:space="0" w:color="auto"/>
                  </w:divBdr>
                  <w:divsChild>
                    <w:div w:id="16367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798367">
      <w:bodyDiv w:val="1"/>
      <w:marLeft w:val="0"/>
      <w:marRight w:val="0"/>
      <w:marTop w:val="0"/>
      <w:marBottom w:val="0"/>
      <w:divBdr>
        <w:top w:val="none" w:sz="0" w:space="0" w:color="auto"/>
        <w:left w:val="none" w:sz="0" w:space="0" w:color="auto"/>
        <w:bottom w:val="none" w:sz="0" w:space="0" w:color="auto"/>
        <w:right w:val="none" w:sz="0" w:space="0" w:color="auto"/>
      </w:divBdr>
    </w:div>
    <w:div w:id="393897015">
      <w:bodyDiv w:val="1"/>
      <w:marLeft w:val="0"/>
      <w:marRight w:val="0"/>
      <w:marTop w:val="0"/>
      <w:marBottom w:val="0"/>
      <w:divBdr>
        <w:top w:val="none" w:sz="0" w:space="0" w:color="auto"/>
        <w:left w:val="none" w:sz="0" w:space="0" w:color="auto"/>
        <w:bottom w:val="none" w:sz="0" w:space="0" w:color="auto"/>
        <w:right w:val="none" w:sz="0" w:space="0" w:color="auto"/>
      </w:divBdr>
    </w:div>
    <w:div w:id="414279107">
      <w:bodyDiv w:val="1"/>
      <w:marLeft w:val="0"/>
      <w:marRight w:val="0"/>
      <w:marTop w:val="0"/>
      <w:marBottom w:val="0"/>
      <w:divBdr>
        <w:top w:val="none" w:sz="0" w:space="0" w:color="auto"/>
        <w:left w:val="none" w:sz="0" w:space="0" w:color="auto"/>
        <w:bottom w:val="none" w:sz="0" w:space="0" w:color="auto"/>
        <w:right w:val="none" w:sz="0" w:space="0" w:color="auto"/>
      </w:divBdr>
      <w:divsChild>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sChild>
                <w:div w:id="1100101900">
                  <w:marLeft w:val="0"/>
                  <w:marRight w:val="0"/>
                  <w:marTop w:val="0"/>
                  <w:marBottom w:val="129"/>
                  <w:divBdr>
                    <w:top w:val="none" w:sz="0" w:space="0" w:color="auto"/>
                    <w:left w:val="none" w:sz="0" w:space="0" w:color="auto"/>
                    <w:bottom w:val="none" w:sz="0" w:space="0" w:color="auto"/>
                    <w:right w:val="none" w:sz="0" w:space="0" w:color="auto"/>
                  </w:divBdr>
                  <w:divsChild>
                    <w:div w:id="95941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870134">
      <w:bodyDiv w:val="1"/>
      <w:marLeft w:val="0"/>
      <w:marRight w:val="0"/>
      <w:marTop w:val="0"/>
      <w:marBottom w:val="0"/>
      <w:divBdr>
        <w:top w:val="none" w:sz="0" w:space="0" w:color="auto"/>
        <w:left w:val="none" w:sz="0" w:space="0" w:color="auto"/>
        <w:bottom w:val="none" w:sz="0" w:space="0" w:color="auto"/>
        <w:right w:val="none" w:sz="0" w:space="0" w:color="auto"/>
      </w:divBdr>
      <w:divsChild>
        <w:div w:id="714811876">
          <w:marLeft w:val="0"/>
          <w:marRight w:val="0"/>
          <w:marTop w:val="0"/>
          <w:marBottom w:val="0"/>
          <w:divBdr>
            <w:top w:val="none" w:sz="0" w:space="0" w:color="auto"/>
            <w:left w:val="none" w:sz="0" w:space="0" w:color="auto"/>
            <w:bottom w:val="none" w:sz="0" w:space="0" w:color="auto"/>
            <w:right w:val="none" w:sz="0" w:space="0" w:color="auto"/>
          </w:divBdr>
          <w:divsChild>
            <w:div w:id="1025641637">
              <w:marLeft w:val="0"/>
              <w:marRight w:val="0"/>
              <w:marTop w:val="0"/>
              <w:marBottom w:val="0"/>
              <w:divBdr>
                <w:top w:val="none" w:sz="0" w:space="0" w:color="auto"/>
                <w:left w:val="none" w:sz="0" w:space="0" w:color="auto"/>
                <w:bottom w:val="none" w:sz="0" w:space="0" w:color="auto"/>
                <w:right w:val="none" w:sz="0" w:space="0" w:color="auto"/>
              </w:divBdr>
              <w:divsChild>
                <w:div w:id="1793014890">
                  <w:marLeft w:val="214"/>
                  <w:marRight w:val="0"/>
                  <w:marTop w:val="1457"/>
                  <w:marBottom w:val="0"/>
                  <w:divBdr>
                    <w:top w:val="none" w:sz="0" w:space="0" w:color="auto"/>
                    <w:left w:val="none" w:sz="0" w:space="0" w:color="auto"/>
                    <w:bottom w:val="none" w:sz="0" w:space="0" w:color="auto"/>
                    <w:right w:val="none" w:sz="0" w:space="0" w:color="auto"/>
                  </w:divBdr>
                </w:div>
              </w:divsChild>
            </w:div>
          </w:divsChild>
        </w:div>
      </w:divsChild>
    </w:div>
    <w:div w:id="418910522">
      <w:bodyDiv w:val="1"/>
      <w:marLeft w:val="0"/>
      <w:marRight w:val="0"/>
      <w:marTop w:val="0"/>
      <w:marBottom w:val="0"/>
      <w:divBdr>
        <w:top w:val="none" w:sz="0" w:space="0" w:color="auto"/>
        <w:left w:val="none" w:sz="0" w:space="0" w:color="auto"/>
        <w:bottom w:val="none" w:sz="0" w:space="0" w:color="auto"/>
        <w:right w:val="none" w:sz="0" w:space="0" w:color="auto"/>
      </w:divBdr>
    </w:div>
    <w:div w:id="429856465">
      <w:bodyDiv w:val="1"/>
      <w:marLeft w:val="0"/>
      <w:marRight w:val="0"/>
      <w:marTop w:val="0"/>
      <w:marBottom w:val="0"/>
      <w:divBdr>
        <w:top w:val="none" w:sz="0" w:space="0" w:color="auto"/>
        <w:left w:val="none" w:sz="0" w:space="0" w:color="auto"/>
        <w:bottom w:val="none" w:sz="0" w:space="0" w:color="auto"/>
        <w:right w:val="none" w:sz="0" w:space="0" w:color="auto"/>
      </w:divBdr>
    </w:div>
    <w:div w:id="438839691">
      <w:bodyDiv w:val="1"/>
      <w:marLeft w:val="0"/>
      <w:marRight w:val="0"/>
      <w:marTop w:val="0"/>
      <w:marBottom w:val="0"/>
      <w:divBdr>
        <w:top w:val="none" w:sz="0" w:space="0" w:color="auto"/>
        <w:left w:val="none" w:sz="0" w:space="0" w:color="auto"/>
        <w:bottom w:val="none" w:sz="0" w:space="0" w:color="auto"/>
        <w:right w:val="none" w:sz="0" w:space="0" w:color="auto"/>
      </w:divBdr>
    </w:div>
    <w:div w:id="445660680">
      <w:bodyDiv w:val="1"/>
      <w:marLeft w:val="0"/>
      <w:marRight w:val="0"/>
      <w:marTop w:val="0"/>
      <w:marBottom w:val="0"/>
      <w:divBdr>
        <w:top w:val="none" w:sz="0" w:space="0" w:color="auto"/>
        <w:left w:val="none" w:sz="0" w:space="0" w:color="auto"/>
        <w:bottom w:val="none" w:sz="0" w:space="0" w:color="auto"/>
        <w:right w:val="none" w:sz="0" w:space="0" w:color="auto"/>
      </w:divBdr>
    </w:div>
    <w:div w:id="464397798">
      <w:bodyDiv w:val="1"/>
      <w:marLeft w:val="0"/>
      <w:marRight w:val="0"/>
      <w:marTop w:val="0"/>
      <w:marBottom w:val="0"/>
      <w:divBdr>
        <w:top w:val="none" w:sz="0" w:space="0" w:color="auto"/>
        <w:left w:val="none" w:sz="0" w:space="0" w:color="auto"/>
        <w:bottom w:val="none" w:sz="0" w:space="0" w:color="auto"/>
        <w:right w:val="none" w:sz="0" w:space="0" w:color="auto"/>
      </w:divBdr>
    </w:div>
    <w:div w:id="465657628">
      <w:bodyDiv w:val="1"/>
      <w:marLeft w:val="0"/>
      <w:marRight w:val="0"/>
      <w:marTop w:val="0"/>
      <w:marBottom w:val="0"/>
      <w:divBdr>
        <w:top w:val="none" w:sz="0" w:space="0" w:color="auto"/>
        <w:left w:val="none" w:sz="0" w:space="0" w:color="auto"/>
        <w:bottom w:val="none" w:sz="0" w:space="0" w:color="auto"/>
        <w:right w:val="none" w:sz="0" w:space="0" w:color="auto"/>
      </w:divBdr>
    </w:div>
    <w:div w:id="472060248">
      <w:bodyDiv w:val="1"/>
      <w:marLeft w:val="0"/>
      <w:marRight w:val="0"/>
      <w:marTop w:val="0"/>
      <w:marBottom w:val="0"/>
      <w:divBdr>
        <w:top w:val="none" w:sz="0" w:space="0" w:color="auto"/>
        <w:left w:val="none" w:sz="0" w:space="0" w:color="auto"/>
        <w:bottom w:val="none" w:sz="0" w:space="0" w:color="auto"/>
        <w:right w:val="none" w:sz="0" w:space="0" w:color="auto"/>
      </w:divBdr>
    </w:div>
    <w:div w:id="472455727">
      <w:bodyDiv w:val="1"/>
      <w:marLeft w:val="0"/>
      <w:marRight w:val="0"/>
      <w:marTop w:val="0"/>
      <w:marBottom w:val="0"/>
      <w:divBdr>
        <w:top w:val="none" w:sz="0" w:space="0" w:color="auto"/>
        <w:left w:val="none" w:sz="0" w:space="0" w:color="auto"/>
        <w:bottom w:val="none" w:sz="0" w:space="0" w:color="auto"/>
        <w:right w:val="none" w:sz="0" w:space="0" w:color="auto"/>
      </w:divBdr>
      <w:divsChild>
        <w:div w:id="2113352405">
          <w:marLeft w:val="0"/>
          <w:marRight w:val="0"/>
          <w:marTop w:val="0"/>
          <w:marBottom w:val="0"/>
          <w:divBdr>
            <w:top w:val="none" w:sz="0" w:space="0" w:color="auto"/>
            <w:left w:val="none" w:sz="0" w:space="0" w:color="auto"/>
            <w:bottom w:val="none" w:sz="0" w:space="0" w:color="auto"/>
            <w:right w:val="none" w:sz="0" w:space="0" w:color="auto"/>
          </w:divBdr>
          <w:divsChild>
            <w:div w:id="2003393609">
              <w:marLeft w:val="0"/>
              <w:marRight w:val="0"/>
              <w:marTop w:val="0"/>
              <w:marBottom w:val="0"/>
              <w:divBdr>
                <w:top w:val="none" w:sz="0" w:space="0" w:color="auto"/>
                <w:left w:val="none" w:sz="0" w:space="0" w:color="auto"/>
                <w:bottom w:val="none" w:sz="0" w:space="0" w:color="auto"/>
                <w:right w:val="none" w:sz="0" w:space="0" w:color="auto"/>
              </w:divBdr>
              <w:divsChild>
                <w:div w:id="1017074213">
                  <w:marLeft w:val="0"/>
                  <w:marRight w:val="0"/>
                  <w:marTop w:val="0"/>
                  <w:marBottom w:val="129"/>
                  <w:divBdr>
                    <w:top w:val="none" w:sz="0" w:space="0" w:color="auto"/>
                    <w:left w:val="none" w:sz="0" w:space="0" w:color="auto"/>
                    <w:bottom w:val="none" w:sz="0" w:space="0" w:color="auto"/>
                    <w:right w:val="none" w:sz="0" w:space="0" w:color="auto"/>
                  </w:divBdr>
                  <w:divsChild>
                    <w:div w:id="39716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387483">
      <w:bodyDiv w:val="1"/>
      <w:marLeft w:val="0"/>
      <w:marRight w:val="0"/>
      <w:marTop w:val="0"/>
      <w:marBottom w:val="0"/>
      <w:divBdr>
        <w:top w:val="none" w:sz="0" w:space="0" w:color="auto"/>
        <w:left w:val="none" w:sz="0" w:space="0" w:color="auto"/>
        <w:bottom w:val="none" w:sz="0" w:space="0" w:color="auto"/>
        <w:right w:val="none" w:sz="0" w:space="0" w:color="auto"/>
      </w:divBdr>
    </w:div>
    <w:div w:id="512492938">
      <w:bodyDiv w:val="1"/>
      <w:marLeft w:val="0"/>
      <w:marRight w:val="0"/>
      <w:marTop w:val="0"/>
      <w:marBottom w:val="0"/>
      <w:divBdr>
        <w:top w:val="none" w:sz="0" w:space="0" w:color="auto"/>
        <w:left w:val="none" w:sz="0" w:space="0" w:color="auto"/>
        <w:bottom w:val="none" w:sz="0" w:space="0" w:color="auto"/>
        <w:right w:val="none" w:sz="0" w:space="0" w:color="auto"/>
      </w:divBdr>
    </w:div>
    <w:div w:id="518391351">
      <w:bodyDiv w:val="1"/>
      <w:marLeft w:val="0"/>
      <w:marRight w:val="0"/>
      <w:marTop w:val="0"/>
      <w:marBottom w:val="0"/>
      <w:divBdr>
        <w:top w:val="none" w:sz="0" w:space="0" w:color="auto"/>
        <w:left w:val="none" w:sz="0" w:space="0" w:color="auto"/>
        <w:bottom w:val="none" w:sz="0" w:space="0" w:color="auto"/>
        <w:right w:val="none" w:sz="0" w:space="0" w:color="auto"/>
      </w:divBdr>
    </w:div>
    <w:div w:id="546189717">
      <w:bodyDiv w:val="1"/>
      <w:marLeft w:val="0"/>
      <w:marRight w:val="0"/>
      <w:marTop w:val="0"/>
      <w:marBottom w:val="0"/>
      <w:divBdr>
        <w:top w:val="none" w:sz="0" w:space="0" w:color="auto"/>
        <w:left w:val="none" w:sz="0" w:space="0" w:color="auto"/>
        <w:bottom w:val="none" w:sz="0" w:space="0" w:color="auto"/>
        <w:right w:val="none" w:sz="0" w:space="0" w:color="auto"/>
      </w:divBdr>
    </w:div>
    <w:div w:id="549924482">
      <w:bodyDiv w:val="1"/>
      <w:marLeft w:val="0"/>
      <w:marRight w:val="0"/>
      <w:marTop w:val="0"/>
      <w:marBottom w:val="0"/>
      <w:divBdr>
        <w:top w:val="none" w:sz="0" w:space="0" w:color="auto"/>
        <w:left w:val="none" w:sz="0" w:space="0" w:color="auto"/>
        <w:bottom w:val="none" w:sz="0" w:space="0" w:color="auto"/>
        <w:right w:val="none" w:sz="0" w:space="0" w:color="auto"/>
      </w:divBdr>
    </w:div>
    <w:div w:id="552810018">
      <w:bodyDiv w:val="1"/>
      <w:marLeft w:val="0"/>
      <w:marRight w:val="0"/>
      <w:marTop w:val="0"/>
      <w:marBottom w:val="0"/>
      <w:divBdr>
        <w:top w:val="none" w:sz="0" w:space="0" w:color="auto"/>
        <w:left w:val="none" w:sz="0" w:space="0" w:color="auto"/>
        <w:bottom w:val="none" w:sz="0" w:space="0" w:color="auto"/>
        <w:right w:val="none" w:sz="0" w:space="0" w:color="auto"/>
      </w:divBdr>
    </w:div>
    <w:div w:id="557861112">
      <w:bodyDiv w:val="1"/>
      <w:marLeft w:val="0"/>
      <w:marRight w:val="0"/>
      <w:marTop w:val="0"/>
      <w:marBottom w:val="0"/>
      <w:divBdr>
        <w:top w:val="none" w:sz="0" w:space="0" w:color="auto"/>
        <w:left w:val="none" w:sz="0" w:space="0" w:color="auto"/>
        <w:bottom w:val="none" w:sz="0" w:space="0" w:color="auto"/>
        <w:right w:val="none" w:sz="0" w:space="0" w:color="auto"/>
      </w:divBdr>
    </w:div>
    <w:div w:id="602684812">
      <w:bodyDiv w:val="1"/>
      <w:marLeft w:val="0"/>
      <w:marRight w:val="0"/>
      <w:marTop w:val="0"/>
      <w:marBottom w:val="0"/>
      <w:divBdr>
        <w:top w:val="none" w:sz="0" w:space="0" w:color="auto"/>
        <w:left w:val="none" w:sz="0" w:space="0" w:color="auto"/>
        <w:bottom w:val="none" w:sz="0" w:space="0" w:color="auto"/>
        <w:right w:val="none" w:sz="0" w:space="0" w:color="auto"/>
      </w:divBdr>
    </w:div>
    <w:div w:id="612634001">
      <w:bodyDiv w:val="1"/>
      <w:marLeft w:val="0"/>
      <w:marRight w:val="0"/>
      <w:marTop w:val="0"/>
      <w:marBottom w:val="0"/>
      <w:divBdr>
        <w:top w:val="none" w:sz="0" w:space="0" w:color="auto"/>
        <w:left w:val="none" w:sz="0" w:space="0" w:color="auto"/>
        <w:bottom w:val="none" w:sz="0" w:space="0" w:color="auto"/>
        <w:right w:val="none" w:sz="0" w:space="0" w:color="auto"/>
      </w:divBdr>
    </w:div>
    <w:div w:id="613096929">
      <w:bodyDiv w:val="1"/>
      <w:marLeft w:val="0"/>
      <w:marRight w:val="0"/>
      <w:marTop w:val="0"/>
      <w:marBottom w:val="0"/>
      <w:divBdr>
        <w:top w:val="none" w:sz="0" w:space="0" w:color="auto"/>
        <w:left w:val="none" w:sz="0" w:space="0" w:color="auto"/>
        <w:bottom w:val="none" w:sz="0" w:space="0" w:color="auto"/>
        <w:right w:val="none" w:sz="0" w:space="0" w:color="auto"/>
      </w:divBdr>
    </w:div>
    <w:div w:id="627666094">
      <w:bodyDiv w:val="1"/>
      <w:marLeft w:val="0"/>
      <w:marRight w:val="0"/>
      <w:marTop w:val="0"/>
      <w:marBottom w:val="0"/>
      <w:divBdr>
        <w:top w:val="none" w:sz="0" w:space="0" w:color="auto"/>
        <w:left w:val="none" w:sz="0" w:space="0" w:color="auto"/>
        <w:bottom w:val="none" w:sz="0" w:space="0" w:color="auto"/>
        <w:right w:val="none" w:sz="0" w:space="0" w:color="auto"/>
      </w:divBdr>
    </w:div>
    <w:div w:id="631058662">
      <w:bodyDiv w:val="1"/>
      <w:marLeft w:val="0"/>
      <w:marRight w:val="0"/>
      <w:marTop w:val="0"/>
      <w:marBottom w:val="0"/>
      <w:divBdr>
        <w:top w:val="none" w:sz="0" w:space="0" w:color="auto"/>
        <w:left w:val="none" w:sz="0" w:space="0" w:color="auto"/>
        <w:bottom w:val="none" w:sz="0" w:space="0" w:color="auto"/>
        <w:right w:val="none" w:sz="0" w:space="0" w:color="auto"/>
      </w:divBdr>
    </w:div>
    <w:div w:id="636910931">
      <w:bodyDiv w:val="1"/>
      <w:marLeft w:val="0"/>
      <w:marRight w:val="0"/>
      <w:marTop w:val="0"/>
      <w:marBottom w:val="0"/>
      <w:divBdr>
        <w:top w:val="none" w:sz="0" w:space="0" w:color="auto"/>
        <w:left w:val="none" w:sz="0" w:space="0" w:color="auto"/>
        <w:bottom w:val="none" w:sz="0" w:space="0" w:color="auto"/>
        <w:right w:val="none" w:sz="0" w:space="0" w:color="auto"/>
      </w:divBdr>
    </w:div>
    <w:div w:id="659307349">
      <w:bodyDiv w:val="1"/>
      <w:marLeft w:val="0"/>
      <w:marRight w:val="0"/>
      <w:marTop w:val="0"/>
      <w:marBottom w:val="0"/>
      <w:divBdr>
        <w:top w:val="none" w:sz="0" w:space="0" w:color="auto"/>
        <w:left w:val="none" w:sz="0" w:space="0" w:color="auto"/>
        <w:bottom w:val="none" w:sz="0" w:space="0" w:color="auto"/>
        <w:right w:val="none" w:sz="0" w:space="0" w:color="auto"/>
      </w:divBdr>
    </w:div>
    <w:div w:id="659432759">
      <w:bodyDiv w:val="1"/>
      <w:marLeft w:val="0"/>
      <w:marRight w:val="0"/>
      <w:marTop w:val="0"/>
      <w:marBottom w:val="0"/>
      <w:divBdr>
        <w:top w:val="none" w:sz="0" w:space="0" w:color="auto"/>
        <w:left w:val="none" w:sz="0" w:space="0" w:color="auto"/>
        <w:bottom w:val="none" w:sz="0" w:space="0" w:color="auto"/>
        <w:right w:val="none" w:sz="0" w:space="0" w:color="auto"/>
      </w:divBdr>
    </w:div>
    <w:div w:id="695348233">
      <w:bodyDiv w:val="1"/>
      <w:marLeft w:val="0"/>
      <w:marRight w:val="0"/>
      <w:marTop w:val="0"/>
      <w:marBottom w:val="0"/>
      <w:divBdr>
        <w:top w:val="none" w:sz="0" w:space="0" w:color="auto"/>
        <w:left w:val="none" w:sz="0" w:space="0" w:color="auto"/>
        <w:bottom w:val="none" w:sz="0" w:space="0" w:color="auto"/>
        <w:right w:val="none" w:sz="0" w:space="0" w:color="auto"/>
      </w:divBdr>
    </w:div>
    <w:div w:id="699817255">
      <w:bodyDiv w:val="1"/>
      <w:marLeft w:val="0"/>
      <w:marRight w:val="0"/>
      <w:marTop w:val="0"/>
      <w:marBottom w:val="0"/>
      <w:divBdr>
        <w:top w:val="none" w:sz="0" w:space="0" w:color="auto"/>
        <w:left w:val="none" w:sz="0" w:space="0" w:color="auto"/>
        <w:bottom w:val="none" w:sz="0" w:space="0" w:color="auto"/>
        <w:right w:val="none" w:sz="0" w:space="0" w:color="auto"/>
      </w:divBdr>
    </w:div>
    <w:div w:id="710882641">
      <w:bodyDiv w:val="1"/>
      <w:marLeft w:val="0"/>
      <w:marRight w:val="0"/>
      <w:marTop w:val="0"/>
      <w:marBottom w:val="0"/>
      <w:divBdr>
        <w:top w:val="none" w:sz="0" w:space="0" w:color="auto"/>
        <w:left w:val="none" w:sz="0" w:space="0" w:color="auto"/>
        <w:bottom w:val="none" w:sz="0" w:space="0" w:color="auto"/>
        <w:right w:val="none" w:sz="0" w:space="0" w:color="auto"/>
      </w:divBdr>
    </w:div>
    <w:div w:id="716707607">
      <w:bodyDiv w:val="1"/>
      <w:marLeft w:val="0"/>
      <w:marRight w:val="0"/>
      <w:marTop w:val="0"/>
      <w:marBottom w:val="0"/>
      <w:divBdr>
        <w:top w:val="none" w:sz="0" w:space="0" w:color="auto"/>
        <w:left w:val="none" w:sz="0" w:space="0" w:color="auto"/>
        <w:bottom w:val="none" w:sz="0" w:space="0" w:color="auto"/>
        <w:right w:val="none" w:sz="0" w:space="0" w:color="auto"/>
      </w:divBdr>
    </w:div>
    <w:div w:id="749472083">
      <w:bodyDiv w:val="1"/>
      <w:marLeft w:val="0"/>
      <w:marRight w:val="0"/>
      <w:marTop w:val="0"/>
      <w:marBottom w:val="0"/>
      <w:divBdr>
        <w:top w:val="none" w:sz="0" w:space="0" w:color="auto"/>
        <w:left w:val="none" w:sz="0" w:space="0" w:color="auto"/>
        <w:bottom w:val="none" w:sz="0" w:space="0" w:color="auto"/>
        <w:right w:val="none" w:sz="0" w:space="0" w:color="auto"/>
      </w:divBdr>
    </w:div>
    <w:div w:id="761950322">
      <w:bodyDiv w:val="1"/>
      <w:marLeft w:val="0"/>
      <w:marRight w:val="0"/>
      <w:marTop w:val="0"/>
      <w:marBottom w:val="0"/>
      <w:divBdr>
        <w:top w:val="none" w:sz="0" w:space="0" w:color="auto"/>
        <w:left w:val="none" w:sz="0" w:space="0" w:color="auto"/>
        <w:bottom w:val="none" w:sz="0" w:space="0" w:color="auto"/>
        <w:right w:val="none" w:sz="0" w:space="0" w:color="auto"/>
      </w:divBdr>
    </w:div>
    <w:div w:id="781461353">
      <w:bodyDiv w:val="1"/>
      <w:marLeft w:val="0"/>
      <w:marRight w:val="0"/>
      <w:marTop w:val="0"/>
      <w:marBottom w:val="0"/>
      <w:divBdr>
        <w:top w:val="none" w:sz="0" w:space="0" w:color="auto"/>
        <w:left w:val="none" w:sz="0" w:space="0" w:color="auto"/>
        <w:bottom w:val="none" w:sz="0" w:space="0" w:color="auto"/>
        <w:right w:val="none" w:sz="0" w:space="0" w:color="auto"/>
      </w:divBdr>
    </w:div>
    <w:div w:id="794711591">
      <w:bodyDiv w:val="1"/>
      <w:marLeft w:val="0"/>
      <w:marRight w:val="0"/>
      <w:marTop w:val="0"/>
      <w:marBottom w:val="0"/>
      <w:divBdr>
        <w:top w:val="none" w:sz="0" w:space="0" w:color="auto"/>
        <w:left w:val="none" w:sz="0" w:space="0" w:color="auto"/>
        <w:bottom w:val="none" w:sz="0" w:space="0" w:color="auto"/>
        <w:right w:val="none" w:sz="0" w:space="0" w:color="auto"/>
      </w:divBdr>
    </w:div>
    <w:div w:id="819150963">
      <w:bodyDiv w:val="1"/>
      <w:marLeft w:val="0"/>
      <w:marRight w:val="0"/>
      <w:marTop w:val="0"/>
      <w:marBottom w:val="0"/>
      <w:divBdr>
        <w:top w:val="none" w:sz="0" w:space="0" w:color="auto"/>
        <w:left w:val="none" w:sz="0" w:space="0" w:color="auto"/>
        <w:bottom w:val="none" w:sz="0" w:space="0" w:color="auto"/>
        <w:right w:val="none" w:sz="0" w:space="0" w:color="auto"/>
      </w:divBdr>
    </w:div>
    <w:div w:id="826480631">
      <w:bodyDiv w:val="1"/>
      <w:marLeft w:val="0"/>
      <w:marRight w:val="0"/>
      <w:marTop w:val="0"/>
      <w:marBottom w:val="0"/>
      <w:divBdr>
        <w:top w:val="none" w:sz="0" w:space="0" w:color="auto"/>
        <w:left w:val="none" w:sz="0" w:space="0" w:color="auto"/>
        <w:bottom w:val="none" w:sz="0" w:space="0" w:color="auto"/>
        <w:right w:val="none" w:sz="0" w:space="0" w:color="auto"/>
      </w:divBdr>
    </w:div>
    <w:div w:id="855846145">
      <w:bodyDiv w:val="1"/>
      <w:marLeft w:val="0"/>
      <w:marRight w:val="0"/>
      <w:marTop w:val="0"/>
      <w:marBottom w:val="0"/>
      <w:divBdr>
        <w:top w:val="none" w:sz="0" w:space="0" w:color="auto"/>
        <w:left w:val="none" w:sz="0" w:space="0" w:color="auto"/>
        <w:bottom w:val="none" w:sz="0" w:space="0" w:color="auto"/>
        <w:right w:val="none" w:sz="0" w:space="0" w:color="auto"/>
      </w:divBdr>
    </w:div>
    <w:div w:id="861092685">
      <w:bodyDiv w:val="1"/>
      <w:marLeft w:val="0"/>
      <w:marRight w:val="0"/>
      <w:marTop w:val="0"/>
      <w:marBottom w:val="0"/>
      <w:divBdr>
        <w:top w:val="none" w:sz="0" w:space="0" w:color="auto"/>
        <w:left w:val="none" w:sz="0" w:space="0" w:color="auto"/>
        <w:bottom w:val="none" w:sz="0" w:space="0" w:color="auto"/>
        <w:right w:val="none" w:sz="0" w:space="0" w:color="auto"/>
      </w:divBdr>
    </w:div>
    <w:div w:id="888491885">
      <w:bodyDiv w:val="1"/>
      <w:marLeft w:val="0"/>
      <w:marRight w:val="0"/>
      <w:marTop w:val="0"/>
      <w:marBottom w:val="0"/>
      <w:divBdr>
        <w:top w:val="none" w:sz="0" w:space="0" w:color="auto"/>
        <w:left w:val="none" w:sz="0" w:space="0" w:color="auto"/>
        <w:bottom w:val="none" w:sz="0" w:space="0" w:color="auto"/>
        <w:right w:val="none" w:sz="0" w:space="0" w:color="auto"/>
      </w:divBdr>
      <w:divsChild>
        <w:div w:id="130174693">
          <w:marLeft w:val="0"/>
          <w:marRight w:val="0"/>
          <w:marTop w:val="0"/>
          <w:marBottom w:val="0"/>
          <w:divBdr>
            <w:top w:val="none" w:sz="0" w:space="0" w:color="auto"/>
            <w:left w:val="none" w:sz="0" w:space="0" w:color="auto"/>
            <w:bottom w:val="none" w:sz="0" w:space="0" w:color="auto"/>
            <w:right w:val="none" w:sz="0" w:space="0" w:color="auto"/>
          </w:divBdr>
        </w:div>
      </w:divsChild>
    </w:div>
    <w:div w:id="906721509">
      <w:bodyDiv w:val="1"/>
      <w:marLeft w:val="0"/>
      <w:marRight w:val="0"/>
      <w:marTop w:val="0"/>
      <w:marBottom w:val="0"/>
      <w:divBdr>
        <w:top w:val="none" w:sz="0" w:space="0" w:color="auto"/>
        <w:left w:val="none" w:sz="0" w:space="0" w:color="auto"/>
        <w:bottom w:val="none" w:sz="0" w:space="0" w:color="auto"/>
        <w:right w:val="none" w:sz="0" w:space="0" w:color="auto"/>
      </w:divBdr>
    </w:div>
    <w:div w:id="941886741">
      <w:bodyDiv w:val="1"/>
      <w:marLeft w:val="0"/>
      <w:marRight w:val="0"/>
      <w:marTop w:val="0"/>
      <w:marBottom w:val="0"/>
      <w:divBdr>
        <w:top w:val="none" w:sz="0" w:space="0" w:color="auto"/>
        <w:left w:val="none" w:sz="0" w:space="0" w:color="auto"/>
        <w:bottom w:val="none" w:sz="0" w:space="0" w:color="auto"/>
        <w:right w:val="none" w:sz="0" w:space="0" w:color="auto"/>
      </w:divBdr>
    </w:div>
    <w:div w:id="943197152">
      <w:bodyDiv w:val="1"/>
      <w:marLeft w:val="0"/>
      <w:marRight w:val="0"/>
      <w:marTop w:val="0"/>
      <w:marBottom w:val="0"/>
      <w:divBdr>
        <w:top w:val="none" w:sz="0" w:space="0" w:color="auto"/>
        <w:left w:val="none" w:sz="0" w:space="0" w:color="auto"/>
        <w:bottom w:val="none" w:sz="0" w:space="0" w:color="auto"/>
        <w:right w:val="none" w:sz="0" w:space="0" w:color="auto"/>
      </w:divBdr>
    </w:div>
    <w:div w:id="943653311">
      <w:bodyDiv w:val="1"/>
      <w:marLeft w:val="0"/>
      <w:marRight w:val="0"/>
      <w:marTop w:val="0"/>
      <w:marBottom w:val="0"/>
      <w:divBdr>
        <w:top w:val="none" w:sz="0" w:space="0" w:color="auto"/>
        <w:left w:val="none" w:sz="0" w:space="0" w:color="auto"/>
        <w:bottom w:val="none" w:sz="0" w:space="0" w:color="auto"/>
        <w:right w:val="none" w:sz="0" w:space="0" w:color="auto"/>
      </w:divBdr>
    </w:div>
    <w:div w:id="968362571">
      <w:bodyDiv w:val="1"/>
      <w:marLeft w:val="0"/>
      <w:marRight w:val="0"/>
      <w:marTop w:val="0"/>
      <w:marBottom w:val="0"/>
      <w:divBdr>
        <w:top w:val="none" w:sz="0" w:space="0" w:color="auto"/>
        <w:left w:val="none" w:sz="0" w:space="0" w:color="auto"/>
        <w:bottom w:val="none" w:sz="0" w:space="0" w:color="auto"/>
        <w:right w:val="none" w:sz="0" w:space="0" w:color="auto"/>
      </w:divBdr>
    </w:div>
    <w:div w:id="976571377">
      <w:bodyDiv w:val="1"/>
      <w:marLeft w:val="0"/>
      <w:marRight w:val="0"/>
      <w:marTop w:val="0"/>
      <w:marBottom w:val="0"/>
      <w:divBdr>
        <w:top w:val="none" w:sz="0" w:space="0" w:color="auto"/>
        <w:left w:val="none" w:sz="0" w:space="0" w:color="auto"/>
        <w:bottom w:val="none" w:sz="0" w:space="0" w:color="auto"/>
        <w:right w:val="none" w:sz="0" w:space="0" w:color="auto"/>
      </w:divBdr>
    </w:div>
    <w:div w:id="1001472059">
      <w:bodyDiv w:val="1"/>
      <w:marLeft w:val="0"/>
      <w:marRight w:val="0"/>
      <w:marTop w:val="0"/>
      <w:marBottom w:val="0"/>
      <w:divBdr>
        <w:top w:val="none" w:sz="0" w:space="0" w:color="auto"/>
        <w:left w:val="none" w:sz="0" w:space="0" w:color="auto"/>
        <w:bottom w:val="none" w:sz="0" w:space="0" w:color="auto"/>
        <w:right w:val="none" w:sz="0" w:space="0" w:color="auto"/>
      </w:divBdr>
    </w:div>
    <w:div w:id="1007555221">
      <w:bodyDiv w:val="1"/>
      <w:marLeft w:val="0"/>
      <w:marRight w:val="0"/>
      <w:marTop w:val="0"/>
      <w:marBottom w:val="0"/>
      <w:divBdr>
        <w:top w:val="none" w:sz="0" w:space="0" w:color="auto"/>
        <w:left w:val="none" w:sz="0" w:space="0" w:color="auto"/>
        <w:bottom w:val="none" w:sz="0" w:space="0" w:color="auto"/>
        <w:right w:val="none" w:sz="0" w:space="0" w:color="auto"/>
      </w:divBdr>
    </w:div>
    <w:div w:id="1011563207">
      <w:bodyDiv w:val="1"/>
      <w:marLeft w:val="0"/>
      <w:marRight w:val="0"/>
      <w:marTop w:val="0"/>
      <w:marBottom w:val="0"/>
      <w:divBdr>
        <w:top w:val="none" w:sz="0" w:space="0" w:color="auto"/>
        <w:left w:val="none" w:sz="0" w:space="0" w:color="auto"/>
        <w:bottom w:val="none" w:sz="0" w:space="0" w:color="auto"/>
        <w:right w:val="none" w:sz="0" w:space="0" w:color="auto"/>
      </w:divBdr>
    </w:div>
    <w:div w:id="1116563594">
      <w:bodyDiv w:val="1"/>
      <w:marLeft w:val="0"/>
      <w:marRight w:val="0"/>
      <w:marTop w:val="0"/>
      <w:marBottom w:val="0"/>
      <w:divBdr>
        <w:top w:val="none" w:sz="0" w:space="0" w:color="auto"/>
        <w:left w:val="none" w:sz="0" w:space="0" w:color="auto"/>
        <w:bottom w:val="none" w:sz="0" w:space="0" w:color="auto"/>
        <w:right w:val="none" w:sz="0" w:space="0" w:color="auto"/>
      </w:divBdr>
    </w:div>
    <w:div w:id="1118640269">
      <w:bodyDiv w:val="1"/>
      <w:marLeft w:val="0"/>
      <w:marRight w:val="0"/>
      <w:marTop w:val="0"/>
      <w:marBottom w:val="0"/>
      <w:divBdr>
        <w:top w:val="none" w:sz="0" w:space="0" w:color="auto"/>
        <w:left w:val="none" w:sz="0" w:space="0" w:color="auto"/>
        <w:bottom w:val="none" w:sz="0" w:space="0" w:color="auto"/>
        <w:right w:val="none" w:sz="0" w:space="0" w:color="auto"/>
      </w:divBdr>
    </w:div>
    <w:div w:id="1167941903">
      <w:bodyDiv w:val="1"/>
      <w:marLeft w:val="0"/>
      <w:marRight w:val="0"/>
      <w:marTop w:val="0"/>
      <w:marBottom w:val="0"/>
      <w:divBdr>
        <w:top w:val="none" w:sz="0" w:space="0" w:color="auto"/>
        <w:left w:val="none" w:sz="0" w:space="0" w:color="auto"/>
        <w:bottom w:val="none" w:sz="0" w:space="0" w:color="auto"/>
        <w:right w:val="none" w:sz="0" w:space="0" w:color="auto"/>
      </w:divBdr>
    </w:div>
    <w:div w:id="1171406824">
      <w:bodyDiv w:val="1"/>
      <w:marLeft w:val="0"/>
      <w:marRight w:val="0"/>
      <w:marTop w:val="0"/>
      <w:marBottom w:val="0"/>
      <w:divBdr>
        <w:top w:val="none" w:sz="0" w:space="0" w:color="auto"/>
        <w:left w:val="none" w:sz="0" w:space="0" w:color="auto"/>
        <w:bottom w:val="none" w:sz="0" w:space="0" w:color="auto"/>
        <w:right w:val="none" w:sz="0" w:space="0" w:color="auto"/>
      </w:divBdr>
    </w:div>
    <w:div w:id="1181775779">
      <w:bodyDiv w:val="1"/>
      <w:marLeft w:val="0"/>
      <w:marRight w:val="0"/>
      <w:marTop w:val="0"/>
      <w:marBottom w:val="0"/>
      <w:divBdr>
        <w:top w:val="none" w:sz="0" w:space="0" w:color="auto"/>
        <w:left w:val="none" w:sz="0" w:space="0" w:color="auto"/>
        <w:bottom w:val="none" w:sz="0" w:space="0" w:color="auto"/>
        <w:right w:val="none" w:sz="0" w:space="0" w:color="auto"/>
      </w:divBdr>
    </w:div>
    <w:div w:id="1187871334">
      <w:bodyDiv w:val="1"/>
      <w:marLeft w:val="0"/>
      <w:marRight w:val="0"/>
      <w:marTop w:val="0"/>
      <w:marBottom w:val="0"/>
      <w:divBdr>
        <w:top w:val="none" w:sz="0" w:space="0" w:color="auto"/>
        <w:left w:val="none" w:sz="0" w:space="0" w:color="auto"/>
        <w:bottom w:val="none" w:sz="0" w:space="0" w:color="auto"/>
        <w:right w:val="none" w:sz="0" w:space="0" w:color="auto"/>
      </w:divBdr>
    </w:div>
    <w:div w:id="1217618148">
      <w:bodyDiv w:val="1"/>
      <w:marLeft w:val="0"/>
      <w:marRight w:val="0"/>
      <w:marTop w:val="0"/>
      <w:marBottom w:val="0"/>
      <w:divBdr>
        <w:top w:val="none" w:sz="0" w:space="0" w:color="auto"/>
        <w:left w:val="none" w:sz="0" w:space="0" w:color="auto"/>
        <w:bottom w:val="none" w:sz="0" w:space="0" w:color="auto"/>
        <w:right w:val="none" w:sz="0" w:space="0" w:color="auto"/>
      </w:divBdr>
    </w:div>
    <w:div w:id="1240873043">
      <w:bodyDiv w:val="1"/>
      <w:marLeft w:val="0"/>
      <w:marRight w:val="0"/>
      <w:marTop w:val="0"/>
      <w:marBottom w:val="0"/>
      <w:divBdr>
        <w:top w:val="none" w:sz="0" w:space="0" w:color="auto"/>
        <w:left w:val="none" w:sz="0" w:space="0" w:color="auto"/>
        <w:bottom w:val="none" w:sz="0" w:space="0" w:color="auto"/>
        <w:right w:val="none" w:sz="0" w:space="0" w:color="auto"/>
      </w:divBdr>
    </w:div>
    <w:div w:id="1258708852">
      <w:bodyDiv w:val="1"/>
      <w:marLeft w:val="0"/>
      <w:marRight w:val="0"/>
      <w:marTop w:val="0"/>
      <w:marBottom w:val="0"/>
      <w:divBdr>
        <w:top w:val="none" w:sz="0" w:space="0" w:color="auto"/>
        <w:left w:val="none" w:sz="0" w:space="0" w:color="auto"/>
        <w:bottom w:val="none" w:sz="0" w:space="0" w:color="auto"/>
        <w:right w:val="none" w:sz="0" w:space="0" w:color="auto"/>
      </w:divBdr>
    </w:div>
    <w:div w:id="1273172141">
      <w:bodyDiv w:val="1"/>
      <w:marLeft w:val="0"/>
      <w:marRight w:val="0"/>
      <w:marTop w:val="0"/>
      <w:marBottom w:val="0"/>
      <w:divBdr>
        <w:top w:val="none" w:sz="0" w:space="0" w:color="auto"/>
        <w:left w:val="none" w:sz="0" w:space="0" w:color="auto"/>
        <w:bottom w:val="none" w:sz="0" w:space="0" w:color="auto"/>
        <w:right w:val="none" w:sz="0" w:space="0" w:color="auto"/>
      </w:divBdr>
    </w:div>
    <w:div w:id="1295481164">
      <w:bodyDiv w:val="1"/>
      <w:marLeft w:val="0"/>
      <w:marRight w:val="0"/>
      <w:marTop w:val="0"/>
      <w:marBottom w:val="0"/>
      <w:divBdr>
        <w:top w:val="none" w:sz="0" w:space="0" w:color="auto"/>
        <w:left w:val="none" w:sz="0" w:space="0" w:color="auto"/>
        <w:bottom w:val="none" w:sz="0" w:space="0" w:color="auto"/>
        <w:right w:val="none" w:sz="0" w:space="0" w:color="auto"/>
      </w:divBdr>
    </w:div>
    <w:div w:id="1314413693">
      <w:bodyDiv w:val="1"/>
      <w:marLeft w:val="0"/>
      <w:marRight w:val="0"/>
      <w:marTop w:val="0"/>
      <w:marBottom w:val="0"/>
      <w:divBdr>
        <w:top w:val="none" w:sz="0" w:space="0" w:color="auto"/>
        <w:left w:val="none" w:sz="0" w:space="0" w:color="auto"/>
        <w:bottom w:val="none" w:sz="0" w:space="0" w:color="auto"/>
        <w:right w:val="none" w:sz="0" w:space="0" w:color="auto"/>
      </w:divBdr>
    </w:div>
    <w:div w:id="1327249792">
      <w:bodyDiv w:val="1"/>
      <w:marLeft w:val="0"/>
      <w:marRight w:val="0"/>
      <w:marTop w:val="0"/>
      <w:marBottom w:val="0"/>
      <w:divBdr>
        <w:top w:val="none" w:sz="0" w:space="0" w:color="auto"/>
        <w:left w:val="none" w:sz="0" w:space="0" w:color="auto"/>
        <w:bottom w:val="none" w:sz="0" w:space="0" w:color="auto"/>
        <w:right w:val="none" w:sz="0" w:space="0" w:color="auto"/>
      </w:divBdr>
    </w:div>
    <w:div w:id="1332953862">
      <w:bodyDiv w:val="1"/>
      <w:marLeft w:val="0"/>
      <w:marRight w:val="0"/>
      <w:marTop w:val="0"/>
      <w:marBottom w:val="0"/>
      <w:divBdr>
        <w:top w:val="none" w:sz="0" w:space="0" w:color="auto"/>
        <w:left w:val="none" w:sz="0" w:space="0" w:color="auto"/>
        <w:bottom w:val="none" w:sz="0" w:space="0" w:color="auto"/>
        <w:right w:val="none" w:sz="0" w:space="0" w:color="auto"/>
      </w:divBdr>
    </w:div>
    <w:div w:id="1353453716">
      <w:bodyDiv w:val="1"/>
      <w:marLeft w:val="0"/>
      <w:marRight w:val="0"/>
      <w:marTop w:val="0"/>
      <w:marBottom w:val="0"/>
      <w:divBdr>
        <w:top w:val="none" w:sz="0" w:space="0" w:color="auto"/>
        <w:left w:val="none" w:sz="0" w:space="0" w:color="auto"/>
        <w:bottom w:val="none" w:sz="0" w:space="0" w:color="auto"/>
        <w:right w:val="none" w:sz="0" w:space="0" w:color="auto"/>
      </w:divBdr>
    </w:div>
    <w:div w:id="1437098443">
      <w:bodyDiv w:val="1"/>
      <w:marLeft w:val="0"/>
      <w:marRight w:val="0"/>
      <w:marTop w:val="0"/>
      <w:marBottom w:val="0"/>
      <w:divBdr>
        <w:top w:val="none" w:sz="0" w:space="0" w:color="auto"/>
        <w:left w:val="none" w:sz="0" w:space="0" w:color="auto"/>
        <w:bottom w:val="none" w:sz="0" w:space="0" w:color="auto"/>
        <w:right w:val="none" w:sz="0" w:space="0" w:color="auto"/>
      </w:divBdr>
    </w:div>
    <w:div w:id="1467157771">
      <w:bodyDiv w:val="1"/>
      <w:marLeft w:val="0"/>
      <w:marRight w:val="0"/>
      <w:marTop w:val="0"/>
      <w:marBottom w:val="0"/>
      <w:divBdr>
        <w:top w:val="none" w:sz="0" w:space="0" w:color="auto"/>
        <w:left w:val="none" w:sz="0" w:space="0" w:color="auto"/>
        <w:bottom w:val="none" w:sz="0" w:space="0" w:color="auto"/>
        <w:right w:val="none" w:sz="0" w:space="0" w:color="auto"/>
      </w:divBdr>
      <w:divsChild>
        <w:div w:id="986858756">
          <w:marLeft w:val="0"/>
          <w:marRight w:val="0"/>
          <w:marTop w:val="0"/>
          <w:marBottom w:val="0"/>
          <w:divBdr>
            <w:top w:val="none" w:sz="0" w:space="0" w:color="auto"/>
            <w:left w:val="none" w:sz="0" w:space="0" w:color="auto"/>
            <w:bottom w:val="none" w:sz="0" w:space="0" w:color="auto"/>
            <w:right w:val="none" w:sz="0" w:space="0" w:color="auto"/>
          </w:divBdr>
        </w:div>
      </w:divsChild>
    </w:div>
    <w:div w:id="1470436677">
      <w:bodyDiv w:val="1"/>
      <w:marLeft w:val="0"/>
      <w:marRight w:val="0"/>
      <w:marTop w:val="0"/>
      <w:marBottom w:val="0"/>
      <w:divBdr>
        <w:top w:val="none" w:sz="0" w:space="0" w:color="auto"/>
        <w:left w:val="none" w:sz="0" w:space="0" w:color="auto"/>
        <w:bottom w:val="none" w:sz="0" w:space="0" w:color="auto"/>
        <w:right w:val="none" w:sz="0" w:space="0" w:color="auto"/>
      </w:divBdr>
    </w:div>
    <w:div w:id="1476682942">
      <w:bodyDiv w:val="1"/>
      <w:marLeft w:val="0"/>
      <w:marRight w:val="0"/>
      <w:marTop w:val="0"/>
      <w:marBottom w:val="0"/>
      <w:divBdr>
        <w:top w:val="none" w:sz="0" w:space="0" w:color="auto"/>
        <w:left w:val="none" w:sz="0" w:space="0" w:color="auto"/>
        <w:bottom w:val="none" w:sz="0" w:space="0" w:color="auto"/>
        <w:right w:val="none" w:sz="0" w:space="0" w:color="auto"/>
      </w:divBdr>
      <w:divsChild>
        <w:div w:id="696933038">
          <w:marLeft w:val="0"/>
          <w:marRight w:val="0"/>
          <w:marTop w:val="0"/>
          <w:marBottom w:val="0"/>
          <w:divBdr>
            <w:top w:val="none" w:sz="0" w:space="0" w:color="auto"/>
            <w:left w:val="none" w:sz="0" w:space="0" w:color="auto"/>
            <w:bottom w:val="none" w:sz="0" w:space="0" w:color="auto"/>
            <w:right w:val="none" w:sz="0" w:space="0" w:color="auto"/>
          </w:divBdr>
        </w:div>
      </w:divsChild>
    </w:div>
    <w:div w:id="1484859247">
      <w:bodyDiv w:val="1"/>
      <w:marLeft w:val="0"/>
      <w:marRight w:val="0"/>
      <w:marTop w:val="0"/>
      <w:marBottom w:val="0"/>
      <w:divBdr>
        <w:top w:val="none" w:sz="0" w:space="0" w:color="auto"/>
        <w:left w:val="none" w:sz="0" w:space="0" w:color="auto"/>
        <w:bottom w:val="none" w:sz="0" w:space="0" w:color="auto"/>
        <w:right w:val="none" w:sz="0" w:space="0" w:color="auto"/>
      </w:divBdr>
      <w:divsChild>
        <w:div w:id="222446916">
          <w:marLeft w:val="0"/>
          <w:marRight w:val="0"/>
          <w:marTop w:val="0"/>
          <w:marBottom w:val="0"/>
          <w:divBdr>
            <w:top w:val="none" w:sz="0" w:space="0" w:color="auto"/>
            <w:left w:val="none" w:sz="0" w:space="0" w:color="auto"/>
            <w:bottom w:val="none" w:sz="0" w:space="0" w:color="auto"/>
            <w:right w:val="none" w:sz="0" w:space="0" w:color="auto"/>
          </w:divBdr>
        </w:div>
      </w:divsChild>
    </w:div>
    <w:div w:id="1517495421">
      <w:bodyDiv w:val="1"/>
      <w:marLeft w:val="0"/>
      <w:marRight w:val="0"/>
      <w:marTop w:val="0"/>
      <w:marBottom w:val="0"/>
      <w:divBdr>
        <w:top w:val="none" w:sz="0" w:space="0" w:color="auto"/>
        <w:left w:val="none" w:sz="0" w:space="0" w:color="auto"/>
        <w:bottom w:val="none" w:sz="0" w:space="0" w:color="auto"/>
        <w:right w:val="none" w:sz="0" w:space="0" w:color="auto"/>
      </w:divBdr>
    </w:div>
    <w:div w:id="1527018004">
      <w:bodyDiv w:val="1"/>
      <w:marLeft w:val="0"/>
      <w:marRight w:val="0"/>
      <w:marTop w:val="0"/>
      <w:marBottom w:val="0"/>
      <w:divBdr>
        <w:top w:val="none" w:sz="0" w:space="0" w:color="auto"/>
        <w:left w:val="none" w:sz="0" w:space="0" w:color="auto"/>
        <w:bottom w:val="none" w:sz="0" w:space="0" w:color="auto"/>
        <w:right w:val="none" w:sz="0" w:space="0" w:color="auto"/>
      </w:divBdr>
    </w:div>
    <w:div w:id="1599021395">
      <w:bodyDiv w:val="1"/>
      <w:marLeft w:val="0"/>
      <w:marRight w:val="0"/>
      <w:marTop w:val="0"/>
      <w:marBottom w:val="0"/>
      <w:divBdr>
        <w:top w:val="none" w:sz="0" w:space="0" w:color="auto"/>
        <w:left w:val="none" w:sz="0" w:space="0" w:color="auto"/>
        <w:bottom w:val="none" w:sz="0" w:space="0" w:color="auto"/>
        <w:right w:val="none" w:sz="0" w:space="0" w:color="auto"/>
      </w:divBdr>
    </w:div>
    <w:div w:id="1622807915">
      <w:bodyDiv w:val="1"/>
      <w:marLeft w:val="0"/>
      <w:marRight w:val="0"/>
      <w:marTop w:val="0"/>
      <w:marBottom w:val="0"/>
      <w:divBdr>
        <w:top w:val="none" w:sz="0" w:space="0" w:color="auto"/>
        <w:left w:val="none" w:sz="0" w:space="0" w:color="auto"/>
        <w:bottom w:val="none" w:sz="0" w:space="0" w:color="auto"/>
        <w:right w:val="none" w:sz="0" w:space="0" w:color="auto"/>
      </w:divBdr>
    </w:div>
    <w:div w:id="1671521143">
      <w:bodyDiv w:val="1"/>
      <w:marLeft w:val="0"/>
      <w:marRight w:val="0"/>
      <w:marTop w:val="0"/>
      <w:marBottom w:val="0"/>
      <w:divBdr>
        <w:top w:val="none" w:sz="0" w:space="0" w:color="auto"/>
        <w:left w:val="none" w:sz="0" w:space="0" w:color="auto"/>
        <w:bottom w:val="none" w:sz="0" w:space="0" w:color="auto"/>
        <w:right w:val="none" w:sz="0" w:space="0" w:color="auto"/>
      </w:divBdr>
      <w:divsChild>
        <w:div w:id="324746016">
          <w:marLeft w:val="0"/>
          <w:marRight w:val="0"/>
          <w:marTop w:val="0"/>
          <w:marBottom w:val="0"/>
          <w:divBdr>
            <w:top w:val="none" w:sz="0" w:space="0" w:color="auto"/>
            <w:left w:val="none" w:sz="0" w:space="0" w:color="auto"/>
            <w:bottom w:val="none" w:sz="0" w:space="0" w:color="auto"/>
            <w:right w:val="none" w:sz="0" w:space="0" w:color="auto"/>
          </w:divBdr>
          <w:divsChild>
            <w:div w:id="983201167">
              <w:marLeft w:val="0"/>
              <w:marRight w:val="0"/>
              <w:marTop w:val="0"/>
              <w:marBottom w:val="0"/>
              <w:divBdr>
                <w:top w:val="none" w:sz="0" w:space="0" w:color="auto"/>
                <w:left w:val="none" w:sz="0" w:space="0" w:color="auto"/>
                <w:bottom w:val="none" w:sz="0" w:space="0" w:color="auto"/>
                <w:right w:val="none" w:sz="0" w:space="0" w:color="auto"/>
              </w:divBdr>
              <w:divsChild>
                <w:div w:id="1270620170">
                  <w:marLeft w:val="0"/>
                  <w:marRight w:val="0"/>
                  <w:marTop w:val="0"/>
                  <w:marBottom w:val="129"/>
                  <w:divBdr>
                    <w:top w:val="none" w:sz="0" w:space="0" w:color="auto"/>
                    <w:left w:val="none" w:sz="0" w:space="0" w:color="auto"/>
                    <w:bottom w:val="none" w:sz="0" w:space="0" w:color="auto"/>
                    <w:right w:val="none" w:sz="0" w:space="0" w:color="auto"/>
                  </w:divBdr>
                  <w:divsChild>
                    <w:div w:id="133190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940905">
      <w:bodyDiv w:val="1"/>
      <w:marLeft w:val="0"/>
      <w:marRight w:val="0"/>
      <w:marTop w:val="0"/>
      <w:marBottom w:val="0"/>
      <w:divBdr>
        <w:top w:val="none" w:sz="0" w:space="0" w:color="auto"/>
        <w:left w:val="none" w:sz="0" w:space="0" w:color="auto"/>
        <w:bottom w:val="none" w:sz="0" w:space="0" w:color="auto"/>
        <w:right w:val="none" w:sz="0" w:space="0" w:color="auto"/>
      </w:divBdr>
      <w:divsChild>
        <w:div w:id="1945764520">
          <w:marLeft w:val="0"/>
          <w:marRight w:val="0"/>
          <w:marTop w:val="0"/>
          <w:marBottom w:val="0"/>
          <w:divBdr>
            <w:top w:val="none" w:sz="0" w:space="0" w:color="auto"/>
            <w:left w:val="none" w:sz="0" w:space="0" w:color="auto"/>
            <w:bottom w:val="none" w:sz="0" w:space="0" w:color="auto"/>
            <w:right w:val="none" w:sz="0" w:space="0" w:color="auto"/>
          </w:divBdr>
          <w:divsChild>
            <w:div w:id="48844495">
              <w:marLeft w:val="0"/>
              <w:marRight w:val="0"/>
              <w:marTop w:val="0"/>
              <w:marBottom w:val="0"/>
              <w:divBdr>
                <w:top w:val="none" w:sz="0" w:space="0" w:color="auto"/>
                <w:left w:val="none" w:sz="0" w:space="0" w:color="auto"/>
                <w:bottom w:val="none" w:sz="0" w:space="0" w:color="auto"/>
                <w:right w:val="none" w:sz="0" w:space="0" w:color="auto"/>
              </w:divBdr>
              <w:divsChild>
                <w:div w:id="1122268288">
                  <w:marLeft w:val="0"/>
                  <w:marRight w:val="0"/>
                  <w:marTop w:val="0"/>
                  <w:marBottom w:val="0"/>
                  <w:divBdr>
                    <w:top w:val="none" w:sz="0" w:space="0" w:color="auto"/>
                    <w:left w:val="none" w:sz="0" w:space="0" w:color="auto"/>
                    <w:bottom w:val="none" w:sz="0" w:space="0" w:color="auto"/>
                    <w:right w:val="none" w:sz="0" w:space="0" w:color="auto"/>
                  </w:divBdr>
                  <w:divsChild>
                    <w:div w:id="1906984513">
                      <w:marLeft w:val="0"/>
                      <w:marRight w:val="0"/>
                      <w:marTop w:val="0"/>
                      <w:marBottom w:val="0"/>
                      <w:divBdr>
                        <w:top w:val="none" w:sz="0" w:space="0" w:color="auto"/>
                        <w:left w:val="none" w:sz="0" w:space="0" w:color="auto"/>
                        <w:bottom w:val="none" w:sz="0" w:space="0" w:color="auto"/>
                        <w:right w:val="none" w:sz="0" w:space="0" w:color="auto"/>
                      </w:divBdr>
                      <w:divsChild>
                        <w:div w:id="305356326">
                          <w:marLeft w:val="0"/>
                          <w:marRight w:val="0"/>
                          <w:marTop w:val="0"/>
                          <w:marBottom w:val="0"/>
                          <w:divBdr>
                            <w:top w:val="none" w:sz="0" w:space="0" w:color="auto"/>
                            <w:left w:val="none" w:sz="0" w:space="0" w:color="auto"/>
                            <w:bottom w:val="none" w:sz="0" w:space="0" w:color="auto"/>
                            <w:right w:val="none" w:sz="0" w:space="0" w:color="auto"/>
                          </w:divBdr>
                          <w:divsChild>
                            <w:div w:id="118077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2876042">
      <w:bodyDiv w:val="1"/>
      <w:marLeft w:val="0"/>
      <w:marRight w:val="0"/>
      <w:marTop w:val="0"/>
      <w:marBottom w:val="0"/>
      <w:divBdr>
        <w:top w:val="none" w:sz="0" w:space="0" w:color="auto"/>
        <w:left w:val="none" w:sz="0" w:space="0" w:color="auto"/>
        <w:bottom w:val="none" w:sz="0" w:space="0" w:color="auto"/>
        <w:right w:val="none" w:sz="0" w:space="0" w:color="auto"/>
      </w:divBdr>
    </w:div>
    <w:div w:id="1693023121">
      <w:bodyDiv w:val="1"/>
      <w:marLeft w:val="0"/>
      <w:marRight w:val="0"/>
      <w:marTop w:val="0"/>
      <w:marBottom w:val="0"/>
      <w:divBdr>
        <w:top w:val="none" w:sz="0" w:space="0" w:color="auto"/>
        <w:left w:val="none" w:sz="0" w:space="0" w:color="auto"/>
        <w:bottom w:val="none" w:sz="0" w:space="0" w:color="auto"/>
        <w:right w:val="none" w:sz="0" w:space="0" w:color="auto"/>
      </w:divBdr>
    </w:div>
    <w:div w:id="1748920672">
      <w:bodyDiv w:val="1"/>
      <w:marLeft w:val="0"/>
      <w:marRight w:val="0"/>
      <w:marTop w:val="0"/>
      <w:marBottom w:val="0"/>
      <w:divBdr>
        <w:top w:val="none" w:sz="0" w:space="0" w:color="auto"/>
        <w:left w:val="none" w:sz="0" w:space="0" w:color="auto"/>
        <w:bottom w:val="none" w:sz="0" w:space="0" w:color="auto"/>
        <w:right w:val="none" w:sz="0" w:space="0" w:color="auto"/>
      </w:divBdr>
    </w:div>
    <w:div w:id="1763836881">
      <w:bodyDiv w:val="1"/>
      <w:marLeft w:val="0"/>
      <w:marRight w:val="0"/>
      <w:marTop w:val="0"/>
      <w:marBottom w:val="0"/>
      <w:divBdr>
        <w:top w:val="none" w:sz="0" w:space="0" w:color="auto"/>
        <w:left w:val="none" w:sz="0" w:space="0" w:color="auto"/>
        <w:bottom w:val="none" w:sz="0" w:space="0" w:color="auto"/>
        <w:right w:val="none" w:sz="0" w:space="0" w:color="auto"/>
      </w:divBdr>
    </w:div>
    <w:div w:id="1794861109">
      <w:bodyDiv w:val="1"/>
      <w:marLeft w:val="0"/>
      <w:marRight w:val="0"/>
      <w:marTop w:val="0"/>
      <w:marBottom w:val="0"/>
      <w:divBdr>
        <w:top w:val="none" w:sz="0" w:space="0" w:color="auto"/>
        <w:left w:val="none" w:sz="0" w:space="0" w:color="auto"/>
        <w:bottom w:val="none" w:sz="0" w:space="0" w:color="auto"/>
        <w:right w:val="none" w:sz="0" w:space="0" w:color="auto"/>
      </w:divBdr>
    </w:div>
    <w:div w:id="1800873048">
      <w:bodyDiv w:val="1"/>
      <w:marLeft w:val="0"/>
      <w:marRight w:val="0"/>
      <w:marTop w:val="0"/>
      <w:marBottom w:val="0"/>
      <w:divBdr>
        <w:top w:val="none" w:sz="0" w:space="0" w:color="auto"/>
        <w:left w:val="none" w:sz="0" w:space="0" w:color="auto"/>
        <w:bottom w:val="none" w:sz="0" w:space="0" w:color="auto"/>
        <w:right w:val="none" w:sz="0" w:space="0" w:color="auto"/>
      </w:divBdr>
    </w:div>
    <w:div w:id="1801222304">
      <w:bodyDiv w:val="1"/>
      <w:marLeft w:val="0"/>
      <w:marRight w:val="0"/>
      <w:marTop w:val="0"/>
      <w:marBottom w:val="0"/>
      <w:divBdr>
        <w:top w:val="none" w:sz="0" w:space="0" w:color="auto"/>
        <w:left w:val="none" w:sz="0" w:space="0" w:color="auto"/>
        <w:bottom w:val="none" w:sz="0" w:space="0" w:color="auto"/>
        <w:right w:val="none" w:sz="0" w:space="0" w:color="auto"/>
      </w:divBdr>
    </w:div>
    <w:div w:id="1806503151">
      <w:bodyDiv w:val="1"/>
      <w:marLeft w:val="0"/>
      <w:marRight w:val="0"/>
      <w:marTop w:val="0"/>
      <w:marBottom w:val="0"/>
      <w:divBdr>
        <w:top w:val="none" w:sz="0" w:space="0" w:color="auto"/>
        <w:left w:val="none" w:sz="0" w:space="0" w:color="auto"/>
        <w:bottom w:val="none" w:sz="0" w:space="0" w:color="auto"/>
        <w:right w:val="none" w:sz="0" w:space="0" w:color="auto"/>
      </w:divBdr>
    </w:div>
    <w:div w:id="1816141698">
      <w:bodyDiv w:val="1"/>
      <w:marLeft w:val="0"/>
      <w:marRight w:val="0"/>
      <w:marTop w:val="0"/>
      <w:marBottom w:val="0"/>
      <w:divBdr>
        <w:top w:val="none" w:sz="0" w:space="0" w:color="auto"/>
        <w:left w:val="none" w:sz="0" w:space="0" w:color="auto"/>
        <w:bottom w:val="none" w:sz="0" w:space="0" w:color="auto"/>
        <w:right w:val="none" w:sz="0" w:space="0" w:color="auto"/>
      </w:divBdr>
    </w:div>
    <w:div w:id="1817455558">
      <w:bodyDiv w:val="1"/>
      <w:marLeft w:val="0"/>
      <w:marRight w:val="0"/>
      <w:marTop w:val="0"/>
      <w:marBottom w:val="0"/>
      <w:divBdr>
        <w:top w:val="none" w:sz="0" w:space="0" w:color="auto"/>
        <w:left w:val="none" w:sz="0" w:space="0" w:color="auto"/>
        <w:bottom w:val="none" w:sz="0" w:space="0" w:color="auto"/>
        <w:right w:val="none" w:sz="0" w:space="0" w:color="auto"/>
      </w:divBdr>
    </w:div>
    <w:div w:id="1819221497">
      <w:bodyDiv w:val="1"/>
      <w:marLeft w:val="0"/>
      <w:marRight w:val="0"/>
      <w:marTop w:val="0"/>
      <w:marBottom w:val="0"/>
      <w:divBdr>
        <w:top w:val="none" w:sz="0" w:space="0" w:color="auto"/>
        <w:left w:val="none" w:sz="0" w:space="0" w:color="auto"/>
        <w:bottom w:val="none" w:sz="0" w:space="0" w:color="auto"/>
        <w:right w:val="none" w:sz="0" w:space="0" w:color="auto"/>
      </w:divBdr>
    </w:div>
    <w:div w:id="18229637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sChild>
            <w:div w:id="617879265">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129"/>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277207">
      <w:bodyDiv w:val="1"/>
      <w:marLeft w:val="0"/>
      <w:marRight w:val="0"/>
      <w:marTop w:val="0"/>
      <w:marBottom w:val="0"/>
      <w:divBdr>
        <w:top w:val="none" w:sz="0" w:space="0" w:color="auto"/>
        <w:left w:val="none" w:sz="0" w:space="0" w:color="auto"/>
        <w:bottom w:val="none" w:sz="0" w:space="0" w:color="auto"/>
        <w:right w:val="none" w:sz="0" w:space="0" w:color="auto"/>
      </w:divBdr>
    </w:div>
    <w:div w:id="1864243407">
      <w:bodyDiv w:val="1"/>
      <w:marLeft w:val="0"/>
      <w:marRight w:val="0"/>
      <w:marTop w:val="0"/>
      <w:marBottom w:val="0"/>
      <w:divBdr>
        <w:top w:val="none" w:sz="0" w:space="0" w:color="auto"/>
        <w:left w:val="none" w:sz="0" w:space="0" w:color="auto"/>
        <w:bottom w:val="none" w:sz="0" w:space="0" w:color="auto"/>
        <w:right w:val="none" w:sz="0" w:space="0" w:color="auto"/>
      </w:divBdr>
    </w:div>
    <w:div w:id="1886717864">
      <w:bodyDiv w:val="1"/>
      <w:marLeft w:val="0"/>
      <w:marRight w:val="0"/>
      <w:marTop w:val="0"/>
      <w:marBottom w:val="0"/>
      <w:divBdr>
        <w:top w:val="none" w:sz="0" w:space="0" w:color="auto"/>
        <w:left w:val="none" w:sz="0" w:space="0" w:color="auto"/>
        <w:bottom w:val="none" w:sz="0" w:space="0" w:color="auto"/>
        <w:right w:val="none" w:sz="0" w:space="0" w:color="auto"/>
      </w:divBdr>
    </w:div>
    <w:div w:id="1891648841">
      <w:bodyDiv w:val="1"/>
      <w:marLeft w:val="0"/>
      <w:marRight w:val="0"/>
      <w:marTop w:val="0"/>
      <w:marBottom w:val="0"/>
      <w:divBdr>
        <w:top w:val="none" w:sz="0" w:space="0" w:color="auto"/>
        <w:left w:val="none" w:sz="0" w:space="0" w:color="auto"/>
        <w:bottom w:val="none" w:sz="0" w:space="0" w:color="auto"/>
        <w:right w:val="none" w:sz="0" w:space="0" w:color="auto"/>
      </w:divBdr>
    </w:div>
    <w:div w:id="1904636001">
      <w:bodyDiv w:val="1"/>
      <w:marLeft w:val="0"/>
      <w:marRight w:val="0"/>
      <w:marTop w:val="0"/>
      <w:marBottom w:val="0"/>
      <w:divBdr>
        <w:top w:val="none" w:sz="0" w:space="0" w:color="auto"/>
        <w:left w:val="none" w:sz="0" w:space="0" w:color="auto"/>
        <w:bottom w:val="none" w:sz="0" w:space="0" w:color="auto"/>
        <w:right w:val="none" w:sz="0" w:space="0" w:color="auto"/>
      </w:divBdr>
    </w:div>
    <w:div w:id="1922596601">
      <w:bodyDiv w:val="1"/>
      <w:marLeft w:val="0"/>
      <w:marRight w:val="0"/>
      <w:marTop w:val="0"/>
      <w:marBottom w:val="0"/>
      <w:divBdr>
        <w:top w:val="none" w:sz="0" w:space="0" w:color="auto"/>
        <w:left w:val="none" w:sz="0" w:space="0" w:color="auto"/>
        <w:bottom w:val="none" w:sz="0" w:space="0" w:color="auto"/>
        <w:right w:val="none" w:sz="0" w:space="0" w:color="auto"/>
      </w:divBdr>
    </w:div>
    <w:div w:id="1932471509">
      <w:bodyDiv w:val="1"/>
      <w:marLeft w:val="0"/>
      <w:marRight w:val="0"/>
      <w:marTop w:val="0"/>
      <w:marBottom w:val="0"/>
      <w:divBdr>
        <w:top w:val="none" w:sz="0" w:space="0" w:color="auto"/>
        <w:left w:val="none" w:sz="0" w:space="0" w:color="auto"/>
        <w:bottom w:val="none" w:sz="0" w:space="0" w:color="auto"/>
        <w:right w:val="none" w:sz="0" w:space="0" w:color="auto"/>
      </w:divBdr>
    </w:div>
    <w:div w:id="1996181213">
      <w:bodyDiv w:val="1"/>
      <w:marLeft w:val="0"/>
      <w:marRight w:val="0"/>
      <w:marTop w:val="0"/>
      <w:marBottom w:val="0"/>
      <w:divBdr>
        <w:top w:val="none" w:sz="0" w:space="0" w:color="auto"/>
        <w:left w:val="none" w:sz="0" w:space="0" w:color="auto"/>
        <w:bottom w:val="none" w:sz="0" w:space="0" w:color="auto"/>
        <w:right w:val="none" w:sz="0" w:space="0" w:color="auto"/>
      </w:divBdr>
    </w:div>
    <w:div w:id="2011324154">
      <w:bodyDiv w:val="1"/>
      <w:marLeft w:val="0"/>
      <w:marRight w:val="0"/>
      <w:marTop w:val="0"/>
      <w:marBottom w:val="0"/>
      <w:divBdr>
        <w:top w:val="none" w:sz="0" w:space="0" w:color="auto"/>
        <w:left w:val="none" w:sz="0" w:space="0" w:color="auto"/>
        <w:bottom w:val="none" w:sz="0" w:space="0" w:color="auto"/>
        <w:right w:val="none" w:sz="0" w:space="0" w:color="auto"/>
      </w:divBdr>
    </w:div>
    <w:div w:id="2027706920">
      <w:bodyDiv w:val="1"/>
      <w:marLeft w:val="0"/>
      <w:marRight w:val="0"/>
      <w:marTop w:val="0"/>
      <w:marBottom w:val="0"/>
      <w:divBdr>
        <w:top w:val="none" w:sz="0" w:space="0" w:color="auto"/>
        <w:left w:val="none" w:sz="0" w:space="0" w:color="auto"/>
        <w:bottom w:val="none" w:sz="0" w:space="0" w:color="auto"/>
        <w:right w:val="none" w:sz="0" w:space="0" w:color="auto"/>
      </w:divBdr>
    </w:div>
    <w:div w:id="2032149364">
      <w:bodyDiv w:val="1"/>
      <w:marLeft w:val="0"/>
      <w:marRight w:val="0"/>
      <w:marTop w:val="0"/>
      <w:marBottom w:val="0"/>
      <w:divBdr>
        <w:top w:val="none" w:sz="0" w:space="0" w:color="auto"/>
        <w:left w:val="none" w:sz="0" w:space="0" w:color="auto"/>
        <w:bottom w:val="none" w:sz="0" w:space="0" w:color="auto"/>
        <w:right w:val="none" w:sz="0" w:space="0" w:color="auto"/>
      </w:divBdr>
      <w:divsChild>
        <w:div w:id="447967143">
          <w:marLeft w:val="0"/>
          <w:marRight w:val="0"/>
          <w:marTop w:val="0"/>
          <w:marBottom w:val="0"/>
          <w:divBdr>
            <w:top w:val="none" w:sz="0" w:space="0" w:color="auto"/>
            <w:left w:val="none" w:sz="0" w:space="0" w:color="auto"/>
            <w:bottom w:val="none" w:sz="0" w:space="0" w:color="auto"/>
            <w:right w:val="none" w:sz="0" w:space="0" w:color="auto"/>
          </w:divBdr>
          <w:divsChild>
            <w:div w:id="344285198">
              <w:marLeft w:val="0"/>
              <w:marRight w:val="0"/>
              <w:marTop w:val="0"/>
              <w:marBottom w:val="0"/>
              <w:divBdr>
                <w:top w:val="none" w:sz="0" w:space="0" w:color="auto"/>
                <w:left w:val="none" w:sz="0" w:space="0" w:color="auto"/>
                <w:bottom w:val="none" w:sz="0" w:space="0" w:color="auto"/>
                <w:right w:val="none" w:sz="0" w:space="0" w:color="auto"/>
              </w:divBdr>
              <w:divsChild>
                <w:div w:id="133565078">
                  <w:marLeft w:val="0"/>
                  <w:marRight w:val="0"/>
                  <w:marTop w:val="0"/>
                  <w:marBottom w:val="129"/>
                  <w:divBdr>
                    <w:top w:val="none" w:sz="0" w:space="0" w:color="auto"/>
                    <w:left w:val="none" w:sz="0" w:space="0" w:color="auto"/>
                    <w:bottom w:val="none" w:sz="0" w:space="0" w:color="auto"/>
                    <w:right w:val="none" w:sz="0" w:space="0" w:color="auto"/>
                  </w:divBdr>
                  <w:divsChild>
                    <w:div w:id="177609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592252">
      <w:bodyDiv w:val="1"/>
      <w:marLeft w:val="0"/>
      <w:marRight w:val="0"/>
      <w:marTop w:val="0"/>
      <w:marBottom w:val="0"/>
      <w:divBdr>
        <w:top w:val="none" w:sz="0" w:space="0" w:color="auto"/>
        <w:left w:val="none" w:sz="0" w:space="0" w:color="auto"/>
        <w:bottom w:val="none" w:sz="0" w:space="0" w:color="auto"/>
        <w:right w:val="none" w:sz="0" w:space="0" w:color="auto"/>
      </w:divBdr>
    </w:div>
    <w:div w:id="2054573595">
      <w:bodyDiv w:val="1"/>
      <w:marLeft w:val="0"/>
      <w:marRight w:val="0"/>
      <w:marTop w:val="0"/>
      <w:marBottom w:val="0"/>
      <w:divBdr>
        <w:top w:val="none" w:sz="0" w:space="0" w:color="auto"/>
        <w:left w:val="none" w:sz="0" w:space="0" w:color="auto"/>
        <w:bottom w:val="none" w:sz="0" w:space="0" w:color="auto"/>
        <w:right w:val="none" w:sz="0" w:space="0" w:color="auto"/>
      </w:divBdr>
    </w:div>
    <w:div w:id="2056008307">
      <w:bodyDiv w:val="1"/>
      <w:marLeft w:val="0"/>
      <w:marRight w:val="0"/>
      <w:marTop w:val="0"/>
      <w:marBottom w:val="0"/>
      <w:divBdr>
        <w:top w:val="none" w:sz="0" w:space="0" w:color="auto"/>
        <w:left w:val="none" w:sz="0" w:space="0" w:color="auto"/>
        <w:bottom w:val="none" w:sz="0" w:space="0" w:color="auto"/>
        <w:right w:val="none" w:sz="0" w:space="0" w:color="auto"/>
      </w:divBdr>
    </w:div>
    <w:div w:id="2057194842">
      <w:bodyDiv w:val="1"/>
      <w:marLeft w:val="0"/>
      <w:marRight w:val="0"/>
      <w:marTop w:val="0"/>
      <w:marBottom w:val="0"/>
      <w:divBdr>
        <w:top w:val="none" w:sz="0" w:space="0" w:color="auto"/>
        <w:left w:val="none" w:sz="0" w:space="0" w:color="auto"/>
        <w:bottom w:val="none" w:sz="0" w:space="0" w:color="auto"/>
        <w:right w:val="none" w:sz="0" w:space="0" w:color="auto"/>
      </w:divBdr>
    </w:div>
    <w:div w:id="2077893961">
      <w:bodyDiv w:val="1"/>
      <w:marLeft w:val="0"/>
      <w:marRight w:val="0"/>
      <w:marTop w:val="0"/>
      <w:marBottom w:val="0"/>
      <w:divBdr>
        <w:top w:val="none" w:sz="0" w:space="0" w:color="auto"/>
        <w:left w:val="none" w:sz="0" w:space="0" w:color="auto"/>
        <w:bottom w:val="none" w:sz="0" w:space="0" w:color="auto"/>
        <w:right w:val="none" w:sz="0" w:space="0" w:color="auto"/>
      </w:divBdr>
    </w:div>
    <w:div w:id="2080666072">
      <w:bodyDiv w:val="1"/>
      <w:marLeft w:val="0"/>
      <w:marRight w:val="0"/>
      <w:marTop w:val="0"/>
      <w:marBottom w:val="0"/>
      <w:divBdr>
        <w:top w:val="none" w:sz="0" w:space="0" w:color="auto"/>
        <w:left w:val="none" w:sz="0" w:space="0" w:color="auto"/>
        <w:bottom w:val="none" w:sz="0" w:space="0" w:color="auto"/>
        <w:right w:val="none" w:sz="0" w:space="0" w:color="auto"/>
      </w:divBdr>
      <w:divsChild>
        <w:div w:id="720372983">
          <w:marLeft w:val="0"/>
          <w:marRight w:val="0"/>
          <w:marTop w:val="0"/>
          <w:marBottom w:val="0"/>
          <w:divBdr>
            <w:top w:val="none" w:sz="0" w:space="0" w:color="auto"/>
            <w:left w:val="none" w:sz="0" w:space="0" w:color="auto"/>
            <w:bottom w:val="none" w:sz="0" w:space="0" w:color="auto"/>
            <w:right w:val="none" w:sz="0" w:space="0" w:color="auto"/>
          </w:divBdr>
          <w:divsChild>
            <w:div w:id="1362821808">
              <w:marLeft w:val="0"/>
              <w:marRight w:val="0"/>
              <w:marTop w:val="0"/>
              <w:marBottom w:val="0"/>
              <w:divBdr>
                <w:top w:val="none" w:sz="0" w:space="0" w:color="auto"/>
                <w:left w:val="none" w:sz="0" w:space="0" w:color="auto"/>
                <w:bottom w:val="none" w:sz="0" w:space="0" w:color="auto"/>
                <w:right w:val="none" w:sz="0" w:space="0" w:color="auto"/>
              </w:divBdr>
              <w:divsChild>
                <w:div w:id="1431853735">
                  <w:marLeft w:val="0"/>
                  <w:marRight w:val="0"/>
                  <w:marTop w:val="0"/>
                  <w:marBottom w:val="129"/>
                  <w:divBdr>
                    <w:top w:val="none" w:sz="0" w:space="0" w:color="auto"/>
                    <w:left w:val="none" w:sz="0" w:space="0" w:color="auto"/>
                    <w:bottom w:val="none" w:sz="0" w:space="0" w:color="auto"/>
                    <w:right w:val="none" w:sz="0" w:space="0" w:color="auto"/>
                  </w:divBdr>
                  <w:divsChild>
                    <w:div w:id="211682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055664">
      <w:bodyDiv w:val="1"/>
      <w:marLeft w:val="0"/>
      <w:marRight w:val="0"/>
      <w:marTop w:val="0"/>
      <w:marBottom w:val="0"/>
      <w:divBdr>
        <w:top w:val="none" w:sz="0" w:space="0" w:color="auto"/>
        <w:left w:val="none" w:sz="0" w:space="0" w:color="auto"/>
        <w:bottom w:val="none" w:sz="0" w:space="0" w:color="auto"/>
        <w:right w:val="none" w:sz="0" w:space="0" w:color="auto"/>
      </w:divBdr>
    </w:div>
    <w:div w:id="2102097000">
      <w:bodyDiv w:val="1"/>
      <w:marLeft w:val="0"/>
      <w:marRight w:val="0"/>
      <w:marTop w:val="0"/>
      <w:marBottom w:val="0"/>
      <w:divBdr>
        <w:top w:val="none" w:sz="0" w:space="0" w:color="auto"/>
        <w:left w:val="none" w:sz="0" w:space="0" w:color="auto"/>
        <w:bottom w:val="none" w:sz="0" w:space="0" w:color="auto"/>
        <w:right w:val="none" w:sz="0" w:space="0" w:color="auto"/>
      </w:divBdr>
    </w:div>
    <w:div w:id="2142337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eader" Target="header10.xml"/><Relationship Id="rId39" Type="http://schemas.openxmlformats.org/officeDocument/2006/relationships/chart" Target="charts/chart4.xml"/><Relationship Id="rId21" Type="http://schemas.openxmlformats.org/officeDocument/2006/relationships/hyperlink" Target="mailto:icrc@act.gov.au" TargetMode="External"/><Relationship Id="rId34" Type="http://schemas.openxmlformats.org/officeDocument/2006/relationships/header" Target="header16.xml"/><Relationship Id="rId42" Type="http://schemas.openxmlformats.org/officeDocument/2006/relationships/header" Target="header20.xml"/><Relationship Id="rId47" Type="http://schemas.openxmlformats.org/officeDocument/2006/relationships/header" Target="header25.xml"/><Relationship Id="rId50" Type="http://schemas.openxmlformats.org/officeDocument/2006/relationships/hyperlink" Target="file:///C:\Users\Nicholas\AppData\Roaming\Microsoft\Word\www.sydneywater.com.au\SW\accounts-billing\understanding-your-bill\our-prices\index.htm" TargetMode="External"/><Relationship Id="rId55" Type="http://schemas.openxmlformats.org/officeDocument/2006/relationships/chart" Target="charts/chart6.xml"/><Relationship Id="rId63" Type="http://schemas.openxmlformats.org/officeDocument/2006/relationships/header" Target="header33.xml"/><Relationship Id="rId68" Type="http://schemas.openxmlformats.org/officeDocument/2006/relationships/header" Target="header38.xml"/><Relationship Id="rId76" Type="http://schemas.openxmlformats.org/officeDocument/2006/relationships/header" Target="header45.xml"/><Relationship Id="rId7" Type="http://schemas.openxmlformats.org/officeDocument/2006/relationships/endnotes" Target="endnotes.xml"/><Relationship Id="rId71" Type="http://schemas.openxmlformats.org/officeDocument/2006/relationships/header" Target="header40.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3.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header" Target="header14.xml"/><Relationship Id="rId37" Type="http://schemas.openxmlformats.org/officeDocument/2006/relationships/chart" Target="charts/chart2.xml"/><Relationship Id="rId40" Type="http://schemas.openxmlformats.org/officeDocument/2006/relationships/header" Target="header18.xml"/><Relationship Id="rId45" Type="http://schemas.openxmlformats.org/officeDocument/2006/relationships/header" Target="header23.xml"/><Relationship Id="rId53" Type="http://schemas.openxmlformats.org/officeDocument/2006/relationships/image" Target="media/image9.emf"/><Relationship Id="rId58" Type="http://schemas.openxmlformats.org/officeDocument/2006/relationships/header" Target="header29.xml"/><Relationship Id="rId66" Type="http://schemas.openxmlformats.org/officeDocument/2006/relationships/header" Target="header36.xml"/><Relationship Id="rId74" Type="http://schemas.openxmlformats.org/officeDocument/2006/relationships/header" Target="header43.xml"/><Relationship Id="rId79" Type="http://schemas.openxmlformats.org/officeDocument/2006/relationships/fontTable" Target="fontTable.xml"/><Relationship Id="rId115"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header" Target="header31.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6.emf"/><Relationship Id="rId44" Type="http://schemas.openxmlformats.org/officeDocument/2006/relationships/header" Target="header22.xml"/><Relationship Id="rId52" Type="http://schemas.openxmlformats.org/officeDocument/2006/relationships/image" Target="media/image8.wmf"/><Relationship Id="rId60" Type="http://schemas.openxmlformats.org/officeDocument/2006/relationships/header" Target="header30.xml"/><Relationship Id="rId65" Type="http://schemas.openxmlformats.org/officeDocument/2006/relationships/header" Target="header35.xml"/><Relationship Id="rId73" Type="http://schemas.openxmlformats.org/officeDocument/2006/relationships/header" Target="header42.xml"/><Relationship Id="rId78" Type="http://schemas.openxmlformats.org/officeDocument/2006/relationships/header" Target="header47.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crc.act.gov.au" TargetMode="Externa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image" Target="media/image5.emf"/><Relationship Id="rId35" Type="http://schemas.openxmlformats.org/officeDocument/2006/relationships/header" Target="header17.xml"/><Relationship Id="rId43" Type="http://schemas.openxmlformats.org/officeDocument/2006/relationships/header" Target="header21.xml"/><Relationship Id="rId48" Type="http://schemas.openxmlformats.org/officeDocument/2006/relationships/header" Target="header26.xml"/><Relationship Id="rId56" Type="http://schemas.openxmlformats.org/officeDocument/2006/relationships/hyperlink" Target="http://www.energymadeeasy.gov.au" TargetMode="External"/><Relationship Id="rId64" Type="http://schemas.openxmlformats.org/officeDocument/2006/relationships/header" Target="header34.xml"/><Relationship Id="rId69" Type="http://schemas.openxmlformats.org/officeDocument/2006/relationships/header" Target="header39.xml"/><Relationship Id="rId77" Type="http://schemas.openxmlformats.org/officeDocument/2006/relationships/header" Target="header46.xml"/><Relationship Id="rId113" Type="http://schemas.microsoft.com/office/2011/relationships/commentsExtended" Target="commentsExtended.xml"/><Relationship Id="rId8" Type="http://schemas.openxmlformats.org/officeDocument/2006/relationships/header" Target="header1.xml"/><Relationship Id="rId51" Type="http://schemas.openxmlformats.org/officeDocument/2006/relationships/image" Target="media/image7.emf"/><Relationship Id="rId72" Type="http://schemas.openxmlformats.org/officeDocument/2006/relationships/header" Target="header41.xml"/><Relationship Id="rId80"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chart" Target="charts/chart3.xml"/><Relationship Id="rId46" Type="http://schemas.openxmlformats.org/officeDocument/2006/relationships/header" Target="header24.xml"/><Relationship Id="rId59" Type="http://schemas.openxmlformats.org/officeDocument/2006/relationships/hyperlink" Target="file:///C:\Users\Nicholas\AppData\Roaming\Microsoft\Word\www.sydneywater.com.au\SW\accounts-billing\understanding-your-bill\our-prices\index.htm" TargetMode="External"/><Relationship Id="rId67" Type="http://schemas.openxmlformats.org/officeDocument/2006/relationships/header" Target="header37.xml"/><Relationship Id="rId20" Type="http://schemas.openxmlformats.org/officeDocument/2006/relationships/header" Target="header6.xml"/><Relationship Id="rId41" Type="http://schemas.openxmlformats.org/officeDocument/2006/relationships/header" Target="header19.xml"/><Relationship Id="rId54" Type="http://schemas.openxmlformats.org/officeDocument/2006/relationships/chart" Target="charts/chart5.xml"/><Relationship Id="rId62" Type="http://schemas.openxmlformats.org/officeDocument/2006/relationships/header" Target="header32.xml"/><Relationship Id="rId70" Type="http://schemas.openxmlformats.org/officeDocument/2006/relationships/image" Target="media/image10.emf"/><Relationship Id="rId75" Type="http://schemas.openxmlformats.org/officeDocument/2006/relationships/header" Target="header4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crc@act.gov.au" TargetMode="Externa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chart" Target="charts/chart1.xml"/><Relationship Id="rId49" Type="http://schemas.openxmlformats.org/officeDocument/2006/relationships/header" Target="header27.xml"/><Relationship Id="rId57" Type="http://schemas.openxmlformats.org/officeDocument/2006/relationships/header" Target="header28.xml"/><Relationship Id="rId114"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file:///C:\Users\Nicholas\AppData\Roaming\Microsoft\Word\www.environment.act.gov.au\water\water_planning_and_managemen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ICRC\ICRC%20RECORDS%20MANAGEMENT\UTILITIES%20&amp;%20INFRASTRUCTURE%20REGULATION\Determinations%20(Regulated%20Industries)\FRC%20Retail%20Tariff%202014%20%231310941\B-Reports\2%20Issues%20paper\RREP%20-%20Issues%20Paper%20Template%20V1.3%2013.09.17.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act.gov.au\treasury\dt\ICRC\ICRC%20RECORDS%20MANAGEMENT\UTILITIES%20&amp;%20INFRASTRUCTURE%20REGULATION\Determinations%20(Regulated%20Industries)\Water%20Demand%20Forecasting%20%2320153844\2Modelling%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ct.gov.au\treasury\dt\ICRC\ICRC%20RECORDS%20MANAGEMENT\UTILITIES%20&amp;%20INFRASTRUCTURE%20REGULATION\Determinations%20(Regulated%20Industries)\Water%20Demand%20Forecasting%20%2320153844\2Modelling%20data.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act.gov.au\treasury\dt\ICRC\ICRC%20RECORDS%20MANAGEMENT\UTILITIES%20&amp;%20INFRASTRUCTURE%20REGULATION\Determinations%20(Regulated%20Industries)\Water%20Demand%20Forecasting%20%2320153844\2Modelling%20data.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act.gov.au\treasury\dt\ICRC\ICRC%20RECORDS%20MANAGEMENT\UTILITIES%20&amp;%20INFRASTRUCTURE%20REGULATION\Determinations%20(Regulated%20Industries)\Water%20Demand%20Forecasting%20%2320153844\1ARIMA_resul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ct.gov.au\treasury\dt\ICRC\ICRC%20RECORDS%20MANAGEMENT\UTILITIES%20&amp;%20INFRASTRUCTURE%20REGULATION\Determinations%20(Regulated%20Industries)\Water%20Demand%20Forecasting%20%2320153844\1ARIMA_resul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act.gov.au\treasury\dt\ICRC\ICRC%20RECORDS%20MANAGEMENT\UTILITIES%20&amp;%20INFRASTRUCTURE%20REGULATION\Determinations%20(Regulated%20Industries)\Water%20Demand%20Forecasting%20%2320153844\2Modelling%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0.16127984470546591"/>
          <c:y val="2.5353139383402609E-2"/>
          <c:w val="0.82894620282011366"/>
          <c:h val="0.80333782640150364"/>
        </c:manualLayout>
      </c:layout>
      <c:barChart>
        <c:barDir val="col"/>
        <c:grouping val="clustered"/>
        <c:ser>
          <c:idx val="0"/>
          <c:order val="0"/>
          <c:tx>
            <c:strRef>
              <c:f>'1 Charts'!$B$10</c:f>
              <c:strCache>
                <c:ptCount val="1"/>
                <c:pt idx="0">
                  <c:v>Actual billed</c:v>
                </c:pt>
              </c:strCache>
            </c:strRef>
          </c:tx>
          <c:spPr>
            <a:solidFill>
              <a:srgbClr val="0070C0"/>
            </a:solidFill>
          </c:spPr>
          <c:cat>
            <c:numRef>
              <c:f>'1 Charts'!$A$12:$A$30</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'1 Charts'!$B$12:$B$30</c:f>
              <c:numCache>
                <c:formatCode>_-* #,##0_-;\-* #,##0_-;_-* "-"??_-;_-@_-</c:formatCode>
                <c:ptCount val="19"/>
                <c:pt idx="0">
                  <c:v>48184.503000000004</c:v>
                </c:pt>
                <c:pt idx="1">
                  <c:v>51450.843000000008</c:v>
                </c:pt>
                <c:pt idx="2">
                  <c:v>55868.676999999996</c:v>
                </c:pt>
                <c:pt idx="3">
                  <c:v>55901.78</c:v>
                </c:pt>
                <c:pt idx="4">
                  <c:v>44236.488000000012</c:v>
                </c:pt>
                <c:pt idx="5">
                  <c:v>43511.423000000003</c:v>
                </c:pt>
                <c:pt idx="6">
                  <c:v>48169.311000000009</c:v>
                </c:pt>
                <c:pt idx="7">
                  <c:v>45588.679000000004</c:v>
                </c:pt>
                <c:pt idx="8">
                  <c:v>36734.147000000004</c:v>
                </c:pt>
                <c:pt idx="9">
                  <c:v>38616.467000000004</c:v>
                </c:pt>
                <c:pt idx="10">
                  <c:v>37796.441000000006</c:v>
                </c:pt>
                <c:pt idx="11">
                  <c:v>33844.977000000006</c:v>
                </c:pt>
                <c:pt idx="12">
                  <c:v>35429.338000000003</c:v>
                </c:pt>
                <c:pt idx="13">
                  <c:v>40473.969000000005</c:v>
                </c:pt>
                <c:pt idx="14">
                  <c:v>41966.109000000004</c:v>
                </c:pt>
                <c:pt idx="15">
                  <c:v>39202.651000000005</c:v>
                </c:pt>
              </c:numCache>
            </c:numRef>
          </c:val>
          <c:extLst xmlns:c16r2="http://schemas.microsoft.com/office/drawing/2015/06/chart">
            <c:ext xmlns:c16="http://schemas.microsoft.com/office/drawing/2014/chart" uri="{C3380CC4-5D6E-409C-BE32-E72D297353CC}">
              <c16:uniqueId val="{00000000-BB4E-4202-993C-AD148DB27848}"/>
            </c:ext>
          </c:extLst>
        </c:ser>
        <c:ser>
          <c:idx val="1"/>
          <c:order val="1"/>
          <c:tx>
            <c:strRef>
              <c:f>'1 Charts'!$D$10</c:f>
              <c:strCache>
                <c:ptCount val="1"/>
                <c:pt idx="0">
                  <c:v>Industry Panel forecasts</c:v>
                </c:pt>
              </c:strCache>
            </c:strRef>
          </c:tx>
          <c:spPr>
            <a:solidFill>
              <a:schemeClr val="tx1"/>
            </a:solidFill>
          </c:spPr>
          <c:cat>
            <c:numRef>
              <c:f>'1 Charts'!$A$12:$A$27</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'1 Charts'!$D$12:$D$30</c:f>
              <c:numCache>
                <c:formatCode>General</c:formatCode>
                <c:ptCount val="19"/>
                <c:pt idx="15" formatCode="_-* #,##0_-;\-* #,##0_-;_-* &quot;-&quot;??_-;_-@_-">
                  <c:v>43146.339</c:v>
                </c:pt>
                <c:pt idx="16" formatCode="_-* #,##0_-;\-* #,##0_-;_-* &quot;-&quot;??_-;_-@_-">
                  <c:v>43668.11</c:v>
                </c:pt>
                <c:pt idx="17" formatCode="_-* #,##0_-;\-* #,##0_-;_-* &quot;-&quot;??_-;_-@_-">
                  <c:v>44204.654000000002</c:v>
                </c:pt>
                <c:pt idx="18" formatCode="_-* #,##0_-;\-* #,##0_-;_-* &quot;-&quot;??_-;_-@_-">
                  <c:v>44756.513000000006</c:v>
                </c:pt>
              </c:numCache>
            </c:numRef>
          </c:val>
          <c:extLst xmlns:c16r2="http://schemas.microsoft.com/office/drawing/2015/06/chart">
            <c:ext xmlns:c16="http://schemas.microsoft.com/office/drawing/2014/chart" uri="{C3380CC4-5D6E-409C-BE32-E72D297353CC}">
              <c16:uniqueId val="{00000001-BB4E-4202-993C-AD148DB27848}"/>
            </c:ext>
          </c:extLst>
        </c:ser>
        <c:gapWidth val="15"/>
        <c:axId val="210737792"/>
        <c:axId val="210744064"/>
      </c:barChart>
      <c:catAx>
        <c:axId val="210737792"/>
        <c:scaling>
          <c:orientation val="minMax"/>
        </c:scaling>
        <c:axPos val="b"/>
        <c:title>
          <c:tx>
            <c:rich>
              <a:bodyPr/>
              <a:lstStyle/>
              <a:p>
                <a:pPr>
                  <a:defRPr sz="900"/>
                </a:pPr>
                <a:r>
                  <a:rPr lang="en-US" sz="900"/>
                  <a:t>Year ending 30 June</a:t>
                </a:r>
              </a:p>
            </c:rich>
          </c:tx>
          <c:layout>
            <c:manualLayout>
              <c:xMode val="edge"/>
              <c:yMode val="edge"/>
              <c:x val="0.48501618293327037"/>
              <c:y val="0.92382998888719103"/>
            </c:manualLayout>
          </c:layout>
        </c:title>
        <c:numFmt formatCode="General" sourceLinked="1"/>
        <c:tickLblPos val="nextTo"/>
        <c:txPr>
          <a:bodyPr/>
          <a:lstStyle/>
          <a:p>
            <a:pPr>
              <a:defRPr sz="700"/>
            </a:pPr>
            <a:endParaRPr lang="en-US"/>
          </a:p>
        </c:txPr>
        <c:crossAx val="210744064"/>
        <c:crosses val="autoZero"/>
        <c:auto val="1"/>
        <c:lblAlgn val="ctr"/>
        <c:lblOffset val="100"/>
      </c:catAx>
      <c:valAx>
        <c:axId val="210744064"/>
        <c:scaling>
          <c:orientation val="minMax"/>
        </c:scaling>
        <c:axPos val="l"/>
        <c:majorGridlines>
          <c:spPr>
            <a:ln>
              <a:solidFill>
                <a:schemeClr val="bg1">
                  <a:lumMod val="65000"/>
                </a:schemeClr>
              </a:solidFill>
              <a:prstDash val="sysDash"/>
            </a:ln>
          </c:spPr>
        </c:majorGridlines>
        <c:title>
          <c:tx>
            <c:rich>
              <a:bodyPr rot="-5400000" vert="horz"/>
              <a:lstStyle/>
              <a:p>
                <a:pPr>
                  <a:defRPr sz="1000"/>
                </a:pPr>
                <a:r>
                  <a:rPr lang="en-US" sz="1000"/>
                  <a:t>Megalitres</a:t>
                </a:r>
              </a:p>
            </c:rich>
          </c:tx>
          <c:layout>
            <c:manualLayout>
              <c:xMode val="edge"/>
              <c:yMode val="edge"/>
              <c:x val="1.3452023155524344E-2"/>
              <c:y val="0.331866886504875"/>
            </c:manualLayout>
          </c:layout>
        </c:title>
        <c:numFmt formatCode="#,##0" sourceLinked="0"/>
        <c:tickLblPos val="nextTo"/>
        <c:txPr>
          <a:bodyPr/>
          <a:lstStyle/>
          <a:p>
            <a:pPr>
              <a:defRPr sz="800"/>
            </a:pPr>
            <a:endParaRPr lang="en-US"/>
          </a:p>
        </c:txPr>
        <c:crossAx val="210737792"/>
        <c:crosses val="autoZero"/>
        <c:crossBetween val="between"/>
      </c:valAx>
    </c:plotArea>
    <c:legend>
      <c:legendPos val="t"/>
      <c:layout>
        <c:manualLayout>
          <c:xMode val="edge"/>
          <c:yMode val="edge"/>
          <c:x val="0.43436636209458429"/>
          <c:y val="5.6634299396554795E-2"/>
          <c:w val="0.50912207747523119"/>
          <c:h val="5.9153856810653563E-2"/>
        </c:manualLayout>
      </c:layout>
      <c:txPr>
        <a:bodyPr/>
        <a:lstStyle/>
        <a:p>
          <a:pPr>
            <a:defRPr sz="900"/>
          </a:pPr>
          <a:endParaRPr lang="en-US"/>
        </a:p>
      </c:txPr>
    </c:legend>
    <c:plotVisOnly val="1"/>
    <c:dispBlanksAs val="gap"/>
  </c:chart>
  <c:spPr>
    <a:ln>
      <a:solidFill>
        <a:schemeClr val="bg1">
          <a:lumMod val="50000"/>
        </a:schemeClr>
      </a:solidFill>
    </a:ln>
  </c:spPr>
  <c:txPr>
    <a:bodyPr/>
    <a:lstStyle/>
    <a:p>
      <a:pPr>
        <a:defRPr sz="1400"/>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7.4345576469651189E-2"/>
          <c:y val="2.8209203372829738E-2"/>
          <c:w val="0.90886768773926396"/>
          <c:h val="0.74222394713379358"/>
        </c:manualLayout>
      </c:layout>
      <c:barChart>
        <c:barDir val="col"/>
        <c:grouping val="clustered"/>
        <c:ser>
          <c:idx val="2"/>
          <c:order val="2"/>
          <c:tx>
            <c:strRef>
              <c:f>'1 Charts'!$F$536</c:f>
              <c:strCache>
                <c:ptCount val="1"/>
                <c:pt idx="0">
                  <c:v>Net take (GL)</c:v>
                </c:pt>
              </c:strCache>
            </c:strRef>
          </c:tx>
          <c:spPr>
            <a:ln w="44450" cmpd="sng">
              <a:prstDash val="solid"/>
            </a:ln>
          </c:spPr>
          <c:cat>
            <c:numRef>
              <c:f>'1 Charts'!$A$537:$A$561</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'1 Charts'!$F$537:$F$561</c:f>
              <c:numCache>
                <c:formatCode>_-* #,##0.00_-;\-* #,##0.00_-;_-* "-"??_-;_-@_-</c:formatCode>
                <c:ptCount val="25"/>
                <c:pt idx="0">
                  <c:v>34.520299999999963</c:v>
                </c:pt>
                <c:pt idx="1">
                  <c:v>45.343799999999995</c:v>
                </c:pt>
                <c:pt idx="2">
                  <c:v>28.331299999999963</c:v>
                </c:pt>
                <c:pt idx="3">
                  <c:v>16.972599999999968</c:v>
                </c:pt>
                <c:pt idx="4">
                  <c:v>28.283999999999949</c:v>
                </c:pt>
                <c:pt idx="5">
                  <c:v>32.079800000000034</c:v>
                </c:pt>
                <c:pt idx="6">
                  <c:v>22.851211999999975</c:v>
                </c:pt>
                <c:pt idx="7">
                  <c:v>29.871092999999988</c:v>
                </c:pt>
                <c:pt idx="8">
                  <c:v>44.162936000000165</c:v>
                </c:pt>
                <c:pt idx="9">
                  <c:v>29.306504999999927</c:v>
                </c:pt>
                <c:pt idx="10">
                  <c:v>27.324731180053693</c:v>
                </c:pt>
                <c:pt idx="11">
                  <c:v>33.875620861145045</c:v>
                </c:pt>
                <c:pt idx="12">
                  <c:v>36.493907099182145</c:v>
                </c:pt>
                <c:pt idx="13">
                  <c:v>38.708391926391613</c:v>
                </c:pt>
                <c:pt idx="14">
                  <c:v>25.91986897650149</c:v>
                </c:pt>
                <c:pt idx="15">
                  <c:v>26.283740619139586</c:v>
                </c:pt>
                <c:pt idx="16">
                  <c:v>26.809694935582577</c:v>
                </c:pt>
                <c:pt idx="17">
                  <c:v>24.985772788695932</c:v>
                </c:pt>
                <c:pt idx="18">
                  <c:v>15.671900000000008</c:v>
                </c:pt>
                <c:pt idx="19">
                  <c:v>18.553100000000015</c:v>
                </c:pt>
                <c:pt idx="20">
                  <c:v>20.460399999999954</c:v>
                </c:pt>
                <c:pt idx="21">
                  <c:v>7.1941000000000299</c:v>
                </c:pt>
                <c:pt idx="22">
                  <c:v>8.3392000000000017</c:v>
                </c:pt>
                <c:pt idx="23">
                  <c:v>18.630400000000005</c:v>
                </c:pt>
                <c:pt idx="24">
                  <c:v>18.755199999999885</c:v>
                </c:pt>
              </c:numCache>
            </c:numRef>
          </c:val>
        </c:ser>
        <c:axId val="210754944"/>
        <c:axId val="213325312"/>
      </c:barChart>
      <c:lineChart>
        <c:grouping val="standard"/>
        <c:ser>
          <c:idx val="0"/>
          <c:order val="0"/>
          <c:tx>
            <c:strRef>
              <c:f>'1 Charts'!$D$536</c:f>
              <c:strCache>
                <c:ptCount val="1"/>
                <c:pt idx="0">
                  <c:v>Total take (GL)</c:v>
                </c:pt>
              </c:strCache>
            </c:strRef>
          </c:tx>
          <c:spPr>
            <a:ln w="19050">
              <a:solidFill>
                <a:schemeClr val="tx1"/>
              </a:solidFill>
            </a:ln>
          </c:spPr>
          <c:marker>
            <c:symbol val="none"/>
          </c:marker>
          <c:cat>
            <c:numRef>
              <c:f>'1 Charts'!$A$537:$A$561</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'1 Charts'!$D$537:$D$561</c:f>
              <c:numCache>
                <c:formatCode>_-* #,##0.00_-;\-* #,##0.00_-;_-* "-"??_-;_-@_-</c:formatCode>
                <c:ptCount val="25"/>
                <c:pt idx="0">
                  <c:v>70.520299999999963</c:v>
                </c:pt>
                <c:pt idx="1">
                  <c:v>81.84380000000003</c:v>
                </c:pt>
                <c:pt idx="2">
                  <c:v>65.031300000000002</c:v>
                </c:pt>
                <c:pt idx="3">
                  <c:v>55.172600000000017</c:v>
                </c:pt>
                <c:pt idx="4">
                  <c:v>64.384</c:v>
                </c:pt>
                <c:pt idx="5">
                  <c:v>65.579799999999949</c:v>
                </c:pt>
                <c:pt idx="6">
                  <c:v>58.241400000000006</c:v>
                </c:pt>
                <c:pt idx="7">
                  <c:v>66.811500000000024</c:v>
                </c:pt>
                <c:pt idx="8">
                  <c:v>78.008200000000031</c:v>
                </c:pt>
                <c:pt idx="9">
                  <c:v>65.350899999999982</c:v>
                </c:pt>
                <c:pt idx="10">
                  <c:v>62.916200180053721</c:v>
                </c:pt>
                <c:pt idx="11">
                  <c:v>67.821599861145231</c:v>
                </c:pt>
                <c:pt idx="12">
                  <c:v>70.913500099182343</c:v>
                </c:pt>
                <c:pt idx="13">
                  <c:v>70.592508926391588</c:v>
                </c:pt>
                <c:pt idx="14">
                  <c:v>57.266389976501557</c:v>
                </c:pt>
                <c:pt idx="15">
                  <c:v>56.731979843139662</c:v>
                </c:pt>
                <c:pt idx="16">
                  <c:v>59.341317198791828</c:v>
                </c:pt>
                <c:pt idx="17">
                  <c:v>54.765772788696012</c:v>
                </c:pt>
                <c:pt idx="18">
                  <c:v>44.521900000000009</c:v>
                </c:pt>
                <c:pt idx="19">
                  <c:v>46.483100000000015</c:v>
                </c:pt>
                <c:pt idx="20">
                  <c:v>49.600400000000015</c:v>
                </c:pt>
                <c:pt idx="21">
                  <c:v>42.084100000000042</c:v>
                </c:pt>
                <c:pt idx="22">
                  <c:v>42.095200000000013</c:v>
                </c:pt>
                <c:pt idx="23">
                  <c:v>50.256400000000006</c:v>
                </c:pt>
                <c:pt idx="24">
                  <c:v>51.295200000000079</c:v>
                </c:pt>
              </c:numCache>
            </c:numRef>
          </c:val>
        </c:ser>
        <c:ser>
          <c:idx val="1"/>
          <c:order val="1"/>
          <c:tx>
            <c:strRef>
              <c:f>'1 Charts'!$E$536</c:f>
              <c:strCache>
                <c:ptCount val="1"/>
                <c:pt idx="0">
                  <c:v>Icon Water and Queanbeyan City Council returns (GL)</c:v>
                </c:pt>
              </c:strCache>
            </c:strRef>
          </c:tx>
          <c:spPr>
            <a:ln w="19050">
              <a:solidFill>
                <a:srgbClr val="FF0000"/>
              </a:solidFill>
            </a:ln>
          </c:spPr>
          <c:marker>
            <c:symbol val="none"/>
          </c:marker>
          <c:cat>
            <c:numRef>
              <c:f>'1 Charts'!$A$537:$A$561</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'1 Charts'!$E$537:$E$561</c:f>
              <c:numCache>
                <c:formatCode>_-* #,##0.00_-;\-* #,##0.00_-;_-* "-"??_-;_-@_-</c:formatCode>
                <c:ptCount val="25"/>
                <c:pt idx="0">
                  <c:v>36</c:v>
                </c:pt>
                <c:pt idx="1">
                  <c:v>36.5</c:v>
                </c:pt>
                <c:pt idx="2">
                  <c:v>36.70000000000001</c:v>
                </c:pt>
                <c:pt idx="3">
                  <c:v>38.20000000000001</c:v>
                </c:pt>
                <c:pt idx="4">
                  <c:v>36.1</c:v>
                </c:pt>
                <c:pt idx="5">
                  <c:v>33.5</c:v>
                </c:pt>
                <c:pt idx="6">
                  <c:v>35.390188000000009</c:v>
                </c:pt>
                <c:pt idx="7">
                  <c:v>36.940406999999993</c:v>
                </c:pt>
                <c:pt idx="8">
                  <c:v>33.845263999999972</c:v>
                </c:pt>
                <c:pt idx="9">
                  <c:v>36.044395000000037</c:v>
                </c:pt>
                <c:pt idx="10">
                  <c:v>35.591469000000025</c:v>
                </c:pt>
                <c:pt idx="11">
                  <c:v>33.945979000000008</c:v>
                </c:pt>
                <c:pt idx="12">
                  <c:v>34.419592999999963</c:v>
                </c:pt>
                <c:pt idx="13">
                  <c:v>31.884116999999986</c:v>
                </c:pt>
                <c:pt idx="14">
                  <c:v>31.346520999999939</c:v>
                </c:pt>
                <c:pt idx="15">
                  <c:v>30.44823922399987</c:v>
                </c:pt>
                <c:pt idx="16">
                  <c:v>32.531622263209194</c:v>
                </c:pt>
                <c:pt idx="17">
                  <c:v>29.779999999999987</c:v>
                </c:pt>
                <c:pt idx="18">
                  <c:v>28.85</c:v>
                </c:pt>
                <c:pt idx="19">
                  <c:v>27.93</c:v>
                </c:pt>
                <c:pt idx="20">
                  <c:v>29.14</c:v>
                </c:pt>
                <c:pt idx="21">
                  <c:v>34.89</c:v>
                </c:pt>
                <c:pt idx="22">
                  <c:v>33.756</c:v>
                </c:pt>
                <c:pt idx="23">
                  <c:v>31.626000000000001</c:v>
                </c:pt>
                <c:pt idx="24">
                  <c:v>32.54</c:v>
                </c:pt>
              </c:numCache>
            </c:numRef>
          </c:val>
        </c:ser>
        <c:marker val="1"/>
        <c:axId val="210754944"/>
        <c:axId val="213325312"/>
      </c:lineChart>
      <c:catAx>
        <c:axId val="210754944"/>
        <c:scaling>
          <c:orientation val="minMax"/>
        </c:scaling>
        <c:axPos val="b"/>
        <c:title>
          <c:tx>
            <c:rich>
              <a:bodyPr/>
              <a:lstStyle/>
              <a:p>
                <a:pPr>
                  <a:defRPr/>
                </a:pPr>
                <a:r>
                  <a:rPr lang="en-AU"/>
                  <a:t>Year</a:t>
                </a:r>
                <a:r>
                  <a:rPr lang="en-AU" baseline="0"/>
                  <a:t> ending 30 June</a:t>
                </a:r>
                <a:endParaRPr lang="en-AU"/>
              </a:p>
            </c:rich>
          </c:tx>
          <c:layout>
            <c:manualLayout>
              <c:xMode val="edge"/>
              <c:yMode val="edge"/>
              <c:x val="0.47073165460723349"/>
              <c:y val="0.94005493746480406"/>
            </c:manualLayout>
          </c:layout>
        </c:title>
        <c:numFmt formatCode="General" sourceLinked="1"/>
        <c:tickLblPos val="nextTo"/>
        <c:txPr>
          <a:bodyPr rot="-2400000"/>
          <a:lstStyle/>
          <a:p>
            <a:pPr>
              <a:defRPr/>
            </a:pPr>
            <a:endParaRPr lang="en-US"/>
          </a:p>
        </c:txPr>
        <c:crossAx val="213325312"/>
        <c:crosses val="autoZero"/>
        <c:auto val="1"/>
        <c:lblAlgn val="ctr"/>
        <c:lblOffset val="100"/>
      </c:catAx>
      <c:valAx>
        <c:axId val="213325312"/>
        <c:scaling>
          <c:orientation val="minMax"/>
        </c:scaling>
        <c:axPos val="l"/>
        <c:majorGridlines>
          <c:spPr>
            <a:ln>
              <a:prstDash val="sysDash"/>
            </a:ln>
          </c:spPr>
        </c:majorGridlines>
        <c:title>
          <c:tx>
            <c:rich>
              <a:bodyPr rot="-5400000" vert="horz"/>
              <a:lstStyle/>
              <a:p>
                <a:pPr>
                  <a:defRPr/>
                </a:pPr>
                <a:r>
                  <a:rPr lang="en-AU"/>
                  <a:t>GL</a:t>
                </a:r>
              </a:p>
            </c:rich>
          </c:tx>
        </c:title>
        <c:numFmt formatCode="0" sourceLinked="0"/>
        <c:tickLblPos val="nextTo"/>
        <c:crossAx val="210754944"/>
        <c:crosses val="autoZero"/>
        <c:crossBetween val="between"/>
      </c:valAx>
    </c:plotArea>
    <c:legend>
      <c:legendPos val="r"/>
      <c:layout>
        <c:manualLayout>
          <c:xMode val="edge"/>
          <c:yMode val="edge"/>
          <c:x val="0.63577321282512211"/>
          <c:y val="2.8688729218020671E-2"/>
          <c:w val="0.33561953115347176"/>
          <c:h val="0.27560119578329051"/>
        </c:manualLayout>
      </c:layout>
    </c:legend>
    <c:plotVisOnly val="1"/>
    <c:dispBlanksAs val="gap"/>
  </c:chart>
  <c:spPr>
    <a:ln>
      <a:solidFill>
        <a:schemeClr val="bg1">
          <a:lumMod val="50000"/>
        </a:schemeClr>
      </a:solidFill>
    </a:ln>
  </c:spPr>
  <c:txPr>
    <a:bodyPr/>
    <a:lstStyle/>
    <a:p>
      <a:pPr>
        <a:defRPr sz="800"/>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0.12867000586927388"/>
          <c:y val="2.3303814365597138E-2"/>
          <c:w val="0.8452511210789001"/>
          <c:h val="0.80333782640150364"/>
        </c:manualLayout>
      </c:layout>
      <c:barChart>
        <c:barDir val="col"/>
        <c:grouping val="clustered"/>
        <c:ser>
          <c:idx val="1"/>
          <c:order val="0"/>
          <c:spPr>
            <a:solidFill>
              <a:schemeClr val="tx2"/>
            </a:solidFill>
          </c:spPr>
          <c:dLbls>
            <c:numFmt formatCode="#,##0" sourceLinked="0"/>
            <c:spPr>
              <a:noFill/>
              <a:ln>
                <a:noFill/>
              </a:ln>
              <a:effectLst/>
            </c:spPr>
            <c:txPr>
              <a:bodyPr/>
              <a:lstStyle/>
              <a:p>
                <a:pPr>
                  <a:defRPr sz="800" b="1">
                    <a:solidFill>
                      <a:schemeClr val="bg1"/>
                    </a:solidFill>
                  </a:defRPr>
                </a:pPr>
                <a:endParaRPr lang="en-US"/>
              </a:p>
            </c:txPr>
            <c:dLblPos val="inBase"/>
            <c:showVal val="1"/>
            <c:extLst xmlns:c16r2="http://schemas.microsoft.com/office/drawing/2015/06/chart">
              <c:ext xmlns:c15="http://schemas.microsoft.com/office/drawing/2012/chart" uri="{CE6537A1-D6FC-4f65-9D91-7224C49458BB}">
                <c15:showLeaderLines val="0"/>
              </c:ext>
            </c:extLst>
          </c:dLbls>
          <c:cat>
            <c:numRef>
              <c:f>'1 Charts'!$A$38:$A$54</c:f>
              <c:numCache>
                <c:formatCode>General</c:formatCode>
                <c:ptCount val="17"/>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numCache>
            </c:numRef>
          </c:cat>
          <c:val>
            <c:numRef>
              <c:f>'1 Charts'!$E$38:$E$54</c:f>
              <c:numCache>
                <c:formatCode>_-* #,##0.00_-;\-* #,##0.00_-;_-* "-"??_-;_-@_-</c:formatCode>
                <c:ptCount val="17"/>
                <c:pt idx="0">
                  <c:v>174.79233763525599</c:v>
                </c:pt>
                <c:pt idx="1">
                  <c:v>165.72154601579481</c:v>
                </c:pt>
                <c:pt idx="2">
                  <c:v>176.81134091506485</c:v>
                </c:pt>
                <c:pt idx="3">
                  <c:v>183.40892676048244</c:v>
                </c:pt>
                <c:pt idx="4">
                  <c:v>180.53895084538661</c:v>
                </c:pt>
                <c:pt idx="5">
                  <c:v>143.24032705146666</c:v>
                </c:pt>
                <c:pt idx="6">
                  <c:v>140.53287942327401</c:v>
                </c:pt>
                <c:pt idx="7">
                  <c:v>145.86824180898043</c:v>
                </c:pt>
                <c:pt idx="8">
                  <c:v>134.25818719011448</c:v>
                </c:pt>
                <c:pt idx="9">
                  <c:v>112.59079402265662</c:v>
                </c:pt>
                <c:pt idx="10">
                  <c:v>114.19403011609062</c:v>
                </c:pt>
                <c:pt idx="11">
                  <c:v>112.35075045151648</c:v>
                </c:pt>
                <c:pt idx="12">
                  <c:v>100.26202778622073</c:v>
                </c:pt>
                <c:pt idx="13">
                  <c:v>100.23565773542298</c:v>
                </c:pt>
                <c:pt idx="14">
                  <c:v>113.44275830652249</c:v>
                </c:pt>
                <c:pt idx="15">
                  <c:v>114.29703973523912</c:v>
                </c:pt>
                <c:pt idx="16">
                  <c:v>107.44948220984939</c:v>
                </c:pt>
              </c:numCache>
            </c:numRef>
          </c:val>
          <c:extLst xmlns:c16r2="http://schemas.microsoft.com/office/drawing/2015/06/chart">
            <c:ext xmlns:c16="http://schemas.microsoft.com/office/drawing/2014/chart" uri="{C3380CC4-5D6E-409C-BE32-E72D297353CC}">
              <c16:uniqueId val="{00000000-5DAD-494C-B353-110C061982EB}"/>
            </c:ext>
          </c:extLst>
        </c:ser>
        <c:gapWidth val="25"/>
        <c:overlap val="7"/>
        <c:axId val="213347712"/>
        <c:axId val="213374464"/>
      </c:barChart>
      <c:lineChart>
        <c:grouping val="standard"/>
        <c:ser>
          <c:idx val="0"/>
          <c:order val="1"/>
          <c:tx>
            <c:strRef>
              <c:f>'1 Charts'!$F$37</c:f>
              <c:strCache>
                <c:ptCount val="1"/>
                <c:pt idx="0">
                  <c:v>Average</c:v>
                </c:pt>
              </c:strCache>
            </c:strRef>
          </c:tx>
          <c:spPr>
            <a:ln>
              <a:solidFill>
                <a:srgbClr val="C00000"/>
              </a:solidFill>
            </a:ln>
          </c:spPr>
          <c:marker>
            <c:symbol val="none"/>
          </c:marker>
          <c:val>
            <c:numRef>
              <c:f>'1 Charts'!$F$38:$F$54</c:f>
              <c:numCache>
                <c:formatCode>_-* #,##0_-;\-* #,##0_-;_-* "-"??_-;_-@_-</c:formatCode>
                <c:ptCount val="17"/>
                <c:pt idx="0">
                  <c:v>163.86431880696287</c:v>
                </c:pt>
                <c:pt idx="1">
                  <c:v>163.86431880696287</c:v>
                </c:pt>
                <c:pt idx="2">
                  <c:v>163.86431880696287</c:v>
                </c:pt>
                <c:pt idx="3">
                  <c:v>163.86431880696287</c:v>
                </c:pt>
                <c:pt idx="4">
                  <c:v>163.86431880696287</c:v>
                </c:pt>
                <c:pt idx="5">
                  <c:v>163.86431880696287</c:v>
                </c:pt>
                <c:pt idx="6">
                  <c:v>163.86431880696287</c:v>
                </c:pt>
                <c:pt idx="7">
                  <c:v>163.86431880696287</c:v>
                </c:pt>
                <c:pt idx="8">
                  <c:v>112.12008083929246</c:v>
                </c:pt>
                <c:pt idx="9">
                  <c:v>112.12008083929246</c:v>
                </c:pt>
                <c:pt idx="10">
                  <c:v>112.12008083929246</c:v>
                </c:pt>
                <c:pt idx="11">
                  <c:v>112.12008083929246</c:v>
                </c:pt>
                <c:pt idx="12">
                  <c:v>112.12008083929246</c:v>
                </c:pt>
                <c:pt idx="13">
                  <c:v>112.12008083929246</c:v>
                </c:pt>
                <c:pt idx="14">
                  <c:v>112.12008083929246</c:v>
                </c:pt>
                <c:pt idx="15">
                  <c:v>112.12008083929246</c:v>
                </c:pt>
                <c:pt idx="16">
                  <c:v>112.12008083929246</c:v>
                </c:pt>
              </c:numCache>
            </c:numRef>
          </c:val>
          <c:extLst xmlns:c16r2="http://schemas.microsoft.com/office/drawing/2015/06/chart">
            <c:ext xmlns:c16="http://schemas.microsoft.com/office/drawing/2014/chart" uri="{C3380CC4-5D6E-409C-BE32-E72D297353CC}">
              <c16:uniqueId val="{00000001-5DAD-494C-B353-110C061982EB}"/>
            </c:ext>
          </c:extLst>
        </c:ser>
        <c:marker val="1"/>
        <c:axId val="213347712"/>
        <c:axId val="213374464"/>
      </c:lineChart>
      <c:catAx>
        <c:axId val="213347712"/>
        <c:scaling>
          <c:orientation val="minMax"/>
        </c:scaling>
        <c:axPos val="b"/>
        <c:title>
          <c:tx>
            <c:rich>
              <a:bodyPr/>
              <a:lstStyle/>
              <a:p>
                <a:pPr>
                  <a:defRPr sz="900"/>
                </a:pPr>
                <a:r>
                  <a:rPr lang="en-US" sz="900"/>
                  <a:t>Year ending 30 June</a:t>
                </a:r>
              </a:p>
            </c:rich>
          </c:tx>
        </c:title>
        <c:numFmt formatCode="General" sourceLinked="1"/>
        <c:tickLblPos val="nextTo"/>
        <c:txPr>
          <a:bodyPr/>
          <a:lstStyle/>
          <a:p>
            <a:pPr>
              <a:defRPr sz="800"/>
            </a:pPr>
            <a:endParaRPr lang="en-US"/>
          </a:p>
        </c:txPr>
        <c:crossAx val="213374464"/>
        <c:crosses val="autoZero"/>
        <c:auto val="1"/>
        <c:lblAlgn val="ctr"/>
        <c:lblOffset val="100"/>
      </c:catAx>
      <c:valAx>
        <c:axId val="213374464"/>
        <c:scaling>
          <c:orientation val="minMax"/>
        </c:scaling>
        <c:axPos val="l"/>
        <c:majorGridlines>
          <c:spPr>
            <a:ln>
              <a:solidFill>
                <a:schemeClr val="bg1">
                  <a:lumMod val="75000"/>
                </a:schemeClr>
              </a:solidFill>
              <a:prstDash val="sysDash"/>
            </a:ln>
          </c:spPr>
        </c:majorGridlines>
        <c:title>
          <c:tx>
            <c:rich>
              <a:bodyPr rot="-5400000" vert="horz"/>
              <a:lstStyle/>
              <a:p>
                <a:pPr>
                  <a:defRPr sz="900"/>
                </a:pPr>
                <a:r>
                  <a:rPr lang="en-US" sz="900"/>
                  <a:t>kL per capita</a:t>
                </a:r>
              </a:p>
            </c:rich>
          </c:tx>
          <c:layout>
            <c:manualLayout>
              <c:xMode val="edge"/>
              <c:yMode val="edge"/>
              <c:x val="1.0292948965665993E-2"/>
              <c:y val="0.29253443989718431"/>
            </c:manualLayout>
          </c:layout>
        </c:title>
        <c:numFmt formatCode="#,##0" sourceLinked="0"/>
        <c:tickLblPos val="nextTo"/>
        <c:txPr>
          <a:bodyPr/>
          <a:lstStyle/>
          <a:p>
            <a:pPr>
              <a:defRPr sz="900"/>
            </a:pPr>
            <a:endParaRPr lang="en-US"/>
          </a:p>
        </c:txPr>
        <c:crossAx val="213347712"/>
        <c:crosses val="autoZero"/>
        <c:crossBetween val="between"/>
        <c:majorUnit val="20"/>
      </c:valAx>
    </c:plotArea>
    <c:plotVisOnly val="1"/>
    <c:dispBlanksAs val="gap"/>
  </c:chart>
  <c:spPr>
    <a:ln>
      <a:solidFill>
        <a:schemeClr val="bg1">
          <a:lumMod val="50000"/>
        </a:schemeClr>
      </a:solidFill>
    </a:ln>
  </c:spPr>
  <c:txPr>
    <a:bodyPr/>
    <a:lstStyle/>
    <a:p>
      <a:pPr>
        <a:defRPr sz="1400"/>
      </a:pPr>
      <a:endParaRPr lang="en-US"/>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scatterChart>
        <c:scatterStyle val="lineMarker"/>
        <c:ser>
          <c:idx val="0"/>
          <c:order val="0"/>
          <c:tx>
            <c:strRef>
              <c:f>'4 Tiersplit'!$G$8</c:f>
              <c:strCache>
                <c:ptCount val="1"/>
                <c:pt idx="0">
                  <c:v>Observed</c:v>
                </c:pt>
              </c:strCache>
            </c:strRef>
          </c:tx>
          <c:spPr>
            <a:ln w="28575">
              <a:noFill/>
            </a:ln>
          </c:spPr>
          <c:marker>
            <c:symbol val="circle"/>
            <c:size val="5"/>
            <c:spPr>
              <a:solidFill>
                <a:srgbClr val="00AFEE"/>
              </a:solidFill>
              <a:ln>
                <a:solidFill>
                  <a:srgbClr val="00AFEE"/>
                </a:solidFill>
              </a:ln>
            </c:spPr>
          </c:marker>
          <c:dPt>
            <c:idx val="6"/>
            <c:marker>
              <c:spPr>
                <a:solidFill>
                  <a:schemeClr val="tx1"/>
                </a:solidFill>
                <a:ln>
                  <a:solidFill>
                    <a:schemeClr val="tx1"/>
                  </a:solidFill>
                </a:ln>
              </c:spPr>
            </c:marker>
            <c:extLst xmlns:c16r2="http://schemas.microsoft.com/office/drawing/2015/06/chart">
              <c:ext xmlns:c16="http://schemas.microsoft.com/office/drawing/2014/chart" uri="{C3380CC4-5D6E-409C-BE32-E72D297353CC}">
                <c16:uniqueId val="{00000000-3A38-4833-8C47-9A65CF2B91F8}"/>
              </c:ext>
            </c:extLst>
          </c:dPt>
          <c:dPt>
            <c:idx val="7"/>
            <c:marker>
              <c:spPr>
                <a:noFill/>
                <a:ln>
                  <a:solidFill>
                    <a:schemeClr val="tx1"/>
                  </a:solidFill>
                </a:ln>
              </c:spPr>
            </c:marker>
            <c:extLst xmlns:c16r2="http://schemas.microsoft.com/office/drawing/2015/06/chart">
              <c:ext xmlns:c16="http://schemas.microsoft.com/office/drawing/2014/chart" uri="{C3380CC4-5D6E-409C-BE32-E72D297353CC}">
                <c16:uniqueId val="{00000001-3A38-4833-8C47-9A65CF2B91F8}"/>
              </c:ext>
            </c:extLst>
          </c:dPt>
          <c:xVal>
            <c:numRef>
              <c:f>'4 Tiersplit'!$F$9:$F$17</c:f>
              <c:numCache>
                <c:formatCode>_-* #,##0.000_-;\-* #,##0.000_-;_-* "-"??_-;_-@_-</c:formatCode>
                <c:ptCount val="9"/>
                <c:pt idx="0">
                  <c:v>0.26483275667726797</c:v>
                </c:pt>
                <c:pt idx="1">
                  <c:v>0.25701979530551028</c:v>
                </c:pt>
                <c:pt idx="2">
                  <c:v>0.22551040762647409</c:v>
                </c:pt>
                <c:pt idx="3">
                  <c:v>0.23093790781437634</c:v>
                </c:pt>
                <c:pt idx="4">
                  <c:v>0.25545723267459675</c:v>
                </c:pt>
                <c:pt idx="5">
                  <c:v>0.2573034593221275</c:v>
                </c:pt>
                <c:pt idx="6">
                  <c:v>0.23440391153709236</c:v>
                </c:pt>
                <c:pt idx="7">
                  <c:v>0.22845496353347991</c:v>
                </c:pt>
                <c:pt idx="8">
                  <c:v>0.22069490703290934</c:v>
                </c:pt>
              </c:numCache>
            </c:numRef>
          </c:xVal>
          <c:yVal>
            <c:numRef>
              <c:f>'4 Tiersplit'!$G$9:$G$17</c:f>
              <c:numCache>
                <c:formatCode>_-* #,##0.00_-;\-* #,##0.00_-;_-* "-"??_-;_-@_-</c:formatCode>
                <c:ptCount val="9"/>
                <c:pt idx="0">
                  <c:v>53.558685491802308</c:v>
                </c:pt>
                <c:pt idx="1">
                  <c:v>56.9218210578343</c:v>
                </c:pt>
                <c:pt idx="2">
                  <c:v>61.887709884628457</c:v>
                </c:pt>
                <c:pt idx="3">
                  <c:v>61.739345660196967</c:v>
                </c:pt>
                <c:pt idx="4">
                  <c:v>56.969513448629463</c:v>
                </c:pt>
                <c:pt idx="5" formatCode="_-* #,##0.000_-;\-* #,##0.000_-;_-* &quot;-&quot;??_-;_-@_-">
                  <c:v>56.665969278276471</c:v>
                </c:pt>
              </c:numCache>
            </c:numRef>
          </c:yVal>
          <c:extLst xmlns:c16r2="http://schemas.microsoft.com/office/drawing/2015/06/chart">
            <c:ext xmlns:c16="http://schemas.microsoft.com/office/drawing/2014/chart" uri="{C3380CC4-5D6E-409C-BE32-E72D297353CC}">
              <c16:uniqueId val="{00000002-3A38-4833-8C47-9A65CF2B91F8}"/>
            </c:ext>
          </c:extLst>
        </c:ser>
        <c:axId val="213630336"/>
        <c:axId val="213587072"/>
      </c:scatterChart>
      <c:valAx>
        <c:axId val="213630336"/>
        <c:scaling>
          <c:orientation val="minMax"/>
          <c:max val="0.27"/>
          <c:min val="0.22"/>
        </c:scaling>
        <c:axPos val="b"/>
        <c:title>
          <c:tx>
            <c:rich>
              <a:bodyPr/>
              <a:lstStyle/>
              <a:p>
                <a:pPr>
                  <a:defRPr/>
                </a:pPr>
                <a:r>
                  <a:rPr lang="en-US"/>
                  <a:t>ML per customer</a:t>
                </a:r>
              </a:p>
            </c:rich>
          </c:tx>
        </c:title>
        <c:numFmt formatCode="_-* #,##0.000_-;\-* #,##0.000_-;_-* &quot;-&quot;??_-;_-@_-" sourceLinked="1"/>
        <c:tickLblPos val="nextTo"/>
        <c:txPr>
          <a:bodyPr/>
          <a:lstStyle/>
          <a:p>
            <a:pPr>
              <a:defRPr sz="1000"/>
            </a:pPr>
            <a:endParaRPr lang="en-US"/>
          </a:p>
        </c:txPr>
        <c:crossAx val="213587072"/>
        <c:crosses val="autoZero"/>
        <c:crossBetween val="midCat"/>
      </c:valAx>
      <c:valAx>
        <c:axId val="213587072"/>
        <c:scaling>
          <c:orientation val="minMax"/>
          <c:max val="64"/>
          <c:min val="52"/>
        </c:scaling>
        <c:axPos val="l"/>
        <c:majorGridlines/>
        <c:title>
          <c:tx>
            <c:rich>
              <a:bodyPr rot="-5400000" vert="horz"/>
              <a:lstStyle/>
              <a:p>
                <a:pPr>
                  <a:defRPr/>
                </a:pPr>
                <a:r>
                  <a:rPr lang="en-US"/>
                  <a:t>Tier 1 proportion</a:t>
                </a:r>
              </a:p>
            </c:rich>
          </c:tx>
          <c:layout>
            <c:manualLayout>
              <c:xMode val="edge"/>
              <c:yMode val="edge"/>
              <c:x val="1.2968486577616395E-2"/>
              <c:y val="0.22556688276847334"/>
            </c:manualLayout>
          </c:layout>
        </c:title>
        <c:numFmt formatCode="#,##0" sourceLinked="0"/>
        <c:tickLblPos val="nextTo"/>
        <c:txPr>
          <a:bodyPr/>
          <a:lstStyle/>
          <a:p>
            <a:pPr>
              <a:defRPr sz="1000"/>
            </a:pPr>
            <a:endParaRPr lang="en-US"/>
          </a:p>
        </c:txPr>
        <c:crossAx val="213630336"/>
        <c:crosses val="autoZero"/>
        <c:crossBetween val="midCat"/>
      </c:valAx>
    </c:plotArea>
    <c:plotVisOnly val="1"/>
    <c:dispBlanksAs val="gap"/>
  </c:chart>
  <c:spPr>
    <a:ln>
      <a:solidFill>
        <a:schemeClr val="bg1">
          <a:lumMod val="50000"/>
        </a:schemeClr>
      </a:solidFill>
    </a:ln>
  </c:spPr>
  <c:txPr>
    <a:bodyPr/>
    <a:lstStyle/>
    <a:p>
      <a:pPr>
        <a:defRPr sz="1200"/>
      </a:pPr>
      <a:endParaRPr lang="en-US"/>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0.14164448034692501"/>
          <c:y val="5.1324499092734073E-2"/>
          <c:w val="0.8334821521569945"/>
          <c:h val="0.78201666020569549"/>
        </c:manualLayout>
      </c:layout>
      <c:lineChart>
        <c:grouping val="standard"/>
        <c:ser>
          <c:idx val="0"/>
          <c:order val="0"/>
          <c:tx>
            <c:strRef>
              <c:f>'4 Tiersplit'!$G$8</c:f>
              <c:strCache>
                <c:ptCount val="1"/>
                <c:pt idx="0">
                  <c:v>Observed</c:v>
                </c:pt>
              </c:strCache>
            </c:strRef>
          </c:tx>
          <c:marker>
            <c:symbol val="none"/>
          </c:marker>
          <c:cat>
            <c:numRef>
              <c:f>'4 Tiersplit'!$A$9:$A$14</c:f>
              <c:numCache>
                <c:formatCode>General</c:formatCode>
                <c:ptCount val="6"/>
                <c:pt idx="0">
                  <c:v>2009</c:v>
                </c:pt>
                <c:pt idx="1">
                  <c:v>2010</c:v>
                </c:pt>
                <c:pt idx="2">
                  <c:v>2011</c:v>
                </c:pt>
                <c:pt idx="3">
                  <c:v>2012</c:v>
                </c:pt>
                <c:pt idx="4">
                  <c:v>2013</c:v>
                </c:pt>
                <c:pt idx="5">
                  <c:v>2014</c:v>
                </c:pt>
              </c:numCache>
            </c:numRef>
          </c:cat>
          <c:val>
            <c:numRef>
              <c:f>'4 Tiersplit'!$G$9:$G$14</c:f>
              <c:numCache>
                <c:formatCode>_-* #,##0.00_-;\-* #,##0.00_-;_-* "-"??_-;_-@_-</c:formatCode>
                <c:ptCount val="6"/>
                <c:pt idx="0">
                  <c:v>53.558685491802308</c:v>
                </c:pt>
                <c:pt idx="1">
                  <c:v>56.9218210578343</c:v>
                </c:pt>
                <c:pt idx="2">
                  <c:v>61.887709884628457</c:v>
                </c:pt>
                <c:pt idx="3">
                  <c:v>61.739345660196967</c:v>
                </c:pt>
                <c:pt idx="4">
                  <c:v>56.969513448629463</c:v>
                </c:pt>
                <c:pt idx="5" formatCode="_-* #,##0.000_-;\-* #,##0.000_-;_-* &quot;-&quot;??_-;_-@_-">
                  <c:v>56.665969278276471</c:v>
                </c:pt>
              </c:numCache>
            </c:numRef>
          </c:val>
        </c:ser>
        <c:marker val="1"/>
        <c:axId val="217944448"/>
        <c:axId val="217946368"/>
      </c:lineChart>
      <c:catAx>
        <c:axId val="217944448"/>
        <c:scaling>
          <c:orientation val="minMax"/>
        </c:scaling>
        <c:axPos val="b"/>
        <c:title>
          <c:tx>
            <c:rich>
              <a:bodyPr/>
              <a:lstStyle/>
              <a:p>
                <a:pPr>
                  <a:defRPr/>
                </a:pPr>
                <a:r>
                  <a:rPr lang="en-US"/>
                  <a:t>Year ending 30 June</a:t>
                </a:r>
              </a:p>
            </c:rich>
          </c:tx>
        </c:title>
        <c:numFmt formatCode="General" sourceLinked="1"/>
        <c:tickLblPos val="nextTo"/>
        <c:txPr>
          <a:bodyPr/>
          <a:lstStyle/>
          <a:p>
            <a:pPr>
              <a:defRPr sz="800"/>
            </a:pPr>
            <a:endParaRPr lang="en-US"/>
          </a:p>
        </c:txPr>
        <c:crossAx val="217946368"/>
        <c:crosses val="autoZero"/>
        <c:auto val="1"/>
        <c:lblAlgn val="ctr"/>
        <c:lblOffset val="100"/>
      </c:catAx>
      <c:valAx>
        <c:axId val="217946368"/>
        <c:scaling>
          <c:orientation val="minMax"/>
          <c:min val="52"/>
        </c:scaling>
        <c:axPos val="l"/>
        <c:majorGridlines/>
        <c:title>
          <c:tx>
            <c:rich>
              <a:bodyPr rot="-5400000" vert="horz"/>
              <a:lstStyle/>
              <a:p>
                <a:pPr>
                  <a:defRPr sz="800"/>
                </a:pPr>
                <a:r>
                  <a:rPr lang="en-US" sz="800"/>
                  <a:t>Tier 1 proportion (percent)</a:t>
                </a:r>
              </a:p>
            </c:rich>
          </c:tx>
          <c:layout>
            <c:manualLayout>
              <c:xMode val="edge"/>
              <c:yMode val="edge"/>
              <c:x val="2.8909547651906051E-2"/>
              <c:y val="0.1873172045652689"/>
            </c:manualLayout>
          </c:layout>
        </c:title>
        <c:numFmt formatCode="_-* #,##0_-;\-* #,##0_-;_-* &quot;-&quot;_-;_-@_-" sourceLinked="0"/>
        <c:tickLblPos val="nextTo"/>
        <c:txPr>
          <a:bodyPr/>
          <a:lstStyle/>
          <a:p>
            <a:pPr>
              <a:defRPr sz="800"/>
            </a:pPr>
            <a:endParaRPr lang="en-US"/>
          </a:p>
        </c:txPr>
        <c:crossAx val="217944448"/>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AU"/>
  <c:chart>
    <c:autoTitleDeleted val="1"/>
    <c:plotArea>
      <c:layout>
        <c:manualLayout>
          <c:layoutTarget val="inner"/>
          <c:xMode val="edge"/>
          <c:yMode val="edge"/>
          <c:x val="0.11657035608196492"/>
          <c:y val="5.1400554097404488E-2"/>
          <c:w val="0.84307028409154761"/>
          <c:h val="0.7453047535724816"/>
        </c:manualLayout>
      </c:layout>
      <c:lineChart>
        <c:grouping val="standard"/>
        <c:ser>
          <c:idx val="0"/>
          <c:order val="0"/>
          <c:tx>
            <c:strRef>
              <c:f>'1 Charts'!$B$317</c:f>
              <c:strCache>
                <c:ptCount val="1"/>
                <c:pt idx="0">
                  <c:v>Releases (LHS in ML)</c:v>
                </c:pt>
              </c:strCache>
            </c:strRef>
          </c:tx>
          <c:marker>
            <c:symbol val="none"/>
          </c:marker>
          <c:cat>
            <c:numRef>
              <c:f>'1 Charts'!$A$318:$A$513</c:f>
              <c:numCache>
                <c:formatCode>mmm\-yy</c:formatCode>
                <c:ptCount val="196"/>
                <c:pt idx="0">
                  <c:v>36220</c:v>
                </c:pt>
                <c:pt idx="1">
                  <c:v>36251</c:v>
                </c:pt>
                <c:pt idx="2">
                  <c:v>36281</c:v>
                </c:pt>
                <c:pt idx="3">
                  <c:v>36312</c:v>
                </c:pt>
                <c:pt idx="4">
                  <c:v>36342</c:v>
                </c:pt>
                <c:pt idx="5">
                  <c:v>36373</c:v>
                </c:pt>
                <c:pt idx="6">
                  <c:v>36404</c:v>
                </c:pt>
                <c:pt idx="7">
                  <c:v>36434</c:v>
                </c:pt>
                <c:pt idx="8">
                  <c:v>36465</c:v>
                </c:pt>
                <c:pt idx="9">
                  <c:v>36495</c:v>
                </c:pt>
                <c:pt idx="10">
                  <c:v>36526</c:v>
                </c:pt>
                <c:pt idx="11">
                  <c:v>36557</c:v>
                </c:pt>
                <c:pt idx="12">
                  <c:v>36586</c:v>
                </c:pt>
                <c:pt idx="13">
                  <c:v>36617</c:v>
                </c:pt>
                <c:pt idx="14">
                  <c:v>36647</c:v>
                </c:pt>
                <c:pt idx="15">
                  <c:v>36678</c:v>
                </c:pt>
                <c:pt idx="16">
                  <c:v>36708</c:v>
                </c:pt>
                <c:pt idx="17">
                  <c:v>36739</c:v>
                </c:pt>
                <c:pt idx="18">
                  <c:v>36770</c:v>
                </c:pt>
                <c:pt idx="19">
                  <c:v>36800</c:v>
                </c:pt>
                <c:pt idx="20">
                  <c:v>36831</c:v>
                </c:pt>
                <c:pt idx="21">
                  <c:v>36861</c:v>
                </c:pt>
                <c:pt idx="22">
                  <c:v>36892</c:v>
                </c:pt>
                <c:pt idx="23">
                  <c:v>36923</c:v>
                </c:pt>
                <c:pt idx="24">
                  <c:v>36951</c:v>
                </c:pt>
                <c:pt idx="25">
                  <c:v>36982</c:v>
                </c:pt>
                <c:pt idx="26">
                  <c:v>37012</c:v>
                </c:pt>
                <c:pt idx="27">
                  <c:v>37043</c:v>
                </c:pt>
                <c:pt idx="28">
                  <c:v>37073</c:v>
                </c:pt>
                <c:pt idx="29">
                  <c:v>37104</c:v>
                </c:pt>
                <c:pt idx="30">
                  <c:v>37135</c:v>
                </c:pt>
                <c:pt idx="31">
                  <c:v>37165</c:v>
                </c:pt>
                <c:pt idx="32">
                  <c:v>37196</c:v>
                </c:pt>
                <c:pt idx="33">
                  <c:v>37226</c:v>
                </c:pt>
                <c:pt idx="34">
                  <c:v>37257</c:v>
                </c:pt>
                <c:pt idx="35">
                  <c:v>37288</c:v>
                </c:pt>
                <c:pt idx="36">
                  <c:v>37316</c:v>
                </c:pt>
                <c:pt idx="37">
                  <c:v>37347</c:v>
                </c:pt>
                <c:pt idx="38">
                  <c:v>37377</c:v>
                </c:pt>
                <c:pt idx="39">
                  <c:v>37408</c:v>
                </c:pt>
                <c:pt idx="40">
                  <c:v>37438</c:v>
                </c:pt>
                <c:pt idx="41">
                  <c:v>37469</c:v>
                </c:pt>
                <c:pt idx="42">
                  <c:v>37500</c:v>
                </c:pt>
                <c:pt idx="43">
                  <c:v>37530</c:v>
                </c:pt>
                <c:pt idx="44">
                  <c:v>37561</c:v>
                </c:pt>
                <c:pt idx="45">
                  <c:v>37591</c:v>
                </c:pt>
                <c:pt idx="46">
                  <c:v>37622</c:v>
                </c:pt>
                <c:pt idx="47">
                  <c:v>37653</c:v>
                </c:pt>
                <c:pt idx="48">
                  <c:v>37681</c:v>
                </c:pt>
                <c:pt idx="49">
                  <c:v>37712</c:v>
                </c:pt>
                <c:pt idx="50">
                  <c:v>37742</c:v>
                </c:pt>
                <c:pt idx="51">
                  <c:v>37773</c:v>
                </c:pt>
                <c:pt idx="52">
                  <c:v>37803</c:v>
                </c:pt>
                <c:pt idx="53">
                  <c:v>37834</c:v>
                </c:pt>
                <c:pt idx="54">
                  <c:v>37865</c:v>
                </c:pt>
                <c:pt idx="55">
                  <c:v>37895</c:v>
                </c:pt>
                <c:pt idx="56">
                  <c:v>37926</c:v>
                </c:pt>
                <c:pt idx="57">
                  <c:v>37956</c:v>
                </c:pt>
                <c:pt idx="58">
                  <c:v>37987</c:v>
                </c:pt>
                <c:pt idx="59">
                  <c:v>38018</c:v>
                </c:pt>
                <c:pt idx="60">
                  <c:v>38047</c:v>
                </c:pt>
                <c:pt idx="61">
                  <c:v>38078</c:v>
                </c:pt>
                <c:pt idx="62">
                  <c:v>38108</c:v>
                </c:pt>
                <c:pt idx="63">
                  <c:v>38139</c:v>
                </c:pt>
                <c:pt idx="64">
                  <c:v>38169</c:v>
                </c:pt>
                <c:pt idx="65">
                  <c:v>38200</c:v>
                </c:pt>
                <c:pt idx="66">
                  <c:v>38231</c:v>
                </c:pt>
                <c:pt idx="67">
                  <c:v>38261</c:v>
                </c:pt>
                <c:pt idx="68">
                  <c:v>38292</c:v>
                </c:pt>
                <c:pt idx="69">
                  <c:v>38322</c:v>
                </c:pt>
                <c:pt idx="70">
                  <c:v>38353</c:v>
                </c:pt>
                <c:pt idx="71">
                  <c:v>38384</c:v>
                </c:pt>
                <c:pt idx="72">
                  <c:v>38412</c:v>
                </c:pt>
                <c:pt idx="73">
                  <c:v>38443</c:v>
                </c:pt>
                <c:pt idx="74">
                  <c:v>38473</c:v>
                </c:pt>
                <c:pt idx="75">
                  <c:v>38504</c:v>
                </c:pt>
                <c:pt idx="76">
                  <c:v>38534</c:v>
                </c:pt>
                <c:pt idx="77">
                  <c:v>38565</c:v>
                </c:pt>
                <c:pt idx="78">
                  <c:v>38596</c:v>
                </c:pt>
                <c:pt idx="79">
                  <c:v>38626</c:v>
                </c:pt>
                <c:pt idx="80">
                  <c:v>38657</c:v>
                </c:pt>
                <c:pt idx="81">
                  <c:v>38687</c:v>
                </c:pt>
                <c:pt idx="82">
                  <c:v>38718</c:v>
                </c:pt>
                <c:pt idx="83">
                  <c:v>38749</c:v>
                </c:pt>
                <c:pt idx="84">
                  <c:v>38777</c:v>
                </c:pt>
                <c:pt idx="85">
                  <c:v>38808</c:v>
                </c:pt>
                <c:pt idx="86">
                  <c:v>38838</c:v>
                </c:pt>
                <c:pt idx="87">
                  <c:v>38869</c:v>
                </c:pt>
                <c:pt idx="88">
                  <c:v>38899</c:v>
                </c:pt>
                <c:pt idx="89">
                  <c:v>38930</c:v>
                </c:pt>
                <c:pt idx="90">
                  <c:v>38961</c:v>
                </c:pt>
                <c:pt idx="91">
                  <c:v>38991</c:v>
                </c:pt>
                <c:pt idx="92">
                  <c:v>39022</c:v>
                </c:pt>
                <c:pt idx="93">
                  <c:v>39052</c:v>
                </c:pt>
                <c:pt idx="94">
                  <c:v>39083</c:v>
                </c:pt>
                <c:pt idx="95">
                  <c:v>39114</c:v>
                </c:pt>
                <c:pt idx="96">
                  <c:v>39142</c:v>
                </c:pt>
                <c:pt idx="97">
                  <c:v>39173</c:v>
                </c:pt>
                <c:pt idx="98">
                  <c:v>39203</c:v>
                </c:pt>
                <c:pt idx="99">
                  <c:v>39234</c:v>
                </c:pt>
                <c:pt idx="100">
                  <c:v>39264</c:v>
                </c:pt>
                <c:pt idx="101">
                  <c:v>39295</c:v>
                </c:pt>
                <c:pt idx="102">
                  <c:v>39326</c:v>
                </c:pt>
                <c:pt idx="103">
                  <c:v>39356</c:v>
                </c:pt>
                <c:pt idx="104">
                  <c:v>39387</c:v>
                </c:pt>
                <c:pt idx="105">
                  <c:v>39417</c:v>
                </c:pt>
                <c:pt idx="106">
                  <c:v>39448</c:v>
                </c:pt>
                <c:pt idx="107">
                  <c:v>39479</c:v>
                </c:pt>
                <c:pt idx="108">
                  <c:v>39508</c:v>
                </c:pt>
                <c:pt idx="109">
                  <c:v>39539</c:v>
                </c:pt>
                <c:pt idx="110">
                  <c:v>39569</c:v>
                </c:pt>
                <c:pt idx="111">
                  <c:v>39600</c:v>
                </c:pt>
                <c:pt idx="112">
                  <c:v>39630</c:v>
                </c:pt>
                <c:pt idx="113">
                  <c:v>39661</c:v>
                </c:pt>
                <c:pt idx="114">
                  <c:v>39692</c:v>
                </c:pt>
                <c:pt idx="115">
                  <c:v>39722</c:v>
                </c:pt>
                <c:pt idx="116">
                  <c:v>39753</c:v>
                </c:pt>
                <c:pt idx="117">
                  <c:v>39783</c:v>
                </c:pt>
                <c:pt idx="118">
                  <c:v>39814</c:v>
                </c:pt>
                <c:pt idx="119">
                  <c:v>39845</c:v>
                </c:pt>
                <c:pt idx="120">
                  <c:v>39873</c:v>
                </c:pt>
                <c:pt idx="121">
                  <c:v>39904</c:v>
                </c:pt>
                <c:pt idx="122">
                  <c:v>39934</c:v>
                </c:pt>
                <c:pt idx="123">
                  <c:v>39965</c:v>
                </c:pt>
                <c:pt idx="124">
                  <c:v>39995</c:v>
                </c:pt>
                <c:pt idx="125">
                  <c:v>40026</c:v>
                </c:pt>
                <c:pt idx="126">
                  <c:v>40057</c:v>
                </c:pt>
                <c:pt idx="127">
                  <c:v>40087</c:v>
                </c:pt>
                <c:pt idx="128">
                  <c:v>40118</c:v>
                </c:pt>
                <c:pt idx="129">
                  <c:v>40148</c:v>
                </c:pt>
                <c:pt idx="130">
                  <c:v>40179</c:v>
                </c:pt>
                <c:pt idx="131">
                  <c:v>40210</c:v>
                </c:pt>
                <c:pt idx="132">
                  <c:v>40238</c:v>
                </c:pt>
                <c:pt idx="133">
                  <c:v>40269</c:v>
                </c:pt>
                <c:pt idx="134">
                  <c:v>40299</c:v>
                </c:pt>
                <c:pt idx="135">
                  <c:v>40330</c:v>
                </c:pt>
                <c:pt idx="136">
                  <c:v>40360</c:v>
                </c:pt>
                <c:pt idx="137">
                  <c:v>40391</c:v>
                </c:pt>
                <c:pt idx="138">
                  <c:v>40422</c:v>
                </c:pt>
                <c:pt idx="139">
                  <c:v>40452</c:v>
                </c:pt>
                <c:pt idx="140">
                  <c:v>40483</c:v>
                </c:pt>
                <c:pt idx="141">
                  <c:v>40513</c:v>
                </c:pt>
                <c:pt idx="142">
                  <c:v>40544</c:v>
                </c:pt>
                <c:pt idx="143">
                  <c:v>40575</c:v>
                </c:pt>
                <c:pt idx="144">
                  <c:v>40603</c:v>
                </c:pt>
                <c:pt idx="145">
                  <c:v>40634</c:v>
                </c:pt>
                <c:pt idx="146">
                  <c:v>40664</c:v>
                </c:pt>
                <c:pt idx="147">
                  <c:v>40695</c:v>
                </c:pt>
                <c:pt idx="148">
                  <c:v>40725</c:v>
                </c:pt>
                <c:pt idx="149">
                  <c:v>40756</c:v>
                </c:pt>
                <c:pt idx="150">
                  <c:v>40787</c:v>
                </c:pt>
                <c:pt idx="151">
                  <c:v>40817</c:v>
                </c:pt>
                <c:pt idx="152">
                  <c:v>40848</c:v>
                </c:pt>
                <c:pt idx="153">
                  <c:v>40878</c:v>
                </c:pt>
                <c:pt idx="154">
                  <c:v>40909</c:v>
                </c:pt>
                <c:pt idx="155">
                  <c:v>40940</c:v>
                </c:pt>
                <c:pt idx="156">
                  <c:v>40969</c:v>
                </c:pt>
                <c:pt idx="157">
                  <c:v>41000</c:v>
                </c:pt>
                <c:pt idx="158">
                  <c:v>41030</c:v>
                </c:pt>
                <c:pt idx="159">
                  <c:v>41061</c:v>
                </c:pt>
                <c:pt idx="160">
                  <c:v>41091</c:v>
                </c:pt>
                <c:pt idx="161">
                  <c:v>41122</c:v>
                </c:pt>
                <c:pt idx="162">
                  <c:v>41153</c:v>
                </c:pt>
                <c:pt idx="163">
                  <c:v>41183</c:v>
                </c:pt>
                <c:pt idx="164">
                  <c:v>41214</c:v>
                </c:pt>
                <c:pt idx="165">
                  <c:v>41244</c:v>
                </c:pt>
                <c:pt idx="166">
                  <c:v>41275</c:v>
                </c:pt>
                <c:pt idx="167">
                  <c:v>41306</c:v>
                </c:pt>
                <c:pt idx="168">
                  <c:v>41334</c:v>
                </c:pt>
                <c:pt idx="169">
                  <c:v>41365</c:v>
                </c:pt>
                <c:pt idx="170">
                  <c:v>41395</c:v>
                </c:pt>
                <c:pt idx="171">
                  <c:v>41426</c:v>
                </c:pt>
                <c:pt idx="172">
                  <c:v>41456</c:v>
                </c:pt>
                <c:pt idx="173">
                  <c:v>41487</c:v>
                </c:pt>
                <c:pt idx="174">
                  <c:v>41518</c:v>
                </c:pt>
                <c:pt idx="175">
                  <c:v>41548</c:v>
                </c:pt>
                <c:pt idx="176">
                  <c:v>41579</c:v>
                </c:pt>
                <c:pt idx="177">
                  <c:v>41609</c:v>
                </c:pt>
                <c:pt idx="178">
                  <c:v>41640</c:v>
                </c:pt>
                <c:pt idx="179">
                  <c:v>41671</c:v>
                </c:pt>
                <c:pt idx="180">
                  <c:v>41699</c:v>
                </c:pt>
                <c:pt idx="181">
                  <c:v>41730</c:v>
                </c:pt>
                <c:pt idx="182">
                  <c:v>41760</c:v>
                </c:pt>
                <c:pt idx="183">
                  <c:v>41791</c:v>
                </c:pt>
                <c:pt idx="184">
                  <c:v>41821</c:v>
                </c:pt>
                <c:pt idx="185">
                  <c:v>41852</c:v>
                </c:pt>
                <c:pt idx="186">
                  <c:v>41883</c:v>
                </c:pt>
                <c:pt idx="187">
                  <c:v>41913</c:v>
                </c:pt>
                <c:pt idx="188">
                  <c:v>41944</c:v>
                </c:pt>
                <c:pt idx="189">
                  <c:v>41974</c:v>
                </c:pt>
                <c:pt idx="190">
                  <c:v>42005</c:v>
                </c:pt>
                <c:pt idx="191">
                  <c:v>42036</c:v>
                </c:pt>
                <c:pt idx="192">
                  <c:v>42064</c:v>
                </c:pt>
                <c:pt idx="193">
                  <c:v>42095</c:v>
                </c:pt>
                <c:pt idx="194">
                  <c:v>42125</c:v>
                </c:pt>
                <c:pt idx="195">
                  <c:v>42156</c:v>
                </c:pt>
              </c:numCache>
            </c:numRef>
          </c:cat>
          <c:val>
            <c:numRef>
              <c:f>'1 Charts'!$B$318:$B$513</c:f>
              <c:numCache>
                <c:formatCode>_-* #,##0_-;\-* #,##0_-;_-* "-"??_-;_-@_-</c:formatCode>
                <c:ptCount val="196"/>
                <c:pt idx="0">
                  <c:v>7112.4666666666881</c:v>
                </c:pt>
                <c:pt idx="1">
                  <c:v>6268.3500000000013</c:v>
                </c:pt>
                <c:pt idx="2">
                  <c:v>5372.9</c:v>
                </c:pt>
                <c:pt idx="3">
                  <c:v>4508.2500000000009</c:v>
                </c:pt>
                <c:pt idx="4">
                  <c:v>3880.2666666666555</c:v>
                </c:pt>
                <c:pt idx="5">
                  <c:v>3667.8833333333459</c:v>
                </c:pt>
                <c:pt idx="6">
                  <c:v>3635.9500000000012</c:v>
                </c:pt>
                <c:pt idx="7">
                  <c:v>3739.4</c:v>
                </c:pt>
                <c:pt idx="8">
                  <c:v>3964.6499999999987</c:v>
                </c:pt>
                <c:pt idx="9">
                  <c:v>4528</c:v>
                </c:pt>
                <c:pt idx="10">
                  <c:v>5428.1166717529559</c:v>
                </c:pt>
                <c:pt idx="11">
                  <c:v>6424.1333480834955</c:v>
                </c:pt>
                <c:pt idx="12">
                  <c:v>6880.3333618164061</c:v>
                </c:pt>
                <c:pt idx="13">
                  <c:v>6406.4333750406722</c:v>
                </c:pt>
                <c:pt idx="14">
                  <c:v>5293.3167063395194</c:v>
                </c:pt>
                <c:pt idx="15">
                  <c:v>4236.1000277201338</c:v>
                </c:pt>
                <c:pt idx="16">
                  <c:v>3725.533345540372</c:v>
                </c:pt>
                <c:pt idx="17">
                  <c:v>3576.0000050862632</c:v>
                </c:pt>
                <c:pt idx="18">
                  <c:v>3585.2166659037184</c:v>
                </c:pt>
                <c:pt idx="19">
                  <c:v>3754.8166580200191</c:v>
                </c:pt>
                <c:pt idx="20">
                  <c:v>3931.8833274841322</c:v>
                </c:pt>
                <c:pt idx="21">
                  <c:v>4638.3499933878711</c:v>
                </c:pt>
                <c:pt idx="22">
                  <c:v>6195.1333211263027</c:v>
                </c:pt>
                <c:pt idx="23">
                  <c:v>7486.2833213806161</c:v>
                </c:pt>
                <c:pt idx="24">
                  <c:v>7546.9666557312021</c:v>
                </c:pt>
                <c:pt idx="25">
                  <c:v>6482.6166547139728</c:v>
                </c:pt>
                <c:pt idx="26">
                  <c:v>5565.3999811808344</c:v>
                </c:pt>
                <c:pt idx="27">
                  <c:v>5093.7999801635742</c:v>
                </c:pt>
                <c:pt idx="28">
                  <c:v>4553.9499893188477</c:v>
                </c:pt>
                <c:pt idx="29">
                  <c:v>4059.7666613260772</c:v>
                </c:pt>
                <c:pt idx="30">
                  <c:v>3805.8833363851022</c:v>
                </c:pt>
                <c:pt idx="31">
                  <c:v>3937.566674550374</c:v>
                </c:pt>
                <c:pt idx="32">
                  <c:v>4486.1333452860381</c:v>
                </c:pt>
                <c:pt idx="33">
                  <c:v>5743.4333508809241</c:v>
                </c:pt>
                <c:pt idx="34">
                  <c:v>7430.233352661121</c:v>
                </c:pt>
                <c:pt idx="35">
                  <c:v>8036.7000147501631</c:v>
                </c:pt>
                <c:pt idx="36">
                  <c:v>7469.0333379109561</c:v>
                </c:pt>
                <c:pt idx="37">
                  <c:v>6380.6333312988272</c:v>
                </c:pt>
                <c:pt idx="38">
                  <c:v>5592.7333259582465</c:v>
                </c:pt>
                <c:pt idx="39">
                  <c:v>5005.1999982198231</c:v>
                </c:pt>
                <c:pt idx="40">
                  <c:v>4252.6500129699734</c:v>
                </c:pt>
                <c:pt idx="41">
                  <c:v>3989.5833562215266</c:v>
                </c:pt>
                <c:pt idx="42">
                  <c:v>4076.4000205993661</c:v>
                </c:pt>
                <c:pt idx="43">
                  <c:v>4627.7816810608037</c:v>
                </c:pt>
                <c:pt idx="44">
                  <c:v>5650.3150342305544</c:v>
                </c:pt>
                <c:pt idx="45">
                  <c:v>6670.1767069498701</c:v>
                </c:pt>
                <c:pt idx="46">
                  <c:v>7318.4900004069013</c:v>
                </c:pt>
                <c:pt idx="47">
                  <c:v>7315.091447194417</c:v>
                </c:pt>
                <c:pt idx="48">
                  <c:v>6747.2162590026983</c:v>
                </c:pt>
                <c:pt idx="49">
                  <c:v>5937.6012903849314</c:v>
                </c:pt>
                <c:pt idx="50">
                  <c:v>5070.1381530761719</c:v>
                </c:pt>
                <c:pt idx="51">
                  <c:v>4412.7399965922041</c:v>
                </c:pt>
                <c:pt idx="52">
                  <c:v>3874.4649976094561</c:v>
                </c:pt>
                <c:pt idx="53">
                  <c:v>3488.4233283996582</c:v>
                </c:pt>
                <c:pt idx="54">
                  <c:v>3369.4816614786737</c:v>
                </c:pt>
                <c:pt idx="55">
                  <c:v>3385.0716565450125</c:v>
                </c:pt>
                <c:pt idx="56">
                  <c:v>3521.1599909464521</c:v>
                </c:pt>
                <c:pt idx="57">
                  <c:v>3791.3816579182962</c:v>
                </c:pt>
                <c:pt idx="58">
                  <c:v>4264.4316495259654</c:v>
                </c:pt>
                <c:pt idx="59">
                  <c:v>4777.8533096313504</c:v>
                </c:pt>
                <c:pt idx="60">
                  <c:v>5296.6399943033857</c:v>
                </c:pt>
                <c:pt idx="61">
                  <c:v>5636.0000216166254</c:v>
                </c:pt>
                <c:pt idx="62">
                  <c:v>5544.4483617146807</c:v>
                </c:pt>
                <c:pt idx="63">
                  <c:v>4962.8616778055957</c:v>
                </c:pt>
                <c:pt idx="64">
                  <c:v>4160.6133257548054</c:v>
                </c:pt>
                <c:pt idx="65">
                  <c:v>3695.0083198547363</c:v>
                </c:pt>
                <c:pt idx="66">
                  <c:v>3515.4249865214042</c:v>
                </c:pt>
                <c:pt idx="67">
                  <c:v>3510.5433146158862</c:v>
                </c:pt>
                <c:pt idx="68">
                  <c:v>3551.4249788920092</c:v>
                </c:pt>
                <c:pt idx="69">
                  <c:v>3768.8949839274092</c:v>
                </c:pt>
                <c:pt idx="70">
                  <c:v>4266.9716529846073</c:v>
                </c:pt>
                <c:pt idx="71">
                  <c:v>4679.2183163960653</c:v>
                </c:pt>
                <c:pt idx="72">
                  <c:v>4980.4216372172041</c:v>
                </c:pt>
                <c:pt idx="73">
                  <c:v>5130.5833028157485</c:v>
                </c:pt>
                <c:pt idx="74">
                  <c:v>5184.0599810282383</c:v>
                </c:pt>
                <c:pt idx="75">
                  <c:v>4946.8516642252816</c:v>
                </c:pt>
                <c:pt idx="76">
                  <c:v>4248.0440977775697</c:v>
                </c:pt>
                <c:pt idx="77">
                  <c:v>3586.6608728585602</c:v>
                </c:pt>
                <c:pt idx="78">
                  <c:v>3237.9531492007695</c:v>
                </c:pt>
                <c:pt idx="79">
                  <c:v>3256.6383199222046</c:v>
                </c:pt>
                <c:pt idx="80">
                  <c:v>3425.1968259550049</c:v>
                </c:pt>
                <c:pt idx="81">
                  <c:v>4002.9795631766419</c:v>
                </c:pt>
                <c:pt idx="82">
                  <c:v>5025.9125253189804</c:v>
                </c:pt>
                <c:pt idx="83">
                  <c:v>5955.4695414560019</c:v>
                </c:pt>
                <c:pt idx="84">
                  <c:v>6383.1156540304755</c:v>
                </c:pt>
                <c:pt idx="85">
                  <c:v>6112.7730433410197</c:v>
                </c:pt>
                <c:pt idx="86">
                  <c:v>5461.3098927654446</c:v>
                </c:pt>
                <c:pt idx="87">
                  <c:v>4570.7824589472275</c:v>
                </c:pt>
                <c:pt idx="88">
                  <c:v>3766.4120246265379</c:v>
                </c:pt>
                <c:pt idx="89">
                  <c:v>3392.0612104708762</c:v>
                </c:pt>
                <c:pt idx="90">
                  <c:v>3409.9591779509765</c:v>
                </c:pt>
                <c:pt idx="91">
                  <c:v>3980.4266666666595</c:v>
                </c:pt>
                <c:pt idx="92">
                  <c:v>4713.2316666666802</c:v>
                </c:pt>
                <c:pt idx="93">
                  <c:v>5315.8916666666892</c:v>
                </c:pt>
                <c:pt idx="94">
                  <c:v>5525.83</c:v>
                </c:pt>
                <c:pt idx="95">
                  <c:v>5287.0683333333327</c:v>
                </c:pt>
                <c:pt idx="96">
                  <c:v>4804.7</c:v>
                </c:pt>
                <c:pt idx="97">
                  <c:v>4240.7166666666881</c:v>
                </c:pt>
                <c:pt idx="98">
                  <c:v>3839.2500000000005</c:v>
                </c:pt>
                <c:pt idx="99">
                  <c:v>3525.6</c:v>
                </c:pt>
                <c:pt idx="100">
                  <c:v>3219.6666666666551</c:v>
                </c:pt>
                <c:pt idx="101">
                  <c:v>3024.1666666666551</c:v>
                </c:pt>
                <c:pt idx="102">
                  <c:v>3066.6333333333459</c:v>
                </c:pt>
                <c:pt idx="103">
                  <c:v>3332.3</c:v>
                </c:pt>
                <c:pt idx="104">
                  <c:v>3605.9166666666647</c:v>
                </c:pt>
                <c:pt idx="105">
                  <c:v>3707.783333333341</c:v>
                </c:pt>
                <c:pt idx="106">
                  <c:v>3812.1833333333425</c:v>
                </c:pt>
                <c:pt idx="107">
                  <c:v>3893.1333333333469</c:v>
                </c:pt>
                <c:pt idx="108">
                  <c:v>4079.4000000000005</c:v>
                </c:pt>
                <c:pt idx="109">
                  <c:v>4107.3</c:v>
                </c:pt>
                <c:pt idx="110">
                  <c:v>3929.8666666666595</c:v>
                </c:pt>
                <c:pt idx="111">
                  <c:v>3647.2666666666555</c:v>
                </c:pt>
                <c:pt idx="112">
                  <c:v>3275.5</c:v>
                </c:pt>
                <c:pt idx="113">
                  <c:v>3103.8500000000022</c:v>
                </c:pt>
                <c:pt idx="114">
                  <c:v>3093.433333333347</c:v>
                </c:pt>
                <c:pt idx="115">
                  <c:v>3281.183333333342</c:v>
                </c:pt>
                <c:pt idx="116">
                  <c:v>3531.9499999999994</c:v>
                </c:pt>
                <c:pt idx="117">
                  <c:v>3734.8833333333459</c:v>
                </c:pt>
                <c:pt idx="118">
                  <c:v>3974.2499999999936</c:v>
                </c:pt>
                <c:pt idx="119">
                  <c:v>4274.6833333333325</c:v>
                </c:pt>
                <c:pt idx="120">
                  <c:v>4593.7166666666881</c:v>
                </c:pt>
                <c:pt idx="121">
                  <c:v>4553.4500000000007</c:v>
                </c:pt>
                <c:pt idx="122">
                  <c:v>4118.1166666666941</c:v>
                </c:pt>
                <c:pt idx="123">
                  <c:v>3572.283333333341</c:v>
                </c:pt>
                <c:pt idx="124">
                  <c:v>3173.1166666666604</c:v>
                </c:pt>
                <c:pt idx="125">
                  <c:v>3045.7833333333406</c:v>
                </c:pt>
                <c:pt idx="126">
                  <c:v>3032.0833333333439</c:v>
                </c:pt>
                <c:pt idx="127">
                  <c:v>3144.0666666666584</c:v>
                </c:pt>
                <c:pt idx="128">
                  <c:v>3484.3166666666657</c:v>
                </c:pt>
                <c:pt idx="129">
                  <c:v>4038.5333333333469</c:v>
                </c:pt>
                <c:pt idx="130">
                  <c:v>4644.1000000000004</c:v>
                </c:pt>
                <c:pt idx="131">
                  <c:v>4833.3333333333285</c:v>
                </c:pt>
                <c:pt idx="132">
                  <c:v>4558.5</c:v>
                </c:pt>
                <c:pt idx="133">
                  <c:v>4083.3500000000022</c:v>
                </c:pt>
                <c:pt idx="134">
                  <c:v>3659.5833333333439</c:v>
                </c:pt>
                <c:pt idx="135">
                  <c:v>3395.6000000000004</c:v>
                </c:pt>
                <c:pt idx="136">
                  <c:v>3176.2666666666555</c:v>
                </c:pt>
                <c:pt idx="137">
                  <c:v>3079.9166666666647</c:v>
                </c:pt>
                <c:pt idx="138">
                  <c:v>3056.6333333333459</c:v>
                </c:pt>
                <c:pt idx="139">
                  <c:v>3118.05</c:v>
                </c:pt>
                <c:pt idx="140">
                  <c:v>3194.3666666666604</c:v>
                </c:pt>
                <c:pt idx="141">
                  <c:v>3263.2499999999936</c:v>
                </c:pt>
                <c:pt idx="142">
                  <c:v>3437.4166666666647</c:v>
                </c:pt>
                <c:pt idx="143">
                  <c:v>3638.6666666666561</c:v>
                </c:pt>
                <c:pt idx="144">
                  <c:v>3760.55</c:v>
                </c:pt>
                <c:pt idx="145">
                  <c:v>3710.5499999999997</c:v>
                </c:pt>
                <c:pt idx="146">
                  <c:v>3606.6333333333469</c:v>
                </c:pt>
                <c:pt idx="147">
                  <c:v>3528.0333333333469</c:v>
                </c:pt>
                <c:pt idx="148">
                  <c:v>3392.4666666666594</c:v>
                </c:pt>
                <c:pt idx="149">
                  <c:v>3274.2833333333415</c:v>
                </c:pt>
                <c:pt idx="150">
                  <c:v>3252.7166666666594</c:v>
                </c:pt>
                <c:pt idx="151">
                  <c:v>3364.4666666666594</c:v>
                </c:pt>
                <c:pt idx="152">
                  <c:v>3539.3333333333494</c:v>
                </c:pt>
                <c:pt idx="153">
                  <c:v>3647.4833333333454</c:v>
                </c:pt>
                <c:pt idx="154">
                  <c:v>3783.3333333333494</c:v>
                </c:pt>
                <c:pt idx="155">
                  <c:v>3824.6833333333425</c:v>
                </c:pt>
                <c:pt idx="156">
                  <c:v>3708.86666666666</c:v>
                </c:pt>
                <c:pt idx="157">
                  <c:v>3508.3</c:v>
                </c:pt>
                <c:pt idx="158">
                  <c:v>3335.966666666659</c:v>
                </c:pt>
                <c:pt idx="159">
                  <c:v>3293.6</c:v>
                </c:pt>
                <c:pt idx="160">
                  <c:v>3205.8999999999996</c:v>
                </c:pt>
                <c:pt idx="161">
                  <c:v>3135.5166666666637</c:v>
                </c:pt>
                <c:pt idx="162">
                  <c:v>3152.5166666666637</c:v>
                </c:pt>
                <c:pt idx="163">
                  <c:v>3276.4833333333445</c:v>
                </c:pt>
                <c:pt idx="164">
                  <c:v>3529.1499999999987</c:v>
                </c:pt>
                <c:pt idx="165">
                  <c:v>4018.3666666666604</c:v>
                </c:pt>
                <c:pt idx="166">
                  <c:v>4723.2833333333265</c:v>
                </c:pt>
                <c:pt idx="167">
                  <c:v>5108.3833333333305</c:v>
                </c:pt>
                <c:pt idx="168">
                  <c:v>4948.0333333333265</c:v>
                </c:pt>
                <c:pt idx="169">
                  <c:v>4475.5333333333265</c:v>
                </c:pt>
                <c:pt idx="170">
                  <c:v>4077.2500000000009</c:v>
                </c:pt>
                <c:pt idx="171">
                  <c:v>3804.7666666666555</c:v>
                </c:pt>
                <c:pt idx="172">
                  <c:v>3466.11666666666</c:v>
                </c:pt>
                <c:pt idx="173">
                  <c:v>3227.4166666666647</c:v>
                </c:pt>
                <c:pt idx="174">
                  <c:v>3182.0166666666637</c:v>
                </c:pt>
                <c:pt idx="175">
                  <c:v>3403.7</c:v>
                </c:pt>
                <c:pt idx="176">
                  <c:v>3755.0499999999997</c:v>
                </c:pt>
                <c:pt idx="177">
                  <c:v>4242.8</c:v>
                </c:pt>
                <c:pt idx="178">
                  <c:v>4950.8333333333285</c:v>
                </c:pt>
                <c:pt idx="179">
                  <c:v>5479.3666666666923</c:v>
                </c:pt>
                <c:pt idx="180">
                  <c:v>5406.0333333333265</c:v>
                </c:pt>
                <c:pt idx="181">
                  <c:v>4650.1000000000004</c:v>
                </c:pt>
                <c:pt idx="182">
                  <c:v>3841.3500000000022</c:v>
                </c:pt>
                <c:pt idx="183">
                  <c:v>3422.3166666666657</c:v>
                </c:pt>
                <c:pt idx="184">
                  <c:v>3249.583333333343</c:v>
                </c:pt>
                <c:pt idx="185">
                  <c:v>3213.2499999999936</c:v>
                </c:pt>
                <c:pt idx="186">
                  <c:v>3238.2666666666555</c:v>
                </c:pt>
                <c:pt idx="187">
                  <c:v>3421.1999999999994</c:v>
                </c:pt>
                <c:pt idx="188">
                  <c:v>3847.4833333333445</c:v>
                </c:pt>
                <c:pt idx="189">
                  <c:v>4283.9666666666881</c:v>
                </c:pt>
                <c:pt idx="190">
                  <c:v>4477.316666666693</c:v>
                </c:pt>
                <c:pt idx="191">
                  <c:v>4388.4500000000007</c:v>
                </c:pt>
                <c:pt idx="192">
                  <c:v>4374.6333333333305</c:v>
                </c:pt>
                <c:pt idx="193">
                  <c:v>4366.7666666666892</c:v>
                </c:pt>
                <c:pt idx="194">
                  <c:v>4105.0166666666892</c:v>
                </c:pt>
                <c:pt idx="195">
                  <c:v>3690.7333333333436</c:v>
                </c:pt>
              </c:numCache>
            </c:numRef>
          </c:val>
          <c:extLst xmlns:c16r2="http://schemas.microsoft.com/office/drawing/2015/06/chart">
            <c:ext xmlns:c16="http://schemas.microsoft.com/office/drawing/2014/chart" uri="{C3380CC4-5D6E-409C-BE32-E72D297353CC}">
              <c16:uniqueId val="{00000000-F283-4AC5-8E04-933DC172EF20}"/>
            </c:ext>
          </c:extLst>
        </c:ser>
        <c:marker val="1"/>
        <c:axId val="217987328"/>
        <c:axId val="217989120"/>
      </c:lineChart>
      <c:dateAx>
        <c:axId val="217987328"/>
        <c:scaling>
          <c:orientation val="minMax"/>
        </c:scaling>
        <c:axPos val="b"/>
        <c:numFmt formatCode="mmm\-yy" sourceLinked="1"/>
        <c:tickLblPos val="nextTo"/>
        <c:txPr>
          <a:bodyPr rot="-2820000"/>
          <a:lstStyle/>
          <a:p>
            <a:pPr>
              <a:defRPr sz="500"/>
            </a:pPr>
            <a:endParaRPr lang="en-US"/>
          </a:p>
        </c:txPr>
        <c:crossAx val="217989120"/>
        <c:crosses val="autoZero"/>
        <c:auto val="1"/>
        <c:lblOffset val="100"/>
        <c:baseTimeUnit val="months"/>
        <c:majorUnit val="6"/>
        <c:majorTimeUnit val="months"/>
      </c:dateAx>
      <c:valAx>
        <c:axId val="217989120"/>
        <c:scaling>
          <c:orientation val="minMax"/>
          <c:max val="9000"/>
          <c:min val="2000"/>
        </c:scaling>
        <c:axPos val="l"/>
        <c:majorGridlines/>
        <c:title>
          <c:tx>
            <c:rich>
              <a:bodyPr rot="-5400000" vert="horz"/>
              <a:lstStyle/>
              <a:p>
                <a:pPr>
                  <a:defRPr sz="800"/>
                </a:pPr>
                <a:r>
                  <a:rPr lang="en-AU" sz="800"/>
                  <a:t>ML/month</a:t>
                </a:r>
              </a:p>
            </c:rich>
          </c:tx>
        </c:title>
        <c:numFmt formatCode="_-* #,##0_-;\-* #,##0_-;_-* &quot;-&quot;??_-;_-@_-" sourceLinked="1"/>
        <c:tickLblPos val="nextTo"/>
        <c:txPr>
          <a:bodyPr/>
          <a:lstStyle/>
          <a:p>
            <a:pPr>
              <a:defRPr sz="800"/>
            </a:pPr>
            <a:endParaRPr lang="en-US"/>
          </a:p>
        </c:txPr>
        <c:crossAx val="217987328"/>
        <c:crosses val="autoZero"/>
        <c:crossBetween val="between"/>
      </c:valAx>
    </c:plotArea>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0.38813</cdr:x>
      <cdr:y>0.0745</cdr:y>
    </cdr:from>
    <cdr:to>
      <cdr:x>0.73691</cdr:x>
      <cdr:y>0.14969</cdr:y>
    </cdr:to>
    <cdr:sp macro="" textlink="">
      <cdr:nvSpPr>
        <cdr:cNvPr id="2" name="TextBox 1"/>
        <cdr:cNvSpPr txBox="1"/>
      </cdr:nvSpPr>
      <cdr:spPr>
        <a:xfrm xmlns:a="http://schemas.openxmlformats.org/drawingml/2006/main">
          <a:off x="1900472" y="196847"/>
          <a:ext cx="1707821" cy="19866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AU" sz="900" b="1">
              <a:solidFill>
                <a:srgbClr val="C00000"/>
              </a:solidFill>
            </a:rPr>
            <a:t>Average 1998</a:t>
          </a:r>
          <a:r>
            <a:rPr lang="en-GB" sz="900" b="1">
              <a:solidFill>
                <a:srgbClr val="C00000"/>
              </a:solidFill>
              <a:effectLst/>
              <a:latin typeface="Calibri"/>
              <a:ea typeface="+mn-ea"/>
              <a:cs typeface="+mn-cs"/>
            </a:rPr>
            <a:t>–</a:t>
          </a:r>
          <a:r>
            <a:rPr lang="en-AU" sz="900" b="1">
              <a:solidFill>
                <a:srgbClr val="C00000"/>
              </a:solidFill>
            </a:rPr>
            <a:t>99 to 2005</a:t>
          </a:r>
          <a:r>
            <a:rPr lang="en-GB" sz="900" b="1">
              <a:solidFill>
                <a:srgbClr val="C00000"/>
              </a:solidFill>
              <a:effectLst/>
              <a:latin typeface="Calibri"/>
              <a:ea typeface="+mn-ea"/>
              <a:cs typeface="+mn-cs"/>
            </a:rPr>
            <a:t>–</a:t>
          </a:r>
          <a:r>
            <a:rPr lang="en-AU" sz="900" b="1">
              <a:solidFill>
                <a:srgbClr val="C00000"/>
              </a:solidFill>
            </a:rPr>
            <a:t>06 </a:t>
          </a:r>
        </a:p>
      </cdr:txBody>
    </cdr:sp>
  </cdr:relSizeAnchor>
  <cdr:relSizeAnchor xmlns:cdr="http://schemas.openxmlformats.org/drawingml/2006/chartDrawing">
    <cdr:from>
      <cdr:x>0.65909</cdr:x>
      <cdr:y>0.27029</cdr:y>
    </cdr:from>
    <cdr:to>
      <cdr:x>0.99506</cdr:x>
      <cdr:y>0.34513</cdr:y>
    </cdr:to>
    <cdr:sp macro="" textlink="">
      <cdr:nvSpPr>
        <cdr:cNvPr id="3" name="TextBox 1"/>
        <cdr:cNvSpPr txBox="1"/>
      </cdr:nvSpPr>
      <cdr:spPr>
        <a:xfrm xmlns:a="http://schemas.openxmlformats.org/drawingml/2006/main">
          <a:off x="3227224" y="714170"/>
          <a:ext cx="1645093" cy="19774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b="1">
              <a:solidFill>
                <a:srgbClr val="C00000"/>
              </a:solidFill>
            </a:rPr>
            <a:t>Average 2006</a:t>
          </a:r>
          <a:r>
            <a:rPr lang="en-GB" sz="900" b="1">
              <a:solidFill>
                <a:srgbClr val="C00000"/>
              </a:solidFill>
              <a:effectLst/>
              <a:latin typeface="+mn-lt"/>
              <a:ea typeface="+mn-ea"/>
              <a:cs typeface="+mn-cs"/>
            </a:rPr>
            <a:t>–</a:t>
          </a:r>
          <a:r>
            <a:rPr lang="en-AU" sz="900" b="1">
              <a:solidFill>
                <a:srgbClr val="C00000"/>
              </a:solidFill>
            </a:rPr>
            <a:t>07 to 2014</a:t>
          </a:r>
          <a:r>
            <a:rPr lang="en-GB" sz="900" b="1">
              <a:solidFill>
                <a:srgbClr val="C00000"/>
              </a:solidFill>
              <a:effectLst/>
              <a:latin typeface="+mn-lt"/>
              <a:ea typeface="+mn-ea"/>
              <a:cs typeface="+mn-cs"/>
            </a:rPr>
            <a:t>–</a:t>
          </a:r>
          <a:r>
            <a:rPr lang="en-AU" sz="900" b="1">
              <a:solidFill>
                <a:srgbClr val="C00000"/>
              </a:solidFill>
            </a:rPr>
            <a:t>15 </a:t>
          </a:r>
        </a:p>
      </cdr:txBody>
    </cdr:sp>
  </cdr:relSizeAnchor>
</c:userShapes>
</file>

<file path=word/drawings/drawing2.xml><?xml version="1.0" encoding="utf-8"?>
<c:userShapes xmlns:c="http://schemas.openxmlformats.org/drawingml/2006/chart">
  <cdr:relSizeAnchor xmlns:cdr="http://schemas.openxmlformats.org/drawingml/2006/chartDrawing">
    <cdr:from>
      <cdr:x>0.16001</cdr:x>
      <cdr:y>0.19029</cdr:y>
    </cdr:from>
    <cdr:to>
      <cdr:x>0.28521</cdr:x>
      <cdr:y>0.2881</cdr:y>
    </cdr:to>
    <cdr:sp macro="" textlink="">
      <cdr:nvSpPr>
        <cdr:cNvPr id="4" name="TextBox 1"/>
        <cdr:cNvSpPr txBox="1"/>
      </cdr:nvSpPr>
      <cdr:spPr>
        <a:xfrm xmlns:a="http://schemas.openxmlformats.org/drawingml/2006/main">
          <a:off x="836423" y="636554"/>
          <a:ext cx="654461" cy="32719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a:t>2010</a:t>
          </a:r>
          <a:r>
            <a:rPr lang="en-GB" sz="900">
              <a:effectLst/>
              <a:latin typeface="+mn-lt"/>
              <a:ea typeface="+mn-ea"/>
              <a:cs typeface="+mn-cs"/>
            </a:rPr>
            <a:t>–</a:t>
          </a:r>
          <a:r>
            <a:rPr lang="en-AU" sz="900"/>
            <a:t>11</a:t>
          </a:r>
        </a:p>
      </cdr:txBody>
    </cdr:sp>
  </cdr:relSizeAnchor>
  <cdr:relSizeAnchor xmlns:cdr="http://schemas.openxmlformats.org/drawingml/2006/chartDrawing">
    <cdr:from>
      <cdr:x>0.31515</cdr:x>
      <cdr:y>0.18945</cdr:y>
    </cdr:from>
    <cdr:to>
      <cdr:x>0.44035</cdr:x>
      <cdr:y>0.28727</cdr:y>
    </cdr:to>
    <cdr:sp macro="" textlink="">
      <cdr:nvSpPr>
        <cdr:cNvPr id="5" name="TextBox 1"/>
        <cdr:cNvSpPr txBox="1"/>
      </cdr:nvSpPr>
      <cdr:spPr>
        <a:xfrm xmlns:a="http://schemas.openxmlformats.org/drawingml/2006/main">
          <a:off x="1647390" y="633744"/>
          <a:ext cx="654460" cy="3272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a:t>2011</a:t>
          </a:r>
          <a:r>
            <a:rPr lang="en-GB" sz="900">
              <a:effectLst/>
              <a:latin typeface="+mn-lt"/>
              <a:ea typeface="+mn-ea"/>
              <a:cs typeface="+mn-cs"/>
            </a:rPr>
            <a:t>–</a:t>
          </a:r>
          <a:r>
            <a:rPr lang="en-AU" sz="900"/>
            <a:t>12</a:t>
          </a:r>
        </a:p>
      </cdr:txBody>
    </cdr:sp>
  </cdr:relSizeAnchor>
  <cdr:relSizeAnchor xmlns:cdr="http://schemas.openxmlformats.org/drawingml/2006/chartDrawing">
    <cdr:from>
      <cdr:x>0.58032</cdr:x>
      <cdr:y>0.47321</cdr:y>
    </cdr:from>
    <cdr:to>
      <cdr:x>0.70553</cdr:x>
      <cdr:y>0.57102</cdr:y>
    </cdr:to>
    <cdr:sp macro="" textlink="">
      <cdr:nvSpPr>
        <cdr:cNvPr id="7" name="TextBox 1"/>
        <cdr:cNvSpPr txBox="1"/>
      </cdr:nvSpPr>
      <cdr:spPr>
        <a:xfrm xmlns:a="http://schemas.openxmlformats.org/drawingml/2006/main">
          <a:off x="2841524" y="1384658"/>
          <a:ext cx="613089" cy="28620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a:t>2012</a:t>
          </a:r>
          <a:r>
            <a:rPr lang="en-GB" sz="900">
              <a:effectLst/>
              <a:latin typeface="+mn-lt"/>
              <a:ea typeface="+mn-ea"/>
              <a:cs typeface="+mn-cs"/>
            </a:rPr>
            <a:t>–</a:t>
          </a:r>
          <a:r>
            <a:rPr lang="en-AU" sz="900"/>
            <a:t>13</a:t>
          </a:r>
        </a:p>
      </cdr:txBody>
    </cdr:sp>
  </cdr:relSizeAnchor>
  <cdr:relSizeAnchor xmlns:cdr="http://schemas.openxmlformats.org/drawingml/2006/chartDrawing">
    <cdr:from>
      <cdr:x>0.67676</cdr:x>
      <cdr:y>0.39962</cdr:y>
    </cdr:from>
    <cdr:to>
      <cdr:x>0.80664</cdr:x>
      <cdr:y>0.48007</cdr:y>
    </cdr:to>
    <cdr:sp macro="" textlink="">
      <cdr:nvSpPr>
        <cdr:cNvPr id="8" name="TextBox 1"/>
        <cdr:cNvSpPr txBox="1"/>
      </cdr:nvSpPr>
      <cdr:spPr>
        <a:xfrm xmlns:a="http://schemas.openxmlformats.org/drawingml/2006/main">
          <a:off x="3313741" y="1169336"/>
          <a:ext cx="635955" cy="23540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a:t>2009</a:t>
          </a:r>
          <a:r>
            <a:rPr lang="en-GB" sz="900">
              <a:effectLst/>
              <a:latin typeface="+mn-lt"/>
              <a:ea typeface="+mn-ea"/>
              <a:cs typeface="+mn-cs"/>
            </a:rPr>
            <a:t>–</a:t>
          </a:r>
          <a:r>
            <a:rPr lang="en-AU" sz="900"/>
            <a:t>10</a:t>
          </a:r>
        </a:p>
      </cdr:txBody>
    </cdr:sp>
  </cdr:relSizeAnchor>
  <cdr:relSizeAnchor xmlns:cdr="http://schemas.openxmlformats.org/drawingml/2006/chartDrawing">
    <cdr:from>
      <cdr:x>0.74156</cdr:x>
      <cdr:y>0.48963</cdr:y>
    </cdr:from>
    <cdr:to>
      <cdr:x>0.86676</cdr:x>
      <cdr:y>0.58744</cdr:y>
    </cdr:to>
    <cdr:sp macro="" textlink="">
      <cdr:nvSpPr>
        <cdr:cNvPr id="9" name="TextBox 1"/>
        <cdr:cNvSpPr txBox="1"/>
      </cdr:nvSpPr>
      <cdr:spPr>
        <a:xfrm xmlns:a="http://schemas.openxmlformats.org/drawingml/2006/main">
          <a:off x="3876371" y="1637900"/>
          <a:ext cx="654461" cy="32719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a:t>2013</a:t>
          </a:r>
          <a:r>
            <a:rPr lang="en-GB" sz="900">
              <a:effectLst/>
              <a:latin typeface="+mn-lt"/>
              <a:ea typeface="+mn-ea"/>
              <a:cs typeface="+mn-cs"/>
            </a:rPr>
            <a:t>–</a:t>
          </a:r>
          <a:r>
            <a:rPr lang="en-AU" sz="900"/>
            <a:t>14</a:t>
          </a:r>
        </a:p>
      </cdr:txBody>
    </cdr:sp>
  </cdr:relSizeAnchor>
  <cdr:relSizeAnchor xmlns:cdr="http://schemas.openxmlformats.org/drawingml/2006/chartDrawing">
    <cdr:from>
      <cdr:x>0.73141</cdr:x>
      <cdr:y>0.67524</cdr:y>
    </cdr:from>
    <cdr:to>
      <cdr:x>0.85661</cdr:x>
      <cdr:y>0.77305</cdr:y>
    </cdr:to>
    <cdr:sp macro="" textlink="">
      <cdr:nvSpPr>
        <cdr:cNvPr id="10" name="TextBox 1"/>
        <cdr:cNvSpPr txBox="1"/>
      </cdr:nvSpPr>
      <cdr:spPr>
        <a:xfrm xmlns:a="http://schemas.openxmlformats.org/drawingml/2006/main">
          <a:off x="3823314" y="2258799"/>
          <a:ext cx="654461" cy="32719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a:t>2008</a:t>
          </a:r>
          <a:r>
            <a:rPr lang="en-GB" sz="900">
              <a:effectLst/>
              <a:latin typeface="+mn-lt"/>
              <a:ea typeface="+mn-ea"/>
              <a:cs typeface="+mn-cs"/>
            </a:rPr>
            <a:t>–</a:t>
          </a:r>
          <a:r>
            <a:rPr lang="en-AU" sz="900"/>
            <a:t>09</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EC3A54377E54BA4BC2549893CE933A7"/>
        <w:category>
          <w:name w:val="General"/>
          <w:gallery w:val="placeholder"/>
        </w:category>
        <w:types>
          <w:type w:val="bbPlcHdr"/>
        </w:types>
        <w:behaviors>
          <w:behavior w:val="content"/>
        </w:behaviors>
        <w:guid w:val="{675AA752-53FF-409D-9E3B-F31C9C9350D9}"/>
      </w:docPartPr>
      <w:docPartBody>
        <w:p w:rsidR="002F72C8" w:rsidRDefault="002F72C8">
          <w:pPr>
            <w:pStyle w:val="BEC3A54377E54BA4BC2549893CE933A7"/>
          </w:pPr>
          <w:r w:rsidRPr="00576B93">
            <w:rPr>
              <w:rStyle w:val="PlaceholderText"/>
            </w:rPr>
            <w:t>[Title]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00"/>
    <w:family w:val="modern"/>
    <w:pitch w:val="fixed"/>
    <w:sig w:usb0="E10002FF" w:usb1="4000FCFF" w:usb2="00000009"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characterSpacingControl w:val="doNotCompress"/>
  <w:compat>
    <w:useFELayout/>
  </w:compat>
  <w:rsids>
    <w:rsidRoot w:val="002F72C8"/>
    <w:rsid w:val="00046D32"/>
    <w:rsid w:val="000500BD"/>
    <w:rsid w:val="00050528"/>
    <w:rsid w:val="000676D5"/>
    <w:rsid w:val="000713A7"/>
    <w:rsid w:val="000805CF"/>
    <w:rsid w:val="00082BB2"/>
    <w:rsid w:val="00091114"/>
    <w:rsid w:val="000A18B7"/>
    <w:rsid w:val="000B502C"/>
    <w:rsid w:val="000C25D4"/>
    <w:rsid w:val="000C3023"/>
    <w:rsid w:val="000C67C6"/>
    <w:rsid w:val="000C7138"/>
    <w:rsid w:val="000C79A1"/>
    <w:rsid w:val="000E0C8D"/>
    <w:rsid w:val="000E19AF"/>
    <w:rsid w:val="000F5013"/>
    <w:rsid w:val="00112D47"/>
    <w:rsid w:val="00116606"/>
    <w:rsid w:val="0011669D"/>
    <w:rsid w:val="00120111"/>
    <w:rsid w:val="001330A8"/>
    <w:rsid w:val="0013717E"/>
    <w:rsid w:val="0013773A"/>
    <w:rsid w:val="00142B07"/>
    <w:rsid w:val="0015410F"/>
    <w:rsid w:val="00154CF4"/>
    <w:rsid w:val="00165013"/>
    <w:rsid w:val="001658C6"/>
    <w:rsid w:val="00175315"/>
    <w:rsid w:val="00175859"/>
    <w:rsid w:val="0018205C"/>
    <w:rsid w:val="00192ADB"/>
    <w:rsid w:val="0019630A"/>
    <w:rsid w:val="001A2E87"/>
    <w:rsid w:val="001A5911"/>
    <w:rsid w:val="001B41B8"/>
    <w:rsid w:val="001C11BC"/>
    <w:rsid w:val="001D30B2"/>
    <w:rsid w:val="001D7A03"/>
    <w:rsid w:val="001E015C"/>
    <w:rsid w:val="001E28B0"/>
    <w:rsid w:val="001E64B5"/>
    <w:rsid w:val="002013CC"/>
    <w:rsid w:val="002050DA"/>
    <w:rsid w:val="0021059A"/>
    <w:rsid w:val="002156C2"/>
    <w:rsid w:val="00217179"/>
    <w:rsid w:val="00236F7A"/>
    <w:rsid w:val="00237717"/>
    <w:rsid w:val="0024114E"/>
    <w:rsid w:val="00253FD0"/>
    <w:rsid w:val="00272225"/>
    <w:rsid w:val="0028248D"/>
    <w:rsid w:val="0029170F"/>
    <w:rsid w:val="00291BCD"/>
    <w:rsid w:val="00292FEF"/>
    <w:rsid w:val="002A629B"/>
    <w:rsid w:val="002C3DF3"/>
    <w:rsid w:val="002C4619"/>
    <w:rsid w:val="002C6E52"/>
    <w:rsid w:val="002D007C"/>
    <w:rsid w:val="002E6BF7"/>
    <w:rsid w:val="002E7EF7"/>
    <w:rsid w:val="002F28F4"/>
    <w:rsid w:val="002F72C8"/>
    <w:rsid w:val="003059A7"/>
    <w:rsid w:val="003259A9"/>
    <w:rsid w:val="00325DAB"/>
    <w:rsid w:val="003707CB"/>
    <w:rsid w:val="00376CE7"/>
    <w:rsid w:val="003A3CEF"/>
    <w:rsid w:val="003B6CF5"/>
    <w:rsid w:val="003D01F8"/>
    <w:rsid w:val="003D5400"/>
    <w:rsid w:val="003E67D4"/>
    <w:rsid w:val="003F4BC6"/>
    <w:rsid w:val="004035A3"/>
    <w:rsid w:val="004044B4"/>
    <w:rsid w:val="00404E50"/>
    <w:rsid w:val="00421773"/>
    <w:rsid w:val="00426F92"/>
    <w:rsid w:val="00430AB0"/>
    <w:rsid w:val="00430F5C"/>
    <w:rsid w:val="00435A5A"/>
    <w:rsid w:val="00435FF6"/>
    <w:rsid w:val="00462CD9"/>
    <w:rsid w:val="00463D30"/>
    <w:rsid w:val="004837D4"/>
    <w:rsid w:val="00487017"/>
    <w:rsid w:val="004A0279"/>
    <w:rsid w:val="004A6714"/>
    <w:rsid w:val="004C3ADE"/>
    <w:rsid w:val="004C4C1A"/>
    <w:rsid w:val="004C60FD"/>
    <w:rsid w:val="004D0463"/>
    <w:rsid w:val="004D4FE1"/>
    <w:rsid w:val="004D5CD7"/>
    <w:rsid w:val="004E60C5"/>
    <w:rsid w:val="00511C61"/>
    <w:rsid w:val="005203A9"/>
    <w:rsid w:val="005306C6"/>
    <w:rsid w:val="00532EC3"/>
    <w:rsid w:val="005330D4"/>
    <w:rsid w:val="00541882"/>
    <w:rsid w:val="00543E90"/>
    <w:rsid w:val="005456CE"/>
    <w:rsid w:val="0055250F"/>
    <w:rsid w:val="00553FFF"/>
    <w:rsid w:val="00557D73"/>
    <w:rsid w:val="00586668"/>
    <w:rsid w:val="0059144A"/>
    <w:rsid w:val="0059419D"/>
    <w:rsid w:val="005A24BF"/>
    <w:rsid w:val="005B0888"/>
    <w:rsid w:val="005B19A0"/>
    <w:rsid w:val="005C1F8C"/>
    <w:rsid w:val="005C2640"/>
    <w:rsid w:val="005D2442"/>
    <w:rsid w:val="005E6A5B"/>
    <w:rsid w:val="005F7F1C"/>
    <w:rsid w:val="00606437"/>
    <w:rsid w:val="00620916"/>
    <w:rsid w:val="0063729F"/>
    <w:rsid w:val="006524DB"/>
    <w:rsid w:val="00662631"/>
    <w:rsid w:val="0067785E"/>
    <w:rsid w:val="00687F4B"/>
    <w:rsid w:val="00692E55"/>
    <w:rsid w:val="006950E0"/>
    <w:rsid w:val="006A09DA"/>
    <w:rsid w:val="006B516A"/>
    <w:rsid w:val="006B6D98"/>
    <w:rsid w:val="006C0041"/>
    <w:rsid w:val="006C012E"/>
    <w:rsid w:val="006C5EFA"/>
    <w:rsid w:val="006C73D2"/>
    <w:rsid w:val="006D54B9"/>
    <w:rsid w:val="006E39BD"/>
    <w:rsid w:val="006F0844"/>
    <w:rsid w:val="007164E4"/>
    <w:rsid w:val="00716A3D"/>
    <w:rsid w:val="00722052"/>
    <w:rsid w:val="00731038"/>
    <w:rsid w:val="00740640"/>
    <w:rsid w:val="00740A28"/>
    <w:rsid w:val="0076249A"/>
    <w:rsid w:val="00765488"/>
    <w:rsid w:val="00765E69"/>
    <w:rsid w:val="00767379"/>
    <w:rsid w:val="00777D82"/>
    <w:rsid w:val="0079445E"/>
    <w:rsid w:val="007B6292"/>
    <w:rsid w:val="007C43B5"/>
    <w:rsid w:val="007D06C6"/>
    <w:rsid w:val="007D7286"/>
    <w:rsid w:val="007E0623"/>
    <w:rsid w:val="007F1BEB"/>
    <w:rsid w:val="007F205B"/>
    <w:rsid w:val="00804107"/>
    <w:rsid w:val="008153B5"/>
    <w:rsid w:val="008165C9"/>
    <w:rsid w:val="00826292"/>
    <w:rsid w:val="008565AE"/>
    <w:rsid w:val="0086673D"/>
    <w:rsid w:val="008824C5"/>
    <w:rsid w:val="00886850"/>
    <w:rsid w:val="00895B22"/>
    <w:rsid w:val="008971B6"/>
    <w:rsid w:val="008A73BA"/>
    <w:rsid w:val="008B7881"/>
    <w:rsid w:val="008C2DEB"/>
    <w:rsid w:val="008C3C8F"/>
    <w:rsid w:val="008C44C1"/>
    <w:rsid w:val="008D62B9"/>
    <w:rsid w:val="008F4295"/>
    <w:rsid w:val="00901967"/>
    <w:rsid w:val="009036C2"/>
    <w:rsid w:val="00921355"/>
    <w:rsid w:val="009366B0"/>
    <w:rsid w:val="0093708D"/>
    <w:rsid w:val="00942605"/>
    <w:rsid w:val="0094380C"/>
    <w:rsid w:val="00961148"/>
    <w:rsid w:val="00964D90"/>
    <w:rsid w:val="00972074"/>
    <w:rsid w:val="0098367D"/>
    <w:rsid w:val="00983F70"/>
    <w:rsid w:val="00985FA3"/>
    <w:rsid w:val="009946BE"/>
    <w:rsid w:val="009B2B05"/>
    <w:rsid w:val="009C2B8C"/>
    <w:rsid w:val="009C5811"/>
    <w:rsid w:val="009C5B0B"/>
    <w:rsid w:val="009C7E58"/>
    <w:rsid w:val="009D696F"/>
    <w:rsid w:val="009F1A7E"/>
    <w:rsid w:val="009F1ADF"/>
    <w:rsid w:val="009F1E64"/>
    <w:rsid w:val="009F2964"/>
    <w:rsid w:val="009F7D68"/>
    <w:rsid w:val="00A2590D"/>
    <w:rsid w:val="00A326D8"/>
    <w:rsid w:val="00A34900"/>
    <w:rsid w:val="00A35A45"/>
    <w:rsid w:val="00A363FD"/>
    <w:rsid w:val="00A37625"/>
    <w:rsid w:val="00A4517D"/>
    <w:rsid w:val="00A52707"/>
    <w:rsid w:val="00A60C53"/>
    <w:rsid w:val="00A61EF1"/>
    <w:rsid w:val="00A63FFC"/>
    <w:rsid w:val="00A667F0"/>
    <w:rsid w:val="00A67540"/>
    <w:rsid w:val="00A72CA6"/>
    <w:rsid w:val="00A760E8"/>
    <w:rsid w:val="00A84408"/>
    <w:rsid w:val="00A9585D"/>
    <w:rsid w:val="00AB3DCE"/>
    <w:rsid w:val="00AB6F7E"/>
    <w:rsid w:val="00AC6E7E"/>
    <w:rsid w:val="00AE25F1"/>
    <w:rsid w:val="00AE7919"/>
    <w:rsid w:val="00AF2922"/>
    <w:rsid w:val="00AF3635"/>
    <w:rsid w:val="00B01EBF"/>
    <w:rsid w:val="00B04A8F"/>
    <w:rsid w:val="00B04AB3"/>
    <w:rsid w:val="00B07FD8"/>
    <w:rsid w:val="00B27716"/>
    <w:rsid w:val="00B34988"/>
    <w:rsid w:val="00B404CB"/>
    <w:rsid w:val="00B44A32"/>
    <w:rsid w:val="00B529AA"/>
    <w:rsid w:val="00B52D44"/>
    <w:rsid w:val="00B54551"/>
    <w:rsid w:val="00B6681B"/>
    <w:rsid w:val="00B73C62"/>
    <w:rsid w:val="00B830A4"/>
    <w:rsid w:val="00B84F23"/>
    <w:rsid w:val="00B86764"/>
    <w:rsid w:val="00BA14A7"/>
    <w:rsid w:val="00BA4B8B"/>
    <w:rsid w:val="00BB0C39"/>
    <w:rsid w:val="00BC0E17"/>
    <w:rsid w:val="00BC62DC"/>
    <w:rsid w:val="00BD09BA"/>
    <w:rsid w:val="00BD400A"/>
    <w:rsid w:val="00BD72BD"/>
    <w:rsid w:val="00C048E2"/>
    <w:rsid w:val="00C20F69"/>
    <w:rsid w:val="00C23982"/>
    <w:rsid w:val="00C330C5"/>
    <w:rsid w:val="00C61553"/>
    <w:rsid w:val="00C660CE"/>
    <w:rsid w:val="00C763FA"/>
    <w:rsid w:val="00C84114"/>
    <w:rsid w:val="00C928E8"/>
    <w:rsid w:val="00CB679A"/>
    <w:rsid w:val="00CB7408"/>
    <w:rsid w:val="00CC3A8D"/>
    <w:rsid w:val="00CD0E88"/>
    <w:rsid w:val="00CE3A53"/>
    <w:rsid w:val="00CE3F47"/>
    <w:rsid w:val="00D27FCC"/>
    <w:rsid w:val="00D44FBF"/>
    <w:rsid w:val="00D62ED0"/>
    <w:rsid w:val="00D633F1"/>
    <w:rsid w:val="00D7195F"/>
    <w:rsid w:val="00D94B0E"/>
    <w:rsid w:val="00DE180A"/>
    <w:rsid w:val="00DF1D97"/>
    <w:rsid w:val="00E0491E"/>
    <w:rsid w:val="00E06826"/>
    <w:rsid w:val="00E130C5"/>
    <w:rsid w:val="00E135BD"/>
    <w:rsid w:val="00E243EA"/>
    <w:rsid w:val="00E36DD1"/>
    <w:rsid w:val="00E46806"/>
    <w:rsid w:val="00E500ED"/>
    <w:rsid w:val="00E54812"/>
    <w:rsid w:val="00E602DC"/>
    <w:rsid w:val="00E63A7E"/>
    <w:rsid w:val="00E76B38"/>
    <w:rsid w:val="00E81135"/>
    <w:rsid w:val="00E9486B"/>
    <w:rsid w:val="00EA1DA3"/>
    <w:rsid w:val="00EA278F"/>
    <w:rsid w:val="00EA3250"/>
    <w:rsid w:val="00EA4BFD"/>
    <w:rsid w:val="00EC3F36"/>
    <w:rsid w:val="00EC69B4"/>
    <w:rsid w:val="00EC753E"/>
    <w:rsid w:val="00ED1945"/>
    <w:rsid w:val="00EF34C5"/>
    <w:rsid w:val="00F05DD8"/>
    <w:rsid w:val="00F104AA"/>
    <w:rsid w:val="00F10F15"/>
    <w:rsid w:val="00F15398"/>
    <w:rsid w:val="00F24751"/>
    <w:rsid w:val="00F25674"/>
    <w:rsid w:val="00F31255"/>
    <w:rsid w:val="00F32971"/>
    <w:rsid w:val="00F4784B"/>
    <w:rsid w:val="00F52B87"/>
    <w:rsid w:val="00F56ADA"/>
    <w:rsid w:val="00F6396E"/>
    <w:rsid w:val="00F6525A"/>
    <w:rsid w:val="00F70BBF"/>
    <w:rsid w:val="00F72759"/>
    <w:rsid w:val="00F86918"/>
    <w:rsid w:val="00FB33F0"/>
    <w:rsid w:val="00FC2788"/>
    <w:rsid w:val="00FC42DA"/>
    <w:rsid w:val="00FE22CA"/>
    <w:rsid w:val="00FF23A9"/>
    <w:rsid w:val="00FF3389"/>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72C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013CC"/>
    <w:rPr>
      <w:color w:val="808080"/>
    </w:rPr>
  </w:style>
  <w:style w:type="paragraph" w:customStyle="1" w:styleId="BEC3A54377E54BA4BC2549893CE933A7">
    <w:name w:val="BEC3A54377E54BA4BC2549893CE933A7"/>
    <w:rsid w:val="002F72C8"/>
  </w:style>
  <w:style w:type="paragraph" w:customStyle="1" w:styleId="5C13EF065FB042ADA67396E180E6D136">
    <w:name w:val="5C13EF065FB042ADA67396E180E6D136"/>
    <w:rsid w:val="000B502C"/>
  </w:style>
  <w:style w:type="paragraph" w:customStyle="1" w:styleId="4FED488B85774D94AD0CD574335CDC0B">
    <w:name w:val="4FED488B85774D94AD0CD574335CDC0B"/>
    <w:rsid w:val="00886850"/>
  </w:style>
  <w:style w:type="paragraph" w:customStyle="1" w:styleId="CF0117A5FAC748069ADAAB2DC01FA612">
    <w:name w:val="CF0117A5FAC748069ADAAB2DC01FA612"/>
    <w:rsid w:val="00A8440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BFF96-B920-40D1-A5F4-EE36BBBB7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RREP - Issues Paper Template V1.3 13.09.17</Template>
  <TotalTime>1</TotalTime>
  <Pages>110</Pages>
  <Words>29352</Words>
  <Characters>167307</Characters>
  <Application>Microsoft Office Word</Application>
  <DocSecurity>0</DocSecurity>
  <Lines>1394</Lines>
  <Paragraphs>392</Paragraphs>
  <ScaleCrop>false</ScaleCrop>
  <HeadingPairs>
    <vt:vector size="2" baseType="variant">
      <vt:variant>
        <vt:lpstr>Title</vt:lpstr>
      </vt:variant>
      <vt:variant>
        <vt:i4>1</vt:i4>
      </vt:variant>
    </vt:vector>
  </HeadingPairs>
  <TitlesOfParts>
    <vt:vector size="1" baseType="lpstr">
      <vt:lpstr>Regulated water and sewerage services</vt:lpstr>
    </vt:vector>
  </TitlesOfParts>
  <Company>ACT Government</Company>
  <LinksUpToDate>false</LinksUpToDate>
  <CharactersWithSpaces>196267</CharactersWithSpaces>
  <SharedDoc>false</SharedDoc>
  <HLinks>
    <vt:vector size="138" baseType="variant">
      <vt:variant>
        <vt:i4>1507378</vt:i4>
      </vt:variant>
      <vt:variant>
        <vt:i4>131</vt:i4>
      </vt:variant>
      <vt:variant>
        <vt:i4>0</vt:i4>
      </vt:variant>
      <vt:variant>
        <vt:i4>5</vt:i4>
      </vt:variant>
      <vt:variant>
        <vt:lpwstr/>
      </vt:variant>
      <vt:variant>
        <vt:lpwstr>_Toc300311025</vt:lpwstr>
      </vt:variant>
      <vt:variant>
        <vt:i4>1507378</vt:i4>
      </vt:variant>
      <vt:variant>
        <vt:i4>125</vt:i4>
      </vt:variant>
      <vt:variant>
        <vt:i4>0</vt:i4>
      </vt:variant>
      <vt:variant>
        <vt:i4>5</vt:i4>
      </vt:variant>
      <vt:variant>
        <vt:lpwstr/>
      </vt:variant>
      <vt:variant>
        <vt:lpwstr>_Toc300311024</vt:lpwstr>
      </vt:variant>
      <vt:variant>
        <vt:i4>1507378</vt:i4>
      </vt:variant>
      <vt:variant>
        <vt:i4>119</vt:i4>
      </vt:variant>
      <vt:variant>
        <vt:i4>0</vt:i4>
      </vt:variant>
      <vt:variant>
        <vt:i4>5</vt:i4>
      </vt:variant>
      <vt:variant>
        <vt:lpwstr/>
      </vt:variant>
      <vt:variant>
        <vt:lpwstr>_Toc300311023</vt:lpwstr>
      </vt:variant>
      <vt:variant>
        <vt:i4>1507378</vt:i4>
      </vt:variant>
      <vt:variant>
        <vt:i4>113</vt:i4>
      </vt:variant>
      <vt:variant>
        <vt:i4>0</vt:i4>
      </vt:variant>
      <vt:variant>
        <vt:i4>5</vt:i4>
      </vt:variant>
      <vt:variant>
        <vt:lpwstr/>
      </vt:variant>
      <vt:variant>
        <vt:lpwstr>_Toc300311022</vt:lpwstr>
      </vt:variant>
      <vt:variant>
        <vt:i4>1507378</vt:i4>
      </vt:variant>
      <vt:variant>
        <vt:i4>107</vt:i4>
      </vt:variant>
      <vt:variant>
        <vt:i4>0</vt:i4>
      </vt:variant>
      <vt:variant>
        <vt:i4>5</vt:i4>
      </vt:variant>
      <vt:variant>
        <vt:lpwstr/>
      </vt:variant>
      <vt:variant>
        <vt:lpwstr>_Toc300311021</vt:lpwstr>
      </vt:variant>
      <vt:variant>
        <vt:i4>1507378</vt:i4>
      </vt:variant>
      <vt:variant>
        <vt:i4>101</vt:i4>
      </vt:variant>
      <vt:variant>
        <vt:i4>0</vt:i4>
      </vt:variant>
      <vt:variant>
        <vt:i4>5</vt:i4>
      </vt:variant>
      <vt:variant>
        <vt:lpwstr/>
      </vt:variant>
      <vt:variant>
        <vt:lpwstr>_Toc300311020</vt:lpwstr>
      </vt:variant>
      <vt:variant>
        <vt:i4>1310770</vt:i4>
      </vt:variant>
      <vt:variant>
        <vt:i4>95</vt:i4>
      </vt:variant>
      <vt:variant>
        <vt:i4>0</vt:i4>
      </vt:variant>
      <vt:variant>
        <vt:i4>5</vt:i4>
      </vt:variant>
      <vt:variant>
        <vt:lpwstr/>
      </vt:variant>
      <vt:variant>
        <vt:lpwstr>_Toc300311019</vt:lpwstr>
      </vt:variant>
      <vt:variant>
        <vt:i4>1310770</vt:i4>
      </vt:variant>
      <vt:variant>
        <vt:i4>89</vt:i4>
      </vt:variant>
      <vt:variant>
        <vt:i4>0</vt:i4>
      </vt:variant>
      <vt:variant>
        <vt:i4>5</vt:i4>
      </vt:variant>
      <vt:variant>
        <vt:lpwstr/>
      </vt:variant>
      <vt:variant>
        <vt:lpwstr>_Toc300311018</vt:lpwstr>
      </vt:variant>
      <vt:variant>
        <vt:i4>1310770</vt:i4>
      </vt:variant>
      <vt:variant>
        <vt:i4>83</vt:i4>
      </vt:variant>
      <vt:variant>
        <vt:i4>0</vt:i4>
      </vt:variant>
      <vt:variant>
        <vt:i4>5</vt:i4>
      </vt:variant>
      <vt:variant>
        <vt:lpwstr/>
      </vt:variant>
      <vt:variant>
        <vt:lpwstr>_Toc300311017</vt:lpwstr>
      </vt:variant>
      <vt:variant>
        <vt:i4>1310770</vt:i4>
      </vt:variant>
      <vt:variant>
        <vt:i4>77</vt:i4>
      </vt:variant>
      <vt:variant>
        <vt:i4>0</vt:i4>
      </vt:variant>
      <vt:variant>
        <vt:i4>5</vt:i4>
      </vt:variant>
      <vt:variant>
        <vt:lpwstr/>
      </vt:variant>
      <vt:variant>
        <vt:lpwstr>_Toc300311016</vt:lpwstr>
      </vt:variant>
      <vt:variant>
        <vt:i4>1310770</vt:i4>
      </vt:variant>
      <vt:variant>
        <vt:i4>71</vt:i4>
      </vt:variant>
      <vt:variant>
        <vt:i4>0</vt:i4>
      </vt:variant>
      <vt:variant>
        <vt:i4>5</vt:i4>
      </vt:variant>
      <vt:variant>
        <vt:lpwstr/>
      </vt:variant>
      <vt:variant>
        <vt:lpwstr>_Toc300311015</vt:lpwstr>
      </vt:variant>
      <vt:variant>
        <vt:i4>1310770</vt:i4>
      </vt:variant>
      <vt:variant>
        <vt:i4>65</vt:i4>
      </vt:variant>
      <vt:variant>
        <vt:i4>0</vt:i4>
      </vt:variant>
      <vt:variant>
        <vt:i4>5</vt:i4>
      </vt:variant>
      <vt:variant>
        <vt:lpwstr/>
      </vt:variant>
      <vt:variant>
        <vt:lpwstr>_Toc300311014</vt:lpwstr>
      </vt:variant>
      <vt:variant>
        <vt:i4>1310770</vt:i4>
      </vt:variant>
      <vt:variant>
        <vt:i4>59</vt:i4>
      </vt:variant>
      <vt:variant>
        <vt:i4>0</vt:i4>
      </vt:variant>
      <vt:variant>
        <vt:i4>5</vt:i4>
      </vt:variant>
      <vt:variant>
        <vt:lpwstr/>
      </vt:variant>
      <vt:variant>
        <vt:lpwstr>_Toc300311013</vt:lpwstr>
      </vt:variant>
      <vt:variant>
        <vt:i4>1310770</vt:i4>
      </vt:variant>
      <vt:variant>
        <vt:i4>53</vt:i4>
      </vt:variant>
      <vt:variant>
        <vt:i4>0</vt:i4>
      </vt:variant>
      <vt:variant>
        <vt:i4>5</vt:i4>
      </vt:variant>
      <vt:variant>
        <vt:lpwstr/>
      </vt:variant>
      <vt:variant>
        <vt:lpwstr>_Toc300311012</vt:lpwstr>
      </vt:variant>
      <vt:variant>
        <vt:i4>1310770</vt:i4>
      </vt:variant>
      <vt:variant>
        <vt:i4>47</vt:i4>
      </vt:variant>
      <vt:variant>
        <vt:i4>0</vt:i4>
      </vt:variant>
      <vt:variant>
        <vt:i4>5</vt:i4>
      </vt:variant>
      <vt:variant>
        <vt:lpwstr/>
      </vt:variant>
      <vt:variant>
        <vt:lpwstr>_Toc300311011</vt:lpwstr>
      </vt:variant>
      <vt:variant>
        <vt:i4>1310770</vt:i4>
      </vt:variant>
      <vt:variant>
        <vt:i4>41</vt:i4>
      </vt:variant>
      <vt:variant>
        <vt:i4>0</vt:i4>
      </vt:variant>
      <vt:variant>
        <vt:i4>5</vt:i4>
      </vt:variant>
      <vt:variant>
        <vt:lpwstr/>
      </vt:variant>
      <vt:variant>
        <vt:lpwstr>_Toc300311010</vt:lpwstr>
      </vt:variant>
      <vt:variant>
        <vt:i4>1376306</vt:i4>
      </vt:variant>
      <vt:variant>
        <vt:i4>35</vt:i4>
      </vt:variant>
      <vt:variant>
        <vt:i4>0</vt:i4>
      </vt:variant>
      <vt:variant>
        <vt:i4>5</vt:i4>
      </vt:variant>
      <vt:variant>
        <vt:lpwstr/>
      </vt:variant>
      <vt:variant>
        <vt:lpwstr>_Toc300311009</vt:lpwstr>
      </vt:variant>
      <vt:variant>
        <vt:i4>1376306</vt:i4>
      </vt:variant>
      <vt:variant>
        <vt:i4>29</vt:i4>
      </vt:variant>
      <vt:variant>
        <vt:i4>0</vt:i4>
      </vt:variant>
      <vt:variant>
        <vt:i4>5</vt:i4>
      </vt:variant>
      <vt:variant>
        <vt:lpwstr/>
      </vt:variant>
      <vt:variant>
        <vt:lpwstr>_Toc300311008</vt:lpwstr>
      </vt:variant>
      <vt:variant>
        <vt:i4>1376306</vt:i4>
      </vt:variant>
      <vt:variant>
        <vt:i4>23</vt:i4>
      </vt:variant>
      <vt:variant>
        <vt:i4>0</vt:i4>
      </vt:variant>
      <vt:variant>
        <vt:i4>5</vt:i4>
      </vt:variant>
      <vt:variant>
        <vt:lpwstr/>
      </vt:variant>
      <vt:variant>
        <vt:lpwstr>_Toc300311007</vt:lpwstr>
      </vt:variant>
      <vt:variant>
        <vt:i4>1376306</vt:i4>
      </vt:variant>
      <vt:variant>
        <vt:i4>17</vt:i4>
      </vt:variant>
      <vt:variant>
        <vt:i4>0</vt:i4>
      </vt:variant>
      <vt:variant>
        <vt:i4>5</vt:i4>
      </vt:variant>
      <vt:variant>
        <vt:lpwstr/>
      </vt:variant>
      <vt:variant>
        <vt:lpwstr>_Toc300311006</vt:lpwstr>
      </vt:variant>
      <vt:variant>
        <vt:i4>1376306</vt:i4>
      </vt:variant>
      <vt:variant>
        <vt:i4>11</vt:i4>
      </vt:variant>
      <vt:variant>
        <vt:i4>0</vt:i4>
      </vt:variant>
      <vt:variant>
        <vt:i4>5</vt:i4>
      </vt:variant>
      <vt:variant>
        <vt:lpwstr/>
      </vt:variant>
      <vt:variant>
        <vt:lpwstr>_Toc300311005</vt:lpwstr>
      </vt:variant>
      <vt:variant>
        <vt:i4>4194351</vt:i4>
      </vt:variant>
      <vt:variant>
        <vt:i4>6</vt:i4>
      </vt:variant>
      <vt:variant>
        <vt:i4>0</vt:i4>
      </vt:variant>
      <vt:variant>
        <vt:i4>5</vt:i4>
      </vt:variant>
      <vt:variant>
        <vt:lpwstr>mailto:icrc@act.gov.au</vt:lpwstr>
      </vt:variant>
      <vt:variant>
        <vt:lpwstr/>
      </vt:variant>
      <vt:variant>
        <vt:i4>6750261</vt:i4>
      </vt:variant>
      <vt:variant>
        <vt:i4>3</vt:i4>
      </vt:variant>
      <vt:variant>
        <vt:i4>0</vt:i4>
      </vt:variant>
      <vt:variant>
        <vt:i4>5</vt:i4>
      </vt:variant>
      <vt:variant>
        <vt:lpwstr>http://www.icrc.act.gov.au/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Regulated Water and Sewerage Services</dc:title>
  <dc:creator>ICRC</dc:creator>
  <cp:lastModifiedBy>deirdre burgess</cp:lastModifiedBy>
  <cp:revision>2</cp:revision>
  <cp:lastPrinted>2015-11-19T22:17:00Z</cp:lastPrinted>
  <dcterms:created xsi:type="dcterms:W3CDTF">2015-11-22T21:57:00Z</dcterms:created>
  <dcterms:modified xsi:type="dcterms:W3CDTF">2015-11-22T21:57:00Z</dcterms:modified>
</cp:coreProperties>
</file>